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C55" w:rsidRDefault="00D33C55" w:rsidP="00C05EB2">
      <w:pPr>
        <w:pStyle w:val="Title"/>
        <w:jc w:val="left"/>
        <w:rPr>
          <w:rFonts w:asciiTheme="majorHAnsi" w:hAnsiTheme="majorHAnsi"/>
          <w:color w:val="365F91" w:themeColor="accent1" w:themeShade="BF"/>
          <w:sz w:val="28"/>
          <w:u w:val="single"/>
        </w:rPr>
      </w:pPr>
    </w:p>
    <w:p w:rsidR="00C05EB2" w:rsidRDefault="003A54F1" w:rsidP="0095027D">
      <w:pPr>
        <w:pStyle w:val="Title"/>
      </w:pPr>
      <w:r w:rsidRPr="0095027D">
        <w:t>2019</w:t>
      </w:r>
      <w:r w:rsidR="00A60CCB" w:rsidRPr="0095027D">
        <w:t xml:space="preserve"> M</w:t>
      </w:r>
      <w:r w:rsidR="008C549F" w:rsidRPr="0095027D">
        <w:t>assachusetts A</w:t>
      </w:r>
      <w:r w:rsidR="00927389" w:rsidRPr="0095027D">
        <w:t xml:space="preserve">ccess </w:t>
      </w:r>
      <w:r w:rsidR="008C549F" w:rsidRPr="0095027D">
        <w:t>M</w:t>
      </w:r>
      <w:r w:rsidR="00927389" w:rsidRPr="0095027D">
        <w:t xml:space="preserve">onitoring </w:t>
      </w:r>
      <w:r w:rsidR="008C549F" w:rsidRPr="0095027D">
        <w:t>R</w:t>
      </w:r>
      <w:r w:rsidR="00927389" w:rsidRPr="0095027D">
        <w:t xml:space="preserve">eview </w:t>
      </w:r>
      <w:r w:rsidR="008C549F" w:rsidRPr="0095027D">
        <w:t>P</w:t>
      </w:r>
      <w:r w:rsidR="00927389" w:rsidRPr="0095027D">
        <w:t>lan</w:t>
      </w:r>
      <w:r w:rsidR="00A37FAB" w:rsidRPr="0095027D">
        <w:t xml:space="preserve"> (</w:t>
      </w:r>
      <w:r w:rsidR="00E1676E" w:rsidRPr="0095027D">
        <w:t>AMRP)</w:t>
      </w:r>
    </w:p>
    <w:p w:rsidR="00C05EB2" w:rsidRDefault="00C05EB2">
      <w:pPr>
        <w:ind w:firstLine="0"/>
        <w:rPr>
          <w:rFonts w:ascii="Arial" w:hAnsi="Arial"/>
          <w:b/>
          <w:color w:val="C00000"/>
          <w:sz w:val="56"/>
          <w:szCs w:val="24"/>
        </w:rPr>
      </w:pPr>
      <w:r>
        <w:br w:type="page"/>
      </w:r>
    </w:p>
    <w:sdt>
      <w:sdtPr>
        <w:rPr>
          <w:rFonts w:asciiTheme="minorHAnsi" w:eastAsiaTheme="minorEastAsia" w:hAnsiTheme="minorHAnsi" w:cstheme="minorBidi"/>
          <w:b w:val="0"/>
          <w:bCs w:val="0"/>
          <w:color w:val="auto"/>
          <w:sz w:val="22"/>
          <w:szCs w:val="22"/>
          <w:lang w:eastAsia="en-US"/>
        </w:rPr>
        <w:id w:val="43951187"/>
        <w:docPartObj>
          <w:docPartGallery w:val="Table of Contents"/>
          <w:docPartUnique/>
        </w:docPartObj>
      </w:sdtPr>
      <w:sdtEndPr>
        <w:rPr>
          <w:noProof/>
        </w:rPr>
      </w:sdtEndPr>
      <w:sdtContent>
        <w:p w:rsidR="00C05EB2" w:rsidRDefault="00C05EB2">
          <w:pPr>
            <w:pStyle w:val="TOCHeading"/>
          </w:pPr>
          <w:r>
            <w:t>Table of Contents</w:t>
          </w:r>
        </w:p>
        <w:p w:rsidR="00FF472E" w:rsidRDefault="00C05EB2">
          <w:pPr>
            <w:pStyle w:val="TOC1"/>
            <w:rPr>
              <w:rFonts w:asciiTheme="minorHAnsi" w:hAnsiTheme="minorHAnsi" w:cstheme="minorBidi"/>
              <w:sz w:val="22"/>
            </w:rPr>
          </w:pPr>
          <w:r>
            <w:fldChar w:fldCharType="begin"/>
          </w:r>
          <w:r>
            <w:instrText xml:space="preserve"> TOC \o "1-3" \h \z \u </w:instrText>
          </w:r>
          <w:r>
            <w:fldChar w:fldCharType="separate"/>
          </w:r>
          <w:hyperlink w:anchor="_Toc20296912" w:history="1">
            <w:r w:rsidR="00FF472E" w:rsidRPr="00F129EA">
              <w:rPr>
                <w:rStyle w:val="Hyperlink"/>
              </w:rPr>
              <w:t>Section 1: Overview</w:t>
            </w:r>
            <w:r w:rsidR="00FF472E">
              <w:rPr>
                <w:webHidden/>
              </w:rPr>
              <w:tab/>
            </w:r>
            <w:r w:rsidR="00FF472E">
              <w:rPr>
                <w:webHidden/>
              </w:rPr>
              <w:fldChar w:fldCharType="begin"/>
            </w:r>
            <w:r w:rsidR="00FF472E">
              <w:rPr>
                <w:webHidden/>
              </w:rPr>
              <w:instrText xml:space="preserve"> PAGEREF _Toc20296912 \h </w:instrText>
            </w:r>
            <w:r w:rsidR="00FF472E">
              <w:rPr>
                <w:webHidden/>
              </w:rPr>
            </w:r>
            <w:r w:rsidR="00FF472E">
              <w:rPr>
                <w:webHidden/>
              </w:rPr>
              <w:fldChar w:fldCharType="separate"/>
            </w:r>
            <w:r w:rsidR="00FF472E">
              <w:rPr>
                <w:webHidden/>
              </w:rPr>
              <w:t>4</w:t>
            </w:r>
            <w:r w:rsidR="00FF472E">
              <w:rPr>
                <w:webHidden/>
              </w:rPr>
              <w:fldChar w:fldCharType="end"/>
            </w:r>
          </w:hyperlink>
        </w:p>
        <w:p w:rsidR="00FF472E" w:rsidRDefault="00DA770C">
          <w:pPr>
            <w:pStyle w:val="TOC2"/>
            <w:rPr>
              <w:rFonts w:asciiTheme="minorHAnsi" w:hAnsiTheme="minorHAnsi" w:cstheme="minorBidi"/>
              <w:sz w:val="22"/>
            </w:rPr>
          </w:pPr>
          <w:hyperlink w:anchor="_Toc20296913" w:history="1">
            <w:r w:rsidR="00FF472E" w:rsidRPr="00F129EA">
              <w:rPr>
                <w:rStyle w:val="Hyperlink"/>
              </w:rPr>
              <w:t>Approach to Developing the AMRP</w:t>
            </w:r>
            <w:r w:rsidR="00FF472E">
              <w:rPr>
                <w:webHidden/>
              </w:rPr>
              <w:tab/>
            </w:r>
            <w:r w:rsidR="00FF472E">
              <w:rPr>
                <w:webHidden/>
              </w:rPr>
              <w:fldChar w:fldCharType="begin"/>
            </w:r>
            <w:r w:rsidR="00FF472E">
              <w:rPr>
                <w:webHidden/>
              </w:rPr>
              <w:instrText xml:space="preserve"> PAGEREF _Toc20296913 \h </w:instrText>
            </w:r>
            <w:r w:rsidR="00FF472E">
              <w:rPr>
                <w:webHidden/>
              </w:rPr>
            </w:r>
            <w:r w:rsidR="00FF472E">
              <w:rPr>
                <w:webHidden/>
              </w:rPr>
              <w:fldChar w:fldCharType="separate"/>
            </w:r>
            <w:r w:rsidR="00FF472E">
              <w:rPr>
                <w:webHidden/>
              </w:rPr>
              <w:t>4</w:t>
            </w:r>
            <w:r w:rsidR="00FF472E">
              <w:rPr>
                <w:webHidden/>
              </w:rPr>
              <w:fldChar w:fldCharType="end"/>
            </w:r>
          </w:hyperlink>
        </w:p>
        <w:p w:rsidR="00FF472E" w:rsidRDefault="00DA770C">
          <w:pPr>
            <w:pStyle w:val="TOC2"/>
            <w:rPr>
              <w:rFonts w:asciiTheme="minorHAnsi" w:hAnsiTheme="minorHAnsi" w:cstheme="minorBidi"/>
              <w:sz w:val="22"/>
            </w:rPr>
          </w:pPr>
          <w:hyperlink w:anchor="_Toc20296914" w:history="1">
            <w:r w:rsidR="00FF472E" w:rsidRPr="00F129EA">
              <w:rPr>
                <w:rStyle w:val="Hyperlink"/>
              </w:rPr>
              <w:t>Member Population Overview</w:t>
            </w:r>
            <w:r w:rsidR="00FF472E">
              <w:rPr>
                <w:webHidden/>
              </w:rPr>
              <w:tab/>
            </w:r>
            <w:r w:rsidR="00FF472E">
              <w:rPr>
                <w:webHidden/>
              </w:rPr>
              <w:fldChar w:fldCharType="begin"/>
            </w:r>
            <w:r w:rsidR="00FF472E">
              <w:rPr>
                <w:webHidden/>
              </w:rPr>
              <w:instrText xml:space="preserve"> PAGEREF _Toc20296914 \h </w:instrText>
            </w:r>
            <w:r w:rsidR="00FF472E">
              <w:rPr>
                <w:webHidden/>
              </w:rPr>
            </w:r>
            <w:r w:rsidR="00FF472E">
              <w:rPr>
                <w:webHidden/>
              </w:rPr>
              <w:fldChar w:fldCharType="separate"/>
            </w:r>
            <w:r w:rsidR="00FF472E">
              <w:rPr>
                <w:webHidden/>
              </w:rPr>
              <w:t>5</w:t>
            </w:r>
            <w:r w:rsidR="00FF472E">
              <w:rPr>
                <w:webHidden/>
              </w:rPr>
              <w:fldChar w:fldCharType="end"/>
            </w:r>
          </w:hyperlink>
        </w:p>
        <w:p w:rsidR="00FF472E" w:rsidRDefault="00DA770C">
          <w:pPr>
            <w:pStyle w:val="TOC2"/>
            <w:rPr>
              <w:rFonts w:asciiTheme="minorHAnsi" w:hAnsiTheme="minorHAnsi" w:cstheme="minorBidi"/>
              <w:sz w:val="22"/>
            </w:rPr>
          </w:pPr>
          <w:hyperlink w:anchor="_Toc20296915" w:history="1">
            <w:r w:rsidR="00FF472E" w:rsidRPr="00F129EA">
              <w:rPr>
                <w:rStyle w:val="Hyperlink"/>
              </w:rPr>
              <w:t>MassHealth Delivery System Reform</w:t>
            </w:r>
            <w:r w:rsidR="00FF472E">
              <w:rPr>
                <w:webHidden/>
              </w:rPr>
              <w:tab/>
            </w:r>
            <w:r w:rsidR="00FF472E">
              <w:rPr>
                <w:webHidden/>
              </w:rPr>
              <w:fldChar w:fldCharType="begin"/>
            </w:r>
            <w:r w:rsidR="00FF472E">
              <w:rPr>
                <w:webHidden/>
              </w:rPr>
              <w:instrText xml:space="preserve"> PAGEREF _Toc20296915 \h </w:instrText>
            </w:r>
            <w:r w:rsidR="00FF472E">
              <w:rPr>
                <w:webHidden/>
              </w:rPr>
            </w:r>
            <w:r w:rsidR="00FF472E">
              <w:rPr>
                <w:webHidden/>
              </w:rPr>
              <w:fldChar w:fldCharType="separate"/>
            </w:r>
            <w:r w:rsidR="00FF472E">
              <w:rPr>
                <w:webHidden/>
              </w:rPr>
              <w:t>5</w:t>
            </w:r>
            <w:r w:rsidR="00FF472E">
              <w:rPr>
                <w:webHidden/>
              </w:rPr>
              <w:fldChar w:fldCharType="end"/>
            </w:r>
          </w:hyperlink>
        </w:p>
        <w:p w:rsidR="00FF472E" w:rsidRDefault="00DA770C">
          <w:pPr>
            <w:pStyle w:val="TOC2"/>
            <w:rPr>
              <w:rFonts w:asciiTheme="minorHAnsi" w:hAnsiTheme="minorHAnsi" w:cstheme="minorBidi"/>
              <w:sz w:val="22"/>
            </w:rPr>
          </w:pPr>
          <w:hyperlink w:anchor="_Toc20296916" w:history="1">
            <w:r w:rsidR="00FF472E" w:rsidRPr="00F129EA">
              <w:rPr>
                <w:rStyle w:val="Hyperlink"/>
              </w:rPr>
              <w:t>Member Population Data</w:t>
            </w:r>
            <w:r w:rsidR="00FF472E">
              <w:rPr>
                <w:webHidden/>
              </w:rPr>
              <w:tab/>
            </w:r>
            <w:r w:rsidR="00FF472E">
              <w:rPr>
                <w:webHidden/>
              </w:rPr>
              <w:fldChar w:fldCharType="begin"/>
            </w:r>
            <w:r w:rsidR="00FF472E">
              <w:rPr>
                <w:webHidden/>
              </w:rPr>
              <w:instrText xml:space="preserve"> PAGEREF _Toc20296916 \h </w:instrText>
            </w:r>
            <w:r w:rsidR="00FF472E">
              <w:rPr>
                <w:webHidden/>
              </w:rPr>
            </w:r>
            <w:r w:rsidR="00FF472E">
              <w:rPr>
                <w:webHidden/>
              </w:rPr>
              <w:fldChar w:fldCharType="separate"/>
            </w:r>
            <w:r w:rsidR="00FF472E">
              <w:rPr>
                <w:webHidden/>
              </w:rPr>
              <w:t>6</w:t>
            </w:r>
            <w:r w:rsidR="00FF472E">
              <w:rPr>
                <w:webHidden/>
              </w:rPr>
              <w:fldChar w:fldCharType="end"/>
            </w:r>
          </w:hyperlink>
        </w:p>
        <w:p w:rsidR="00FF472E" w:rsidRDefault="00DA770C">
          <w:pPr>
            <w:pStyle w:val="TOC2"/>
            <w:rPr>
              <w:rFonts w:asciiTheme="minorHAnsi" w:hAnsiTheme="minorHAnsi" w:cstheme="minorBidi"/>
              <w:sz w:val="22"/>
            </w:rPr>
          </w:pPr>
          <w:hyperlink w:anchor="_Toc20296917" w:history="1">
            <w:r w:rsidR="00FF472E" w:rsidRPr="00F129EA">
              <w:rPr>
                <w:rStyle w:val="Hyperlink"/>
              </w:rPr>
              <w:t>Member Perceptions of Access to Care</w:t>
            </w:r>
            <w:r w:rsidR="00FF472E">
              <w:rPr>
                <w:webHidden/>
              </w:rPr>
              <w:tab/>
            </w:r>
            <w:r w:rsidR="00FF472E">
              <w:rPr>
                <w:webHidden/>
              </w:rPr>
              <w:fldChar w:fldCharType="begin"/>
            </w:r>
            <w:r w:rsidR="00FF472E">
              <w:rPr>
                <w:webHidden/>
              </w:rPr>
              <w:instrText xml:space="preserve"> PAGEREF _Toc20296917 \h </w:instrText>
            </w:r>
            <w:r w:rsidR="00FF472E">
              <w:rPr>
                <w:webHidden/>
              </w:rPr>
            </w:r>
            <w:r w:rsidR="00FF472E">
              <w:rPr>
                <w:webHidden/>
              </w:rPr>
              <w:fldChar w:fldCharType="separate"/>
            </w:r>
            <w:r w:rsidR="00FF472E">
              <w:rPr>
                <w:webHidden/>
              </w:rPr>
              <w:t>10</w:t>
            </w:r>
            <w:r w:rsidR="00FF472E">
              <w:rPr>
                <w:webHidden/>
              </w:rPr>
              <w:fldChar w:fldCharType="end"/>
            </w:r>
          </w:hyperlink>
        </w:p>
        <w:p w:rsidR="00FF472E" w:rsidRDefault="00DA770C">
          <w:pPr>
            <w:pStyle w:val="TOC2"/>
            <w:rPr>
              <w:rFonts w:asciiTheme="minorHAnsi" w:hAnsiTheme="minorHAnsi" w:cstheme="minorBidi"/>
              <w:sz w:val="22"/>
            </w:rPr>
          </w:pPr>
          <w:hyperlink w:anchor="_Toc20296918" w:history="1">
            <w:r w:rsidR="00FF472E" w:rsidRPr="00F129EA">
              <w:rPr>
                <w:rStyle w:val="Hyperlink"/>
              </w:rPr>
              <w:t>Provider Access Resources for Members</w:t>
            </w:r>
            <w:r w:rsidR="00FF472E">
              <w:rPr>
                <w:webHidden/>
              </w:rPr>
              <w:tab/>
            </w:r>
            <w:r w:rsidR="00FF472E">
              <w:rPr>
                <w:webHidden/>
              </w:rPr>
              <w:fldChar w:fldCharType="begin"/>
            </w:r>
            <w:r w:rsidR="00FF472E">
              <w:rPr>
                <w:webHidden/>
              </w:rPr>
              <w:instrText xml:space="preserve"> PAGEREF _Toc20296918 \h </w:instrText>
            </w:r>
            <w:r w:rsidR="00FF472E">
              <w:rPr>
                <w:webHidden/>
              </w:rPr>
            </w:r>
            <w:r w:rsidR="00FF472E">
              <w:rPr>
                <w:webHidden/>
              </w:rPr>
              <w:fldChar w:fldCharType="separate"/>
            </w:r>
            <w:r w:rsidR="00FF472E">
              <w:rPr>
                <w:webHidden/>
              </w:rPr>
              <w:t>13</w:t>
            </w:r>
            <w:r w:rsidR="00FF472E">
              <w:rPr>
                <w:webHidden/>
              </w:rPr>
              <w:fldChar w:fldCharType="end"/>
            </w:r>
          </w:hyperlink>
        </w:p>
        <w:p w:rsidR="00FF472E" w:rsidRDefault="00DA770C">
          <w:pPr>
            <w:pStyle w:val="TOC3"/>
            <w:rPr>
              <w:noProof/>
            </w:rPr>
          </w:pPr>
          <w:hyperlink w:anchor="_Toc20296919" w:history="1">
            <w:r w:rsidR="00FF472E" w:rsidRPr="00F129EA">
              <w:rPr>
                <w:rStyle w:val="Hyperlink"/>
                <w:rFonts w:ascii="Arial" w:hAnsi="Arial" w:cs="Arial"/>
                <w:noProof/>
              </w:rPr>
              <w:t>The MassHealth Provider Directory</w:t>
            </w:r>
            <w:r w:rsidR="00FF472E">
              <w:rPr>
                <w:noProof/>
                <w:webHidden/>
              </w:rPr>
              <w:tab/>
            </w:r>
            <w:r w:rsidR="00FF472E">
              <w:rPr>
                <w:noProof/>
                <w:webHidden/>
              </w:rPr>
              <w:fldChar w:fldCharType="begin"/>
            </w:r>
            <w:r w:rsidR="00FF472E">
              <w:rPr>
                <w:noProof/>
                <w:webHidden/>
              </w:rPr>
              <w:instrText xml:space="preserve"> PAGEREF _Toc20296919 \h </w:instrText>
            </w:r>
            <w:r w:rsidR="00FF472E">
              <w:rPr>
                <w:noProof/>
                <w:webHidden/>
              </w:rPr>
            </w:r>
            <w:r w:rsidR="00FF472E">
              <w:rPr>
                <w:noProof/>
                <w:webHidden/>
              </w:rPr>
              <w:fldChar w:fldCharType="separate"/>
            </w:r>
            <w:r w:rsidR="00FF472E">
              <w:rPr>
                <w:noProof/>
                <w:webHidden/>
              </w:rPr>
              <w:t>13</w:t>
            </w:r>
            <w:r w:rsidR="00FF472E">
              <w:rPr>
                <w:noProof/>
                <w:webHidden/>
              </w:rPr>
              <w:fldChar w:fldCharType="end"/>
            </w:r>
          </w:hyperlink>
        </w:p>
        <w:p w:rsidR="00FF472E" w:rsidRDefault="00DA770C">
          <w:pPr>
            <w:pStyle w:val="TOC3"/>
            <w:rPr>
              <w:noProof/>
            </w:rPr>
          </w:pPr>
          <w:hyperlink w:anchor="_Toc20296920" w:history="1">
            <w:r w:rsidR="00FF472E" w:rsidRPr="00F129EA">
              <w:rPr>
                <w:rStyle w:val="Hyperlink"/>
                <w:rFonts w:ascii="Arial" w:hAnsi="Arial" w:cs="Arial"/>
                <w:noProof/>
              </w:rPr>
              <w:t>MassHealth Choices</w:t>
            </w:r>
            <w:r w:rsidR="00FF472E">
              <w:rPr>
                <w:noProof/>
                <w:webHidden/>
              </w:rPr>
              <w:tab/>
            </w:r>
            <w:r w:rsidR="00FF472E">
              <w:rPr>
                <w:noProof/>
                <w:webHidden/>
              </w:rPr>
              <w:fldChar w:fldCharType="begin"/>
            </w:r>
            <w:r w:rsidR="00FF472E">
              <w:rPr>
                <w:noProof/>
                <w:webHidden/>
              </w:rPr>
              <w:instrText xml:space="preserve"> PAGEREF _Toc20296920 \h </w:instrText>
            </w:r>
            <w:r w:rsidR="00FF472E">
              <w:rPr>
                <w:noProof/>
                <w:webHidden/>
              </w:rPr>
            </w:r>
            <w:r w:rsidR="00FF472E">
              <w:rPr>
                <w:noProof/>
                <w:webHidden/>
              </w:rPr>
              <w:fldChar w:fldCharType="separate"/>
            </w:r>
            <w:r w:rsidR="00FF472E">
              <w:rPr>
                <w:noProof/>
                <w:webHidden/>
              </w:rPr>
              <w:t>14</w:t>
            </w:r>
            <w:r w:rsidR="00FF472E">
              <w:rPr>
                <w:noProof/>
                <w:webHidden/>
              </w:rPr>
              <w:fldChar w:fldCharType="end"/>
            </w:r>
          </w:hyperlink>
        </w:p>
        <w:p w:rsidR="00FF472E" w:rsidRDefault="00DA770C">
          <w:pPr>
            <w:pStyle w:val="TOC3"/>
            <w:rPr>
              <w:noProof/>
            </w:rPr>
          </w:pPr>
          <w:hyperlink w:anchor="_Toc20296921" w:history="1">
            <w:r w:rsidR="00FF472E" w:rsidRPr="00F129EA">
              <w:rPr>
                <w:rStyle w:val="Hyperlink"/>
                <w:rFonts w:ascii="Arial" w:hAnsi="Arial" w:cs="Arial"/>
                <w:noProof/>
              </w:rPr>
              <w:t>Disability Search</w:t>
            </w:r>
            <w:r w:rsidR="00FF472E">
              <w:rPr>
                <w:noProof/>
                <w:webHidden/>
              </w:rPr>
              <w:tab/>
            </w:r>
            <w:r w:rsidR="00FF472E">
              <w:rPr>
                <w:noProof/>
                <w:webHidden/>
              </w:rPr>
              <w:fldChar w:fldCharType="begin"/>
            </w:r>
            <w:r w:rsidR="00FF472E">
              <w:rPr>
                <w:noProof/>
                <w:webHidden/>
              </w:rPr>
              <w:instrText xml:space="preserve"> PAGEREF _Toc20296921 \h </w:instrText>
            </w:r>
            <w:r w:rsidR="00FF472E">
              <w:rPr>
                <w:noProof/>
                <w:webHidden/>
              </w:rPr>
            </w:r>
            <w:r w:rsidR="00FF472E">
              <w:rPr>
                <w:noProof/>
                <w:webHidden/>
              </w:rPr>
              <w:fldChar w:fldCharType="separate"/>
            </w:r>
            <w:r w:rsidR="00FF472E">
              <w:rPr>
                <w:noProof/>
                <w:webHidden/>
              </w:rPr>
              <w:t>14</w:t>
            </w:r>
            <w:r w:rsidR="00FF472E">
              <w:rPr>
                <w:noProof/>
                <w:webHidden/>
              </w:rPr>
              <w:fldChar w:fldCharType="end"/>
            </w:r>
          </w:hyperlink>
        </w:p>
        <w:p w:rsidR="00FF472E" w:rsidRDefault="00DA770C">
          <w:pPr>
            <w:pStyle w:val="TOC2"/>
            <w:rPr>
              <w:rFonts w:asciiTheme="minorHAnsi" w:hAnsiTheme="minorHAnsi" w:cstheme="minorBidi"/>
              <w:sz w:val="22"/>
            </w:rPr>
          </w:pPr>
          <w:hyperlink w:anchor="_Toc20296922" w:history="1">
            <w:r w:rsidR="00FF472E" w:rsidRPr="00F129EA">
              <w:rPr>
                <w:rStyle w:val="Hyperlink"/>
              </w:rPr>
              <w:t>MassHealth Review of the Public Comment Period</w:t>
            </w:r>
            <w:r w:rsidR="00FF472E">
              <w:rPr>
                <w:webHidden/>
              </w:rPr>
              <w:tab/>
            </w:r>
            <w:r w:rsidR="00FF472E">
              <w:rPr>
                <w:webHidden/>
              </w:rPr>
              <w:fldChar w:fldCharType="begin"/>
            </w:r>
            <w:r w:rsidR="00FF472E">
              <w:rPr>
                <w:webHidden/>
              </w:rPr>
              <w:instrText xml:space="preserve"> PAGEREF _Toc20296922 \h </w:instrText>
            </w:r>
            <w:r w:rsidR="00FF472E">
              <w:rPr>
                <w:webHidden/>
              </w:rPr>
            </w:r>
            <w:r w:rsidR="00FF472E">
              <w:rPr>
                <w:webHidden/>
              </w:rPr>
              <w:fldChar w:fldCharType="separate"/>
            </w:r>
            <w:r w:rsidR="00FF472E">
              <w:rPr>
                <w:webHidden/>
              </w:rPr>
              <w:t>14</w:t>
            </w:r>
            <w:r w:rsidR="00FF472E">
              <w:rPr>
                <w:webHidden/>
              </w:rPr>
              <w:fldChar w:fldCharType="end"/>
            </w:r>
          </w:hyperlink>
        </w:p>
        <w:p w:rsidR="00FF472E" w:rsidRDefault="00DA770C">
          <w:pPr>
            <w:pStyle w:val="TOC1"/>
            <w:rPr>
              <w:rFonts w:asciiTheme="minorHAnsi" w:hAnsiTheme="minorHAnsi" w:cstheme="minorBidi"/>
              <w:sz w:val="22"/>
            </w:rPr>
          </w:pPr>
          <w:hyperlink w:anchor="_Toc20296923" w:history="1">
            <w:r w:rsidR="00FF472E" w:rsidRPr="00F129EA">
              <w:rPr>
                <w:rStyle w:val="Hyperlink"/>
              </w:rPr>
              <w:t>Section 2: Review Analysis of Primary Care Services</w:t>
            </w:r>
            <w:r w:rsidR="00FF472E">
              <w:rPr>
                <w:webHidden/>
              </w:rPr>
              <w:tab/>
            </w:r>
            <w:r w:rsidR="00FF472E">
              <w:rPr>
                <w:webHidden/>
              </w:rPr>
              <w:fldChar w:fldCharType="begin"/>
            </w:r>
            <w:r w:rsidR="00FF472E">
              <w:rPr>
                <w:webHidden/>
              </w:rPr>
              <w:instrText xml:space="preserve"> PAGEREF _Toc20296923 \h </w:instrText>
            </w:r>
            <w:r w:rsidR="00FF472E">
              <w:rPr>
                <w:webHidden/>
              </w:rPr>
            </w:r>
            <w:r w:rsidR="00FF472E">
              <w:rPr>
                <w:webHidden/>
              </w:rPr>
              <w:fldChar w:fldCharType="separate"/>
            </w:r>
            <w:r w:rsidR="00FF472E">
              <w:rPr>
                <w:webHidden/>
              </w:rPr>
              <w:t>15</w:t>
            </w:r>
            <w:r w:rsidR="00FF472E">
              <w:rPr>
                <w:webHidden/>
              </w:rPr>
              <w:fldChar w:fldCharType="end"/>
            </w:r>
          </w:hyperlink>
        </w:p>
        <w:p w:rsidR="00FF472E" w:rsidRDefault="00DA770C">
          <w:pPr>
            <w:pStyle w:val="TOC2"/>
            <w:rPr>
              <w:rFonts w:asciiTheme="minorHAnsi" w:hAnsiTheme="minorHAnsi" w:cstheme="minorBidi"/>
              <w:sz w:val="22"/>
            </w:rPr>
          </w:pPr>
          <w:hyperlink w:anchor="_Toc20296924" w:history="1">
            <w:r w:rsidR="00FF472E" w:rsidRPr="00F129EA">
              <w:rPr>
                <w:rStyle w:val="Hyperlink"/>
              </w:rPr>
              <w:t>1. Availability of Primary Care Providers</w:t>
            </w:r>
            <w:r w:rsidR="00FF472E">
              <w:rPr>
                <w:webHidden/>
              </w:rPr>
              <w:tab/>
            </w:r>
            <w:r w:rsidR="00FF472E">
              <w:rPr>
                <w:webHidden/>
              </w:rPr>
              <w:fldChar w:fldCharType="begin"/>
            </w:r>
            <w:r w:rsidR="00FF472E">
              <w:rPr>
                <w:webHidden/>
              </w:rPr>
              <w:instrText xml:space="preserve"> PAGEREF _Toc20296924 \h </w:instrText>
            </w:r>
            <w:r w:rsidR="00FF472E">
              <w:rPr>
                <w:webHidden/>
              </w:rPr>
            </w:r>
            <w:r w:rsidR="00FF472E">
              <w:rPr>
                <w:webHidden/>
              </w:rPr>
              <w:fldChar w:fldCharType="separate"/>
            </w:r>
            <w:r w:rsidR="00FF472E">
              <w:rPr>
                <w:webHidden/>
              </w:rPr>
              <w:t>15</w:t>
            </w:r>
            <w:r w:rsidR="00FF472E">
              <w:rPr>
                <w:webHidden/>
              </w:rPr>
              <w:fldChar w:fldCharType="end"/>
            </w:r>
          </w:hyperlink>
        </w:p>
        <w:p w:rsidR="00FF472E" w:rsidRDefault="00DA770C">
          <w:pPr>
            <w:pStyle w:val="TOC2"/>
            <w:rPr>
              <w:rFonts w:asciiTheme="minorHAnsi" w:hAnsiTheme="minorHAnsi" w:cstheme="minorBidi"/>
              <w:sz w:val="22"/>
            </w:rPr>
          </w:pPr>
          <w:hyperlink w:anchor="_Toc20296925" w:history="1">
            <w:r w:rsidR="00FF472E" w:rsidRPr="00F129EA">
              <w:rPr>
                <w:rStyle w:val="Hyperlink"/>
              </w:rPr>
              <w:t>2. Primary Care Physician Geographic Access for Members</w:t>
            </w:r>
            <w:r w:rsidR="00FF472E">
              <w:rPr>
                <w:webHidden/>
              </w:rPr>
              <w:tab/>
            </w:r>
            <w:r w:rsidR="00FF472E">
              <w:rPr>
                <w:webHidden/>
              </w:rPr>
              <w:fldChar w:fldCharType="begin"/>
            </w:r>
            <w:r w:rsidR="00FF472E">
              <w:rPr>
                <w:webHidden/>
              </w:rPr>
              <w:instrText xml:space="preserve"> PAGEREF _Toc20296925 \h </w:instrText>
            </w:r>
            <w:r w:rsidR="00FF472E">
              <w:rPr>
                <w:webHidden/>
              </w:rPr>
            </w:r>
            <w:r w:rsidR="00FF472E">
              <w:rPr>
                <w:webHidden/>
              </w:rPr>
              <w:fldChar w:fldCharType="separate"/>
            </w:r>
            <w:r w:rsidR="00FF472E">
              <w:rPr>
                <w:webHidden/>
              </w:rPr>
              <w:t>19</w:t>
            </w:r>
            <w:r w:rsidR="00FF472E">
              <w:rPr>
                <w:webHidden/>
              </w:rPr>
              <w:fldChar w:fldCharType="end"/>
            </w:r>
          </w:hyperlink>
        </w:p>
        <w:p w:rsidR="00FF472E" w:rsidRDefault="00DA770C">
          <w:pPr>
            <w:pStyle w:val="TOC2"/>
            <w:rPr>
              <w:rFonts w:asciiTheme="minorHAnsi" w:hAnsiTheme="minorHAnsi" w:cstheme="minorBidi"/>
              <w:sz w:val="22"/>
            </w:rPr>
          </w:pPr>
          <w:hyperlink w:anchor="_Toc20296926" w:history="1">
            <w:r w:rsidR="00FF472E" w:rsidRPr="00F129EA">
              <w:rPr>
                <w:rStyle w:val="Hyperlink"/>
              </w:rPr>
              <w:t>3. Member/Primary Care Provider Ratios</w:t>
            </w:r>
            <w:r w:rsidR="00FF472E">
              <w:rPr>
                <w:webHidden/>
              </w:rPr>
              <w:tab/>
            </w:r>
            <w:r w:rsidR="00FF472E">
              <w:rPr>
                <w:webHidden/>
              </w:rPr>
              <w:fldChar w:fldCharType="begin"/>
            </w:r>
            <w:r w:rsidR="00FF472E">
              <w:rPr>
                <w:webHidden/>
              </w:rPr>
              <w:instrText xml:space="preserve"> PAGEREF _Toc20296926 \h </w:instrText>
            </w:r>
            <w:r w:rsidR="00FF472E">
              <w:rPr>
                <w:webHidden/>
              </w:rPr>
            </w:r>
            <w:r w:rsidR="00FF472E">
              <w:rPr>
                <w:webHidden/>
              </w:rPr>
              <w:fldChar w:fldCharType="separate"/>
            </w:r>
            <w:r w:rsidR="00FF472E">
              <w:rPr>
                <w:webHidden/>
              </w:rPr>
              <w:t>20</w:t>
            </w:r>
            <w:r w:rsidR="00FF472E">
              <w:rPr>
                <w:webHidden/>
              </w:rPr>
              <w:fldChar w:fldCharType="end"/>
            </w:r>
          </w:hyperlink>
        </w:p>
        <w:p w:rsidR="00FF472E" w:rsidRDefault="00DA770C">
          <w:pPr>
            <w:pStyle w:val="TOC2"/>
            <w:rPr>
              <w:rFonts w:asciiTheme="minorHAnsi" w:hAnsiTheme="minorHAnsi" w:cstheme="minorBidi"/>
              <w:sz w:val="22"/>
            </w:rPr>
          </w:pPr>
          <w:hyperlink w:anchor="_Toc20296927" w:history="1">
            <w:r w:rsidR="00FF472E" w:rsidRPr="00F129EA">
              <w:rPr>
                <w:rStyle w:val="Hyperlink"/>
              </w:rPr>
              <w:t>4. Utilization of Primary Care Services</w:t>
            </w:r>
            <w:r w:rsidR="00FF472E">
              <w:rPr>
                <w:webHidden/>
              </w:rPr>
              <w:tab/>
            </w:r>
            <w:r w:rsidR="00FF472E">
              <w:rPr>
                <w:webHidden/>
              </w:rPr>
              <w:fldChar w:fldCharType="begin"/>
            </w:r>
            <w:r w:rsidR="00FF472E">
              <w:rPr>
                <w:webHidden/>
              </w:rPr>
              <w:instrText xml:space="preserve"> PAGEREF _Toc20296927 \h </w:instrText>
            </w:r>
            <w:r w:rsidR="00FF472E">
              <w:rPr>
                <w:webHidden/>
              </w:rPr>
            </w:r>
            <w:r w:rsidR="00FF472E">
              <w:rPr>
                <w:webHidden/>
              </w:rPr>
              <w:fldChar w:fldCharType="separate"/>
            </w:r>
            <w:r w:rsidR="00FF472E">
              <w:rPr>
                <w:webHidden/>
              </w:rPr>
              <w:t>24</w:t>
            </w:r>
            <w:r w:rsidR="00FF472E">
              <w:rPr>
                <w:webHidden/>
              </w:rPr>
              <w:fldChar w:fldCharType="end"/>
            </w:r>
          </w:hyperlink>
        </w:p>
        <w:p w:rsidR="00FF472E" w:rsidRDefault="00DA770C">
          <w:pPr>
            <w:pStyle w:val="TOC2"/>
            <w:rPr>
              <w:rFonts w:asciiTheme="minorHAnsi" w:hAnsiTheme="minorHAnsi" w:cstheme="minorBidi"/>
              <w:sz w:val="22"/>
            </w:rPr>
          </w:pPr>
          <w:hyperlink w:anchor="_Toc20296928" w:history="1">
            <w:r w:rsidR="00FF472E" w:rsidRPr="00F129EA">
              <w:rPr>
                <w:rStyle w:val="Hyperlink"/>
              </w:rPr>
              <w:t>5. Healthcare Effectiveness Data and Information Set (HEDIS)</w:t>
            </w:r>
            <w:r w:rsidR="00FF472E">
              <w:rPr>
                <w:webHidden/>
              </w:rPr>
              <w:tab/>
            </w:r>
            <w:r w:rsidR="00FF472E">
              <w:rPr>
                <w:webHidden/>
              </w:rPr>
              <w:fldChar w:fldCharType="begin"/>
            </w:r>
            <w:r w:rsidR="00FF472E">
              <w:rPr>
                <w:webHidden/>
              </w:rPr>
              <w:instrText xml:space="preserve"> PAGEREF _Toc20296928 \h </w:instrText>
            </w:r>
            <w:r w:rsidR="00FF472E">
              <w:rPr>
                <w:webHidden/>
              </w:rPr>
            </w:r>
            <w:r w:rsidR="00FF472E">
              <w:rPr>
                <w:webHidden/>
              </w:rPr>
              <w:fldChar w:fldCharType="separate"/>
            </w:r>
            <w:r w:rsidR="00FF472E">
              <w:rPr>
                <w:webHidden/>
              </w:rPr>
              <w:t>26</w:t>
            </w:r>
            <w:r w:rsidR="00FF472E">
              <w:rPr>
                <w:webHidden/>
              </w:rPr>
              <w:fldChar w:fldCharType="end"/>
            </w:r>
          </w:hyperlink>
        </w:p>
        <w:p w:rsidR="00FF472E" w:rsidRDefault="00DA770C">
          <w:pPr>
            <w:pStyle w:val="TOC2"/>
            <w:rPr>
              <w:rFonts w:asciiTheme="minorHAnsi" w:hAnsiTheme="minorHAnsi" w:cstheme="minorBidi"/>
              <w:sz w:val="22"/>
            </w:rPr>
          </w:pPr>
          <w:hyperlink w:anchor="_Toc20296929" w:history="1">
            <w:r w:rsidR="00FF472E" w:rsidRPr="00F129EA">
              <w:rPr>
                <w:rStyle w:val="Hyperlink"/>
              </w:rPr>
              <w:t>6. Comparison Analysis of Medicaid Payment Rates to Medicare Payment Rates for Primary Care Services</w:t>
            </w:r>
            <w:r w:rsidR="00FF472E">
              <w:rPr>
                <w:webHidden/>
              </w:rPr>
              <w:tab/>
            </w:r>
            <w:r w:rsidR="00FF472E">
              <w:rPr>
                <w:webHidden/>
              </w:rPr>
              <w:fldChar w:fldCharType="begin"/>
            </w:r>
            <w:r w:rsidR="00FF472E">
              <w:rPr>
                <w:webHidden/>
              </w:rPr>
              <w:instrText xml:space="preserve"> PAGEREF _Toc20296929 \h </w:instrText>
            </w:r>
            <w:r w:rsidR="00FF472E">
              <w:rPr>
                <w:webHidden/>
              </w:rPr>
            </w:r>
            <w:r w:rsidR="00FF472E">
              <w:rPr>
                <w:webHidden/>
              </w:rPr>
              <w:fldChar w:fldCharType="separate"/>
            </w:r>
            <w:r w:rsidR="00FF472E">
              <w:rPr>
                <w:webHidden/>
              </w:rPr>
              <w:t>28</w:t>
            </w:r>
            <w:r w:rsidR="00FF472E">
              <w:rPr>
                <w:webHidden/>
              </w:rPr>
              <w:fldChar w:fldCharType="end"/>
            </w:r>
          </w:hyperlink>
        </w:p>
        <w:p w:rsidR="00FF472E" w:rsidRDefault="00DA770C">
          <w:pPr>
            <w:pStyle w:val="TOC1"/>
            <w:rPr>
              <w:rFonts w:asciiTheme="minorHAnsi" w:hAnsiTheme="minorHAnsi" w:cstheme="minorBidi"/>
              <w:sz w:val="22"/>
            </w:rPr>
          </w:pPr>
          <w:hyperlink w:anchor="_Toc20296930" w:history="1">
            <w:r w:rsidR="00FF472E" w:rsidRPr="00F129EA">
              <w:rPr>
                <w:rStyle w:val="Hyperlink"/>
              </w:rPr>
              <w:t>Section 3: Review Analysis of Physician Specialty Services</w:t>
            </w:r>
            <w:r w:rsidR="00FF472E">
              <w:rPr>
                <w:webHidden/>
              </w:rPr>
              <w:tab/>
            </w:r>
            <w:r w:rsidR="00FF472E">
              <w:rPr>
                <w:webHidden/>
              </w:rPr>
              <w:fldChar w:fldCharType="begin"/>
            </w:r>
            <w:r w:rsidR="00FF472E">
              <w:rPr>
                <w:webHidden/>
              </w:rPr>
              <w:instrText xml:space="preserve"> PAGEREF _Toc20296930 \h </w:instrText>
            </w:r>
            <w:r w:rsidR="00FF472E">
              <w:rPr>
                <w:webHidden/>
              </w:rPr>
            </w:r>
            <w:r w:rsidR="00FF472E">
              <w:rPr>
                <w:webHidden/>
              </w:rPr>
              <w:fldChar w:fldCharType="separate"/>
            </w:r>
            <w:r w:rsidR="00FF472E">
              <w:rPr>
                <w:webHidden/>
              </w:rPr>
              <w:t>29</w:t>
            </w:r>
            <w:r w:rsidR="00FF472E">
              <w:rPr>
                <w:webHidden/>
              </w:rPr>
              <w:fldChar w:fldCharType="end"/>
            </w:r>
          </w:hyperlink>
        </w:p>
        <w:p w:rsidR="00FF472E" w:rsidRDefault="00DA770C">
          <w:pPr>
            <w:pStyle w:val="TOC2"/>
            <w:rPr>
              <w:rFonts w:asciiTheme="minorHAnsi" w:hAnsiTheme="minorHAnsi" w:cstheme="minorBidi"/>
              <w:sz w:val="22"/>
            </w:rPr>
          </w:pPr>
          <w:hyperlink w:anchor="_Toc20296931" w:history="1">
            <w:r w:rsidR="00FF472E" w:rsidRPr="00F129EA">
              <w:rPr>
                <w:rStyle w:val="Hyperlink"/>
              </w:rPr>
              <w:t>1. Availability of Physician Specialists</w:t>
            </w:r>
            <w:r w:rsidR="00FF472E">
              <w:rPr>
                <w:webHidden/>
              </w:rPr>
              <w:tab/>
            </w:r>
            <w:r w:rsidR="00FF472E">
              <w:rPr>
                <w:webHidden/>
              </w:rPr>
              <w:fldChar w:fldCharType="begin"/>
            </w:r>
            <w:r w:rsidR="00FF472E">
              <w:rPr>
                <w:webHidden/>
              </w:rPr>
              <w:instrText xml:space="preserve"> PAGEREF _Toc20296931 \h </w:instrText>
            </w:r>
            <w:r w:rsidR="00FF472E">
              <w:rPr>
                <w:webHidden/>
              </w:rPr>
            </w:r>
            <w:r w:rsidR="00FF472E">
              <w:rPr>
                <w:webHidden/>
              </w:rPr>
              <w:fldChar w:fldCharType="separate"/>
            </w:r>
            <w:r w:rsidR="00FF472E">
              <w:rPr>
                <w:webHidden/>
              </w:rPr>
              <w:t>29</w:t>
            </w:r>
            <w:r w:rsidR="00FF472E">
              <w:rPr>
                <w:webHidden/>
              </w:rPr>
              <w:fldChar w:fldCharType="end"/>
            </w:r>
          </w:hyperlink>
        </w:p>
        <w:p w:rsidR="00FF472E" w:rsidRDefault="00DA770C">
          <w:pPr>
            <w:pStyle w:val="TOC2"/>
            <w:rPr>
              <w:rFonts w:asciiTheme="minorHAnsi" w:hAnsiTheme="minorHAnsi" w:cstheme="minorBidi"/>
              <w:sz w:val="22"/>
            </w:rPr>
          </w:pPr>
          <w:hyperlink w:anchor="_Toc20296932" w:history="1">
            <w:r w:rsidR="00FF472E" w:rsidRPr="00F129EA">
              <w:rPr>
                <w:rStyle w:val="Hyperlink"/>
              </w:rPr>
              <w:t>2. Member/Specialty Physician Provider Ratios</w:t>
            </w:r>
            <w:r w:rsidR="00FF472E">
              <w:rPr>
                <w:webHidden/>
              </w:rPr>
              <w:tab/>
            </w:r>
            <w:r w:rsidR="00FF472E">
              <w:rPr>
                <w:webHidden/>
              </w:rPr>
              <w:fldChar w:fldCharType="begin"/>
            </w:r>
            <w:r w:rsidR="00FF472E">
              <w:rPr>
                <w:webHidden/>
              </w:rPr>
              <w:instrText xml:space="preserve"> PAGEREF _Toc20296932 \h </w:instrText>
            </w:r>
            <w:r w:rsidR="00FF472E">
              <w:rPr>
                <w:webHidden/>
              </w:rPr>
            </w:r>
            <w:r w:rsidR="00FF472E">
              <w:rPr>
                <w:webHidden/>
              </w:rPr>
              <w:fldChar w:fldCharType="separate"/>
            </w:r>
            <w:r w:rsidR="00FF472E">
              <w:rPr>
                <w:webHidden/>
              </w:rPr>
              <w:t>31</w:t>
            </w:r>
            <w:r w:rsidR="00FF472E">
              <w:rPr>
                <w:webHidden/>
              </w:rPr>
              <w:fldChar w:fldCharType="end"/>
            </w:r>
          </w:hyperlink>
        </w:p>
        <w:p w:rsidR="00FF472E" w:rsidRDefault="00DA770C">
          <w:pPr>
            <w:pStyle w:val="TOC2"/>
            <w:rPr>
              <w:rFonts w:asciiTheme="minorHAnsi" w:hAnsiTheme="minorHAnsi" w:cstheme="minorBidi"/>
              <w:sz w:val="22"/>
            </w:rPr>
          </w:pPr>
          <w:hyperlink w:anchor="_Toc20296933" w:history="1">
            <w:r w:rsidR="00FF472E" w:rsidRPr="00F129EA">
              <w:rPr>
                <w:rStyle w:val="Hyperlink"/>
              </w:rPr>
              <w:t>3. Utilization of Specialty Care Services</w:t>
            </w:r>
            <w:r w:rsidR="00FF472E">
              <w:rPr>
                <w:webHidden/>
              </w:rPr>
              <w:tab/>
            </w:r>
            <w:r w:rsidR="00FF472E">
              <w:rPr>
                <w:webHidden/>
              </w:rPr>
              <w:fldChar w:fldCharType="begin"/>
            </w:r>
            <w:r w:rsidR="00FF472E">
              <w:rPr>
                <w:webHidden/>
              </w:rPr>
              <w:instrText xml:space="preserve"> PAGEREF _Toc20296933 \h </w:instrText>
            </w:r>
            <w:r w:rsidR="00FF472E">
              <w:rPr>
                <w:webHidden/>
              </w:rPr>
            </w:r>
            <w:r w:rsidR="00FF472E">
              <w:rPr>
                <w:webHidden/>
              </w:rPr>
              <w:fldChar w:fldCharType="separate"/>
            </w:r>
            <w:r w:rsidR="00FF472E">
              <w:rPr>
                <w:webHidden/>
              </w:rPr>
              <w:t>34</w:t>
            </w:r>
            <w:r w:rsidR="00FF472E">
              <w:rPr>
                <w:webHidden/>
              </w:rPr>
              <w:fldChar w:fldCharType="end"/>
            </w:r>
          </w:hyperlink>
        </w:p>
        <w:p w:rsidR="00FF472E" w:rsidRDefault="00DA770C">
          <w:pPr>
            <w:pStyle w:val="TOC2"/>
            <w:rPr>
              <w:rFonts w:asciiTheme="minorHAnsi" w:hAnsiTheme="minorHAnsi" w:cstheme="minorBidi"/>
              <w:sz w:val="22"/>
            </w:rPr>
          </w:pPr>
          <w:hyperlink w:anchor="_Toc20296934" w:history="1">
            <w:r w:rsidR="00FF472E" w:rsidRPr="00F129EA">
              <w:rPr>
                <w:rStyle w:val="Hyperlink"/>
              </w:rPr>
              <w:t>4. Comparison Analysis of Medicaid Payment Rates to Medicare Payment Rates for Specialty Care Services</w:t>
            </w:r>
            <w:r w:rsidR="00FF472E">
              <w:rPr>
                <w:webHidden/>
              </w:rPr>
              <w:tab/>
            </w:r>
            <w:r w:rsidR="00FF472E">
              <w:rPr>
                <w:webHidden/>
              </w:rPr>
              <w:fldChar w:fldCharType="begin"/>
            </w:r>
            <w:r w:rsidR="00FF472E">
              <w:rPr>
                <w:webHidden/>
              </w:rPr>
              <w:instrText xml:space="preserve"> PAGEREF _Toc20296934 \h </w:instrText>
            </w:r>
            <w:r w:rsidR="00FF472E">
              <w:rPr>
                <w:webHidden/>
              </w:rPr>
            </w:r>
            <w:r w:rsidR="00FF472E">
              <w:rPr>
                <w:webHidden/>
              </w:rPr>
              <w:fldChar w:fldCharType="separate"/>
            </w:r>
            <w:r w:rsidR="00FF472E">
              <w:rPr>
                <w:webHidden/>
              </w:rPr>
              <w:t>37</w:t>
            </w:r>
            <w:r w:rsidR="00FF472E">
              <w:rPr>
                <w:webHidden/>
              </w:rPr>
              <w:fldChar w:fldCharType="end"/>
            </w:r>
          </w:hyperlink>
        </w:p>
        <w:p w:rsidR="00FF472E" w:rsidRDefault="00DA770C">
          <w:pPr>
            <w:pStyle w:val="TOC1"/>
            <w:rPr>
              <w:rFonts w:asciiTheme="minorHAnsi" w:hAnsiTheme="minorHAnsi" w:cstheme="minorBidi"/>
              <w:sz w:val="22"/>
            </w:rPr>
          </w:pPr>
          <w:hyperlink w:anchor="_Toc20296935" w:history="1">
            <w:r w:rsidR="00FF472E" w:rsidRPr="00F129EA">
              <w:rPr>
                <w:rStyle w:val="Hyperlink"/>
              </w:rPr>
              <w:t>Section 4: Review Analysis of Behavioral Health Services</w:t>
            </w:r>
            <w:r w:rsidR="00FF472E">
              <w:rPr>
                <w:webHidden/>
              </w:rPr>
              <w:tab/>
            </w:r>
            <w:r w:rsidR="00FF472E">
              <w:rPr>
                <w:webHidden/>
              </w:rPr>
              <w:fldChar w:fldCharType="begin"/>
            </w:r>
            <w:r w:rsidR="00FF472E">
              <w:rPr>
                <w:webHidden/>
              </w:rPr>
              <w:instrText xml:space="preserve"> PAGEREF _Toc20296935 \h </w:instrText>
            </w:r>
            <w:r w:rsidR="00FF472E">
              <w:rPr>
                <w:webHidden/>
              </w:rPr>
            </w:r>
            <w:r w:rsidR="00FF472E">
              <w:rPr>
                <w:webHidden/>
              </w:rPr>
              <w:fldChar w:fldCharType="separate"/>
            </w:r>
            <w:r w:rsidR="00FF472E">
              <w:rPr>
                <w:webHidden/>
              </w:rPr>
              <w:t>38</w:t>
            </w:r>
            <w:r w:rsidR="00FF472E">
              <w:rPr>
                <w:webHidden/>
              </w:rPr>
              <w:fldChar w:fldCharType="end"/>
            </w:r>
          </w:hyperlink>
        </w:p>
        <w:p w:rsidR="00FF472E" w:rsidRDefault="00DA770C">
          <w:pPr>
            <w:pStyle w:val="TOC2"/>
            <w:rPr>
              <w:rFonts w:asciiTheme="minorHAnsi" w:hAnsiTheme="minorHAnsi" w:cstheme="minorBidi"/>
              <w:sz w:val="22"/>
            </w:rPr>
          </w:pPr>
          <w:hyperlink w:anchor="_Toc20296936" w:history="1">
            <w:r w:rsidR="00FF472E" w:rsidRPr="00F129EA">
              <w:rPr>
                <w:rStyle w:val="Hyperlink"/>
              </w:rPr>
              <w:t>1. Availability of Behavioral Health Servicing Providers</w:t>
            </w:r>
            <w:r w:rsidR="00FF472E">
              <w:rPr>
                <w:webHidden/>
              </w:rPr>
              <w:tab/>
            </w:r>
            <w:r w:rsidR="00FF472E">
              <w:rPr>
                <w:webHidden/>
              </w:rPr>
              <w:fldChar w:fldCharType="begin"/>
            </w:r>
            <w:r w:rsidR="00FF472E">
              <w:rPr>
                <w:webHidden/>
              </w:rPr>
              <w:instrText xml:space="preserve"> PAGEREF _Toc20296936 \h </w:instrText>
            </w:r>
            <w:r w:rsidR="00FF472E">
              <w:rPr>
                <w:webHidden/>
              </w:rPr>
            </w:r>
            <w:r w:rsidR="00FF472E">
              <w:rPr>
                <w:webHidden/>
              </w:rPr>
              <w:fldChar w:fldCharType="separate"/>
            </w:r>
            <w:r w:rsidR="00FF472E">
              <w:rPr>
                <w:webHidden/>
              </w:rPr>
              <w:t>38</w:t>
            </w:r>
            <w:r w:rsidR="00FF472E">
              <w:rPr>
                <w:webHidden/>
              </w:rPr>
              <w:fldChar w:fldCharType="end"/>
            </w:r>
          </w:hyperlink>
        </w:p>
        <w:p w:rsidR="00FF472E" w:rsidRDefault="00DA770C">
          <w:pPr>
            <w:pStyle w:val="TOC2"/>
            <w:rPr>
              <w:rFonts w:asciiTheme="minorHAnsi" w:hAnsiTheme="minorHAnsi" w:cstheme="minorBidi"/>
              <w:sz w:val="22"/>
            </w:rPr>
          </w:pPr>
          <w:hyperlink w:anchor="_Toc20296937" w:history="1">
            <w:r w:rsidR="00FF472E" w:rsidRPr="00F129EA">
              <w:rPr>
                <w:rStyle w:val="Hyperlink"/>
              </w:rPr>
              <w:t xml:space="preserve">2. Behavioral Health Servicing </w:t>
            </w:r>
            <w:r w:rsidR="00FF472E" w:rsidRPr="00F129EA">
              <w:rPr>
                <w:rStyle w:val="Hyperlink"/>
                <w:rFonts w:eastAsiaTheme="minorHAnsi"/>
              </w:rPr>
              <w:t>Member/Provider Ratios</w:t>
            </w:r>
            <w:r w:rsidR="00FF472E">
              <w:rPr>
                <w:webHidden/>
              </w:rPr>
              <w:tab/>
            </w:r>
            <w:r w:rsidR="00FF472E">
              <w:rPr>
                <w:webHidden/>
              </w:rPr>
              <w:fldChar w:fldCharType="begin"/>
            </w:r>
            <w:r w:rsidR="00FF472E">
              <w:rPr>
                <w:webHidden/>
              </w:rPr>
              <w:instrText xml:space="preserve"> PAGEREF _Toc20296937 \h </w:instrText>
            </w:r>
            <w:r w:rsidR="00FF472E">
              <w:rPr>
                <w:webHidden/>
              </w:rPr>
            </w:r>
            <w:r w:rsidR="00FF472E">
              <w:rPr>
                <w:webHidden/>
              </w:rPr>
              <w:fldChar w:fldCharType="separate"/>
            </w:r>
            <w:r w:rsidR="00FF472E">
              <w:rPr>
                <w:webHidden/>
              </w:rPr>
              <w:t>42</w:t>
            </w:r>
            <w:r w:rsidR="00FF472E">
              <w:rPr>
                <w:webHidden/>
              </w:rPr>
              <w:fldChar w:fldCharType="end"/>
            </w:r>
          </w:hyperlink>
        </w:p>
        <w:p w:rsidR="00FF472E" w:rsidRDefault="00DA770C">
          <w:pPr>
            <w:pStyle w:val="TOC2"/>
            <w:rPr>
              <w:rFonts w:asciiTheme="minorHAnsi" w:hAnsiTheme="minorHAnsi" w:cstheme="minorBidi"/>
              <w:sz w:val="22"/>
            </w:rPr>
          </w:pPr>
          <w:hyperlink w:anchor="_Toc20296938" w:history="1">
            <w:r w:rsidR="00FF472E" w:rsidRPr="00F129EA">
              <w:rPr>
                <w:rStyle w:val="Hyperlink"/>
              </w:rPr>
              <w:t>3. Utilization of Behavioral Health Care Services</w:t>
            </w:r>
            <w:r w:rsidR="00FF472E">
              <w:rPr>
                <w:webHidden/>
              </w:rPr>
              <w:tab/>
            </w:r>
            <w:r w:rsidR="00FF472E">
              <w:rPr>
                <w:webHidden/>
              </w:rPr>
              <w:fldChar w:fldCharType="begin"/>
            </w:r>
            <w:r w:rsidR="00FF472E">
              <w:rPr>
                <w:webHidden/>
              </w:rPr>
              <w:instrText xml:space="preserve"> PAGEREF _Toc20296938 \h </w:instrText>
            </w:r>
            <w:r w:rsidR="00FF472E">
              <w:rPr>
                <w:webHidden/>
              </w:rPr>
            </w:r>
            <w:r w:rsidR="00FF472E">
              <w:rPr>
                <w:webHidden/>
              </w:rPr>
              <w:fldChar w:fldCharType="separate"/>
            </w:r>
            <w:r w:rsidR="00FF472E">
              <w:rPr>
                <w:webHidden/>
              </w:rPr>
              <w:t>46</w:t>
            </w:r>
            <w:r w:rsidR="00FF472E">
              <w:rPr>
                <w:webHidden/>
              </w:rPr>
              <w:fldChar w:fldCharType="end"/>
            </w:r>
          </w:hyperlink>
        </w:p>
        <w:p w:rsidR="00FF472E" w:rsidRDefault="00DA770C">
          <w:pPr>
            <w:pStyle w:val="TOC2"/>
            <w:rPr>
              <w:rFonts w:asciiTheme="minorHAnsi" w:hAnsiTheme="minorHAnsi" w:cstheme="minorBidi"/>
              <w:sz w:val="22"/>
            </w:rPr>
          </w:pPr>
          <w:hyperlink w:anchor="_Toc20296939" w:history="1">
            <w:r w:rsidR="00FF472E" w:rsidRPr="00F129EA">
              <w:rPr>
                <w:rStyle w:val="Hyperlink"/>
              </w:rPr>
              <w:t>4. Comparison Analysis of Medicaid Payment Rates to Medicare Payment Rates for Behavioral Health Services</w:t>
            </w:r>
            <w:r w:rsidR="00FF472E">
              <w:rPr>
                <w:webHidden/>
              </w:rPr>
              <w:tab/>
            </w:r>
            <w:r w:rsidR="00FF472E">
              <w:rPr>
                <w:webHidden/>
              </w:rPr>
              <w:fldChar w:fldCharType="begin"/>
            </w:r>
            <w:r w:rsidR="00FF472E">
              <w:rPr>
                <w:webHidden/>
              </w:rPr>
              <w:instrText xml:space="preserve"> PAGEREF _Toc20296939 \h </w:instrText>
            </w:r>
            <w:r w:rsidR="00FF472E">
              <w:rPr>
                <w:webHidden/>
              </w:rPr>
            </w:r>
            <w:r w:rsidR="00FF472E">
              <w:rPr>
                <w:webHidden/>
              </w:rPr>
              <w:fldChar w:fldCharType="separate"/>
            </w:r>
            <w:r w:rsidR="00FF472E">
              <w:rPr>
                <w:webHidden/>
              </w:rPr>
              <w:t>47</w:t>
            </w:r>
            <w:r w:rsidR="00FF472E">
              <w:rPr>
                <w:webHidden/>
              </w:rPr>
              <w:fldChar w:fldCharType="end"/>
            </w:r>
          </w:hyperlink>
        </w:p>
        <w:p w:rsidR="00FF472E" w:rsidRDefault="00DA770C">
          <w:pPr>
            <w:pStyle w:val="TOC1"/>
            <w:rPr>
              <w:rFonts w:asciiTheme="minorHAnsi" w:hAnsiTheme="minorHAnsi" w:cstheme="minorBidi"/>
              <w:sz w:val="22"/>
            </w:rPr>
          </w:pPr>
          <w:hyperlink w:anchor="_Toc20296940" w:history="1">
            <w:r w:rsidR="00FF472E" w:rsidRPr="00F129EA">
              <w:rPr>
                <w:rStyle w:val="Hyperlink"/>
              </w:rPr>
              <w:t>Section 5: Review Analysis of Perinatal Services</w:t>
            </w:r>
            <w:r w:rsidR="00FF472E">
              <w:rPr>
                <w:webHidden/>
              </w:rPr>
              <w:tab/>
            </w:r>
            <w:r w:rsidR="00FF472E">
              <w:rPr>
                <w:webHidden/>
              </w:rPr>
              <w:fldChar w:fldCharType="begin"/>
            </w:r>
            <w:r w:rsidR="00FF472E">
              <w:rPr>
                <w:webHidden/>
              </w:rPr>
              <w:instrText xml:space="preserve"> PAGEREF _Toc20296940 \h </w:instrText>
            </w:r>
            <w:r w:rsidR="00FF472E">
              <w:rPr>
                <w:webHidden/>
              </w:rPr>
            </w:r>
            <w:r w:rsidR="00FF472E">
              <w:rPr>
                <w:webHidden/>
              </w:rPr>
              <w:fldChar w:fldCharType="separate"/>
            </w:r>
            <w:r w:rsidR="00FF472E">
              <w:rPr>
                <w:webHidden/>
              </w:rPr>
              <w:t>48</w:t>
            </w:r>
            <w:r w:rsidR="00FF472E">
              <w:rPr>
                <w:webHidden/>
              </w:rPr>
              <w:fldChar w:fldCharType="end"/>
            </w:r>
          </w:hyperlink>
        </w:p>
        <w:p w:rsidR="00FF472E" w:rsidRDefault="00DA770C">
          <w:pPr>
            <w:pStyle w:val="TOC2"/>
            <w:rPr>
              <w:rFonts w:asciiTheme="minorHAnsi" w:hAnsiTheme="minorHAnsi" w:cstheme="minorBidi"/>
              <w:sz w:val="22"/>
            </w:rPr>
          </w:pPr>
          <w:hyperlink w:anchor="_Toc20296941" w:history="1">
            <w:r w:rsidR="00FF472E" w:rsidRPr="00F129EA">
              <w:rPr>
                <w:rStyle w:val="Hyperlink"/>
              </w:rPr>
              <w:t>1. Availability of Physicians with an Obstetrics Specialty and Nurse Midwives</w:t>
            </w:r>
            <w:r w:rsidR="00FF472E">
              <w:rPr>
                <w:webHidden/>
              </w:rPr>
              <w:tab/>
            </w:r>
            <w:r w:rsidR="00FF472E">
              <w:rPr>
                <w:webHidden/>
              </w:rPr>
              <w:fldChar w:fldCharType="begin"/>
            </w:r>
            <w:r w:rsidR="00FF472E">
              <w:rPr>
                <w:webHidden/>
              </w:rPr>
              <w:instrText xml:space="preserve"> PAGEREF _Toc20296941 \h </w:instrText>
            </w:r>
            <w:r w:rsidR="00FF472E">
              <w:rPr>
                <w:webHidden/>
              </w:rPr>
            </w:r>
            <w:r w:rsidR="00FF472E">
              <w:rPr>
                <w:webHidden/>
              </w:rPr>
              <w:fldChar w:fldCharType="separate"/>
            </w:r>
            <w:r w:rsidR="00FF472E">
              <w:rPr>
                <w:webHidden/>
              </w:rPr>
              <w:t>48</w:t>
            </w:r>
            <w:r w:rsidR="00FF472E">
              <w:rPr>
                <w:webHidden/>
              </w:rPr>
              <w:fldChar w:fldCharType="end"/>
            </w:r>
          </w:hyperlink>
        </w:p>
        <w:p w:rsidR="00FF472E" w:rsidRDefault="00DA770C">
          <w:pPr>
            <w:pStyle w:val="TOC2"/>
            <w:rPr>
              <w:rFonts w:asciiTheme="minorHAnsi" w:hAnsiTheme="minorHAnsi" w:cstheme="minorBidi"/>
              <w:sz w:val="22"/>
            </w:rPr>
          </w:pPr>
          <w:hyperlink w:anchor="_Toc20296942" w:history="1">
            <w:r w:rsidR="00FF472E" w:rsidRPr="00F129EA">
              <w:rPr>
                <w:rStyle w:val="Hyperlink"/>
              </w:rPr>
              <w:t>2. Physicians with an Obstetrics Specialty and Nurse Midwife Member/ Provider Ratios</w:t>
            </w:r>
            <w:r w:rsidR="00FF472E">
              <w:rPr>
                <w:webHidden/>
              </w:rPr>
              <w:tab/>
            </w:r>
            <w:r w:rsidR="00FF472E">
              <w:rPr>
                <w:webHidden/>
              </w:rPr>
              <w:fldChar w:fldCharType="begin"/>
            </w:r>
            <w:r w:rsidR="00FF472E">
              <w:rPr>
                <w:webHidden/>
              </w:rPr>
              <w:instrText xml:space="preserve"> PAGEREF _Toc20296942 \h </w:instrText>
            </w:r>
            <w:r w:rsidR="00FF472E">
              <w:rPr>
                <w:webHidden/>
              </w:rPr>
            </w:r>
            <w:r w:rsidR="00FF472E">
              <w:rPr>
                <w:webHidden/>
              </w:rPr>
              <w:fldChar w:fldCharType="separate"/>
            </w:r>
            <w:r w:rsidR="00FF472E">
              <w:rPr>
                <w:webHidden/>
              </w:rPr>
              <w:t>49</w:t>
            </w:r>
            <w:r w:rsidR="00FF472E">
              <w:rPr>
                <w:webHidden/>
              </w:rPr>
              <w:fldChar w:fldCharType="end"/>
            </w:r>
          </w:hyperlink>
        </w:p>
        <w:p w:rsidR="00FF472E" w:rsidRDefault="00DA770C">
          <w:pPr>
            <w:pStyle w:val="TOC2"/>
            <w:rPr>
              <w:rFonts w:asciiTheme="minorHAnsi" w:hAnsiTheme="minorHAnsi" w:cstheme="minorBidi"/>
              <w:sz w:val="22"/>
            </w:rPr>
          </w:pPr>
          <w:hyperlink w:anchor="_Toc20296943" w:history="1">
            <w:r w:rsidR="00FF472E" w:rsidRPr="00F129EA">
              <w:rPr>
                <w:rStyle w:val="Hyperlink"/>
              </w:rPr>
              <w:t>3. Utilization of Perinatal Services</w:t>
            </w:r>
            <w:r w:rsidR="00FF472E">
              <w:rPr>
                <w:webHidden/>
              </w:rPr>
              <w:tab/>
            </w:r>
            <w:r w:rsidR="00FF472E">
              <w:rPr>
                <w:webHidden/>
              </w:rPr>
              <w:fldChar w:fldCharType="begin"/>
            </w:r>
            <w:r w:rsidR="00FF472E">
              <w:rPr>
                <w:webHidden/>
              </w:rPr>
              <w:instrText xml:space="preserve"> PAGEREF _Toc20296943 \h </w:instrText>
            </w:r>
            <w:r w:rsidR="00FF472E">
              <w:rPr>
                <w:webHidden/>
              </w:rPr>
            </w:r>
            <w:r w:rsidR="00FF472E">
              <w:rPr>
                <w:webHidden/>
              </w:rPr>
              <w:fldChar w:fldCharType="separate"/>
            </w:r>
            <w:r w:rsidR="00FF472E">
              <w:rPr>
                <w:webHidden/>
              </w:rPr>
              <w:t>50</w:t>
            </w:r>
            <w:r w:rsidR="00FF472E">
              <w:rPr>
                <w:webHidden/>
              </w:rPr>
              <w:fldChar w:fldCharType="end"/>
            </w:r>
          </w:hyperlink>
        </w:p>
        <w:p w:rsidR="00FF472E" w:rsidRDefault="00DA770C">
          <w:pPr>
            <w:pStyle w:val="TOC2"/>
            <w:rPr>
              <w:rFonts w:asciiTheme="minorHAnsi" w:hAnsiTheme="minorHAnsi" w:cstheme="minorBidi"/>
              <w:sz w:val="22"/>
            </w:rPr>
          </w:pPr>
          <w:hyperlink w:anchor="_Toc20296944" w:history="1">
            <w:r w:rsidR="00FF472E" w:rsidRPr="00F129EA">
              <w:rPr>
                <w:rStyle w:val="Hyperlink"/>
              </w:rPr>
              <w:t>4. HEDIS Prenatal and Postpartum Care Screening Scores</w:t>
            </w:r>
            <w:r w:rsidR="00FF472E">
              <w:rPr>
                <w:webHidden/>
              </w:rPr>
              <w:tab/>
            </w:r>
            <w:r w:rsidR="00FF472E">
              <w:rPr>
                <w:webHidden/>
              </w:rPr>
              <w:fldChar w:fldCharType="begin"/>
            </w:r>
            <w:r w:rsidR="00FF472E">
              <w:rPr>
                <w:webHidden/>
              </w:rPr>
              <w:instrText xml:space="preserve"> PAGEREF _Toc20296944 \h </w:instrText>
            </w:r>
            <w:r w:rsidR="00FF472E">
              <w:rPr>
                <w:webHidden/>
              </w:rPr>
            </w:r>
            <w:r w:rsidR="00FF472E">
              <w:rPr>
                <w:webHidden/>
              </w:rPr>
              <w:fldChar w:fldCharType="separate"/>
            </w:r>
            <w:r w:rsidR="00FF472E">
              <w:rPr>
                <w:webHidden/>
              </w:rPr>
              <w:t>55</w:t>
            </w:r>
            <w:r w:rsidR="00FF472E">
              <w:rPr>
                <w:webHidden/>
              </w:rPr>
              <w:fldChar w:fldCharType="end"/>
            </w:r>
          </w:hyperlink>
        </w:p>
        <w:p w:rsidR="00FF472E" w:rsidRDefault="00DA770C">
          <w:pPr>
            <w:pStyle w:val="TOC2"/>
            <w:rPr>
              <w:rFonts w:asciiTheme="minorHAnsi" w:hAnsiTheme="minorHAnsi" w:cstheme="minorBidi"/>
              <w:sz w:val="22"/>
            </w:rPr>
          </w:pPr>
          <w:hyperlink w:anchor="_Toc20296945" w:history="1">
            <w:r w:rsidR="00FF472E" w:rsidRPr="00F129EA">
              <w:rPr>
                <w:rStyle w:val="Hyperlink"/>
              </w:rPr>
              <w:t>5. Postpartum Depression (PPD) Screening</w:t>
            </w:r>
            <w:r w:rsidR="00FF472E">
              <w:rPr>
                <w:webHidden/>
              </w:rPr>
              <w:tab/>
            </w:r>
            <w:r w:rsidR="00FF472E">
              <w:rPr>
                <w:webHidden/>
              </w:rPr>
              <w:fldChar w:fldCharType="begin"/>
            </w:r>
            <w:r w:rsidR="00FF472E">
              <w:rPr>
                <w:webHidden/>
              </w:rPr>
              <w:instrText xml:space="preserve"> PAGEREF _Toc20296945 \h </w:instrText>
            </w:r>
            <w:r w:rsidR="00FF472E">
              <w:rPr>
                <w:webHidden/>
              </w:rPr>
            </w:r>
            <w:r w:rsidR="00FF472E">
              <w:rPr>
                <w:webHidden/>
              </w:rPr>
              <w:fldChar w:fldCharType="separate"/>
            </w:r>
            <w:r w:rsidR="00FF472E">
              <w:rPr>
                <w:webHidden/>
              </w:rPr>
              <w:t>56</w:t>
            </w:r>
            <w:r w:rsidR="00FF472E">
              <w:rPr>
                <w:webHidden/>
              </w:rPr>
              <w:fldChar w:fldCharType="end"/>
            </w:r>
          </w:hyperlink>
        </w:p>
        <w:p w:rsidR="00FF472E" w:rsidRDefault="00DA770C">
          <w:pPr>
            <w:pStyle w:val="TOC2"/>
            <w:rPr>
              <w:rFonts w:asciiTheme="minorHAnsi" w:hAnsiTheme="minorHAnsi" w:cstheme="minorBidi"/>
              <w:sz w:val="22"/>
            </w:rPr>
          </w:pPr>
          <w:hyperlink w:anchor="_Toc20296946" w:history="1">
            <w:r w:rsidR="00FF472E" w:rsidRPr="00F129EA">
              <w:rPr>
                <w:rStyle w:val="Hyperlink"/>
              </w:rPr>
              <w:t>6. Comparison Analysis of Medicaid Payment Rates to Medicare Payment Rates for Perinatal Services</w:t>
            </w:r>
            <w:r w:rsidR="00FF472E">
              <w:rPr>
                <w:webHidden/>
              </w:rPr>
              <w:tab/>
            </w:r>
            <w:r w:rsidR="00FF472E">
              <w:rPr>
                <w:webHidden/>
              </w:rPr>
              <w:fldChar w:fldCharType="begin"/>
            </w:r>
            <w:r w:rsidR="00FF472E">
              <w:rPr>
                <w:webHidden/>
              </w:rPr>
              <w:instrText xml:space="preserve"> PAGEREF _Toc20296946 \h </w:instrText>
            </w:r>
            <w:r w:rsidR="00FF472E">
              <w:rPr>
                <w:webHidden/>
              </w:rPr>
            </w:r>
            <w:r w:rsidR="00FF472E">
              <w:rPr>
                <w:webHidden/>
              </w:rPr>
              <w:fldChar w:fldCharType="separate"/>
            </w:r>
            <w:r w:rsidR="00FF472E">
              <w:rPr>
                <w:webHidden/>
              </w:rPr>
              <w:t>57</w:t>
            </w:r>
            <w:r w:rsidR="00FF472E">
              <w:rPr>
                <w:webHidden/>
              </w:rPr>
              <w:fldChar w:fldCharType="end"/>
            </w:r>
          </w:hyperlink>
        </w:p>
        <w:p w:rsidR="00FF472E" w:rsidRDefault="00DA770C">
          <w:pPr>
            <w:pStyle w:val="TOC1"/>
            <w:rPr>
              <w:rFonts w:asciiTheme="minorHAnsi" w:hAnsiTheme="minorHAnsi" w:cstheme="minorBidi"/>
              <w:sz w:val="22"/>
            </w:rPr>
          </w:pPr>
          <w:hyperlink w:anchor="_Toc20296947" w:history="1">
            <w:r w:rsidR="00FF472E" w:rsidRPr="00F129EA">
              <w:rPr>
                <w:rStyle w:val="Hyperlink"/>
              </w:rPr>
              <w:t>Section 6: Review Analysis of Home Health Services</w:t>
            </w:r>
            <w:r w:rsidR="00FF472E">
              <w:rPr>
                <w:webHidden/>
              </w:rPr>
              <w:tab/>
            </w:r>
            <w:r w:rsidR="00FF472E">
              <w:rPr>
                <w:webHidden/>
              </w:rPr>
              <w:fldChar w:fldCharType="begin"/>
            </w:r>
            <w:r w:rsidR="00FF472E">
              <w:rPr>
                <w:webHidden/>
              </w:rPr>
              <w:instrText xml:space="preserve"> PAGEREF _Toc20296947 \h </w:instrText>
            </w:r>
            <w:r w:rsidR="00FF472E">
              <w:rPr>
                <w:webHidden/>
              </w:rPr>
            </w:r>
            <w:r w:rsidR="00FF472E">
              <w:rPr>
                <w:webHidden/>
              </w:rPr>
              <w:fldChar w:fldCharType="separate"/>
            </w:r>
            <w:r w:rsidR="00FF472E">
              <w:rPr>
                <w:webHidden/>
              </w:rPr>
              <w:t>59</w:t>
            </w:r>
            <w:r w:rsidR="00FF472E">
              <w:rPr>
                <w:webHidden/>
              </w:rPr>
              <w:fldChar w:fldCharType="end"/>
            </w:r>
          </w:hyperlink>
        </w:p>
        <w:p w:rsidR="00FF472E" w:rsidRDefault="00DA770C">
          <w:pPr>
            <w:pStyle w:val="TOC2"/>
            <w:rPr>
              <w:rFonts w:asciiTheme="minorHAnsi" w:hAnsiTheme="minorHAnsi" w:cstheme="minorBidi"/>
              <w:sz w:val="22"/>
            </w:rPr>
          </w:pPr>
          <w:hyperlink w:anchor="_Toc20296948" w:history="1">
            <w:r w:rsidR="00FF472E" w:rsidRPr="00F129EA">
              <w:rPr>
                <w:rStyle w:val="Hyperlink"/>
              </w:rPr>
              <w:t>1. CMS Moratorium</w:t>
            </w:r>
            <w:r w:rsidR="00FF472E">
              <w:rPr>
                <w:webHidden/>
              </w:rPr>
              <w:tab/>
            </w:r>
            <w:r w:rsidR="00FF472E">
              <w:rPr>
                <w:webHidden/>
              </w:rPr>
              <w:fldChar w:fldCharType="begin"/>
            </w:r>
            <w:r w:rsidR="00FF472E">
              <w:rPr>
                <w:webHidden/>
              </w:rPr>
              <w:instrText xml:space="preserve"> PAGEREF _Toc20296948 \h </w:instrText>
            </w:r>
            <w:r w:rsidR="00FF472E">
              <w:rPr>
                <w:webHidden/>
              </w:rPr>
            </w:r>
            <w:r w:rsidR="00FF472E">
              <w:rPr>
                <w:webHidden/>
              </w:rPr>
              <w:fldChar w:fldCharType="separate"/>
            </w:r>
            <w:r w:rsidR="00FF472E">
              <w:rPr>
                <w:webHidden/>
              </w:rPr>
              <w:t>59</w:t>
            </w:r>
            <w:r w:rsidR="00FF472E">
              <w:rPr>
                <w:webHidden/>
              </w:rPr>
              <w:fldChar w:fldCharType="end"/>
            </w:r>
          </w:hyperlink>
        </w:p>
        <w:p w:rsidR="00FF472E" w:rsidRDefault="00DA770C">
          <w:pPr>
            <w:pStyle w:val="TOC2"/>
            <w:rPr>
              <w:rFonts w:asciiTheme="minorHAnsi" w:hAnsiTheme="minorHAnsi" w:cstheme="minorBidi"/>
              <w:sz w:val="22"/>
            </w:rPr>
          </w:pPr>
          <w:hyperlink w:anchor="_Toc20296949" w:history="1">
            <w:r w:rsidR="00FF472E" w:rsidRPr="00F129EA">
              <w:rPr>
                <w:rStyle w:val="Hyperlink"/>
              </w:rPr>
              <w:t>2. Availability of Home Health Service Providers</w:t>
            </w:r>
            <w:r w:rsidR="00FF472E">
              <w:rPr>
                <w:webHidden/>
              </w:rPr>
              <w:tab/>
            </w:r>
            <w:r w:rsidR="00FF472E">
              <w:rPr>
                <w:webHidden/>
              </w:rPr>
              <w:fldChar w:fldCharType="begin"/>
            </w:r>
            <w:r w:rsidR="00FF472E">
              <w:rPr>
                <w:webHidden/>
              </w:rPr>
              <w:instrText xml:space="preserve"> PAGEREF _Toc20296949 \h </w:instrText>
            </w:r>
            <w:r w:rsidR="00FF472E">
              <w:rPr>
                <w:webHidden/>
              </w:rPr>
            </w:r>
            <w:r w:rsidR="00FF472E">
              <w:rPr>
                <w:webHidden/>
              </w:rPr>
              <w:fldChar w:fldCharType="separate"/>
            </w:r>
            <w:r w:rsidR="00FF472E">
              <w:rPr>
                <w:webHidden/>
              </w:rPr>
              <w:t>60</w:t>
            </w:r>
            <w:r w:rsidR="00FF472E">
              <w:rPr>
                <w:webHidden/>
              </w:rPr>
              <w:fldChar w:fldCharType="end"/>
            </w:r>
          </w:hyperlink>
        </w:p>
        <w:p w:rsidR="00FF472E" w:rsidRDefault="00DA770C">
          <w:pPr>
            <w:pStyle w:val="TOC2"/>
            <w:rPr>
              <w:rFonts w:asciiTheme="minorHAnsi" w:hAnsiTheme="minorHAnsi" w:cstheme="minorBidi"/>
              <w:sz w:val="22"/>
            </w:rPr>
          </w:pPr>
          <w:hyperlink w:anchor="_Toc20296950" w:history="1">
            <w:r w:rsidR="00FF472E" w:rsidRPr="00F129EA">
              <w:rPr>
                <w:rStyle w:val="Hyperlink"/>
              </w:rPr>
              <w:t>2. Member/ Home Health Agency Provider Ratios SFY16-SFY18</w:t>
            </w:r>
            <w:r w:rsidR="00FF472E">
              <w:rPr>
                <w:webHidden/>
              </w:rPr>
              <w:tab/>
            </w:r>
            <w:r w:rsidR="00FF472E">
              <w:rPr>
                <w:webHidden/>
              </w:rPr>
              <w:fldChar w:fldCharType="begin"/>
            </w:r>
            <w:r w:rsidR="00FF472E">
              <w:rPr>
                <w:webHidden/>
              </w:rPr>
              <w:instrText xml:space="preserve"> PAGEREF _Toc20296950 \h </w:instrText>
            </w:r>
            <w:r w:rsidR="00FF472E">
              <w:rPr>
                <w:webHidden/>
              </w:rPr>
            </w:r>
            <w:r w:rsidR="00FF472E">
              <w:rPr>
                <w:webHidden/>
              </w:rPr>
              <w:fldChar w:fldCharType="separate"/>
            </w:r>
            <w:r w:rsidR="00FF472E">
              <w:rPr>
                <w:webHidden/>
              </w:rPr>
              <w:t>61</w:t>
            </w:r>
            <w:r w:rsidR="00FF472E">
              <w:rPr>
                <w:webHidden/>
              </w:rPr>
              <w:fldChar w:fldCharType="end"/>
            </w:r>
          </w:hyperlink>
        </w:p>
        <w:p w:rsidR="00FF472E" w:rsidRDefault="00DA770C">
          <w:pPr>
            <w:pStyle w:val="TOC2"/>
            <w:rPr>
              <w:rFonts w:asciiTheme="minorHAnsi" w:hAnsiTheme="minorHAnsi" w:cstheme="minorBidi"/>
              <w:sz w:val="22"/>
            </w:rPr>
          </w:pPr>
          <w:hyperlink w:anchor="_Toc20296951" w:history="1">
            <w:r w:rsidR="00FF472E" w:rsidRPr="00F129EA">
              <w:rPr>
                <w:rStyle w:val="Hyperlink"/>
              </w:rPr>
              <w:t>3. Utilization of Home Health Services</w:t>
            </w:r>
            <w:r w:rsidR="00FF472E">
              <w:rPr>
                <w:webHidden/>
              </w:rPr>
              <w:tab/>
            </w:r>
            <w:r w:rsidR="00FF472E">
              <w:rPr>
                <w:webHidden/>
              </w:rPr>
              <w:fldChar w:fldCharType="begin"/>
            </w:r>
            <w:r w:rsidR="00FF472E">
              <w:rPr>
                <w:webHidden/>
              </w:rPr>
              <w:instrText xml:space="preserve"> PAGEREF _Toc20296951 \h </w:instrText>
            </w:r>
            <w:r w:rsidR="00FF472E">
              <w:rPr>
                <w:webHidden/>
              </w:rPr>
            </w:r>
            <w:r w:rsidR="00FF472E">
              <w:rPr>
                <w:webHidden/>
              </w:rPr>
              <w:fldChar w:fldCharType="separate"/>
            </w:r>
            <w:r w:rsidR="00FF472E">
              <w:rPr>
                <w:webHidden/>
              </w:rPr>
              <w:t>62</w:t>
            </w:r>
            <w:r w:rsidR="00FF472E">
              <w:rPr>
                <w:webHidden/>
              </w:rPr>
              <w:fldChar w:fldCharType="end"/>
            </w:r>
          </w:hyperlink>
        </w:p>
        <w:p w:rsidR="00FF472E" w:rsidRDefault="00DA770C">
          <w:pPr>
            <w:pStyle w:val="TOC2"/>
            <w:rPr>
              <w:rFonts w:asciiTheme="minorHAnsi" w:hAnsiTheme="minorHAnsi" w:cstheme="minorBidi"/>
              <w:sz w:val="22"/>
            </w:rPr>
          </w:pPr>
          <w:hyperlink w:anchor="_Toc20296952" w:history="1">
            <w:r w:rsidR="00FF472E" w:rsidRPr="00F129EA">
              <w:rPr>
                <w:rStyle w:val="Hyperlink"/>
              </w:rPr>
              <w:t>4. Comparison Analysis of Medicaid Payment Rates to Medicare Payment Rates for Home Health Services</w:t>
            </w:r>
            <w:r w:rsidR="00FF472E">
              <w:rPr>
                <w:webHidden/>
              </w:rPr>
              <w:tab/>
            </w:r>
            <w:r w:rsidR="00FF472E">
              <w:rPr>
                <w:webHidden/>
              </w:rPr>
              <w:fldChar w:fldCharType="begin"/>
            </w:r>
            <w:r w:rsidR="00FF472E">
              <w:rPr>
                <w:webHidden/>
              </w:rPr>
              <w:instrText xml:space="preserve"> PAGEREF _Toc20296952 \h </w:instrText>
            </w:r>
            <w:r w:rsidR="00FF472E">
              <w:rPr>
                <w:webHidden/>
              </w:rPr>
            </w:r>
            <w:r w:rsidR="00FF472E">
              <w:rPr>
                <w:webHidden/>
              </w:rPr>
              <w:fldChar w:fldCharType="separate"/>
            </w:r>
            <w:r w:rsidR="00FF472E">
              <w:rPr>
                <w:webHidden/>
              </w:rPr>
              <w:t>65</w:t>
            </w:r>
            <w:r w:rsidR="00FF472E">
              <w:rPr>
                <w:webHidden/>
              </w:rPr>
              <w:fldChar w:fldCharType="end"/>
            </w:r>
          </w:hyperlink>
        </w:p>
        <w:p w:rsidR="00FF472E" w:rsidRDefault="00DA770C">
          <w:pPr>
            <w:pStyle w:val="TOC2"/>
            <w:rPr>
              <w:rFonts w:asciiTheme="minorHAnsi" w:hAnsiTheme="minorHAnsi" w:cstheme="minorBidi"/>
              <w:sz w:val="22"/>
            </w:rPr>
          </w:pPr>
          <w:hyperlink w:anchor="_Toc20296953" w:history="1">
            <w:r w:rsidR="00FF472E" w:rsidRPr="00F129EA">
              <w:rPr>
                <w:rStyle w:val="Hyperlink"/>
              </w:rPr>
              <w:t>5. Monitoring Standards and Procedures for Home Health Services</w:t>
            </w:r>
            <w:r w:rsidR="00FF472E">
              <w:rPr>
                <w:webHidden/>
              </w:rPr>
              <w:tab/>
            </w:r>
            <w:r w:rsidR="00FF472E">
              <w:rPr>
                <w:webHidden/>
              </w:rPr>
              <w:fldChar w:fldCharType="begin"/>
            </w:r>
            <w:r w:rsidR="00FF472E">
              <w:rPr>
                <w:webHidden/>
              </w:rPr>
              <w:instrText xml:space="preserve"> PAGEREF _Toc20296953 \h </w:instrText>
            </w:r>
            <w:r w:rsidR="00FF472E">
              <w:rPr>
                <w:webHidden/>
              </w:rPr>
            </w:r>
            <w:r w:rsidR="00FF472E">
              <w:rPr>
                <w:webHidden/>
              </w:rPr>
              <w:fldChar w:fldCharType="separate"/>
            </w:r>
            <w:r w:rsidR="00FF472E">
              <w:rPr>
                <w:webHidden/>
              </w:rPr>
              <w:t>66</w:t>
            </w:r>
            <w:r w:rsidR="00FF472E">
              <w:rPr>
                <w:webHidden/>
              </w:rPr>
              <w:fldChar w:fldCharType="end"/>
            </w:r>
          </w:hyperlink>
        </w:p>
        <w:p w:rsidR="00FF472E" w:rsidRDefault="00DA770C">
          <w:pPr>
            <w:pStyle w:val="TOC1"/>
            <w:rPr>
              <w:rFonts w:asciiTheme="minorHAnsi" w:hAnsiTheme="minorHAnsi" w:cstheme="minorBidi"/>
              <w:sz w:val="22"/>
            </w:rPr>
          </w:pPr>
          <w:hyperlink w:anchor="_Toc20296954" w:history="1">
            <w:r w:rsidR="00FF472E" w:rsidRPr="00F129EA">
              <w:rPr>
                <w:rStyle w:val="Hyperlink"/>
              </w:rPr>
              <w:t>Section 7: Conclusion</w:t>
            </w:r>
            <w:r w:rsidR="00FF472E">
              <w:rPr>
                <w:webHidden/>
              </w:rPr>
              <w:tab/>
            </w:r>
            <w:r w:rsidR="00FF472E">
              <w:rPr>
                <w:webHidden/>
              </w:rPr>
              <w:fldChar w:fldCharType="begin"/>
            </w:r>
            <w:r w:rsidR="00FF472E">
              <w:rPr>
                <w:webHidden/>
              </w:rPr>
              <w:instrText xml:space="preserve"> PAGEREF _Toc20296954 \h </w:instrText>
            </w:r>
            <w:r w:rsidR="00FF472E">
              <w:rPr>
                <w:webHidden/>
              </w:rPr>
            </w:r>
            <w:r w:rsidR="00FF472E">
              <w:rPr>
                <w:webHidden/>
              </w:rPr>
              <w:fldChar w:fldCharType="separate"/>
            </w:r>
            <w:r w:rsidR="00FF472E">
              <w:rPr>
                <w:webHidden/>
              </w:rPr>
              <w:t>67</w:t>
            </w:r>
            <w:r w:rsidR="00FF472E">
              <w:rPr>
                <w:webHidden/>
              </w:rPr>
              <w:fldChar w:fldCharType="end"/>
            </w:r>
          </w:hyperlink>
        </w:p>
        <w:p w:rsidR="006D28EE" w:rsidRDefault="00C05EB2" w:rsidP="006D28EE">
          <w:pPr>
            <w:rPr>
              <w:noProof/>
            </w:rPr>
          </w:pPr>
          <w:r>
            <w:rPr>
              <w:b/>
              <w:bCs/>
              <w:noProof/>
            </w:rPr>
            <w:fldChar w:fldCharType="end"/>
          </w:r>
        </w:p>
      </w:sdtContent>
    </w:sdt>
    <w:bookmarkStart w:id="0" w:name="_Toc10810564" w:displacedByCustomXml="prev"/>
    <w:p w:rsidR="00E80C25" w:rsidRPr="006D28EE" w:rsidRDefault="00E80C25" w:rsidP="006D28EE">
      <w:r>
        <w:rPr>
          <w:rFonts w:ascii="Arial" w:hAnsi="Arial" w:cs="Arial"/>
        </w:rPr>
        <w:br w:type="page"/>
      </w:r>
    </w:p>
    <w:p w:rsidR="004E0C2B" w:rsidRPr="009D2941" w:rsidRDefault="004E0C2B" w:rsidP="00E83EB1">
      <w:pPr>
        <w:pStyle w:val="Heading1"/>
        <w:rPr>
          <w:rFonts w:ascii="Arial" w:hAnsi="Arial" w:cs="Arial"/>
        </w:rPr>
      </w:pPr>
      <w:bookmarkStart w:id="1" w:name="_Toc20296912"/>
      <w:r w:rsidRPr="009D2941">
        <w:rPr>
          <w:rFonts w:ascii="Arial" w:hAnsi="Arial" w:cs="Arial"/>
        </w:rPr>
        <w:lastRenderedPageBreak/>
        <w:t>Section 1: Overview</w:t>
      </w:r>
      <w:bookmarkEnd w:id="1"/>
      <w:bookmarkEnd w:id="0"/>
    </w:p>
    <w:p w:rsidR="004E0C2B" w:rsidRPr="009D2941" w:rsidRDefault="004E0C2B" w:rsidP="0022638C">
      <w:pPr>
        <w:ind w:firstLine="0"/>
        <w:rPr>
          <w:rFonts w:ascii="Arial" w:eastAsiaTheme="majorEastAsia" w:hAnsi="Arial" w:cs="Arial"/>
          <w:b/>
          <w:bCs/>
          <w:color w:val="365F91" w:themeColor="accent1" w:themeShade="BF"/>
          <w:sz w:val="28"/>
          <w:szCs w:val="28"/>
        </w:rPr>
      </w:pPr>
    </w:p>
    <w:p w:rsidR="00647F94" w:rsidRPr="009D2941" w:rsidRDefault="006A6ECF" w:rsidP="00647F94">
      <w:pPr>
        <w:ind w:firstLine="0"/>
        <w:rPr>
          <w:rFonts w:ascii="Arial" w:eastAsiaTheme="majorEastAsia" w:hAnsi="Arial" w:cs="Arial"/>
          <w:bCs/>
          <w:sz w:val="24"/>
          <w:szCs w:val="24"/>
        </w:rPr>
      </w:pPr>
      <w:r w:rsidRPr="009D2941">
        <w:rPr>
          <w:rFonts w:ascii="Arial" w:eastAsiaTheme="majorEastAsia" w:hAnsi="Arial" w:cs="Arial"/>
          <w:bCs/>
          <w:sz w:val="24"/>
          <w:szCs w:val="24"/>
        </w:rPr>
        <w:t xml:space="preserve">The Massachusetts Executive Office of Health and Human Services (EOHHS) is the single state agency that administers </w:t>
      </w:r>
      <w:r w:rsidRPr="00985776">
        <w:rPr>
          <w:rFonts w:ascii="Arial" w:eastAsiaTheme="majorEastAsia" w:hAnsi="Arial" w:cs="Arial"/>
          <w:bCs/>
          <w:sz w:val="24"/>
          <w:szCs w:val="24"/>
        </w:rPr>
        <w:t>MassHealth</w:t>
      </w:r>
      <w:r w:rsidR="009E4726" w:rsidRPr="00985776">
        <w:rPr>
          <w:rFonts w:ascii="Arial" w:eastAsiaTheme="majorEastAsia" w:hAnsi="Arial" w:cs="Arial"/>
          <w:bCs/>
          <w:sz w:val="24"/>
          <w:szCs w:val="24"/>
        </w:rPr>
        <w:t>, the state</w:t>
      </w:r>
      <w:r w:rsidR="00A41CB3" w:rsidRPr="00985776">
        <w:rPr>
          <w:rFonts w:ascii="Arial" w:eastAsiaTheme="majorEastAsia" w:hAnsi="Arial" w:cs="Arial"/>
          <w:bCs/>
          <w:sz w:val="24"/>
          <w:szCs w:val="24"/>
        </w:rPr>
        <w:t>’s</w:t>
      </w:r>
      <w:r w:rsidRPr="00985776">
        <w:rPr>
          <w:rFonts w:ascii="Arial" w:eastAsiaTheme="majorEastAsia" w:hAnsi="Arial" w:cs="Arial"/>
          <w:bCs/>
          <w:sz w:val="24"/>
          <w:szCs w:val="24"/>
        </w:rPr>
        <w:t xml:space="preserve"> </w:t>
      </w:r>
      <w:r w:rsidR="00A41CB3" w:rsidRPr="00985776">
        <w:rPr>
          <w:rFonts w:ascii="Arial" w:eastAsiaTheme="majorEastAsia" w:hAnsi="Arial" w:cs="Arial"/>
          <w:bCs/>
          <w:sz w:val="24"/>
          <w:szCs w:val="24"/>
        </w:rPr>
        <w:t>Medicaid and Children’s Health Insurance (CHIP)</w:t>
      </w:r>
      <w:r w:rsidR="009E4726" w:rsidRPr="00985776">
        <w:rPr>
          <w:rFonts w:ascii="Arial" w:eastAsiaTheme="majorEastAsia" w:hAnsi="Arial" w:cs="Arial"/>
          <w:bCs/>
          <w:sz w:val="24"/>
          <w:szCs w:val="24"/>
        </w:rPr>
        <w:t xml:space="preserve"> programs</w:t>
      </w:r>
      <w:r w:rsidR="00A41CB3">
        <w:rPr>
          <w:rFonts w:ascii="Arial" w:eastAsiaTheme="majorEastAsia" w:hAnsi="Arial" w:cs="Arial"/>
          <w:bCs/>
          <w:sz w:val="24"/>
          <w:szCs w:val="24"/>
        </w:rPr>
        <w:t>.</w:t>
      </w:r>
      <w:r w:rsidRPr="009D2941">
        <w:rPr>
          <w:rFonts w:ascii="Arial" w:eastAsiaTheme="majorEastAsia" w:hAnsi="Arial" w:cs="Arial"/>
          <w:bCs/>
          <w:sz w:val="24"/>
          <w:szCs w:val="24"/>
        </w:rPr>
        <w:t xml:space="preserve"> MassHealth provides coverage to approximately 1.8 million Medicaid and CHIP members</w:t>
      </w:r>
      <w:r w:rsidR="00047093">
        <w:rPr>
          <w:rFonts w:ascii="Arial" w:eastAsiaTheme="majorEastAsia" w:hAnsi="Arial" w:cs="Arial"/>
          <w:bCs/>
          <w:sz w:val="24"/>
          <w:szCs w:val="24"/>
        </w:rPr>
        <w:t xml:space="preserve">, </w:t>
      </w:r>
      <w:r w:rsidR="00047093" w:rsidRPr="001D6928">
        <w:rPr>
          <w:rFonts w:ascii="Arial" w:eastAsiaTheme="majorEastAsia" w:hAnsi="Arial" w:cs="Arial"/>
          <w:bCs/>
          <w:sz w:val="24"/>
          <w:szCs w:val="24"/>
        </w:rPr>
        <w:t xml:space="preserve">including </w:t>
      </w:r>
      <w:r w:rsidR="001D6928" w:rsidRPr="001D6928">
        <w:rPr>
          <w:rFonts w:ascii="Arial" w:eastAsiaTheme="majorEastAsia" w:hAnsi="Arial" w:cs="Arial"/>
          <w:bCs/>
          <w:sz w:val="24"/>
          <w:szCs w:val="24"/>
        </w:rPr>
        <w:t>eligible</w:t>
      </w:r>
      <w:r w:rsidRPr="001D6928">
        <w:rPr>
          <w:rFonts w:ascii="Arial" w:eastAsiaTheme="majorEastAsia" w:hAnsi="Arial" w:cs="Arial"/>
          <w:bCs/>
          <w:sz w:val="24"/>
          <w:szCs w:val="24"/>
        </w:rPr>
        <w:t xml:space="preserve"> </w:t>
      </w:r>
      <w:r w:rsidR="00047093" w:rsidRPr="001D6928">
        <w:rPr>
          <w:rFonts w:ascii="Arial" w:eastAsiaTheme="majorEastAsia" w:hAnsi="Arial" w:cs="Arial"/>
          <w:bCs/>
          <w:sz w:val="24"/>
          <w:szCs w:val="24"/>
        </w:rPr>
        <w:t xml:space="preserve">children, </w:t>
      </w:r>
      <w:r w:rsidR="001D6928">
        <w:rPr>
          <w:rFonts w:ascii="Arial" w:eastAsiaTheme="majorEastAsia" w:hAnsi="Arial" w:cs="Arial"/>
          <w:bCs/>
          <w:sz w:val="24"/>
          <w:szCs w:val="24"/>
        </w:rPr>
        <w:t xml:space="preserve">families, </w:t>
      </w:r>
      <w:r w:rsidR="00454215">
        <w:rPr>
          <w:rFonts w:ascii="Arial" w:eastAsiaTheme="majorEastAsia" w:hAnsi="Arial" w:cs="Arial"/>
          <w:bCs/>
          <w:sz w:val="24"/>
          <w:szCs w:val="24"/>
        </w:rPr>
        <w:t xml:space="preserve">low-income adults </w:t>
      </w:r>
      <w:r w:rsidR="00B07318">
        <w:rPr>
          <w:rFonts w:ascii="Arial" w:eastAsiaTheme="majorEastAsia" w:hAnsi="Arial" w:cs="Arial"/>
          <w:bCs/>
          <w:sz w:val="24"/>
          <w:szCs w:val="24"/>
        </w:rPr>
        <w:t xml:space="preserve">and individuals </w:t>
      </w:r>
      <w:r w:rsidR="001D6928">
        <w:rPr>
          <w:rFonts w:ascii="Arial" w:eastAsiaTheme="majorEastAsia" w:hAnsi="Arial" w:cs="Arial"/>
          <w:bCs/>
          <w:sz w:val="24"/>
          <w:szCs w:val="24"/>
        </w:rPr>
        <w:t>with disabilities.</w:t>
      </w:r>
      <w:r w:rsidR="00B07318" w:rsidRPr="00B07318">
        <w:t xml:space="preserve"> </w:t>
      </w:r>
      <w:r w:rsidR="00B07318" w:rsidRPr="00B07318">
        <w:rPr>
          <w:rFonts w:ascii="Arial" w:eastAsiaTheme="majorEastAsia" w:hAnsi="Arial" w:cs="Arial"/>
          <w:bCs/>
          <w:sz w:val="24"/>
          <w:szCs w:val="24"/>
        </w:rPr>
        <w:t xml:space="preserve">In fact, MassHealth provides coverage to </w:t>
      </w:r>
      <w:r w:rsidR="00454215">
        <w:rPr>
          <w:rFonts w:ascii="Arial" w:eastAsiaTheme="majorEastAsia" w:hAnsi="Arial" w:cs="Arial"/>
          <w:bCs/>
          <w:sz w:val="24"/>
          <w:szCs w:val="24"/>
        </w:rPr>
        <w:t xml:space="preserve">approximately </w:t>
      </w:r>
      <w:r w:rsidR="00B07318" w:rsidRPr="00B07318">
        <w:rPr>
          <w:rFonts w:ascii="Arial" w:eastAsiaTheme="majorEastAsia" w:hAnsi="Arial" w:cs="Arial"/>
          <w:bCs/>
          <w:sz w:val="24"/>
          <w:szCs w:val="24"/>
        </w:rPr>
        <w:t xml:space="preserve">one in four </w:t>
      </w:r>
      <w:r w:rsidR="00454215">
        <w:rPr>
          <w:rFonts w:ascii="Arial" w:eastAsiaTheme="majorEastAsia" w:hAnsi="Arial" w:cs="Arial"/>
          <w:bCs/>
          <w:sz w:val="24"/>
          <w:szCs w:val="24"/>
        </w:rPr>
        <w:t>Massachusetts</w:t>
      </w:r>
      <w:r w:rsidR="00454215" w:rsidRPr="00B07318">
        <w:rPr>
          <w:rFonts w:ascii="Arial" w:eastAsiaTheme="majorEastAsia" w:hAnsi="Arial" w:cs="Arial"/>
          <w:bCs/>
          <w:sz w:val="24"/>
          <w:szCs w:val="24"/>
        </w:rPr>
        <w:t xml:space="preserve"> </w:t>
      </w:r>
      <w:r w:rsidR="00B07318" w:rsidRPr="00B07318">
        <w:rPr>
          <w:rFonts w:ascii="Arial" w:eastAsiaTheme="majorEastAsia" w:hAnsi="Arial" w:cs="Arial"/>
          <w:bCs/>
          <w:sz w:val="24"/>
          <w:szCs w:val="24"/>
        </w:rPr>
        <w:t>residents</w:t>
      </w:r>
      <w:r w:rsidR="00B07318">
        <w:rPr>
          <w:rFonts w:ascii="Arial" w:eastAsiaTheme="majorEastAsia" w:hAnsi="Arial" w:cs="Arial"/>
          <w:bCs/>
          <w:sz w:val="24"/>
          <w:szCs w:val="24"/>
        </w:rPr>
        <w:t>.</w:t>
      </w:r>
      <w:r w:rsidR="001D6928">
        <w:rPr>
          <w:rFonts w:ascii="Arial" w:eastAsiaTheme="majorEastAsia" w:hAnsi="Arial" w:cs="Arial"/>
          <w:bCs/>
          <w:sz w:val="24"/>
          <w:szCs w:val="24"/>
        </w:rPr>
        <w:t xml:space="preserve"> In </w:t>
      </w:r>
      <w:r w:rsidR="001D6928" w:rsidRPr="001D6928">
        <w:rPr>
          <w:rFonts w:ascii="Arial" w:eastAsiaTheme="majorEastAsia" w:hAnsi="Arial" w:cs="Arial"/>
          <w:bCs/>
          <w:sz w:val="24"/>
          <w:szCs w:val="24"/>
        </w:rPr>
        <w:t>state fiscal year (SFY) 2018</w:t>
      </w:r>
      <w:r w:rsidR="00ED1B3E">
        <w:rPr>
          <w:rFonts w:ascii="Arial" w:eastAsiaTheme="majorEastAsia" w:hAnsi="Arial" w:cs="Arial"/>
          <w:bCs/>
          <w:sz w:val="24"/>
          <w:szCs w:val="24"/>
        </w:rPr>
        <w:t>,</w:t>
      </w:r>
      <w:r w:rsidR="00B07318">
        <w:rPr>
          <w:rFonts w:ascii="Arial" w:eastAsiaTheme="majorEastAsia" w:hAnsi="Arial" w:cs="Arial"/>
          <w:bCs/>
          <w:sz w:val="24"/>
          <w:szCs w:val="24"/>
        </w:rPr>
        <w:t xml:space="preserve"> </w:t>
      </w:r>
      <w:r w:rsidR="001D6928">
        <w:rPr>
          <w:rFonts w:ascii="Arial" w:eastAsiaTheme="majorEastAsia" w:hAnsi="Arial" w:cs="Arial"/>
          <w:bCs/>
          <w:sz w:val="24"/>
          <w:szCs w:val="24"/>
        </w:rPr>
        <w:t>MassHealth</w:t>
      </w:r>
      <w:r w:rsidRPr="009D2941">
        <w:rPr>
          <w:rFonts w:ascii="Arial" w:eastAsiaTheme="majorEastAsia" w:hAnsi="Arial" w:cs="Arial"/>
          <w:bCs/>
          <w:sz w:val="24"/>
          <w:szCs w:val="24"/>
        </w:rPr>
        <w:t xml:space="preserve"> had approximately $15.</w:t>
      </w:r>
      <w:r w:rsidR="006B3583">
        <w:rPr>
          <w:rFonts w:ascii="Arial" w:eastAsiaTheme="majorEastAsia" w:hAnsi="Arial" w:cs="Arial"/>
          <w:bCs/>
          <w:sz w:val="24"/>
          <w:szCs w:val="24"/>
        </w:rPr>
        <w:t>7 billion in gross expenditures.</w:t>
      </w:r>
      <w:r w:rsidR="007F5053">
        <w:rPr>
          <w:rFonts w:ascii="Arial" w:eastAsiaTheme="majorEastAsia" w:hAnsi="Arial" w:cs="Arial"/>
          <w:bCs/>
          <w:sz w:val="24"/>
          <w:szCs w:val="24"/>
        </w:rPr>
        <w:t xml:space="preserve"> </w:t>
      </w:r>
    </w:p>
    <w:p w:rsidR="00CE30BE" w:rsidRPr="007F2346" w:rsidRDefault="00CE30BE" w:rsidP="00647F94">
      <w:pPr>
        <w:ind w:firstLine="0"/>
        <w:rPr>
          <w:rFonts w:eastAsiaTheme="majorEastAsia" w:cstheme="majorBidi"/>
          <w:bCs/>
          <w:sz w:val="24"/>
          <w:szCs w:val="24"/>
        </w:rPr>
      </w:pPr>
    </w:p>
    <w:p w:rsidR="00647F94" w:rsidRPr="007171C8" w:rsidRDefault="00647F94" w:rsidP="00647F94">
      <w:pPr>
        <w:ind w:firstLine="0"/>
        <w:rPr>
          <w:rFonts w:ascii="Arial" w:hAnsi="Arial" w:cs="Arial"/>
          <w:sz w:val="24"/>
          <w:szCs w:val="24"/>
        </w:rPr>
      </w:pPr>
      <w:r w:rsidRPr="00EC3047">
        <w:rPr>
          <w:rFonts w:ascii="Arial" w:hAnsi="Arial" w:cs="Arial"/>
          <w:sz w:val="24"/>
          <w:szCs w:val="24"/>
        </w:rPr>
        <w:t xml:space="preserve">Massachusetts measures and monitors indicators of healthcare access </w:t>
      </w:r>
      <w:r w:rsidR="009E4726">
        <w:rPr>
          <w:rFonts w:ascii="Arial" w:hAnsi="Arial" w:cs="Arial"/>
          <w:sz w:val="24"/>
          <w:szCs w:val="24"/>
        </w:rPr>
        <w:t xml:space="preserve">for MassHealth members </w:t>
      </w:r>
      <w:r w:rsidRPr="00EC3047">
        <w:rPr>
          <w:rFonts w:ascii="Arial" w:hAnsi="Arial" w:cs="Arial"/>
          <w:sz w:val="24"/>
          <w:szCs w:val="24"/>
        </w:rPr>
        <w:t xml:space="preserve">to ensure that </w:t>
      </w:r>
      <w:r w:rsidR="00567BBC" w:rsidRPr="00EC3047">
        <w:rPr>
          <w:rFonts w:ascii="Arial" w:hAnsi="Arial" w:cs="Arial"/>
          <w:sz w:val="24"/>
          <w:szCs w:val="24"/>
        </w:rPr>
        <w:t>MassHealth provider payments are “consistent with efficiency, economy, and quality of care and…sufficient to enlist enough providers so that care and services are available under the plan at least to the extent that such care and services are available to the general population in the geographic area.”</w:t>
      </w:r>
      <w:r w:rsidR="00567BBC" w:rsidRPr="00EC3047">
        <w:rPr>
          <w:rStyle w:val="FootnoteReference"/>
          <w:rFonts w:ascii="Arial" w:hAnsi="Arial" w:cs="Arial"/>
          <w:sz w:val="24"/>
          <w:szCs w:val="24"/>
        </w:rPr>
        <w:footnoteReference w:id="1"/>
      </w:r>
    </w:p>
    <w:p w:rsidR="00647F94" w:rsidRPr="007171C8" w:rsidRDefault="00647F94" w:rsidP="003E6BBE">
      <w:pPr>
        <w:spacing w:before="240"/>
        <w:ind w:firstLine="0"/>
        <w:rPr>
          <w:rFonts w:ascii="Arial" w:hAnsi="Arial" w:cs="Arial"/>
          <w:sz w:val="24"/>
          <w:szCs w:val="24"/>
        </w:rPr>
      </w:pPr>
      <w:r w:rsidRPr="007171C8">
        <w:rPr>
          <w:rFonts w:ascii="Arial" w:hAnsi="Arial" w:cs="Arial"/>
          <w:sz w:val="24"/>
          <w:szCs w:val="24"/>
        </w:rPr>
        <w:t xml:space="preserve">In accordance with 42 CFR 447.203, Massachusetts developed an </w:t>
      </w:r>
      <w:r w:rsidR="00D071D7">
        <w:rPr>
          <w:rFonts w:ascii="Arial" w:hAnsi="Arial" w:cs="Arial"/>
          <w:sz w:val="24"/>
          <w:szCs w:val="24"/>
        </w:rPr>
        <w:t xml:space="preserve">initial </w:t>
      </w:r>
      <w:r w:rsidR="00ED1B3E">
        <w:rPr>
          <w:rFonts w:ascii="Arial" w:hAnsi="Arial" w:cs="Arial"/>
          <w:sz w:val="24"/>
          <w:szCs w:val="24"/>
        </w:rPr>
        <w:t>Access Monitoring Review Plan (</w:t>
      </w:r>
      <w:r w:rsidR="00312D7C" w:rsidRPr="007171C8">
        <w:rPr>
          <w:rFonts w:ascii="Arial" w:hAnsi="Arial" w:cs="Arial"/>
          <w:sz w:val="24"/>
          <w:szCs w:val="24"/>
        </w:rPr>
        <w:t>AMRP</w:t>
      </w:r>
      <w:r w:rsidR="00ED1B3E">
        <w:rPr>
          <w:rFonts w:ascii="Arial" w:hAnsi="Arial" w:cs="Arial"/>
          <w:sz w:val="24"/>
          <w:szCs w:val="24"/>
        </w:rPr>
        <w:t>)</w:t>
      </w:r>
      <w:r w:rsidR="00423F7E" w:rsidRPr="007171C8">
        <w:rPr>
          <w:rFonts w:ascii="Arial" w:hAnsi="Arial" w:cs="Arial"/>
          <w:sz w:val="24"/>
          <w:szCs w:val="24"/>
        </w:rPr>
        <w:t xml:space="preserve"> </w:t>
      </w:r>
      <w:r w:rsidR="00D071D7">
        <w:rPr>
          <w:rFonts w:ascii="Arial" w:hAnsi="Arial" w:cs="Arial"/>
          <w:sz w:val="24"/>
          <w:szCs w:val="24"/>
        </w:rPr>
        <w:t>in 2016</w:t>
      </w:r>
      <w:r w:rsidR="00ED1B3E">
        <w:rPr>
          <w:rFonts w:ascii="Arial" w:hAnsi="Arial" w:cs="Arial"/>
          <w:sz w:val="24"/>
          <w:szCs w:val="24"/>
        </w:rPr>
        <w:t>.</w:t>
      </w:r>
      <w:r w:rsidR="00D071D7">
        <w:rPr>
          <w:rFonts w:ascii="Arial" w:hAnsi="Arial" w:cs="Arial"/>
          <w:sz w:val="24"/>
          <w:szCs w:val="24"/>
        </w:rPr>
        <w:t xml:space="preserve"> </w:t>
      </w:r>
      <w:r w:rsidR="00ED1B3E">
        <w:rPr>
          <w:rFonts w:ascii="Arial" w:hAnsi="Arial" w:cs="Arial"/>
          <w:sz w:val="24"/>
          <w:szCs w:val="24"/>
        </w:rPr>
        <w:t xml:space="preserve">Following a public comment period, Massachusetts </w:t>
      </w:r>
      <w:r w:rsidR="00D071D7">
        <w:rPr>
          <w:rFonts w:ascii="Arial" w:hAnsi="Arial" w:cs="Arial"/>
          <w:sz w:val="24"/>
          <w:szCs w:val="24"/>
        </w:rPr>
        <w:t>will issue its 2019 AMRP</w:t>
      </w:r>
      <w:r w:rsidR="00ED1B3E">
        <w:rPr>
          <w:rFonts w:ascii="Arial" w:hAnsi="Arial" w:cs="Arial"/>
          <w:sz w:val="24"/>
          <w:szCs w:val="24"/>
        </w:rPr>
        <w:t xml:space="preserve">, consistent with </w:t>
      </w:r>
      <w:r w:rsidR="006325C8" w:rsidRPr="007171C8">
        <w:rPr>
          <w:rFonts w:ascii="Arial" w:hAnsi="Arial" w:cs="Arial"/>
          <w:sz w:val="24"/>
          <w:szCs w:val="24"/>
        </w:rPr>
        <w:t xml:space="preserve">the </w:t>
      </w:r>
      <w:r w:rsidR="00303A85" w:rsidRPr="007171C8">
        <w:rPr>
          <w:rFonts w:ascii="Arial" w:hAnsi="Arial" w:cs="Arial"/>
          <w:sz w:val="24"/>
          <w:szCs w:val="24"/>
        </w:rPr>
        <w:t>model plan</w:t>
      </w:r>
      <w:r w:rsidR="006325C8" w:rsidRPr="007171C8">
        <w:rPr>
          <w:rFonts w:ascii="Arial" w:hAnsi="Arial" w:cs="Arial"/>
          <w:sz w:val="24"/>
          <w:szCs w:val="24"/>
        </w:rPr>
        <w:t xml:space="preserve"> provided by </w:t>
      </w:r>
      <w:r w:rsidR="007371F9" w:rsidRPr="007171C8">
        <w:rPr>
          <w:rFonts w:ascii="Arial" w:hAnsi="Arial" w:cs="Arial"/>
          <w:sz w:val="24"/>
          <w:szCs w:val="24"/>
        </w:rPr>
        <w:t>the Centers for Medicare and Medicaid Services (</w:t>
      </w:r>
      <w:r w:rsidR="006325C8" w:rsidRPr="007171C8">
        <w:rPr>
          <w:rFonts w:ascii="Arial" w:hAnsi="Arial" w:cs="Arial"/>
          <w:sz w:val="24"/>
          <w:szCs w:val="24"/>
        </w:rPr>
        <w:t>CMS</w:t>
      </w:r>
      <w:r w:rsidR="007371F9" w:rsidRPr="007171C8">
        <w:rPr>
          <w:rFonts w:ascii="Arial" w:hAnsi="Arial" w:cs="Arial"/>
          <w:sz w:val="24"/>
          <w:szCs w:val="24"/>
        </w:rPr>
        <w:t>)</w:t>
      </w:r>
      <w:r w:rsidR="006325C8" w:rsidRPr="007171C8">
        <w:rPr>
          <w:rFonts w:ascii="Arial" w:hAnsi="Arial" w:cs="Arial"/>
          <w:sz w:val="24"/>
          <w:szCs w:val="24"/>
        </w:rPr>
        <w:t xml:space="preserve"> </w:t>
      </w:r>
      <w:r w:rsidR="00ED1B3E">
        <w:rPr>
          <w:rFonts w:ascii="Arial" w:hAnsi="Arial" w:cs="Arial"/>
          <w:sz w:val="24"/>
          <w:szCs w:val="24"/>
        </w:rPr>
        <w:t>to</w:t>
      </w:r>
      <w:r w:rsidR="00ED1B3E" w:rsidRPr="007171C8">
        <w:rPr>
          <w:rFonts w:ascii="Arial" w:hAnsi="Arial" w:cs="Arial"/>
          <w:sz w:val="24"/>
          <w:szCs w:val="24"/>
        </w:rPr>
        <w:t xml:space="preserve"> </w:t>
      </w:r>
      <w:r w:rsidR="00CE3598" w:rsidRPr="007171C8">
        <w:rPr>
          <w:rFonts w:ascii="Arial" w:hAnsi="Arial" w:cs="Arial"/>
          <w:sz w:val="24"/>
          <w:szCs w:val="24"/>
        </w:rPr>
        <w:t>demonstrate sufficient access</w:t>
      </w:r>
      <w:r w:rsidRPr="007171C8">
        <w:rPr>
          <w:rFonts w:ascii="Arial" w:hAnsi="Arial" w:cs="Arial"/>
          <w:sz w:val="24"/>
          <w:szCs w:val="24"/>
        </w:rPr>
        <w:t xml:space="preserve"> for the following service categories provided under a fee-for-service (FFS) arrangement:</w:t>
      </w:r>
    </w:p>
    <w:p w:rsidR="00647F94" w:rsidRPr="007171C8" w:rsidRDefault="00647F94" w:rsidP="00647F94">
      <w:pPr>
        <w:numPr>
          <w:ilvl w:val="1"/>
          <w:numId w:val="1"/>
        </w:numPr>
        <w:contextualSpacing/>
        <w:rPr>
          <w:rFonts w:ascii="Arial" w:hAnsi="Arial" w:cs="Arial"/>
          <w:sz w:val="24"/>
          <w:szCs w:val="24"/>
        </w:rPr>
      </w:pPr>
      <w:r w:rsidRPr="007171C8">
        <w:rPr>
          <w:rFonts w:ascii="Arial" w:hAnsi="Arial" w:cs="Arial"/>
          <w:sz w:val="24"/>
          <w:szCs w:val="24"/>
        </w:rPr>
        <w:t>Primary care services</w:t>
      </w:r>
      <w:r w:rsidR="00ED1B3E">
        <w:rPr>
          <w:rFonts w:ascii="Arial" w:hAnsi="Arial" w:cs="Arial"/>
          <w:sz w:val="24"/>
          <w:szCs w:val="24"/>
        </w:rPr>
        <w:t>;</w:t>
      </w:r>
    </w:p>
    <w:p w:rsidR="008C6475" w:rsidRPr="007171C8" w:rsidRDefault="00647F94" w:rsidP="008C6475">
      <w:pPr>
        <w:numPr>
          <w:ilvl w:val="1"/>
          <w:numId w:val="1"/>
        </w:numPr>
        <w:contextualSpacing/>
        <w:rPr>
          <w:rFonts w:ascii="Arial" w:hAnsi="Arial" w:cs="Arial"/>
          <w:sz w:val="24"/>
          <w:szCs w:val="24"/>
        </w:rPr>
      </w:pPr>
      <w:r w:rsidRPr="007171C8">
        <w:rPr>
          <w:rFonts w:ascii="Arial" w:hAnsi="Arial" w:cs="Arial"/>
          <w:sz w:val="24"/>
          <w:szCs w:val="24"/>
        </w:rPr>
        <w:t>Physician specialist services</w:t>
      </w:r>
      <w:r w:rsidR="00ED1B3E">
        <w:rPr>
          <w:rFonts w:ascii="Arial" w:hAnsi="Arial" w:cs="Arial"/>
          <w:sz w:val="24"/>
          <w:szCs w:val="24"/>
        </w:rPr>
        <w:t>;</w:t>
      </w:r>
      <w:r w:rsidRPr="007171C8">
        <w:rPr>
          <w:rFonts w:ascii="Arial" w:hAnsi="Arial" w:cs="Arial"/>
          <w:sz w:val="24"/>
          <w:szCs w:val="24"/>
        </w:rPr>
        <w:t xml:space="preserve"> </w:t>
      </w:r>
    </w:p>
    <w:p w:rsidR="00647F94" w:rsidRPr="007171C8" w:rsidRDefault="00647F94" w:rsidP="008C6475">
      <w:pPr>
        <w:numPr>
          <w:ilvl w:val="1"/>
          <w:numId w:val="1"/>
        </w:numPr>
        <w:contextualSpacing/>
        <w:rPr>
          <w:rFonts w:ascii="Arial" w:hAnsi="Arial" w:cs="Arial"/>
          <w:sz w:val="24"/>
          <w:szCs w:val="24"/>
        </w:rPr>
      </w:pPr>
      <w:r w:rsidRPr="007171C8">
        <w:rPr>
          <w:rFonts w:ascii="Arial" w:hAnsi="Arial" w:cs="Arial"/>
          <w:sz w:val="24"/>
          <w:szCs w:val="24"/>
        </w:rPr>
        <w:t>Behavioral health services</w:t>
      </w:r>
      <w:r w:rsidR="00ED1B3E">
        <w:rPr>
          <w:rFonts w:ascii="Arial" w:hAnsi="Arial" w:cs="Arial"/>
          <w:sz w:val="24"/>
          <w:szCs w:val="24"/>
        </w:rPr>
        <w:t>;</w:t>
      </w:r>
    </w:p>
    <w:p w:rsidR="00BA27E1" w:rsidRPr="007171C8" w:rsidRDefault="00BA27E1" w:rsidP="000A1846">
      <w:pPr>
        <w:pStyle w:val="ListParagraph"/>
        <w:numPr>
          <w:ilvl w:val="1"/>
          <w:numId w:val="1"/>
        </w:numPr>
        <w:rPr>
          <w:rFonts w:ascii="Arial" w:hAnsi="Arial" w:cs="Arial"/>
          <w:sz w:val="24"/>
          <w:szCs w:val="24"/>
        </w:rPr>
      </w:pPr>
      <w:r>
        <w:rPr>
          <w:rFonts w:ascii="Arial" w:hAnsi="Arial" w:cs="Arial"/>
          <w:sz w:val="24"/>
          <w:szCs w:val="24"/>
        </w:rPr>
        <w:t>Perinatal</w:t>
      </w:r>
      <w:r w:rsidRPr="007171C8">
        <w:rPr>
          <w:rFonts w:ascii="Arial" w:hAnsi="Arial" w:cs="Arial"/>
          <w:sz w:val="24"/>
          <w:szCs w:val="24"/>
        </w:rPr>
        <w:t xml:space="preserve"> services, including labor and delivery</w:t>
      </w:r>
      <w:r>
        <w:rPr>
          <w:rFonts w:ascii="Arial" w:hAnsi="Arial" w:cs="Arial"/>
          <w:sz w:val="24"/>
          <w:szCs w:val="24"/>
        </w:rPr>
        <w:t>; and</w:t>
      </w:r>
    </w:p>
    <w:p w:rsidR="00647F94" w:rsidRPr="007171C8" w:rsidRDefault="00647F94" w:rsidP="00647F94">
      <w:pPr>
        <w:numPr>
          <w:ilvl w:val="1"/>
          <w:numId w:val="1"/>
        </w:numPr>
        <w:rPr>
          <w:rFonts w:ascii="Arial" w:hAnsi="Arial" w:cs="Arial"/>
          <w:sz w:val="24"/>
          <w:szCs w:val="24"/>
        </w:rPr>
      </w:pPr>
      <w:r w:rsidRPr="007171C8">
        <w:rPr>
          <w:rFonts w:ascii="Arial" w:hAnsi="Arial" w:cs="Arial"/>
          <w:sz w:val="24"/>
          <w:szCs w:val="24"/>
        </w:rPr>
        <w:t>Home health services</w:t>
      </w:r>
      <w:r w:rsidR="00ED1B3E">
        <w:rPr>
          <w:rFonts w:ascii="Arial" w:hAnsi="Arial" w:cs="Arial"/>
          <w:sz w:val="24"/>
          <w:szCs w:val="24"/>
        </w:rPr>
        <w:t>.</w:t>
      </w:r>
    </w:p>
    <w:p w:rsidR="000C1D55" w:rsidRPr="007171C8" w:rsidRDefault="000C1D55" w:rsidP="007371F9">
      <w:pPr>
        <w:pStyle w:val="CommentText"/>
        <w:ind w:firstLine="0"/>
        <w:rPr>
          <w:rFonts w:ascii="Arial" w:hAnsi="Arial" w:cs="Arial"/>
          <w:sz w:val="24"/>
          <w:szCs w:val="24"/>
        </w:rPr>
      </w:pPr>
    </w:p>
    <w:p w:rsidR="000C1D55" w:rsidRPr="007171C8" w:rsidRDefault="00541DB8" w:rsidP="00541DB8">
      <w:pPr>
        <w:pStyle w:val="Heading2"/>
        <w:rPr>
          <w:rFonts w:ascii="Arial" w:hAnsi="Arial" w:cs="Arial"/>
          <w:b w:val="0"/>
          <w:sz w:val="24"/>
          <w:szCs w:val="24"/>
        </w:rPr>
      </w:pPr>
      <w:bookmarkStart w:id="2" w:name="_Toc10810565"/>
      <w:bookmarkStart w:id="3" w:name="_Toc20296913"/>
      <w:r w:rsidRPr="007171C8">
        <w:rPr>
          <w:rFonts w:ascii="Arial" w:hAnsi="Arial" w:cs="Arial"/>
          <w:color w:val="auto"/>
          <w:sz w:val="24"/>
          <w:u w:val="single"/>
        </w:rPr>
        <w:t>Approach to Developing the AMRP</w:t>
      </w:r>
      <w:bookmarkEnd w:id="2"/>
      <w:bookmarkEnd w:id="3"/>
      <w:r w:rsidRPr="007171C8">
        <w:rPr>
          <w:rFonts w:ascii="Arial" w:hAnsi="Arial" w:cs="Arial"/>
          <w:color w:val="auto"/>
          <w:sz w:val="24"/>
          <w:u w:val="single"/>
        </w:rPr>
        <w:t xml:space="preserve"> </w:t>
      </w:r>
    </w:p>
    <w:p w:rsidR="000C1D55" w:rsidRPr="007171C8" w:rsidRDefault="000C1D55" w:rsidP="007371F9">
      <w:pPr>
        <w:pStyle w:val="CommentText"/>
        <w:ind w:firstLine="0"/>
        <w:rPr>
          <w:rFonts w:ascii="Arial" w:hAnsi="Arial" w:cs="Arial"/>
          <w:sz w:val="24"/>
          <w:szCs w:val="24"/>
        </w:rPr>
      </w:pPr>
    </w:p>
    <w:p w:rsidR="000C1D55" w:rsidRPr="007171C8" w:rsidRDefault="000C1D55" w:rsidP="007371F9">
      <w:pPr>
        <w:pStyle w:val="CommentText"/>
        <w:ind w:firstLine="0"/>
        <w:rPr>
          <w:rFonts w:ascii="Arial" w:hAnsi="Arial" w:cs="Arial"/>
          <w:sz w:val="24"/>
          <w:szCs w:val="24"/>
        </w:rPr>
      </w:pPr>
      <w:r w:rsidRPr="007171C8">
        <w:rPr>
          <w:rFonts w:ascii="Arial" w:hAnsi="Arial" w:cs="Arial"/>
          <w:sz w:val="24"/>
          <w:szCs w:val="24"/>
        </w:rPr>
        <w:t xml:space="preserve">The data and analysis set forth in this report establish the </w:t>
      </w:r>
      <w:r w:rsidR="00084103" w:rsidRPr="007171C8">
        <w:rPr>
          <w:rFonts w:ascii="Arial" w:hAnsi="Arial" w:cs="Arial"/>
          <w:sz w:val="24"/>
          <w:szCs w:val="24"/>
        </w:rPr>
        <w:t xml:space="preserve">levels of </w:t>
      </w:r>
      <w:r w:rsidRPr="007171C8">
        <w:rPr>
          <w:rFonts w:ascii="Arial" w:hAnsi="Arial" w:cs="Arial"/>
          <w:sz w:val="24"/>
          <w:szCs w:val="24"/>
        </w:rPr>
        <w:t xml:space="preserve">access </w:t>
      </w:r>
      <w:r w:rsidR="00084103" w:rsidRPr="007171C8">
        <w:rPr>
          <w:rFonts w:ascii="Arial" w:hAnsi="Arial" w:cs="Arial"/>
          <w:sz w:val="24"/>
          <w:szCs w:val="24"/>
        </w:rPr>
        <w:t>to</w:t>
      </w:r>
      <w:r w:rsidRPr="007171C8">
        <w:rPr>
          <w:rFonts w:ascii="Arial" w:hAnsi="Arial" w:cs="Arial"/>
          <w:sz w:val="24"/>
          <w:szCs w:val="24"/>
        </w:rPr>
        <w:t xml:space="preserve"> FFS providers </w:t>
      </w:r>
      <w:r w:rsidR="00084103" w:rsidRPr="007171C8">
        <w:rPr>
          <w:rFonts w:ascii="Arial" w:hAnsi="Arial" w:cs="Arial"/>
          <w:sz w:val="24"/>
          <w:szCs w:val="24"/>
        </w:rPr>
        <w:t xml:space="preserve">for our members </w:t>
      </w:r>
      <w:r w:rsidR="004760D3">
        <w:rPr>
          <w:rFonts w:ascii="Arial" w:hAnsi="Arial" w:cs="Arial"/>
          <w:sz w:val="24"/>
          <w:szCs w:val="24"/>
        </w:rPr>
        <w:t>in the required</w:t>
      </w:r>
      <w:r w:rsidR="00AD5CDA">
        <w:rPr>
          <w:rFonts w:ascii="Arial" w:hAnsi="Arial" w:cs="Arial"/>
          <w:sz w:val="24"/>
          <w:szCs w:val="24"/>
        </w:rPr>
        <w:t xml:space="preserve"> </w:t>
      </w:r>
      <w:r w:rsidR="004760D3">
        <w:rPr>
          <w:rFonts w:ascii="Arial" w:hAnsi="Arial" w:cs="Arial"/>
          <w:sz w:val="24"/>
          <w:szCs w:val="24"/>
        </w:rPr>
        <w:t xml:space="preserve">service </w:t>
      </w:r>
      <w:r w:rsidR="003458DF">
        <w:rPr>
          <w:rFonts w:ascii="Arial" w:hAnsi="Arial" w:cs="Arial"/>
          <w:sz w:val="24"/>
          <w:szCs w:val="24"/>
        </w:rPr>
        <w:t>categories</w:t>
      </w:r>
      <w:r w:rsidR="003458DF" w:rsidRPr="007171C8">
        <w:rPr>
          <w:rFonts w:ascii="Arial" w:hAnsi="Arial" w:cs="Arial"/>
          <w:sz w:val="24"/>
          <w:szCs w:val="24"/>
        </w:rPr>
        <w:t xml:space="preserve"> </w:t>
      </w:r>
      <w:r w:rsidRPr="007171C8">
        <w:rPr>
          <w:rFonts w:ascii="Arial" w:hAnsi="Arial" w:cs="Arial"/>
          <w:sz w:val="24"/>
          <w:szCs w:val="24"/>
        </w:rPr>
        <w:t xml:space="preserve">through analysis of trends from SFY </w:t>
      </w:r>
      <w:r w:rsidR="008B764D" w:rsidRPr="007171C8">
        <w:rPr>
          <w:rFonts w:ascii="Arial" w:hAnsi="Arial" w:cs="Arial"/>
          <w:sz w:val="24"/>
          <w:szCs w:val="24"/>
        </w:rPr>
        <w:t>2016 through</w:t>
      </w:r>
      <w:r w:rsidRPr="007171C8">
        <w:rPr>
          <w:rFonts w:ascii="Arial" w:hAnsi="Arial" w:cs="Arial"/>
          <w:sz w:val="24"/>
          <w:szCs w:val="24"/>
        </w:rPr>
        <w:t xml:space="preserve"> SFY 2018.</w:t>
      </w:r>
    </w:p>
    <w:p w:rsidR="000C1D55" w:rsidRPr="007171C8" w:rsidRDefault="000C1D55" w:rsidP="007371F9">
      <w:pPr>
        <w:pStyle w:val="CommentText"/>
        <w:ind w:firstLine="0"/>
        <w:rPr>
          <w:rFonts w:ascii="Arial" w:hAnsi="Arial" w:cs="Arial"/>
          <w:sz w:val="24"/>
          <w:szCs w:val="24"/>
        </w:rPr>
      </w:pPr>
    </w:p>
    <w:p w:rsidR="00186C46" w:rsidRPr="00BA27E1" w:rsidRDefault="00831A4D" w:rsidP="00D919DE">
      <w:pPr>
        <w:pStyle w:val="CommentText"/>
        <w:ind w:firstLine="0"/>
        <w:rPr>
          <w:rFonts w:ascii="Arial" w:eastAsiaTheme="majorEastAsia" w:hAnsi="Arial" w:cs="Arial"/>
          <w:bCs/>
          <w:sz w:val="24"/>
          <w:szCs w:val="24"/>
        </w:rPr>
      </w:pPr>
      <w:r w:rsidRPr="007171C8">
        <w:rPr>
          <w:rFonts w:ascii="Arial" w:hAnsi="Arial" w:cs="Arial"/>
          <w:sz w:val="24"/>
          <w:szCs w:val="24"/>
        </w:rPr>
        <w:t xml:space="preserve">CMS </w:t>
      </w:r>
      <w:r w:rsidR="00303A85" w:rsidRPr="007171C8">
        <w:rPr>
          <w:rFonts w:ascii="Arial" w:hAnsi="Arial" w:cs="Arial"/>
          <w:sz w:val="24"/>
          <w:szCs w:val="24"/>
        </w:rPr>
        <w:t xml:space="preserve">guidance </w:t>
      </w:r>
      <w:r w:rsidR="00676CB6">
        <w:rPr>
          <w:rFonts w:ascii="Arial" w:hAnsi="Arial" w:cs="Arial"/>
          <w:sz w:val="24"/>
          <w:szCs w:val="24"/>
        </w:rPr>
        <w:t>indicates an</w:t>
      </w:r>
      <w:r w:rsidR="00303A85" w:rsidRPr="007171C8">
        <w:rPr>
          <w:rFonts w:ascii="Arial" w:hAnsi="Arial" w:cs="Arial"/>
          <w:sz w:val="24"/>
          <w:szCs w:val="24"/>
        </w:rPr>
        <w:t xml:space="preserve"> </w:t>
      </w:r>
      <w:r w:rsidR="001D1FDA" w:rsidRPr="007171C8">
        <w:rPr>
          <w:rFonts w:ascii="Arial" w:hAnsi="Arial" w:cs="Arial"/>
          <w:sz w:val="24"/>
          <w:szCs w:val="24"/>
        </w:rPr>
        <w:t>AMRP</w:t>
      </w:r>
      <w:r w:rsidR="00303A85" w:rsidRPr="007171C8">
        <w:rPr>
          <w:rFonts w:ascii="Arial" w:hAnsi="Arial" w:cs="Arial"/>
          <w:sz w:val="24"/>
          <w:szCs w:val="24"/>
        </w:rPr>
        <w:t xml:space="preserve"> is only required for services covered and paid through the Medicaid state plan on a </w:t>
      </w:r>
      <w:r w:rsidR="007371F9" w:rsidRPr="007171C8">
        <w:rPr>
          <w:rFonts w:ascii="Arial" w:hAnsi="Arial" w:cs="Arial"/>
          <w:sz w:val="24"/>
          <w:szCs w:val="24"/>
        </w:rPr>
        <w:t>FFS</w:t>
      </w:r>
      <w:r w:rsidR="00303A85" w:rsidRPr="007171C8">
        <w:rPr>
          <w:rFonts w:ascii="Arial" w:hAnsi="Arial" w:cs="Arial"/>
          <w:sz w:val="24"/>
          <w:szCs w:val="24"/>
        </w:rPr>
        <w:t xml:space="preserve"> basis</w:t>
      </w:r>
      <w:r w:rsidR="006D4AC5" w:rsidRPr="007171C8">
        <w:rPr>
          <w:rFonts w:ascii="Arial" w:hAnsi="Arial" w:cs="Arial"/>
          <w:sz w:val="24"/>
          <w:szCs w:val="24"/>
        </w:rPr>
        <w:t>,</w:t>
      </w:r>
      <w:r w:rsidR="00303A85" w:rsidRPr="007171C8">
        <w:rPr>
          <w:rFonts w:ascii="Arial" w:hAnsi="Arial" w:cs="Arial"/>
          <w:sz w:val="24"/>
          <w:szCs w:val="24"/>
        </w:rPr>
        <w:t xml:space="preserve"> as access information for services covered and paid through capitation arrangements </w:t>
      </w:r>
      <w:r w:rsidR="007371F9" w:rsidRPr="007171C8">
        <w:rPr>
          <w:rFonts w:ascii="Arial" w:hAnsi="Arial" w:cs="Arial"/>
          <w:sz w:val="24"/>
          <w:szCs w:val="24"/>
        </w:rPr>
        <w:t>is</w:t>
      </w:r>
      <w:r w:rsidR="00303A85" w:rsidRPr="007171C8">
        <w:rPr>
          <w:rFonts w:ascii="Arial" w:hAnsi="Arial" w:cs="Arial"/>
          <w:sz w:val="24"/>
          <w:szCs w:val="24"/>
        </w:rPr>
        <w:t xml:space="preserve"> collected through other avenues.</w:t>
      </w:r>
      <w:r w:rsidR="00CC1C46" w:rsidRPr="007171C8">
        <w:rPr>
          <w:rFonts w:ascii="Arial" w:hAnsi="Arial" w:cs="Arial"/>
          <w:sz w:val="24"/>
          <w:szCs w:val="24"/>
        </w:rPr>
        <w:t xml:space="preserve"> </w:t>
      </w:r>
      <w:r w:rsidR="009D40D6">
        <w:rPr>
          <w:rFonts w:ascii="Arial" w:hAnsi="Arial" w:cs="Arial"/>
          <w:sz w:val="24"/>
          <w:szCs w:val="24"/>
        </w:rPr>
        <w:t>Accordingly</w:t>
      </w:r>
      <w:r w:rsidR="00637D54" w:rsidRPr="007171C8">
        <w:rPr>
          <w:rFonts w:ascii="Arial" w:hAnsi="Arial" w:cs="Arial"/>
          <w:sz w:val="24"/>
          <w:szCs w:val="24"/>
        </w:rPr>
        <w:t>, t</w:t>
      </w:r>
      <w:r w:rsidR="00647F94" w:rsidRPr="007171C8">
        <w:rPr>
          <w:rFonts w:ascii="Arial" w:hAnsi="Arial" w:cs="Arial"/>
          <w:sz w:val="24"/>
          <w:szCs w:val="24"/>
        </w:rPr>
        <w:t xml:space="preserve">he </w:t>
      </w:r>
      <w:r w:rsidR="001D1FDA" w:rsidRPr="007171C8">
        <w:rPr>
          <w:rFonts w:ascii="Arial" w:hAnsi="Arial" w:cs="Arial"/>
          <w:sz w:val="24"/>
          <w:szCs w:val="24"/>
        </w:rPr>
        <w:t>AMRP</w:t>
      </w:r>
      <w:r w:rsidR="00647F94" w:rsidRPr="007171C8">
        <w:rPr>
          <w:rFonts w:ascii="Arial" w:hAnsi="Arial" w:cs="Arial"/>
          <w:sz w:val="24"/>
          <w:szCs w:val="24"/>
        </w:rPr>
        <w:t xml:space="preserve"> </w:t>
      </w:r>
      <w:r w:rsidRPr="007171C8">
        <w:rPr>
          <w:rFonts w:ascii="Arial" w:hAnsi="Arial" w:cs="Arial"/>
          <w:sz w:val="24"/>
          <w:szCs w:val="24"/>
        </w:rPr>
        <w:t xml:space="preserve">generally </w:t>
      </w:r>
      <w:r w:rsidR="00647F94" w:rsidRPr="007171C8">
        <w:rPr>
          <w:rFonts w:ascii="Arial" w:hAnsi="Arial" w:cs="Arial"/>
          <w:sz w:val="24"/>
          <w:szCs w:val="24"/>
        </w:rPr>
        <w:t xml:space="preserve">describes data that will be used to measure access to care for </w:t>
      </w:r>
      <w:r w:rsidR="00C4127B" w:rsidRPr="007171C8">
        <w:rPr>
          <w:rFonts w:ascii="Arial" w:hAnsi="Arial" w:cs="Arial"/>
          <w:sz w:val="24"/>
          <w:szCs w:val="24"/>
        </w:rPr>
        <w:t xml:space="preserve">Medicaid </w:t>
      </w:r>
      <w:r w:rsidR="00F30804" w:rsidRPr="007171C8">
        <w:rPr>
          <w:rFonts w:ascii="Arial" w:hAnsi="Arial" w:cs="Arial"/>
          <w:sz w:val="24"/>
          <w:szCs w:val="24"/>
        </w:rPr>
        <w:t xml:space="preserve">members </w:t>
      </w:r>
      <w:r w:rsidR="00647F94" w:rsidRPr="007171C8">
        <w:rPr>
          <w:rFonts w:ascii="Arial" w:hAnsi="Arial" w:cs="Arial"/>
          <w:sz w:val="24"/>
          <w:szCs w:val="24"/>
        </w:rPr>
        <w:t>in FFS</w:t>
      </w:r>
      <w:r w:rsidR="00782E56" w:rsidRPr="007171C8">
        <w:rPr>
          <w:rFonts w:ascii="Arial" w:hAnsi="Arial" w:cs="Arial"/>
          <w:sz w:val="24"/>
          <w:szCs w:val="24"/>
        </w:rPr>
        <w:t>,</w:t>
      </w:r>
      <w:r w:rsidR="00B24813" w:rsidRPr="007171C8">
        <w:rPr>
          <w:rFonts w:ascii="Arial" w:hAnsi="Arial" w:cs="Arial"/>
          <w:sz w:val="24"/>
          <w:szCs w:val="24"/>
        </w:rPr>
        <w:t xml:space="preserve"> </w:t>
      </w:r>
      <w:r w:rsidR="00D6021F">
        <w:rPr>
          <w:rFonts w:ascii="Arial" w:hAnsi="Arial" w:cs="Arial"/>
          <w:sz w:val="24"/>
          <w:szCs w:val="24"/>
        </w:rPr>
        <w:t xml:space="preserve">enrolled in </w:t>
      </w:r>
      <w:r w:rsidR="00B24813" w:rsidRPr="007171C8">
        <w:rPr>
          <w:rFonts w:ascii="Arial" w:hAnsi="Arial" w:cs="Arial"/>
          <w:sz w:val="24"/>
          <w:szCs w:val="24"/>
        </w:rPr>
        <w:t>the</w:t>
      </w:r>
      <w:r w:rsidR="004C10FA" w:rsidRPr="007171C8">
        <w:rPr>
          <w:rFonts w:ascii="Arial" w:hAnsi="Arial" w:cs="Arial"/>
          <w:sz w:val="24"/>
          <w:szCs w:val="24"/>
        </w:rPr>
        <w:t xml:space="preserve"> </w:t>
      </w:r>
      <w:r w:rsidR="00647F94" w:rsidRPr="007171C8">
        <w:rPr>
          <w:rFonts w:ascii="Arial" w:hAnsi="Arial" w:cs="Arial"/>
          <w:sz w:val="24"/>
          <w:szCs w:val="24"/>
        </w:rPr>
        <w:t xml:space="preserve">Primary Care Clinician </w:t>
      </w:r>
      <w:r w:rsidR="00C4127B" w:rsidRPr="007171C8">
        <w:rPr>
          <w:rFonts w:ascii="Arial" w:hAnsi="Arial" w:cs="Arial"/>
          <w:sz w:val="24"/>
          <w:szCs w:val="24"/>
        </w:rPr>
        <w:t xml:space="preserve">(PCC) </w:t>
      </w:r>
      <w:r w:rsidR="00647F94" w:rsidRPr="007171C8">
        <w:rPr>
          <w:rFonts w:ascii="Arial" w:hAnsi="Arial" w:cs="Arial"/>
          <w:sz w:val="24"/>
          <w:szCs w:val="24"/>
        </w:rPr>
        <w:t>Plan</w:t>
      </w:r>
      <w:r w:rsidR="009B6705">
        <w:rPr>
          <w:rFonts w:ascii="Arial" w:hAnsi="Arial" w:cs="Arial"/>
          <w:sz w:val="24"/>
          <w:szCs w:val="24"/>
        </w:rPr>
        <w:t xml:space="preserve"> (the state’s </w:t>
      </w:r>
      <w:r w:rsidR="00CC59EB">
        <w:rPr>
          <w:rFonts w:ascii="Arial" w:hAnsi="Arial" w:cs="Arial"/>
          <w:sz w:val="24"/>
          <w:szCs w:val="24"/>
        </w:rPr>
        <w:t xml:space="preserve">Primary Care Case Management or </w:t>
      </w:r>
      <w:r w:rsidR="009B6705">
        <w:rPr>
          <w:rFonts w:ascii="Arial" w:hAnsi="Arial" w:cs="Arial"/>
          <w:sz w:val="24"/>
          <w:szCs w:val="24"/>
        </w:rPr>
        <w:t>PCCM)</w:t>
      </w:r>
      <w:r w:rsidR="00782E56" w:rsidRPr="007171C8">
        <w:rPr>
          <w:rFonts w:ascii="Arial" w:hAnsi="Arial" w:cs="Arial"/>
          <w:sz w:val="24"/>
          <w:szCs w:val="24"/>
        </w:rPr>
        <w:t xml:space="preserve"> and enrolled </w:t>
      </w:r>
      <w:r w:rsidR="003458DF">
        <w:rPr>
          <w:rFonts w:ascii="Arial" w:hAnsi="Arial" w:cs="Arial"/>
          <w:sz w:val="24"/>
          <w:szCs w:val="24"/>
        </w:rPr>
        <w:t>in</w:t>
      </w:r>
      <w:r w:rsidR="003458DF" w:rsidRPr="007171C8">
        <w:rPr>
          <w:rFonts w:ascii="Arial" w:hAnsi="Arial" w:cs="Arial"/>
          <w:sz w:val="24"/>
          <w:szCs w:val="24"/>
        </w:rPr>
        <w:t xml:space="preserve"> </w:t>
      </w:r>
      <w:r w:rsidR="003458DF">
        <w:rPr>
          <w:rFonts w:ascii="Arial" w:hAnsi="Arial" w:cs="Arial"/>
          <w:sz w:val="24"/>
          <w:szCs w:val="24"/>
        </w:rPr>
        <w:t>the three</w:t>
      </w:r>
      <w:r w:rsidR="003458DF" w:rsidRPr="007171C8">
        <w:rPr>
          <w:rFonts w:ascii="Arial" w:hAnsi="Arial" w:cs="Arial"/>
          <w:sz w:val="24"/>
          <w:szCs w:val="24"/>
        </w:rPr>
        <w:t xml:space="preserve"> </w:t>
      </w:r>
      <w:r w:rsidR="0076707B" w:rsidRPr="007171C8">
        <w:rPr>
          <w:rFonts w:ascii="Arial" w:hAnsi="Arial" w:cs="Arial"/>
          <w:sz w:val="24"/>
          <w:szCs w:val="24"/>
        </w:rPr>
        <w:t xml:space="preserve">Primary Care </w:t>
      </w:r>
      <w:r w:rsidR="00782E56" w:rsidRPr="007171C8">
        <w:rPr>
          <w:rFonts w:ascii="Arial" w:hAnsi="Arial" w:cs="Arial"/>
          <w:sz w:val="24"/>
          <w:szCs w:val="24"/>
        </w:rPr>
        <w:t>Accountable Care Organ</w:t>
      </w:r>
      <w:r w:rsidR="00084103" w:rsidRPr="007171C8">
        <w:rPr>
          <w:rFonts w:ascii="Arial" w:hAnsi="Arial" w:cs="Arial"/>
          <w:sz w:val="24"/>
          <w:szCs w:val="24"/>
        </w:rPr>
        <w:t>ization</w:t>
      </w:r>
      <w:r w:rsidR="003458DF">
        <w:rPr>
          <w:rFonts w:ascii="Arial" w:hAnsi="Arial" w:cs="Arial"/>
          <w:sz w:val="24"/>
          <w:szCs w:val="24"/>
        </w:rPr>
        <w:t>s</w:t>
      </w:r>
      <w:r w:rsidR="00084103" w:rsidRPr="007171C8">
        <w:rPr>
          <w:rFonts w:ascii="Arial" w:hAnsi="Arial" w:cs="Arial"/>
          <w:sz w:val="24"/>
          <w:szCs w:val="24"/>
        </w:rPr>
        <w:t xml:space="preserve"> (ACO</w:t>
      </w:r>
      <w:r w:rsidR="003458DF">
        <w:rPr>
          <w:rFonts w:ascii="Arial" w:hAnsi="Arial" w:cs="Arial"/>
          <w:sz w:val="24"/>
          <w:szCs w:val="24"/>
        </w:rPr>
        <w:t>s</w:t>
      </w:r>
      <w:r w:rsidR="003458DF" w:rsidRPr="007171C8">
        <w:rPr>
          <w:rFonts w:ascii="Arial" w:hAnsi="Arial" w:cs="Arial"/>
          <w:sz w:val="24"/>
          <w:szCs w:val="24"/>
        </w:rPr>
        <w:t>)</w:t>
      </w:r>
      <w:r w:rsidR="00B256C8">
        <w:rPr>
          <w:rFonts w:ascii="Arial" w:hAnsi="Arial" w:cs="Arial"/>
          <w:sz w:val="24"/>
          <w:szCs w:val="24"/>
        </w:rPr>
        <w:t xml:space="preserve"> </w:t>
      </w:r>
      <w:r w:rsidR="003458DF">
        <w:rPr>
          <w:rFonts w:ascii="Arial" w:hAnsi="Arial" w:cs="Arial"/>
          <w:sz w:val="24"/>
          <w:szCs w:val="24"/>
        </w:rPr>
        <w:t>(the state’s PCCM Entities). The AMRP</w:t>
      </w:r>
      <w:r w:rsidR="003458DF" w:rsidRPr="007171C8">
        <w:rPr>
          <w:rFonts w:ascii="Arial" w:hAnsi="Arial" w:cs="Arial"/>
          <w:sz w:val="24"/>
          <w:szCs w:val="24"/>
        </w:rPr>
        <w:t xml:space="preserve"> exclud</w:t>
      </w:r>
      <w:r w:rsidR="003458DF">
        <w:rPr>
          <w:rFonts w:ascii="Arial" w:hAnsi="Arial" w:cs="Arial"/>
          <w:sz w:val="24"/>
          <w:szCs w:val="24"/>
        </w:rPr>
        <w:t>es data for</w:t>
      </w:r>
      <w:r w:rsidR="003458DF" w:rsidRPr="007171C8">
        <w:rPr>
          <w:rFonts w:ascii="Arial" w:hAnsi="Arial" w:cs="Arial"/>
          <w:sz w:val="24"/>
          <w:szCs w:val="24"/>
        </w:rPr>
        <w:t xml:space="preserve"> </w:t>
      </w:r>
      <w:r w:rsidR="00B24813" w:rsidRPr="007171C8">
        <w:rPr>
          <w:rFonts w:ascii="Arial" w:hAnsi="Arial" w:cs="Arial"/>
          <w:sz w:val="24"/>
          <w:szCs w:val="24"/>
        </w:rPr>
        <w:t xml:space="preserve">behavioral health services covered by </w:t>
      </w:r>
      <w:r w:rsidR="003458DF">
        <w:rPr>
          <w:rFonts w:ascii="Arial" w:hAnsi="Arial" w:cs="Arial"/>
          <w:sz w:val="24"/>
          <w:szCs w:val="24"/>
        </w:rPr>
        <w:t xml:space="preserve">the state’s Prepaid Inpatient Health Plan (PIHP), </w:t>
      </w:r>
      <w:r w:rsidR="00EC3047" w:rsidRPr="007171C8">
        <w:rPr>
          <w:rFonts w:ascii="Arial" w:hAnsi="Arial" w:cs="Arial"/>
          <w:sz w:val="24"/>
          <w:szCs w:val="24"/>
        </w:rPr>
        <w:t xml:space="preserve">Massachusetts Behavioral Health </w:t>
      </w:r>
      <w:r w:rsidR="003458DF">
        <w:rPr>
          <w:rFonts w:ascii="Arial" w:hAnsi="Arial" w:cs="Arial"/>
          <w:sz w:val="24"/>
          <w:szCs w:val="24"/>
        </w:rPr>
        <w:t>Partnersh</w:t>
      </w:r>
      <w:r w:rsidR="009743F9">
        <w:rPr>
          <w:rFonts w:ascii="Arial" w:hAnsi="Arial" w:cs="Arial"/>
          <w:sz w:val="24"/>
          <w:szCs w:val="24"/>
        </w:rPr>
        <w:t>i</w:t>
      </w:r>
      <w:r w:rsidR="003458DF">
        <w:rPr>
          <w:rFonts w:ascii="Arial" w:hAnsi="Arial" w:cs="Arial"/>
          <w:sz w:val="24"/>
          <w:szCs w:val="24"/>
        </w:rPr>
        <w:t>p</w:t>
      </w:r>
      <w:r w:rsidR="003458DF" w:rsidRPr="007171C8">
        <w:rPr>
          <w:rFonts w:ascii="Arial" w:hAnsi="Arial" w:cs="Arial"/>
          <w:sz w:val="24"/>
          <w:szCs w:val="24"/>
        </w:rPr>
        <w:t xml:space="preserve"> </w:t>
      </w:r>
      <w:r w:rsidR="00EC3047" w:rsidRPr="007171C8">
        <w:rPr>
          <w:rFonts w:ascii="Arial" w:hAnsi="Arial" w:cs="Arial"/>
          <w:sz w:val="24"/>
          <w:szCs w:val="24"/>
        </w:rPr>
        <w:t>(MBHP)</w:t>
      </w:r>
      <w:r w:rsidR="00B24813" w:rsidRPr="007171C8">
        <w:rPr>
          <w:rFonts w:ascii="Arial" w:hAnsi="Arial" w:cs="Arial"/>
          <w:sz w:val="24"/>
          <w:szCs w:val="24"/>
        </w:rPr>
        <w:t xml:space="preserve">, </w:t>
      </w:r>
      <w:r w:rsidR="00454215">
        <w:rPr>
          <w:rFonts w:ascii="Arial" w:hAnsi="Arial" w:cs="Arial"/>
          <w:sz w:val="24"/>
          <w:szCs w:val="24"/>
        </w:rPr>
        <w:t xml:space="preserve">which provides managed behavioral health care for members enrolled in </w:t>
      </w:r>
      <w:r w:rsidR="00B24813" w:rsidRPr="007171C8">
        <w:rPr>
          <w:rFonts w:ascii="Arial" w:hAnsi="Arial" w:cs="Arial"/>
          <w:sz w:val="24"/>
          <w:szCs w:val="24"/>
        </w:rPr>
        <w:t>the PCC Plan</w:t>
      </w:r>
      <w:r w:rsidR="00782E56" w:rsidRPr="007171C8">
        <w:rPr>
          <w:rFonts w:ascii="Arial" w:hAnsi="Arial" w:cs="Arial"/>
          <w:sz w:val="24"/>
          <w:szCs w:val="24"/>
        </w:rPr>
        <w:t xml:space="preserve"> </w:t>
      </w:r>
      <w:r w:rsidR="00454215">
        <w:rPr>
          <w:rFonts w:ascii="Arial" w:hAnsi="Arial" w:cs="Arial"/>
          <w:sz w:val="24"/>
          <w:szCs w:val="24"/>
        </w:rPr>
        <w:t>or a</w:t>
      </w:r>
      <w:r w:rsidR="00454215" w:rsidRPr="007171C8">
        <w:rPr>
          <w:rFonts w:ascii="Arial" w:hAnsi="Arial" w:cs="Arial"/>
          <w:sz w:val="24"/>
          <w:szCs w:val="24"/>
        </w:rPr>
        <w:t xml:space="preserve"> </w:t>
      </w:r>
      <w:r w:rsidR="00084103" w:rsidRPr="007171C8">
        <w:rPr>
          <w:rFonts w:ascii="Arial" w:hAnsi="Arial" w:cs="Arial"/>
          <w:sz w:val="24"/>
          <w:szCs w:val="24"/>
        </w:rPr>
        <w:t>Primary Care ACO</w:t>
      </w:r>
      <w:r w:rsidR="00647F94" w:rsidRPr="007171C8">
        <w:rPr>
          <w:rFonts w:ascii="Arial" w:hAnsi="Arial" w:cs="Arial"/>
          <w:sz w:val="24"/>
          <w:szCs w:val="24"/>
        </w:rPr>
        <w:t>.</w:t>
      </w:r>
      <w:r w:rsidR="00CC1C46" w:rsidRPr="007171C8">
        <w:rPr>
          <w:rFonts w:ascii="Arial" w:hAnsi="Arial" w:cs="Arial"/>
          <w:sz w:val="24"/>
          <w:szCs w:val="24"/>
        </w:rPr>
        <w:t xml:space="preserve"> </w:t>
      </w:r>
      <w:r w:rsidR="00917D5A" w:rsidRPr="007171C8">
        <w:rPr>
          <w:rFonts w:ascii="Arial" w:hAnsi="Arial" w:cs="Arial"/>
          <w:sz w:val="24"/>
          <w:szCs w:val="24"/>
        </w:rPr>
        <w:t>Non-</w:t>
      </w:r>
      <w:r w:rsidR="00782E56" w:rsidRPr="007171C8">
        <w:rPr>
          <w:rFonts w:ascii="Arial" w:hAnsi="Arial" w:cs="Arial"/>
          <w:sz w:val="24"/>
          <w:szCs w:val="24"/>
        </w:rPr>
        <w:t>b</w:t>
      </w:r>
      <w:r w:rsidR="00917D5A" w:rsidRPr="007171C8">
        <w:rPr>
          <w:rFonts w:ascii="Arial" w:hAnsi="Arial" w:cs="Arial"/>
          <w:sz w:val="24"/>
          <w:szCs w:val="24"/>
        </w:rPr>
        <w:t xml:space="preserve">ehavioral </w:t>
      </w:r>
      <w:r w:rsidR="00782E56" w:rsidRPr="007171C8">
        <w:rPr>
          <w:rFonts w:ascii="Arial" w:hAnsi="Arial" w:cs="Arial"/>
          <w:sz w:val="24"/>
          <w:szCs w:val="24"/>
        </w:rPr>
        <w:t>h</w:t>
      </w:r>
      <w:r w:rsidR="00917D5A" w:rsidRPr="007171C8">
        <w:rPr>
          <w:rFonts w:ascii="Arial" w:hAnsi="Arial" w:cs="Arial"/>
          <w:sz w:val="24"/>
          <w:szCs w:val="24"/>
        </w:rPr>
        <w:t>ealth</w:t>
      </w:r>
      <w:r w:rsidR="007371F9" w:rsidRPr="007171C8">
        <w:rPr>
          <w:rFonts w:ascii="Arial" w:hAnsi="Arial" w:cs="Arial"/>
          <w:sz w:val="24"/>
          <w:szCs w:val="24"/>
        </w:rPr>
        <w:t xml:space="preserve"> PCC </w:t>
      </w:r>
      <w:r w:rsidR="003458DF">
        <w:rPr>
          <w:rFonts w:ascii="Arial" w:hAnsi="Arial" w:cs="Arial"/>
          <w:sz w:val="24"/>
          <w:szCs w:val="24"/>
        </w:rPr>
        <w:t>P</w:t>
      </w:r>
      <w:r w:rsidR="003458DF" w:rsidRPr="007171C8">
        <w:rPr>
          <w:rFonts w:ascii="Arial" w:hAnsi="Arial" w:cs="Arial"/>
          <w:sz w:val="24"/>
          <w:szCs w:val="24"/>
        </w:rPr>
        <w:t xml:space="preserve">lan </w:t>
      </w:r>
      <w:r w:rsidR="007371F9" w:rsidRPr="007171C8">
        <w:rPr>
          <w:rFonts w:ascii="Arial" w:hAnsi="Arial" w:cs="Arial"/>
          <w:sz w:val="24"/>
          <w:szCs w:val="24"/>
        </w:rPr>
        <w:t xml:space="preserve">services are delivered </w:t>
      </w:r>
      <w:r w:rsidR="007371F9" w:rsidRPr="007171C8">
        <w:rPr>
          <w:rFonts w:ascii="Arial" w:hAnsi="Arial" w:cs="Arial"/>
          <w:sz w:val="24"/>
          <w:szCs w:val="24"/>
        </w:rPr>
        <w:lastRenderedPageBreak/>
        <w:t>through and are generally paid under the FFS program.</w:t>
      </w:r>
      <w:r w:rsidR="00647F94" w:rsidRPr="007171C8">
        <w:rPr>
          <w:rFonts w:ascii="Arial" w:hAnsi="Arial" w:cs="Arial"/>
          <w:sz w:val="24"/>
          <w:szCs w:val="24"/>
        </w:rPr>
        <w:t xml:space="preserve"> </w:t>
      </w:r>
      <w:r w:rsidR="007371F9" w:rsidRPr="007171C8">
        <w:rPr>
          <w:rFonts w:ascii="Arial" w:hAnsi="Arial" w:cs="Arial"/>
          <w:sz w:val="24"/>
          <w:szCs w:val="24"/>
        </w:rPr>
        <w:t xml:space="preserve">Therefore, </w:t>
      </w:r>
      <w:r w:rsidR="007371F9" w:rsidRPr="007171C8">
        <w:rPr>
          <w:rFonts w:ascii="Arial" w:eastAsiaTheme="majorEastAsia" w:hAnsi="Arial" w:cs="Arial"/>
          <w:bCs/>
          <w:sz w:val="24"/>
          <w:szCs w:val="24"/>
        </w:rPr>
        <w:t>t</w:t>
      </w:r>
      <w:r w:rsidR="00C4127B" w:rsidRPr="007171C8">
        <w:rPr>
          <w:rFonts w:ascii="Arial" w:eastAsiaTheme="majorEastAsia" w:hAnsi="Arial" w:cs="Arial"/>
          <w:bCs/>
          <w:sz w:val="24"/>
          <w:szCs w:val="24"/>
        </w:rPr>
        <w:t xml:space="preserve">he data presented in this </w:t>
      </w:r>
      <w:r w:rsidR="001D1FDA" w:rsidRPr="007171C8">
        <w:rPr>
          <w:rFonts w:ascii="Arial" w:eastAsiaTheme="majorEastAsia" w:hAnsi="Arial" w:cs="Arial"/>
          <w:bCs/>
          <w:sz w:val="24"/>
          <w:szCs w:val="24"/>
        </w:rPr>
        <w:t xml:space="preserve">AMRP </w:t>
      </w:r>
      <w:r w:rsidR="00D071D7">
        <w:rPr>
          <w:rFonts w:ascii="Arial" w:eastAsiaTheme="majorEastAsia" w:hAnsi="Arial" w:cs="Arial"/>
          <w:bCs/>
          <w:sz w:val="24"/>
          <w:szCs w:val="24"/>
        </w:rPr>
        <w:t xml:space="preserve">for non-behavioral health services </w:t>
      </w:r>
      <w:r w:rsidR="00C4127B" w:rsidRPr="007171C8">
        <w:rPr>
          <w:rFonts w:ascii="Arial" w:eastAsiaTheme="majorEastAsia" w:hAnsi="Arial" w:cs="Arial"/>
          <w:bCs/>
          <w:sz w:val="24"/>
          <w:szCs w:val="24"/>
        </w:rPr>
        <w:t xml:space="preserve">includes member numbers for Medicaid </w:t>
      </w:r>
      <w:r w:rsidR="00AC2822" w:rsidRPr="007171C8">
        <w:rPr>
          <w:rFonts w:ascii="Arial" w:eastAsiaTheme="majorEastAsia" w:hAnsi="Arial" w:cs="Arial"/>
          <w:bCs/>
          <w:sz w:val="24"/>
          <w:szCs w:val="24"/>
        </w:rPr>
        <w:t xml:space="preserve">members in the PCC </w:t>
      </w:r>
      <w:r w:rsidR="005A1089">
        <w:rPr>
          <w:rFonts w:ascii="Arial" w:eastAsiaTheme="majorEastAsia" w:hAnsi="Arial" w:cs="Arial"/>
          <w:bCs/>
          <w:sz w:val="24"/>
          <w:szCs w:val="24"/>
        </w:rPr>
        <w:t>P</w:t>
      </w:r>
      <w:r w:rsidR="00AC2822" w:rsidRPr="007171C8">
        <w:rPr>
          <w:rFonts w:ascii="Arial" w:eastAsiaTheme="majorEastAsia" w:hAnsi="Arial" w:cs="Arial"/>
          <w:bCs/>
          <w:sz w:val="24"/>
          <w:szCs w:val="24"/>
        </w:rPr>
        <w:t>lan</w:t>
      </w:r>
      <w:r w:rsidR="009331F3">
        <w:rPr>
          <w:rFonts w:ascii="Arial" w:eastAsiaTheme="majorEastAsia" w:hAnsi="Arial" w:cs="Arial"/>
          <w:bCs/>
          <w:sz w:val="24"/>
          <w:szCs w:val="24"/>
        </w:rPr>
        <w:t xml:space="preserve">, members </w:t>
      </w:r>
      <w:r w:rsidR="00AC2822" w:rsidRPr="007171C8">
        <w:rPr>
          <w:rFonts w:ascii="Arial" w:eastAsiaTheme="majorEastAsia" w:hAnsi="Arial" w:cs="Arial"/>
          <w:bCs/>
          <w:sz w:val="24"/>
          <w:szCs w:val="24"/>
        </w:rPr>
        <w:t xml:space="preserve">in </w:t>
      </w:r>
      <w:r w:rsidR="007371F9" w:rsidRPr="007171C8">
        <w:rPr>
          <w:rFonts w:ascii="Arial" w:eastAsiaTheme="majorEastAsia" w:hAnsi="Arial" w:cs="Arial"/>
          <w:bCs/>
          <w:sz w:val="24"/>
          <w:szCs w:val="24"/>
        </w:rPr>
        <w:t>FFS</w:t>
      </w:r>
      <w:r w:rsidR="009331F3">
        <w:rPr>
          <w:rFonts w:ascii="Arial" w:eastAsiaTheme="majorEastAsia" w:hAnsi="Arial" w:cs="Arial"/>
          <w:bCs/>
          <w:sz w:val="24"/>
          <w:szCs w:val="24"/>
        </w:rPr>
        <w:t xml:space="preserve"> and members in a Primary Care ACO</w:t>
      </w:r>
      <w:r w:rsidR="007371F9" w:rsidRPr="007171C8">
        <w:rPr>
          <w:rFonts w:ascii="Arial" w:eastAsiaTheme="majorEastAsia" w:hAnsi="Arial" w:cs="Arial"/>
          <w:bCs/>
          <w:sz w:val="24"/>
          <w:szCs w:val="24"/>
        </w:rPr>
        <w:t xml:space="preserve"> </w:t>
      </w:r>
      <w:r w:rsidR="00AC2822" w:rsidRPr="007171C8">
        <w:rPr>
          <w:rFonts w:ascii="Arial" w:eastAsiaTheme="majorEastAsia" w:hAnsi="Arial" w:cs="Arial"/>
          <w:bCs/>
          <w:sz w:val="24"/>
          <w:szCs w:val="24"/>
        </w:rPr>
        <w:t xml:space="preserve">with MassHealth as primary insurance </w:t>
      </w:r>
      <w:r w:rsidR="00C4127B" w:rsidRPr="007171C8">
        <w:rPr>
          <w:rFonts w:ascii="Arial" w:eastAsiaTheme="majorEastAsia" w:hAnsi="Arial" w:cs="Arial"/>
          <w:bCs/>
          <w:sz w:val="24"/>
          <w:szCs w:val="24"/>
        </w:rPr>
        <w:t xml:space="preserve">and excludes </w:t>
      </w:r>
      <w:r w:rsidR="00AB12A7" w:rsidRPr="007171C8">
        <w:rPr>
          <w:rFonts w:ascii="Arial" w:eastAsiaTheme="majorEastAsia" w:hAnsi="Arial" w:cs="Arial"/>
          <w:bCs/>
          <w:sz w:val="24"/>
          <w:szCs w:val="24"/>
        </w:rPr>
        <w:t xml:space="preserve">members with state-funded coverage and </w:t>
      </w:r>
      <w:r w:rsidR="00C4127B" w:rsidRPr="007171C8">
        <w:rPr>
          <w:rFonts w:ascii="Arial" w:eastAsiaTheme="majorEastAsia" w:hAnsi="Arial" w:cs="Arial"/>
          <w:bCs/>
          <w:sz w:val="24"/>
          <w:szCs w:val="24"/>
        </w:rPr>
        <w:t>CHIP, unless otherwise stated.</w:t>
      </w:r>
      <w:r w:rsidR="00CC1C46" w:rsidRPr="007171C8">
        <w:rPr>
          <w:rFonts w:ascii="Arial" w:eastAsiaTheme="majorEastAsia" w:hAnsi="Arial" w:cs="Arial"/>
          <w:bCs/>
          <w:sz w:val="24"/>
          <w:szCs w:val="24"/>
        </w:rPr>
        <w:t xml:space="preserve"> </w:t>
      </w:r>
      <w:r w:rsidR="00186C46" w:rsidRPr="007171C8">
        <w:rPr>
          <w:rFonts w:ascii="Arial" w:hAnsi="Arial" w:cs="Arial"/>
          <w:sz w:val="24"/>
          <w:szCs w:val="24"/>
        </w:rPr>
        <w:t>The AMRP considers the availability of Medicaid enrolled providers, utilization of Medicaid services and the extent to which Medicaid beneficiaries’ healthcare needs are met. The AMRP provides and reviews payment rates for the services listed above.</w:t>
      </w:r>
    </w:p>
    <w:p w:rsidR="00186C46" w:rsidRDefault="00186C46" w:rsidP="007371F9">
      <w:pPr>
        <w:pStyle w:val="CommentText"/>
        <w:ind w:firstLine="0"/>
        <w:rPr>
          <w:rFonts w:ascii="Arial" w:eastAsiaTheme="majorEastAsia" w:hAnsi="Arial" w:cs="Arial"/>
          <w:bCs/>
          <w:sz w:val="24"/>
          <w:szCs w:val="24"/>
        </w:rPr>
      </w:pPr>
    </w:p>
    <w:p w:rsidR="00B676C9" w:rsidRDefault="00186C46" w:rsidP="00B055FE">
      <w:pPr>
        <w:pStyle w:val="CommentText"/>
        <w:ind w:firstLine="0"/>
        <w:rPr>
          <w:rFonts w:ascii="Arial" w:hAnsi="Arial" w:cs="Arial"/>
          <w:sz w:val="24"/>
          <w:szCs w:val="24"/>
        </w:rPr>
      </w:pPr>
      <w:r>
        <w:rPr>
          <w:rFonts w:ascii="Arial" w:eastAsiaTheme="majorEastAsia" w:hAnsi="Arial" w:cs="Arial"/>
          <w:bCs/>
          <w:sz w:val="24"/>
          <w:szCs w:val="24"/>
        </w:rPr>
        <w:t>The</w:t>
      </w:r>
      <w:r w:rsidR="007371F9" w:rsidRPr="007171C8">
        <w:rPr>
          <w:rFonts w:ascii="Arial" w:eastAsiaTheme="majorEastAsia" w:hAnsi="Arial" w:cs="Arial"/>
          <w:bCs/>
          <w:sz w:val="24"/>
          <w:szCs w:val="24"/>
        </w:rPr>
        <w:t xml:space="preserve"> </w:t>
      </w:r>
      <w:r w:rsidR="001D1FDA" w:rsidRPr="007171C8">
        <w:rPr>
          <w:rFonts w:ascii="Arial" w:eastAsiaTheme="majorEastAsia" w:hAnsi="Arial" w:cs="Arial"/>
          <w:bCs/>
          <w:sz w:val="24"/>
          <w:szCs w:val="24"/>
        </w:rPr>
        <w:t>AMRP</w:t>
      </w:r>
      <w:r w:rsidR="007371F9" w:rsidRPr="007171C8">
        <w:rPr>
          <w:rFonts w:ascii="Arial" w:eastAsiaTheme="majorEastAsia" w:hAnsi="Arial" w:cs="Arial"/>
          <w:bCs/>
          <w:sz w:val="24"/>
          <w:szCs w:val="24"/>
        </w:rPr>
        <w:t xml:space="preserve"> also incorporates </w:t>
      </w:r>
      <w:r w:rsidR="007371F9" w:rsidRPr="007171C8">
        <w:rPr>
          <w:rFonts w:ascii="Arial" w:hAnsi="Arial" w:cs="Arial"/>
          <w:sz w:val="24"/>
          <w:szCs w:val="24"/>
        </w:rPr>
        <w:t xml:space="preserve">analysis of </w:t>
      </w:r>
      <w:r>
        <w:rPr>
          <w:rFonts w:ascii="Arial" w:hAnsi="Arial" w:cs="Arial"/>
          <w:sz w:val="24"/>
          <w:szCs w:val="24"/>
        </w:rPr>
        <w:t xml:space="preserve">other additional available </w:t>
      </w:r>
      <w:r w:rsidR="00EA7277">
        <w:rPr>
          <w:rFonts w:ascii="Arial" w:hAnsi="Arial" w:cs="Arial"/>
          <w:sz w:val="24"/>
          <w:szCs w:val="24"/>
        </w:rPr>
        <w:t>M</w:t>
      </w:r>
      <w:r w:rsidR="00EA7277" w:rsidRPr="007171C8">
        <w:rPr>
          <w:rFonts w:ascii="Arial" w:hAnsi="Arial" w:cs="Arial"/>
          <w:sz w:val="24"/>
          <w:szCs w:val="24"/>
        </w:rPr>
        <w:t xml:space="preserve">anaged </w:t>
      </w:r>
      <w:r w:rsidR="00EA7277">
        <w:rPr>
          <w:rFonts w:ascii="Arial" w:hAnsi="Arial" w:cs="Arial"/>
          <w:sz w:val="24"/>
          <w:szCs w:val="24"/>
        </w:rPr>
        <w:t>C</w:t>
      </w:r>
      <w:r w:rsidR="00EA7277" w:rsidRPr="007171C8">
        <w:rPr>
          <w:rFonts w:ascii="Arial" w:hAnsi="Arial" w:cs="Arial"/>
          <w:sz w:val="24"/>
          <w:szCs w:val="24"/>
        </w:rPr>
        <w:t xml:space="preserve">are </w:t>
      </w:r>
      <w:r w:rsidR="00EA7277">
        <w:rPr>
          <w:rFonts w:ascii="Arial" w:hAnsi="Arial" w:cs="Arial"/>
          <w:sz w:val="24"/>
          <w:szCs w:val="24"/>
        </w:rPr>
        <w:t>O</w:t>
      </w:r>
      <w:r w:rsidR="00EA7277" w:rsidRPr="007171C8">
        <w:rPr>
          <w:rFonts w:ascii="Arial" w:hAnsi="Arial" w:cs="Arial"/>
          <w:sz w:val="24"/>
          <w:szCs w:val="24"/>
        </w:rPr>
        <w:t xml:space="preserve">rganization (MCO) </w:t>
      </w:r>
      <w:r w:rsidR="00EA7277">
        <w:rPr>
          <w:rFonts w:ascii="Arial" w:hAnsi="Arial" w:cs="Arial"/>
          <w:sz w:val="24"/>
          <w:szCs w:val="24"/>
        </w:rPr>
        <w:t xml:space="preserve">and ACO </w:t>
      </w:r>
      <w:r w:rsidR="00EA7277" w:rsidRPr="007171C8">
        <w:rPr>
          <w:rFonts w:ascii="Arial" w:hAnsi="Arial" w:cs="Arial"/>
          <w:sz w:val="24"/>
          <w:szCs w:val="24"/>
        </w:rPr>
        <w:t xml:space="preserve">member </w:t>
      </w:r>
      <w:r w:rsidR="00EA7277">
        <w:rPr>
          <w:rFonts w:ascii="Arial" w:hAnsi="Arial" w:cs="Arial"/>
          <w:sz w:val="24"/>
          <w:szCs w:val="24"/>
        </w:rPr>
        <w:t xml:space="preserve">and provider </w:t>
      </w:r>
      <w:r w:rsidR="00EA7277" w:rsidRPr="007171C8">
        <w:rPr>
          <w:rFonts w:ascii="Arial" w:hAnsi="Arial" w:cs="Arial"/>
          <w:sz w:val="24"/>
          <w:szCs w:val="24"/>
        </w:rPr>
        <w:t xml:space="preserve">information </w:t>
      </w:r>
      <w:r w:rsidR="007371F9" w:rsidRPr="007171C8">
        <w:rPr>
          <w:rFonts w:ascii="Arial" w:hAnsi="Arial" w:cs="Arial"/>
          <w:sz w:val="24"/>
          <w:szCs w:val="24"/>
        </w:rPr>
        <w:t xml:space="preserve">data </w:t>
      </w:r>
      <w:r w:rsidR="00884545" w:rsidRPr="007171C8">
        <w:rPr>
          <w:rFonts w:ascii="Arial" w:hAnsi="Arial" w:cs="Arial"/>
          <w:sz w:val="24"/>
          <w:szCs w:val="24"/>
        </w:rPr>
        <w:t>(e.g. HEDIS data</w:t>
      </w:r>
      <w:r w:rsidR="00EA7277">
        <w:rPr>
          <w:rFonts w:ascii="Arial" w:hAnsi="Arial" w:cs="Arial"/>
          <w:sz w:val="24"/>
          <w:szCs w:val="24"/>
        </w:rPr>
        <w:t xml:space="preserve">, </w:t>
      </w:r>
      <w:r w:rsidR="00EA7277" w:rsidRPr="00BA27E1">
        <w:rPr>
          <w:rFonts w:ascii="Arial" w:hAnsi="Arial" w:cs="Arial"/>
          <w:sz w:val="24"/>
          <w:szCs w:val="24"/>
        </w:rPr>
        <w:t xml:space="preserve">postpartum depression screening rates, and </w:t>
      </w:r>
      <w:r w:rsidRPr="00BA27E1">
        <w:rPr>
          <w:rFonts w:ascii="Arial" w:hAnsi="Arial" w:cs="Arial"/>
          <w:sz w:val="24"/>
          <w:szCs w:val="24"/>
        </w:rPr>
        <w:t>primary care</w:t>
      </w:r>
      <w:r w:rsidR="002B27F3" w:rsidRPr="002B27F3">
        <w:rPr>
          <w:rFonts w:ascii="Arial" w:hAnsi="Arial" w:cs="Arial"/>
          <w:sz w:val="24"/>
          <w:szCs w:val="24"/>
        </w:rPr>
        <w:t xml:space="preserve"> </w:t>
      </w:r>
      <w:r w:rsidR="002B27F3" w:rsidRPr="00BA27E1">
        <w:rPr>
          <w:rFonts w:ascii="Arial" w:hAnsi="Arial" w:cs="Arial"/>
          <w:sz w:val="24"/>
          <w:szCs w:val="24"/>
        </w:rPr>
        <w:t xml:space="preserve">physician </w:t>
      </w:r>
      <w:proofErr w:type="spellStart"/>
      <w:r w:rsidR="002B27F3" w:rsidRPr="00BA27E1">
        <w:rPr>
          <w:rFonts w:ascii="Arial" w:hAnsi="Arial" w:cs="Arial"/>
          <w:sz w:val="24"/>
          <w:szCs w:val="24"/>
        </w:rPr>
        <w:t>qeo</w:t>
      </w:r>
      <w:proofErr w:type="spellEnd"/>
      <w:r w:rsidR="002B27F3" w:rsidRPr="00BA27E1">
        <w:rPr>
          <w:rFonts w:ascii="Arial" w:hAnsi="Arial" w:cs="Arial"/>
          <w:sz w:val="24"/>
          <w:szCs w:val="24"/>
        </w:rPr>
        <w:t>-mapping for members</w:t>
      </w:r>
      <w:r w:rsidR="00884545" w:rsidRPr="007171C8">
        <w:rPr>
          <w:rFonts w:ascii="Arial" w:hAnsi="Arial" w:cs="Arial"/>
          <w:sz w:val="24"/>
          <w:szCs w:val="24"/>
        </w:rPr>
        <w:t>)</w:t>
      </w:r>
      <w:r w:rsidR="007371F9" w:rsidRPr="007171C8">
        <w:rPr>
          <w:rFonts w:ascii="Arial" w:hAnsi="Arial" w:cs="Arial"/>
          <w:sz w:val="24"/>
          <w:szCs w:val="24"/>
        </w:rPr>
        <w:t xml:space="preserve"> when such data is the most recently</w:t>
      </w:r>
      <w:r w:rsidR="000D49A9">
        <w:rPr>
          <w:rFonts w:ascii="Arial" w:hAnsi="Arial" w:cs="Arial"/>
          <w:sz w:val="24"/>
          <w:szCs w:val="24"/>
        </w:rPr>
        <w:t>-</w:t>
      </w:r>
      <w:r w:rsidR="007371F9" w:rsidRPr="007171C8">
        <w:rPr>
          <w:rFonts w:ascii="Arial" w:hAnsi="Arial" w:cs="Arial"/>
          <w:sz w:val="24"/>
          <w:szCs w:val="24"/>
        </w:rPr>
        <w:t>available or relevant to the CMS-required analysis.</w:t>
      </w:r>
      <w:r w:rsidR="00B62F72" w:rsidRPr="007171C8">
        <w:rPr>
          <w:rFonts w:ascii="Arial" w:hAnsi="Arial" w:cs="Arial"/>
          <w:sz w:val="24"/>
          <w:szCs w:val="24"/>
        </w:rPr>
        <w:br/>
      </w:r>
    </w:p>
    <w:p w:rsidR="00647F94" w:rsidRPr="007171C8" w:rsidRDefault="00C55D08" w:rsidP="00E83EB1">
      <w:pPr>
        <w:pStyle w:val="Heading2"/>
        <w:rPr>
          <w:rFonts w:ascii="Arial" w:hAnsi="Arial" w:cs="Arial"/>
          <w:color w:val="auto"/>
          <w:sz w:val="24"/>
          <w:u w:val="single"/>
        </w:rPr>
      </w:pPr>
      <w:bookmarkStart w:id="4" w:name="_Toc10810566"/>
      <w:bookmarkStart w:id="5" w:name="_Toc20296914"/>
      <w:r w:rsidRPr="007171C8">
        <w:rPr>
          <w:rFonts w:ascii="Arial" w:hAnsi="Arial" w:cs="Arial"/>
          <w:color w:val="auto"/>
          <w:sz w:val="24"/>
          <w:u w:val="single"/>
        </w:rPr>
        <w:t>Member</w:t>
      </w:r>
      <w:r w:rsidR="00647F94" w:rsidRPr="007171C8">
        <w:rPr>
          <w:rFonts w:ascii="Arial" w:hAnsi="Arial" w:cs="Arial"/>
          <w:color w:val="auto"/>
          <w:sz w:val="24"/>
          <w:u w:val="single"/>
        </w:rPr>
        <w:t xml:space="preserve"> Population</w:t>
      </w:r>
      <w:r w:rsidR="008B6F2B" w:rsidRPr="007171C8">
        <w:rPr>
          <w:rFonts w:ascii="Arial" w:hAnsi="Arial" w:cs="Arial"/>
          <w:color w:val="auto"/>
          <w:sz w:val="24"/>
          <w:u w:val="single"/>
        </w:rPr>
        <w:t xml:space="preserve"> Overview</w:t>
      </w:r>
      <w:bookmarkEnd w:id="4"/>
      <w:bookmarkEnd w:id="5"/>
      <w:r w:rsidR="00F54904" w:rsidRPr="007171C8">
        <w:rPr>
          <w:rFonts w:ascii="Arial" w:hAnsi="Arial" w:cs="Arial"/>
          <w:color w:val="auto"/>
          <w:sz w:val="24"/>
          <w:u w:val="single"/>
        </w:rPr>
        <w:t xml:space="preserve"> </w:t>
      </w:r>
    </w:p>
    <w:p w:rsidR="00336E6C" w:rsidRDefault="00336E6C" w:rsidP="00336E6C">
      <w:pPr>
        <w:pStyle w:val="NoSpacing"/>
        <w:ind w:firstLine="0"/>
        <w:rPr>
          <w:rFonts w:ascii="Arial" w:hAnsi="Arial" w:cs="Arial"/>
          <w:sz w:val="24"/>
          <w:szCs w:val="24"/>
        </w:rPr>
      </w:pPr>
    </w:p>
    <w:p w:rsidR="003D1AE3" w:rsidRPr="00336E6C" w:rsidRDefault="004D0D66" w:rsidP="00336E6C">
      <w:pPr>
        <w:pStyle w:val="NoSpacing"/>
        <w:ind w:firstLine="0"/>
        <w:rPr>
          <w:rFonts w:ascii="Arial" w:hAnsi="Arial" w:cs="Arial"/>
          <w:sz w:val="24"/>
          <w:szCs w:val="24"/>
        </w:rPr>
      </w:pPr>
      <w:r w:rsidRPr="007171C8">
        <w:rPr>
          <w:rFonts w:ascii="Arial" w:hAnsi="Arial" w:cs="Arial"/>
          <w:sz w:val="24"/>
          <w:szCs w:val="24"/>
        </w:rPr>
        <w:t>MassHealth provides coverage to approximately 1.8 million enrolled Medicaid and CHIP members, including 1.15 million adults and just over</w:t>
      </w:r>
      <w:r w:rsidR="007171C8">
        <w:rPr>
          <w:rFonts w:ascii="Arial" w:hAnsi="Arial" w:cs="Arial"/>
          <w:sz w:val="24"/>
          <w:szCs w:val="24"/>
        </w:rPr>
        <w:t xml:space="preserve"> 6</w:t>
      </w:r>
      <w:r w:rsidR="00A71D2F">
        <w:rPr>
          <w:rFonts w:ascii="Arial" w:hAnsi="Arial" w:cs="Arial"/>
          <w:sz w:val="24"/>
          <w:szCs w:val="24"/>
        </w:rPr>
        <w:t>80</w:t>
      </w:r>
      <w:r w:rsidR="007171C8">
        <w:rPr>
          <w:rFonts w:ascii="Arial" w:hAnsi="Arial" w:cs="Arial"/>
          <w:sz w:val="24"/>
          <w:szCs w:val="24"/>
        </w:rPr>
        <w:t xml:space="preserve">,000 children under age 21. </w:t>
      </w:r>
      <w:r w:rsidR="003458DF">
        <w:rPr>
          <w:rFonts w:ascii="Arial" w:hAnsi="Arial" w:cs="Arial"/>
          <w:sz w:val="24"/>
          <w:szCs w:val="24"/>
        </w:rPr>
        <w:t>Thirty</w:t>
      </w:r>
      <w:r w:rsidR="007D5852">
        <w:rPr>
          <w:rFonts w:ascii="Arial" w:hAnsi="Arial" w:cs="Arial"/>
          <w:sz w:val="24"/>
          <w:szCs w:val="24"/>
        </w:rPr>
        <w:t>-nine</w:t>
      </w:r>
      <w:r w:rsidR="003458DF">
        <w:rPr>
          <w:rFonts w:ascii="Arial" w:hAnsi="Arial" w:cs="Arial"/>
          <w:sz w:val="24"/>
          <w:szCs w:val="24"/>
        </w:rPr>
        <w:t xml:space="preserve"> percent (</w:t>
      </w:r>
      <w:r w:rsidR="007F5053">
        <w:rPr>
          <w:rFonts w:ascii="Arial" w:hAnsi="Arial" w:cs="Arial"/>
          <w:sz w:val="24"/>
          <w:szCs w:val="24"/>
        </w:rPr>
        <w:t>3</w:t>
      </w:r>
      <w:r w:rsidR="007D5852">
        <w:rPr>
          <w:rFonts w:ascii="Arial" w:hAnsi="Arial" w:cs="Arial"/>
          <w:sz w:val="24"/>
          <w:szCs w:val="24"/>
        </w:rPr>
        <w:t>9</w:t>
      </w:r>
      <w:r w:rsidRPr="007171C8">
        <w:rPr>
          <w:rFonts w:ascii="Arial" w:hAnsi="Arial" w:cs="Arial"/>
          <w:sz w:val="24"/>
          <w:szCs w:val="24"/>
        </w:rPr>
        <w:t>%</w:t>
      </w:r>
      <w:r w:rsidR="003458DF">
        <w:rPr>
          <w:rFonts w:ascii="Arial" w:hAnsi="Arial" w:cs="Arial"/>
          <w:sz w:val="24"/>
          <w:szCs w:val="24"/>
        </w:rPr>
        <w:t>)</w:t>
      </w:r>
      <w:r w:rsidRPr="007171C8">
        <w:rPr>
          <w:rFonts w:ascii="Arial" w:hAnsi="Arial" w:cs="Arial"/>
          <w:sz w:val="24"/>
          <w:szCs w:val="24"/>
        </w:rPr>
        <w:t xml:space="preserve"> of these </w:t>
      </w:r>
      <w:r w:rsidR="00A65C3C">
        <w:rPr>
          <w:rFonts w:ascii="Arial" w:hAnsi="Arial" w:cs="Arial"/>
          <w:sz w:val="24"/>
          <w:szCs w:val="24"/>
        </w:rPr>
        <w:t>members</w:t>
      </w:r>
      <w:r w:rsidR="00A65C3C" w:rsidRPr="007171C8">
        <w:rPr>
          <w:rFonts w:ascii="Arial" w:hAnsi="Arial" w:cs="Arial"/>
          <w:sz w:val="24"/>
          <w:szCs w:val="24"/>
        </w:rPr>
        <w:t xml:space="preserve"> </w:t>
      </w:r>
      <w:r w:rsidRPr="007171C8">
        <w:rPr>
          <w:rFonts w:ascii="Arial" w:hAnsi="Arial" w:cs="Arial"/>
          <w:sz w:val="24"/>
          <w:szCs w:val="24"/>
        </w:rPr>
        <w:t xml:space="preserve">are enrolled with a managed care plan that is an </w:t>
      </w:r>
      <w:r w:rsidR="0066249C">
        <w:rPr>
          <w:rFonts w:ascii="Arial" w:hAnsi="Arial" w:cs="Arial"/>
          <w:sz w:val="24"/>
          <w:szCs w:val="24"/>
        </w:rPr>
        <w:t xml:space="preserve">MCO or an </w:t>
      </w:r>
      <w:r w:rsidRPr="007171C8">
        <w:rPr>
          <w:rFonts w:ascii="Arial" w:hAnsi="Arial" w:cs="Arial"/>
          <w:sz w:val="24"/>
          <w:szCs w:val="24"/>
        </w:rPr>
        <w:t>Accountable Care Partnership Plan</w:t>
      </w:r>
      <w:r w:rsidR="00154AF1">
        <w:rPr>
          <w:rFonts w:ascii="Arial" w:hAnsi="Arial" w:cs="Arial"/>
          <w:sz w:val="24"/>
          <w:szCs w:val="24"/>
        </w:rPr>
        <w:t xml:space="preserve"> </w:t>
      </w:r>
      <w:r w:rsidR="00154AF1" w:rsidRPr="0066249C">
        <w:rPr>
          <w:rFonts w:ascii="Arial" w:hAnsi="Arial" w:cs="Arial"/>
          <w:sz w:val="24"/>
          <w:szCs w:val="24"/>
        </w:rPr>
        <w:t>(</w:t>
      </w:r>
      <w:r w:rsidR="00071A4F">
        <w:rPr>
          <w:rFonts w:ascii="Arial" w:hAnsi="Arial" w:cs="Arial"/>
          <w:sz w:val="24"/>
          <w:szCs w:val="24"/>
        </w:rPr>
        <w:t>as defined below</w:t>
      </w:r>
      <w:r w:rsidR="00154AF1" w:rsidRPr="0066249C">
        <w:rPr>
          <w:rFonts w:ascii="Arial" w:hAnsi="Arial" w:cs="Arial"/>
          <w:sz w:val="24"/>
          <w:szCs w:val="24"/>
        </w:rPr>
        <w:t>)</w:t>
      </w:r>
      <w:r w:rsidRPr="007171C8">
        <w:rPr>
          <w:rFonts w:ascii="Arial" w:hAnsi="Arial" w:cs="Arial"/>
          <w:sz w:val="24"/>
          <w:szCs w:val="24"/>
        </w:rPr>
        <w:t xml:space="preserve">. </w:t>
      </w:r>
      <w:r w:rsidR="003458DF">
        <w:rPr>
          <w:rFonts w:ascii="Arial" w:hAnsi="Arial" w:cs="Arial"/>
          <w:sz w:val="24"/>
          <w:szCs w:val="24"/>
        </w:rPr>
        <w:t>Twenty-six percent (</w:t>
      </w:r>
      <w:r w:rsidR="002A2678">
        <w:rPr>
          <w:rFonts w:ascii="Arial" w:hAnsi="Arial" w:cs="Arial"/>
          <w:sz w:val="24"/>
          <w:szCs w:val="24"/>
        </w:rPr>
        <w:t>26</w:t>
      </w:r>
      <w:r w:rsidRPr="007171C8">
        <w:rPr>
          <w:rFonts w:ascii="Arial" w:hAnsi="Arial" w:cs="Arial"/>
          <w:sz w:val="24"/>
          <w:szCs w:val="24"/>
        </w:rPr>
        <w:t>%</w:t>
      </w:r>
      <w:r w:rsidR="003458DF">
        <w:rPr>
          <w:rFonts w:ascii="Arial" w:hAnsi="Arial" w:cs="Arial"/>
          <w:sz w:val="24"/>
          <w:szCs w:val="24"/>
        </w:rPr>
        <w:t>)</w:t>
      </w:r>
      <w:r w:rsidRPr="007171C8">
        <w:rPr>
          <w:rFonts w:ascii="Arial" w:hAnsi="Arial" w:cs="Arial"/>
          <w:sz w:val="24"/>
          <w:szCs w:val="24"/>
        </w:rPr>
        <w:t xml:space="preserve"> are enrolled in the PCC Plan or a Primary Care ACO </w:t>
      </w:r>
      <w:r w:rsidR="00071A4F">
        <w:rPr>
          <w:rFonts w:ascii="Arial" w:hAnsi="Arial" w:cs="Arial"/>
          <w:sz w:val="24"/>
          <w:szCs w:val="24"/>
        </w:rPr>
        <w:t>(also defined below)</w:t>
      </w:r>
      <w:r w:rsidRPr="007171C8">
        <w:rPr>
          <w:rFonts w:ascii="Arial" w:hAnsi="Arial" w:cs="Arial"/>
          <w:sz w:val="24"/>
          <w:szCs w:val="24"/>
        </w:rPr>
        <w:t xml:space="preserve">. </w:t>
      </w:r>
      <w:r w:rsidR="00163EE7" w:rsidRPr="00163EE7">
        <w:rPr>
          <w:rFonts w:ascii="Arial" w:hAnsi="Arial" w:cs="Arial"/>
          <w:sz w:val="24"/>
          <w:szCs w:val="24"/>
        </w:rPr>
        <w:t>Just over thirty-five percent (35%) of the remaining members are enrolled in FFS or in programs designed to coordinate and integrate Medicare and Medicaid services (One Care, the Program of All-inclusive Care for the Elderly (PACE), and Senior Care Options (SCO)).</w:t>
      </w:r>
    </w:p>
    <w:p w:rsidR="004D0D66" w:rsidRPr="007171C8" w:rsidRDefault="004D0D66" w:rsidP="004D0D66">
      <w:pPr>
        <w:ind w:firstLine="0"/>
        <w:rPr>
          <w:rFonts w:ascii="Arial" w:hAnsi="Arial" w:cs="Arial"/>
          <w:sz w:val="24"/>
          <w:szCs w:val="24"/>
        </w:rPr>
      </w:pPr>
    </w:p>
    <w:p w:rsidR="00B25B25" w:rsidRPr="007171C8" w:rsidRDefault="00B25B25" w:rsidP="00B25B25">
      <w:pPr>
        <w:pStyle w:val="Heading2"/>
        <w:rPr>
          <w:rFonts w:ascii="Arial" w:hAnsi="Arial" w:cs="Arial"/>
          <w:color w:val="auto"/>
          <w:sz w:val="24"/>
          <w:u w:val="single"/>
        </w:rPr>
      </w:pPr>
      <w:bookmarkStart w:id="6" w:name="_Toc10810567"/>
      <w:bookmarkStart w:id="7" w:name="_Toc20296915"/>
      <w:r w:rsidRPr="007171C8">
        <w:rPr>
          <w:rFonts w:ascii="Arial" w:hAnsi="Arial" w:cs="Arial"/>
          <w:color w:val="auto"/>
          <w:sz w:val="24"/>
          <w:u w:val="single"/>
        </w:rPr>
        <w:t>M</w:t>
      </w:r>
      <w:r w:rsidR="00541DB8" w:rsidRPr="007171C8">
        <w:rPr>
          <w:rFonts w:ascii="Arial" w:hAnsi="Arial" w:cs="Arial"/>
          <w:color w:val="auto"/>
          <w:sz w:val="24"/>
          <w:u w:val="single"/>
        </w:rPr>
        <w:t>ass</w:t>
      </w:r>
      <w:r w:rsidRPr="007171C8">
        <w:rPr>
          <w:rFonts w:ascii="Arial" w:hAnsi="Arial" w:cs="Arial"/>
          <w:color w:val="auto"/>
          <w:sz w:val="24"/>
          <w:u w:val="single"/>
        </w:rPr>
        <w:t>Health Delivery System Reform</w:t>
      </w:r>
      <w:bookmarkEnd w:id="6"/>
      <w:bookmarkEnd w:id="7"/>
    </w:p>
    <w:p w:rsidR="00B25B25" w:rsidRPr="007171C8" w:rsidRDefault="00B25B25" w:rsidP="00C451AC">
      <w:pPr>
        <w:ind w:firstLine="0"/>
        <w:rPr>
          <w:rFonts w:ascii="Arial" w:hAnsi="Arial" w:cs="Arial"/>
          <w:sz w:val="24"/>
          <w:szCs w:val="24"/>
        </w:rPr>
      </w:pPr>
    </w:p>
    <w:p w:rsidR="000C1D55" w:rsidRPr="007171C8" w:rsidRDefault="00133F92" w:rsidP="000C1D55">
      <w:pPr>
        <w:ind w:firstLine="0"/>
        <w:rPr>
          <w:rFonts w:ascii="Arial" w:hAnsi="Arial" w:cs="Arial"/>
          <w:sz w:val="24"/>
          <w:szCs w:val="24"/>
        </w:rPr>
      </w:pPr>
      <w:r w:rsidRPr="007171C8">
        <w:rPr>
          <w:rFonts w:ascii="Arial" w:hAnsi="Arial" w:cs="Arial"/>
          <w:sz w:val="24"/>
          <w:szCs w:val="24"/>
        </w:rPr>
        <w:t>Leveraging the 2016 renewal of the Commonwealth’s 1115 waiver, MassHealth has</w:t>
      </w:r>
      <w:r w:rsidR="00B25B25" w:rsidRPr="007171C8">
        <w:rPr>
          <w:rFonts w:ascii="Arial" w:hAnsi="Arial" w:cs="Arial"/>
          <w:sz w:val="24"/>
          <w:szCs w:val="24"/>
        </w:rPr>
        <w:t xml:space="preserve"> embarked on its most significant restructuring and delivery system reform since the 1990s </w:t>
      </w:r>
      <w:r w:rsidR="000D49A9">
        <w:rPr>
          <w:rFonts w:ascii="Arial" w:hAnsi="Arial" w:cs="Arial"/>
          <w:sz w:val="24"/>
          <w:szCs w:val="24"/>
        </w:rPr>
        <w:t>by</w:t>
      </w:r>
      <w:r w:rsidR="00B25B25" w:rsidRPr="007171C8">
        <w:rPr>
          <w:rFonts w:ascii="Arial" w:hAnsi="Arial" w:cs="Arial"/>
          <w:sz w:val="24"/>
          <w:szCs w:val="24"/>
        </w:rPr>
        <w:t xml:space="preserve"> launching</w:t>
      </w:r>
      <w:r w:rsidR="00531E4A" w:rsidRPr="007171C8">
        <w:rPr>
          <w:rFonts w:ascii="Arial" w:hAnsi="Arial" w:cs="Arial"/>
          <w:sz w:val="24"/>
          <w:szCs w:val="24"/>
        </w:rPr>
        <w:t xml:space="preserve"> an</w:t>
      </w:r>
      <w:r w:rsidR="00B25B25" w:rsidRPr="007171C8">
        <w:rPr>
          <w:rFonts w:ascii="Arial" w:hAnsi="Arial" w:cs="Arial"/>
          <w:sz w:val="24"/>
          <w:szCs w:val="24"/>
        </w:rPr>
        <w:t xml:space="preserve"> ACO program. ACOs are provider-led organizations that are rewarded for better health outcomes, lower cost, and improved member experience. The ACO program focuses on reshaping and improving how health care is delivered for MassHealth members. ACOs </w:t>
      </w:r>
      <w:r w:rsidRPr="007171C8">
        <w:rPr>
          <w:rFonts w:ascii="Arial" w:hAnsi="Arial" w:cs="Arial"/>
          <w:sz w:val="24"/>
          <w:szCs w:val="24"/>
        </w:rPr>
        <w:t>focus on connection to primary care</w:t>
      </w:r>
      <w:r w:rsidR="000D49A9">
        <w:rPr>
          <w:rFonts w:ascii="Arial" w:hAnsi="Arial" w:cs="Arial"/>
          <w:sz w:val="24"/>
          <w:szCs w:val="24"/>
        </w:rPr>
        <w:t>,</w:t>
      </w:r>
      <w:r w:rsidRPr="007171C8">
        <w:rPr>
          <w:rFonts w:ascii="Arial" w:hAnsi="Arial" w:cs="Arial"/>
          <w:sz w:val="24"/>
          <w:szCs w:val="24"/>
        </w:rPr>
        <w:t xml:space="preserve"> team-based care coordination, and the </w:t>
      </w:r>
      <w:r w:rsidR="00B25B25" w:rsidRPr="007171C8">
        <w:rPr>
          <w:rFonts w:ascii="Arial" w:hAnsi="Arial" w:cs="Arial"/>
          <w:sz w:val="24"/>
          <w:szCs w:val="24"/>
        </w:rPr>
        <w:t>integration of behavioral</w:t>
      </w:r>
      <w:r w:rsidRPr="007171C8">
        <w:rPr>
          <w:rFonts w:ascii="Arial" w:hAnsi="Arial" w:cs="Arial"/>
          <w:sz w:val="24"/>
          <w:szCs w:val="24"/>
        </w:rPr>
        <w:t xml:space="preserve">, </w:t>
      </w:r>
      <w:r w:rsidR="006C1A35">
        <w:rPr>
          <w:rFonts w:ascii="Arial" w:hAnsi="Arial" w:cs="Arial"/>
          <w:sz w:val="24"/>
          <w:szCs w:val="24"/>
        </w:rPr>
        <w:t>long-term services and supports (</w:t>
      </w:r>
      <w:r w:rsidRPr="007171C8">
        <w:rPr>
          <w:rFonts w:ascii="Arial" w:hAnsi="Arial" w:cs="Arial"/>
          <w:sz w:val="24"/>
          <w:szCs w:val="24"/>
        </w:rPr>
        <w:t>LTSS</w:t>
      </w:r>
      <w:r w:rsidR="006C1A35">
        <w:rPr>
          <w:rFonts w:ascii="Arial" w:hAnsi="Arial" w:cs="Arial"/>
          <w:sz w:val="24"/>
          <w:szCs w:val="24"/>
        </w:rPr>
        <w:t>)</w:t>
      </w:r>
      <w:r w:rsidRPr="007171C8">
        <w:rPr>
          <w:rFonts w:ascii="Arial" w:hAnsi="Arial" w:cs="Arial"/>
          <w:sz w:val="24"/>
          <w:szCs w:val="24"/>
        </w:rPr>
        <w:t>,</w:t>
      </w:r>
      <w:r w:rsidR="00B25B25" w:rsidRPr="007171C8">
        <w:rPr>
          <w:rFonts w:ascii="Arial" w:hAnsi="Arial" w:cs="Arial"/>
          <w:sz w:val="24"/>
          <w:szCs w:val="24"/>
        </w:rPr>
        <w:t xml:space="preserve"> and physical health care. </w:t>
      </w:r>
      <w:r w:rsidRPr="007171C8">
        <w:rPr>
          <w:rFonts w:ascii="Arial" w:hAnsi="Arial" w:cs="Arial"/>
          <w:sz w:val="24"/>
          <w:szCs w:val="24"/>
        </w:rPr>
        <w:t xml:space="preserve">Under ACOs, </w:t>
      </w:r>
      <w:r w:rsidR="00B25B25" w:rsidRPr="007171C8">
        <w:rPr>
          <w:rFonts w:ascii="Arial" w:hAnsi="Arial" w:cs="Arial"/>
          <w:sz w:val="24"/>
          <w:szCs w:val="24"/>
        </w:rPr>
        <w:t>MassHealth members have a specific primary care provider</w:t>
      </w:r>
      <w:r w:rsidRPr="007171C8">
        <w:rPr>
          <w:rFonts w:ascii="Arial" w:hAnsi="Arial" w:cs="Arial"/>
          <w:sz w:val="24"/>
          <w:szCs w:val="24"/>
        </w:rPr>
        <w:t>, as well as</w:t>
      </w:r>
      <w:r w:rsidR="00B25B25" w:rsidRPr="007171C8">
        <w:rPr>
          <w:rFonts w:ascii="Arial" w:hAnsi="Arial" w:cs="Arial"/>
          <w:sz w:val="24"/>
          <w:szCs w:val="24"/>
        </w:rPr>
        <w:t xml:space="preserve"> access to robust networks of specialty providers (e.g., hospitals, specialists, behavioral health providers) that participate in t</w:t>
      </w:r>
      <w:r w:rsidRPr="007171C8">
        <w:rPr>
          <w:rFonts w:ascii="Arial" w:hAnsi="Arial" w:cs="Arial"/>
          <w:sz w:val="24"/>
          <w:szCs w:val="24"/>
        </w:rPr>
        <w:t xml:space="preserve">heir plan. </w:t>
      </w:r>
      <w:r w:rsidR="00AD00C8">
        <w:rPr>
          <w:rFonts w:ascii="Arial" w:hAnsi="Arial" w:cs="Arial"/>
          <w:sz w:val="24"/>
          <w:szCs w:val="24"/>
        </w:rPr>
        <w:t xml:space="preserve">MassHealth offers </w:t>
      </w:r>
      <w:r w:rsidR="00DC3EE9">
        <w:rPr>
          <w:rFonts w:ascii="Arial" w:hAnsi="Arial" w:cs="Arial"/>
          <w:sz w:val="24"/>
          <w:szCs w:val="24"/>
        </w:rPr>
        <w:t xml:space="preserve">three </w:t>
      </w:r>
      <w:r w:rsidR="00AD00C8">
        <w:rPr>
          <w:rFonts w:ascii="Arial" w:hAnsi="Arial" w:cs="Arial"/>
          <w:sz w:val="24"/>
          <w:szCs w:val="24"/>
        </w:rPr>
        <w:t>types of ACOs</w:t>
      </w:r>
      <w:r w:rsidR="00795149">
        <w:rPr>
          <w:rFonts w:ascii="Arial" w:hAnsi="Arial" w:cs="Arial"/>
          <w:sz w:val="24"/>
          <w:szCs w:val="24"/>
        </w:rPr>
        <w:t>.</w:t>
      </w:r>
      <w:r w:rsidR="00AD00C8" w:rsidRPr="00AD00C8">
        <w:rPr>
          <w:rFonts w:ascii="Arial" w:hAnsi="Arial" w:cs="Arial"/>
          <w:sz w:val="24"/>
          <w:szCs w:val="24"/>
        </w:rPr>
        <w:t xml:space="preserve"> </w:t>
      </w:r>
      <w:r w:rsidR="00AD00C8">
        <w:rPr>
          <w:rFonts w:ascii="Arial" w:hAnsi="Arial" w:cs="Arial"/>
          <w:sz w:val="24"/>
          <w:szCs w:val="24"/>
        </w:rPr>
        <w:t xml:space="preserve">Accountable Care Partnership </w:t>
      </w:r>
      <w:r w:rsidR="002B2ED6">
        <w:rPr>
          <w:rFonts w:ascii="Arial" w:hAnsi="Arial" w:cs="Arial"/>
          <w:sz w:val="24"/>
          <w:szCs w:val="24"/>
        </w:rPr>
        <w:t>P</w:t>
      </w:r>
      <w:r w:rsidR="00AD00C8">
        <w:rPr>
          <w:rFonts w:ascii="Arial" w:hAnsi="Arial" w:cs="Arial"/>
          <w:sz w:val="24"/>
          <w:szCs w:val="24"/>
        </w:rPr>
        <w:t xml:space="preserve">lans </w:t>
      </w:r>
      <w:r w:rsidR="002B2ED6" w:rsidRPr="002B2ED6">
        <w:rPr>
          <w:rFonts w:ascii="Arial" w:hAnsi="Arial" w:cs="Arial"/>
          <w:sz w:val="24"/>
          <w:szCs w:val="24"/>
        </w:rPr>
        <w:t xml:space="preserve">are groups of primary care providers (PCPs) who work with one </w:t>
      </w:r>
      <w:r w:rsidR="00602114">
        <w:rPr>
          <w:rFonts w:ascii="Arial" w:hAnsi="Arial" w:cs="Arial"/>
          <w:sz w:val="24"/>
          <w:szCs w:val="24"/>
        </w:rPr>
        <w:t>MCO</w:t>
      </w:r>
      <w:r w:rsidR="002B2ED6" w:rsidRPr="002B2ED6">
        <w:rPr>
          <w:rFonts w:ascii="Arial" w:hAnsi="Arial" w:cs="Arial"/>
          <w:sz w:val="24"/>
          <w:szCs w:val="24"/>
        </w:rPr>
        <w:t xml:space="preserve"> to create a full network that includes PCPs, specialists, behavioral health providers, and hospitals</w:t>
      </w:r>
      <w:r w:rsidR="002B2ED6">
        <w:rPr>
          <w:rFonts w:ascii="Arial" w:hAnsi="Arial" w:cs="Arial"/>
          <w:sz w:val="24"/>
          <w:szCs w:val="24"/>
        </w:rPr>
        <w:t xml:space="preserve">. </w:t>
      </w:r>
      <w:r w:rsidR="00A815A7">
        <w:rPr>
          <w:rFonts w:ascii="Arial" w:hAnsi="Arial" w:cs="Arial"/>
          <w:sz w:val="24"/>
          <w:szCs w:val="24"/>
        </w:rPr>
        <w:t>In</w:t>
      </w:r>
      <w:r w:rsidRPr="007171C8">
        <w:rPr>
          <w:rFonts w:ascii="Arial" w:hAnsi="Arial" w:cs="Arial"/>
          <w:sz w:val="24"/>
          <w:szCs w:val="24"/>
        </w:rPr>
        <w:t xml:space="preserve"> Primary Care ACOs</w:t>
      </w:r>
      <w:r w:rsidR="00B25B25" w:rsidRPr="007171C8">
        <w:rPr>
          <w:rFonts w:ascii="Arial" w:hAnsi="Arial" w:cs="Arial"/>
          <w:sz w:val="24"/>
          <w:szCs w:val="24"/>
        </w:rPr>
        <w:t>, members may access the full MassHealth FFS network for providers</w:t>
      </w:r>
      <w:r w:rsidR="006442F6">
        <w:rPr>
          <w:rFonts w:ascii="Arial" w:hAnsi="Arial" w:cs="Arial"/>
          <w:sz w:val="24"/>
          <w:szCs w:val="24"/>
        </w:rPr>
        <w:t xml:space="preserve"> and access behavioral health services from </w:t>
      </w:r>
      <w:r w:rsidR="00565D94">
        <w:rPr>
          <w:rFonts w:ascii="Arial" w:hAnsi="Arial" w:cs="Arial"/>
          <w:sz w:val="24"/>
          <w:szCs w:val="24"/>
        </w:rPr>
        <w:t>MBHP</w:t>
      </w:r>
      <w:r w:rsidR="00B25B25" w:rsidRPr="007171C8">
        <w:rPr>
          <w:rFonts w:ascii="Arial" w:hAnsi="Arial" w:cs="Arial"/>
          <w:sz w:val="24"/>
          <w:szCs w:val="24"/>
        </w:rPr>
        <w:t xml:space="preserve">. </w:t>
      </w:r>
      <w:r w:rsidR="000069E1" w:rsidRPr="000069E1">
        <w:rPr>
          <w:rFonts w:ascii="Arial" w:hAnsi="Arial" w:cs="Arial"/>
          <w:sz w:val="24"/>
          <w:szCs w:val="24"/>
        </w:rPr>
        <w:t>MCO-Administered ACOs are network</w:t>
      </w:r>
      <w:r w:rsidR="005D6DF0">
        <w:rPr>
          <w:rFonts w:ascii="Arial" w:hAnsi="Arial" w:cs="Arial"/>
          <w:sz w:val="24"/>
          <w:szCs w:val="24"/>
        </w:rPr>
        <w:t>s</w:t>
      </w:r>
      <w:r w:rsidR="000069E1" w:rsidRPr="000069E1">
        <w:rPr>
          <w:rFonts w:ascii="Arial" w:hAnsi="Arial" w:cs="Arial"/>
          <w:sz w:val="24"/>
          <w:szCs w:val="24"/>
        </w:rPr>
        <w:t xml:space="preserve"> of PCPs who may contract with one or multiple </w:t>
      </w:r>
      <w:r w:rsidR="00D45FD8" w:rsidRPr="000069E1">
        <w:rPr>
          <w:rFonts w:ascii="Arial" w:hAnsi="Arial" w:cs="Arial"/>
          <w:sz w:val="24"/>
          <w:szCs w:val="24"/>
        </w:rPr>
        <w:t>MCOs and</w:t>
      </w:r>
      <w:r w:rsidR="000069E1" w:rsidRPr="000069E1">
        <w:rPr>
          <w:rFonts w:ascii="Arial" w:hAnsi="Arial" w:cs="Arial"/>
          <w:sz w:val="24"/>
          <w:szCs w:val="24"/>
        </w:rPr>
        <w:t xml:space="preserve"> use the MCO provider networks to provide integrated and coordinated care for members.</w:t>
      </w:r>
      <w:r w:rsidR="002C37D2">
        <w:rPr>
          <w:rFonts w:ascii="Arial" w:hAnsi="Arial" w:cs="Arial"/>
          <w:sz w:val="24"/>
          <w:szCs w:val="24"/>
        </w:rPr>
        <w:t xml:space="preserve"> </w:t>
      </w:r>
      <w:r w:rsidR="00795149">
        <w:rPr>
          <w:rFonts w:ascii="Arial" w:hAnsi="Arial" w:cs="Arial"/>
          <w:sz w:val="24"/>
          <w:szCs w:val="24"/>
        </w:rPr>
        <w:t xml:space="preserve">Members </w:t>
      </w:r>
      <w:r w:rsidR="00795149">
        <w:rPr>
          <w:rFonts w:ascii="Arial" w:hAnsi="Arial" w:cs="Arial"/>
          <w:sz w:val="24"/>
          <w:szCs w:val="24"/>
        </w:rPr>
        <w:lastRenderedPageBreak/>
        <w:t xml:space="preserve">are attributed to MCO-Administered ACOs and enrolled in MCOs. </w:t>
      </w:r>
      <w:r w:rsidR="00B25B25" w:rsidRPr="007171C8">
        <w:rPr>
          <w:rFonts w:ascii="Arial" w:hAnsi="Arial" w:cs="Arial"/>
          <w:sz w:val="24"/>
          <w:szCs w:val="24"/>
        </w:rPr>
        <w:t xml:space="preserve">ACOs are also financially accountable for specific quality measures. As of 2019, there are </w:t>
      </w:r>
      <w:r w:rsidR="006C1A35">
        <w:rPr>
          <w:rFonts w:ascii="Arial" w:hAnsi="Arial" w:cs="Arial"/>
          <w:sz w:val="24"/>
          <w:szCs w:val="24"/>
        </w:rPr>
        <w:t xml:space="preserve">more than </w:t>
      </w:r>
      <w:r w:rsidR="00B25B25" w:rsidRPr="007171C8">
        <w:rPr>
          <w:rFonts w:ascii="Arial" w:hAnsi="Arial" w:cs="Arial"/>
          <w:sz w:val="24"/>
          <w:szCs w:val="24"/>
        </w:rPr>
        <w:t>850,000 MassHealth members enrolled with 17 ACOs contracted across the Commonwealth.</w:t>
      </w:r>
      <w:r w:rsidR="00AD00C8">
        <w:rPr>
          <w:rFonts w:ascii="Arial" w:hAnsi="Arial" w:cs="Arial"/>
          <w:sz w:val="24"/>
          <w:szCs w:val="24"/>
        </w:rPr>
        <w:t xml:space="preserve"> </w:t>
      </w:r>
      <w:r w:rsidR="00B25B25" w:rsidRPr="007171C8">
        <w:rPr>
          <w:rFonts w:ascii="Arial" w:hAnsi="Arial" w:cs="Arial"/>
          <w:sz w:val="24"/>
          <w:szCs w:val="24"/>
        </w:rPr>
        <w:t xml:space="preserve"> Only members who are </w:t>
      </w:r>
      <w:r w:rsidR="006C1A35">
        <w:rPr>
          <w:rFonts w:ascii="Arial" w:hAnsi="Arial" w:cs="Arial"/>
          <w:sz w:val="24"/>
          <w:szCs w:val="24"/>
        </w:rPr>
        <w:t>m</w:t>
      </w:r>
      <w:r w:rsidR="00B25B25" w:rsidRPr="007171C8">
        <w:rPr>
          <w:rFonts w:ascii="Arial" w:hAnsi="Arial" w:cs="Arial"/>
          <w:sz w:val="24"/>
          <w:szCs w:val="24"/>
        </w:rPr>
        <w:t xml:space="preserve">anaged </w:t>
      </w:r>
      <w:r w:rsidR="006C1A35">
        <w:rPr>
          <w:rFonts w:ascii="Arial" w:hAnsi="Arial" w:cs="Arial"/>
          <w:sz w:val="24"/>
          <w:szCs w:val="24"/>
        </w:rPr>
        <w:t>c</w:t>
      </w:r>
      <w:r w:rsidR="00B25B25" w:rsidRPr="007171C8">
        <w:rPr>
          <w:rFonts w:ascii="Arial" w:hAnsi="Arial" w:cs="Arial"/>
          <w:sz w:val="24"/>
          <w:szCs w:val="24"/>
        </w:rPr>
        <w:t>are eligible may participate in ACOs. The ACO program did not impact managed care or FFS eligibility</w:t>
      </w:r>
      <w:r w:rsidRPr="007171C8">
        <w:rPr>
          <w:rFonts w:ascii="Arial" w:hAnsi="Arial" w:cs="Arial"/>
          <w:sz w:val="24"/>
          <w:szCs w:val="24"/>
        </w:rPr>
        <w:t>.</w:t>
      </w:r>
    </w:p>
    <w:p w:rsidR="00B25B25" w:rsidRPr="007171C8" w:rsidRDefault="00B25B25" w:rsidP="000C1D55">
      <w:pPr>
        <w:ind w:firstLine="0"/>
        <w:rPr>
          <w:rFonts w:ascii="Arial" w:hAnsi="Arial" w:cs="Arial"/>
          <w:sz w:val="24"/>
          <w:szCs w:val="24"/>
        </w:rPr>
      </w:pPr>
    </w:p>
    <w:p w:rsidR="00B25B25" w:rsidRPr="007171C8" w:rsidRDefault="00B25B25" w:rsidP="00B25B25">
      <w:pPr>
        <w:pStyle w:val="Heading2"/>
        <w:rPr>
          <w:rFonts w:ascii="Arial" w:hAnsi="Arial" w:cs="Arial"/>
          <w:color w:val="auto"/>
          <w:sz w:val="24"/>
          <w:u w:val="single"/>
        </w:rPr>
      </w:pPr>
      <w:bookmarkStart w:id="8" w:name="_Toc10810568"/>
      <w:bookmarkStart w:id="9" w:name="_Toc20296916"/>
      <w:r w:rsidRPr="007171C8">
        <w:rPr>
          <w:rFonts w:ascii="Arial" w:hAnsi="Arial" w:cs="Arial"/>
          <w:color w:val="auto"/>
          <w:sz w:val="24"/>
          <w:u w:val="single"/>
        </w:rPr>
        <w:t>Member Population Data</w:t>
      </w:r>
      <w:bookmarkEnd w:id="8"/>
      <w:bookmarkEnd w:id="9"/>
    </w:p>
    <w:p w:rsidR="001D67D0" w:rsidRDefault="001D67D0" w:rsidP="007D5848">
      <w:pPr>
        <w:ind w:firstLine="0"/>
        <w:rPr>
          <w:b/>
          <w:sz w:val="24"/>
          <w:szCs w:val="24"/>
        </w:rPr>
      </w:pPr>
    </w:p>
    <w:p w:rsidR="00AC79CD" w:rsidRPr="007171C8" w:rsidRDefault="00AC79CD" w:rsidP="007D5848">
      <w:pPr>
        <w:ind w:firstLine="0"/>
        <w:rPr>
          <w:rFonts w:ascii="Arial" w:hAnsi="Arial" w:cs="Arial"/>
          <w:sz w:val="24"/>
          <w:szCs w:val="24"/>
        </w:rPr>
      </w:pPr>
      <w:r w:rsidRPr="007171C8">
        <w:rPr>
          <w:rFonts w:ascii="Arial" w:hAnsi="Arial" w:cs="Arial"/>
          <w:sz w:val="24"/>
          <w:szCs w:val="24"/>
        </w:rPr>
        <w:t xml:space="preserve">In the following </w:t>
      </w:r>
      <w:r w:rsidRPr="00FB79CD">
        <w:rPr>
          <w:rFonts w:ascii="Arial" w:hAnsi="Arial" w:cs="Arial"/>
          <w:sz w:val="24"/>
          <w:szCs w:val="24"/>
        </w:rPr>
        <w:t>Figures #1-3,</w:t>
      </w:r>
      <w:r w:rsidRPr="007171C8">
        <w:rPr>
          <w:rFonts w:ascii="Arial" w:hAnsi="Arial" w:cs="Arial"/>
          <w:sz w:val="24"/>
          <w:szCs w:val="24"/>
        </w:rPr>
        <w:t xml:space="preserve"> the population displayed includes </w:t>
      </w:r>
      <w:r w:rsidR="00513121" w:rsidRPr="007171C8">
        <w:rPr>
          <w:rFonts w:ascii="Arial" w:hAnsi="Arial" w:cs="Arial"/>
          <w:sz w:val="24"/>
          <w:szCs w:val="24"/>
        </w:rPr>
        <w:t xml:space="preserve">Medicaid </w:t>
      </w:r>
      <w:r w:rsidRPr="007171C8">
        <w:rPr>
          <w:rFonts w:ascii="Arial" w:hAnsi="Arial" w:cs="Arial"/>
          <w:sz w:val="24"/>
          <w:szCs w:val="24"/>
        </w:rPr>
        <w:t xml:space="preserve">members who have MassHealth as their primary coverage (CHIP and state-funded members have been excluded) in order to provide the most accurate demographics on the MassHealth </w:t>
      </w:r>
      <w:r w:rsidR="00A37FC6">
        <w:rPr>
          <w:rFonts w:ascii="Arial" w:hAnsi="Arial" w:cs="Arial"/>
          <w:sz w:val="24"/>
          <w:szCs w:val="24"/>
        </w:rPr>
        <w:t>AMRP population (</w:t>
      </w:r>
      <w:r w:rsidRPr="007171C8">
        <w:rPr>
          <w:rFonts w:ascii="Arial" w:hAnsi="Arial" w:cs="Arial"/>
          <w:sz w:val="24"/>
          <w:szCs w:val="24"/>
        </w:rPr>
        <w:t>FFS</w:t>
      </w:r>
      <w:r w:rsidR="002E09D5">
        <w:rPr>
          <w:rFonts w:ascii="Arial" w:hAnsi="Arial" w:cs="Arial"/>
          <w:sz w:val="24"/>
          <w:szCs w:val="24"/>
        </w:rPr>
        <w:t>,</w:t>
      </w:r>
      <w:r w:rsidR="001F29C1">
        <w:rPr>
          <w:rFonts w:ascii="Arial" w:hAnsi="Arial" w:cs="Arial"/>
          <w:sz w:val="24"/>
          <w:szCs w:val="24"/>
        </w:rPr>
        <w:t xml:space="preserve"> </w:t>
      </w:r>
      <w:r w:rsidR="002E09D5">
        <w:rPr>
          <w:rFonts w:ascii="Arial" w:hAnsi="Arial" w:cs="Arial"/>
          <w:sz w:val="24"/>
          <w:szCs w:val="24"/>
        </w:rPr>
        <w:t>Primary Care ACO</w:t>
      </w:r>
      <w:r w:rsidRPr="007171C8">
        <w:rPr>
          <w:rFonts w:ascii="Arial" w:hAnsi="Arial" w:cs="Arial"/>
          <w:sz w:val="24"/>
          <w:szCs w:val="24"/>
        </w:rPr>
        <w:t xml:space="preserve"> </w:t>
      </w:r>
      <w:r w:rsidR="00513121" w:rsidRPr="007171C8">
        <w:rPr>
          <w:rFonts w:ascii="Arial" w:hAnsi="Arial" w:cs="Arial"/>
          <w:sz w:val="24"/>
          <w:szCs w:val="24"/>
        </w:rPr>
        <w:t xml:space="preserve">and PCC </w:t>
      </w:r>
      <w:r w:rsidRPr="007171C8">
        <w:rPr>
          <w:rFonts w:ascii="Arial" w:hAnsi="Arial" w:cs="Arial"/>
          <w:sz w:val="24"/>
          <w:szCs w:val="24"/>
        </w:rPr>
        <w:t>population</w:t>
      </w:r>
      <w:r w:rsidR="00A37FC6">
        <w:rPr>
          <w:rFonts w:ascii="Arial" w:hAnsi="Arial" w:cs="Arial"/>
          <w:sz w:val="24"/>
          <w:szCs w:val="24"/>
        </w:rPr>
        <w:t>)</w:t>
      </w:r>
      <w:r w:rsidR="00676CB6">
        <w:rPr>
          <w:rFonts w:ascii="Arial" w:hAnsi="Arial" w:cs="Arial"/>
          <w:sz w:val="24"/>
          <w:szCs w:val="24"/>
        </w:rPr>
        <w:t>,</w:t>
      </w:r>
      <w:r w:rsidR="004E3C4B" w:rsidRPr="007171C8">
        <w:rPr>
          <w:rFonts w:ascii="Arial" w:hAnsi="Arial" w:cs="Arial"/>
          <w:sz w:val="24"/>
          <w:szCs w:val="24"/>
        </w:rPr>
        <w:t xml:space="preserve"> </w:t>
      </w:r>
      <w:r w:rsidR="004E3C4B" w:rsidRPr="002D0774">
        <w:rPr>
          <w:rFonts w:ascii="Arial" w:hAnsi="Arial" w:cs="Arial"/>
          <w:sz w:val="24"/>
          <w:szCs w:val="24"/>
        </w:rPr>
        <w:t>as required</w:t>
      </w:r>
      <w:r w:rsidR="004E3C4B" w:rsidRPr="007171C8">
        <w:rPr>
          <w:rFonts w:ascii="Arial" w:hAnsi="Arial" w:cs="Arial"/>
          <w:sz w:val="24"/>
          <w:szCs w:val="24"/>
        </w:rPr>
        <w:t xml:space="preserve"> by CMS</w:t>
      </w:r>
      <w:r w:rsidRPr="007171C8">
        <w:rPr>
          <w:rFonts w:ascii="Arial" w:hAnsi="Arial" w:cs="Arial"/>
          <w:sz w:val="24"/>
          <w:szCs w:val="24"/>
        </w:rPr>
        <w:t>.</w:t>
      </w:r>
    </w:p>
    <w:p w:rsidR="00A46B06" w:rsidRDefault="00A46B06" w:rsidP="00E26112">
      <w:pPr>
        <w:ind w:firstLine="0"/>
        <w:rPr>
          <w:rFonts w:ascii="Arial" w:hAnsi="Arial" w:cs="Arial"/>
          <w:b/>
          <w:sz w:val="24"/>
        </w:rPr>
      </w:pPr>
    </w:p>
    <w:p w:rsidR="0057273A" w:rsidRDefault="0057273A" w:rsidP="00E26112">
      <w:pPr>
        <w:ind w:firstLine="0"/>
        <w:rPr>
          <w:rFonts w:ascii="Arial" w:hAnsi="Arial" w:cs="Arial"/>
          <w:b/>
          <w:sz w:val="24"/>
        </w:rPr>
      </w:pPr>
      <w:r w:rsidRPr="00A779BD">
        <w:rPr>
          <w:rFonts w:ascii="Arial" w:hAnsi="Arial" w:cs="Arial"/>
          <w:b/>
          <w:sz w:val="24"/>
        </w:rPr>
        <w:t>Figure #1: Disabled and Non-Disabled Medicaid Members in SFY18</w:t>
      </w:r>
    </w:p>
    <w:p w:rsidR="0057273A" w:rsidRPr="007171C8" w:rsidRDefault="0057273A" w:rsidP="0057273A">
      <w:pPr>
        <w:ind w:firstLine="0"/>
        <w:rPr>
          <w:rFonts w:ascii="Arial" w:hAnsi="Arial" w:cs="Arial"/>
          <w:sz w:val="24"/>
          <w:szCs w:val="24"/>
        </w:rPr>
      </w:pPr>
      <w:r w:rsidRPr="007171C8">
        <w:rPr>
          <w:rFonts w:ascii="Arial" w:hAnsi="Arial" w:cs="Arial"/>
          <w:noProof/>
        </w:rPr>
        <w:drawing>
          <wp:inline distT="0" distB="0" distL="0" distR="0" wp14:anchorId="76D16E23" wp14:editId="5B7B2661">
            <wp:extent cx="4667250" cy="2867025"/>
            <wp:effectExtent l="0" t="0" r="19050" b="9525"/>
            <wp:docPr id="10" name="Chart 10" descr="The data is broken out adults vs. children" title="Disabled and Non-Disabled Medicaid Members in SFY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B00DBB3B-6685-4714-A5DC-B28EB73313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273A" w:rsidRPr="007171C8" w:rsidRDefault="0057273A" w:rsidP="0057273A">
      <w:pPr>
        <w:ind w:firstLine="0"/>
        <w:rPr>
          <w:rFonts w:ascii="Arial" w:hAnsi="Arial" w:cs="Arial"/>
          <w:sz w:val="24"/>
          <w:szCs w:val="24"/>
        </w:rPr>
      </w:pPr>
    </w:p>
    <w:p w:rsidR="00552417" w:rsidRDefault="0057273A" w:rsidP="007D5848">
      <w:pPr>
        <w:ind w:firstLine="0"/>
        <w:rPr>
          <w:rFonts w:ascii="Arial" w:hAnsi="Arial" w:cs="Arial"/>
          <w:sz w:val="24"/>
        </w:rPr>
      </w:pPr>
      <w:r w:rsidRPr="00FB79CD">
        <w:rPr>
          <w:rFonts w:ascii="Arial" w:hAnsi="Arial" w:cs="Arial"/>
          <w:sz w:val="24"/>
        </w:rPr>
        <w:t>Figure #1 shows</w:t>
      </w:r>
      <w:r w:rsidRPr="007171C8">
        <w:rPr>
          <w:rFonts w:ascii="Arial" w:hAnsi="Arial" w:cs="Arial"/>
          <w:sz w:val="24"/>
        </w:rPr>
        <w:t xml:space="preserve"> the population of MassHealth disabled and non-disabled Medicaid members in SFY18. Among adult</w:t>
      </w:r>
      <w:r w:rsidR="00676CB6">
        <w:rPr>
          <w:rFonts w:ascii="Arial" w:hAnsi="Arial" w:cs="Arial"/>
          <w:sz w:val="24"/>
        </w:rPr>
        <w:t xml:space="preserve"> member</w:t>
      </w:r>
      <w:r w:rsidRPr="007171C8">
        <w:rPr>
          <w:rFonts w:ascii="Arial" w:hAnsi="Arial" w:cs="Arial"/>
          <w:sz w:val="24"/>
        </w:rPr>
        <w:t>s, 23.5% were disabled and 76.5% were non-disabled. Among child</w:t>
      </w:r>
      <w:r w:rsidR="00676CB6">
        <w:rPr>
          <w:rFonts w:ascii="Arial" w:hAnsi="Arial" w:cs="Arial"/>
          <w:sz w:val="24"/>
        </w:rPr>
        <w:t xml:space="preserve"> members</w:t>
      </w:r>
      <w:r w:rsidRPr="007171C8">
        <w:rPr>
          <w:rFonts w:ascii="Arial" w:hAnsi="Arial" w:cs="Arial"/>
          <w:sz w:val="24"/>
        </w:rPr>
        <w:t>, 7.7% were disabled and 92.3</w:t>
      </w:r>
      <w:r w:rsidR="00EF5EDF" w:rsidRPr="007171C8">
        <w:rPr>
          <w:rFonts w:ascii="Arial" w:hAnsi="Arial" w:cs="Arial"/>
          <w:sz w:val="24"/>
        </w:rPr>
        <w:t>% were non-disabled.</w:t>
      </w:r>
    </w:p>
    <w:p w:rsidR="002C37D2" w:rsidRDefault="002C37D2" w:rsidP="007D5848">
      <w:pPr>
        <w:ind w:firstLine="0"/>
        <w:rPr>
          <w:rFonts w:ascii="Arial" w:hAnsi="Arial" w:cs="Arial"/>
          <w:b/>
          <w:sz w:val="24"/>
        </w:rPr>
      </w:pPr>
    </w:p>
    <w:p w:rsidR="00DF41A6" w:rsidRPr="00552417" w:rsidRDefault="002E70FC" w:rsidP="007D5848">
      <w:pPr>
        <w:ind w:firstLine="0"/>
        <w:rPr>
          <w:rFonts w:ascii="Arial" w:hAnsi="Arial" w:cs="Arial"/>
          <w:sz w:val="24"/>
        </w:rPr>
      </w:pPr>
      <w:r w:rsidRPr="00A779BD">
        <w:rPr>
          <w:rFonts w:ascii="Arial" w:hAnsi="Arial" w:cs="Arial"/>
          <w:b/>
          <w:sz w:val="24"/>
        </w:rPr>
        <w:lastRenderedPageBreak/>
        <w:t>Figure #2: Medicaid Members by Service Delivery System, SFY18</w:t>
      </w:r>
      <w:r w:rsidR="008B3F54" w:rsidRPr="00A779BD">
        <w:rPr>
          <w:rFonts w:ascii="Arial" w:hAnsi="Arial" w:cs="Arial"/>
          <w:b/>
          <w:sz w:val="24"/>
        </w:rPr>
        <w:t>: Bar Graph</w:t>
      </w:r>
      <w:r w:rsidR="002E7CE0" w:rsidRPr="007171C8">
        <w:rPr>
          <w:rFonts w:ascii="Arial" w:hAnsi="Arial" w:cs="Arial"/>
          <w:noProof/>
        </w:rPr>
        <w:drawing>
          <wp:inline distT="0" distB="0" distL="0" distR="0" wp14:anchorId="1E7C4636" wp14:editId="209E3978">
            <wp:extent cx="5276850" cy="2743200"/>
            <wp:effectExtent l="0" t="0" r="19050" b="19050"/>
            <wp:docPr id="13" name="Chart 13" descr="The data is broken out adults vs. children" title="Medicaid Members by Service Delivery System, SFY18: Bar Graph">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E7195F5-495D-45FF-856F-EBC3D28EA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23F0" w:rsidRDefault="00DC3EE9" w:rsidP="007D5848">
      <w:pPr>
        <w:ind w:firstLine="0"/>
        <w:rPr>
          <w:rFonts w:ascii="Arial" w:hAnsi="Arial" w:cs="Arial"/>
          <w:sz w:val="24"/>
          <w:szCs w:val="24"/>
        </w:rPr>
      </w:pPr>
      <w:r w:rsidRPr="00DC3EE9">
        <w:rPr>
          <w:rFonts w:ascii="Arial" w:hAnsi="Arial" w:cs="Arial"/>
          <w:sz w:val="24"/>
          <w:szCs w:val="24"/>
        </w:rPr>
        <w:t xml:space="preserve">*Members in MCO-Administered ACOs will appear under “MCO” in this diagram, as </w:t>
      </w:r>
      <w:r w:rsidR="00795149">
        <w:rPr>
          <w:rFonts w:ascii="Arial" w:hAnsi="Arial" w:cs="Arial"/>
          <w:sz w:val="24"/>
          <w:szCs w:val="24"/>
        </w:rPr>
        <w:t xml:space="preserve">MCO-Administered ACO-attributed </w:t>
      </w:r>
      <w:r w:rsidRPr="00DC3EE9">
        <w:rPr>
          <w:rFonts w:ascii="Arial" w:hAnsi="Arial" w:cs="Arial"/>
          <w:sz w:val="24"/>
          <w:szCs w:val="24"/>
        </w:rPr>
        <w:t xml:space="preserve">members are enrolled </w:t>
      </w:r>
      <w:r w:rsidR="00795149">
        <w:rPr>
          <w:rFonts w:ascii="Arial" w:hAnsi="Arial" w:cs="Arial"/>
          <w:sz w:val="24"/>
          <w:szCs w:val="24"/>
        </w:rPr>
        <w:t>in</w:t>
      </w:r>
      <w:r w:rsidRPr="00DC3EE9">
        <w:rPr>
          <w:rFonts w:ascii="Arial" w:hAnsi="Arial" w:cs="Arial"/>
          <w:sz w:val="24"/>
          <w:szCs w:val="24"/>
        </w:rPr>
        <w:t xml:space="preserve"> and utilize the network of one of the MCOs.</w:t>
      </w:r>
    </w:p>
    <w:p w:rsidR="00DC3EE9" w:rsidRPr="007171C8" w:rsidRDefault="00DC3EE9" w:rsidP="007D5848">
      <w:pPr>
        <w:ind w:firstLine="0"/>
        <w:rPr>
          <w:rFonts w:ascii="Arial" w:hAnsi="Arial" w:cs="Arial"/>
          <w:sz w:val="24"/>
          <w:szCs w:val="24"/>
        </w:rPr>
      </w:pPr>
    </w:p>
    <w:p w:rsidR="001A10D0" w:rsidRDefault="00E73A18" w:rsidP="001159B2">
      <w:pPr>
        <w:ind w:firstLine="0"/>
        <w:rPr>
          <w:rFonts w:ascii="Arial" w:hAnsi="Arial" w:cs="Arial"/>
          <w:sz w:val="24"/>
          <w:szCs w:val="24"/>
        </w:rPr>
      </w:pPr>
      <w:r w:rsidRPr="007171C8">
        <w:rPr>
          <w:rFonts w:ascii="Arial" w:hAnsi="Arial" w:cs="Arial"/>
          <w:sz w:val="24"/>
          <w:szCs w:val="24"/>
        </w:rPr>
        <w:t>Figure #</w:t>
      </w:r>
      <w:r w:rsidR="004D7140">
        <w:rPr>
          <w:rFonts w:ascii="Arial" w:hAnsi="Arial" w:cs="Arial"/>
          <w:sz w:val="24"/>
          <w:szCs w:val="24"/>
        </w:rPr>
        <w:t xml:space="preserve">2 </w:t>
      </w:r>
      <w:r w:rsidRPr="007171C8">
        <w:rPr>
          <w:rFonts w:ascii="Arial" w:hAnsi="Arial" w:cs="Arial"/>
          <w:sz w:val="24"/>
          <w:szCs w:val="24"/>
        </w:rPr>
        <w:t>show</w:t>
      </w:r>
      <w:r w:rsidR="004D7140">
        <w:rPr>
          <w:rFonts w:ascii="Arial" w:hAnsi="Arial" w:cs="Arial"/>
          <w:sz w:val="24"/>
          <w:szCs w:val="24"/>
        </w:rPr>
        <w:t>s</w:t>
      </w:r>
      <w:r w:rsidRPr="007171C8">
        <w:rPr>
          <w:rFonts w:ascii="Arial" w:hAnsi="Arial" w:cs="Arial"/>
          <w:sz w:val="24"/>
          <w:szCs w:val="24"/>
        </w:rPr>
        <w:t xml:space="preserve"> the distribution of MassHealth Medicaid members by delivery system in SFY18. Fifteen</w:t>
      </w:r>
      <w:r w:rsidR="00B6510C">
        <w:rPr>
          <w:rFonts w:ascii="Arial" w:hAnsi="Arial" w:cs="Arial"/>
          <w:sz w:val="24"/>
          <w:szCs w:val="24"/>
        </w:rPr>
        <w:t xml:space="preserve"> percent</w:t>
      </w:r>
      <w:r w:rsidRPr="007171C8">
        <w:rPr>
          <w:rFonts w:ascii="Arial" w:hAnsi="Arial" w:cs="Arial"/>
          <w:sz w:val="24"/>
          <w:szCs w:val="24"/>
        </w:rPr>
        <w:t xml:space="preserve"> (15%) were adults enrolled in </w:t>
      </w:r>
      <w:r w:rsidR="00133F92" w:rsidRPr="007171C8">
        <w:rPr>
          <w:rFonts w:ascii="Arial" w:hAnsi="Arial" w:cs="Arial"/>
          <w:sz w:val="24"/>
          <w:szCs w:val="24"/>
        </w:rPr>
        <w:t>an Accountable Care Partnership Plan ACO</w:t>
      </w:r>
      <w:r w:rsidR="00D639CA" w:rsidRPr="007171C8">
        <w:rPr>
          <w:rFonts w:ascii="Arial" w:hAnsi="Arial" w:cs="Arial"/>
          <w:sz w:val="24"/>
          <w:szCs w:val="24"/>
        </w:rPr>
        <w:t xml:space="preserve"> or </w:t>
      </w:r>
      <w:r w:rsidRPr="007171C8">
        <w:rPr>
          <w:rFonts w:ascii="Arial" w:hAnsi="Arial" w:cs="Arial"/>
          <w:sz w:val="24"/>
          <w:szCs w:val="24"/>
        </w:rPr>
        <w:t>MCO,</w:t>
      </w:r>
      <w:r w:rsidR="00041291" w:rsidRPr="007171C8">
        <w:rPr>
          <w:rFonts w:ascii="Arial" w:hAnsi="Arial" w:cs="Arial"/>
          <w:sz w:val="24"/>
          <w:szCs w:val="24"/>
        </w:rPr>
        <w:t xml:space="preserve"> </w:t>
      </w:r>
      <w:r w:rsidR="00602114">
        <w:rPr>
          <w:rFonts w:ascii="Arial" w:hAnsi="Arial" w:cs="Arial"/>
          <w:sz w:val="24"/>
          <w:szCs w:val="24"/>
        </w:rPr>
        <w:t>seventeen</w:t>
      </w:r>
      <w:r w:rsidR="00B6510C">
        <w:rPr>
          <w:rFonts w:ascii="Arial" w:hAnsi="Arial" w:cs="Arial"/>
          <w:sz w:val="24"/>
          <w:szCs w:val="24"/>
        </w:rPr>
        <w:t xml:space="preserve"> percent (17</w:t>
      </w:r>
      <w:r w:rsidR="00041291" w:rsidRPr="007171C8">
        <w:rPr>
          <w:rFonts w:ascii="Arial" w:hAnsi="Arial" w:cs="Arial"/>
          <w:sz w:val="24"/>
          <w:szCs w:val="24"/>
        </w:rPr>
        <w:t>%</w:t>
      </w:r>
      <w:r w:rsidR="00B6510C">
        <w:rPr>
          <w:rFonts w:ascii="Arial" w:hAnsi="Arial" w:cs="Arial"/>
          <w:sz w:val="24"/>
          <w:szCs w:val="24"/>
        </w:rPr>
        <w:t>)</w:t>
      </w:r>
      <w:r w:rsidR="00041291" w:rsidRPr="007171C8">
        <w:rPr>
          <w:rFonts w:ascii="Arial" w:hAnsi="Arial" w:cs="Arial"/>
          <w:sz w:val="24"/>
          <w:szCs w:val="24"/>
        </w:rPr>
        <w:t xml:space="preserve"> were adults enrolled in a</w:t>
      </w:r>
      <w:r w:rsidRPr="007171C8">
        <w:rPr>
          <w:rFonts w:ascii="Arial" w:hAnsi="Arial" w:cs="Arial"/>
          <w:sz w:val="24"/>
          <w:szCs w:val="24"/>
        </w:rPr>
        <w:t xml:space="preserve"> </w:t>
      </w:r>
      <w:r w:rsidR="00041291" w:rsidRPr="007171C8">
        <w:rPr>
          <w:rFonts w:ascii="Arial" w:hAnsi="Arial" w:cs="Arial"/>
          <w:sz w:val="24"/>
          <w:szCs w:val="24"/>
        </w:rPr>
        <w:t>Primary Care ACO</w:t>
      </w:r>
      <w:r w:rsidR="00D639CA" w:rsidRPr="007171C8">
        <w:rPr>
          <w:rFonts w:ascii="Arial" w:hAnsi="Arial" w:cs="Arial"/>
          <w:sz w:val="24"/>
          <w:szCs w:val="24"/>
        </w:rPr>
        <w:t xml:space="preserve"> or the</w:t>
      </w:r>
      <w:r w:rsidR="00A12100" w:rsidRPr="007171C8">
        <w:rPr>
          <w:rFonts w:ascii="Arial" w:hAnsi="Arial" w:cs="Arial"/>
          <w:sz w:val="24"/>
          <w:szCs w:val="24"/>
        </w:rPr>
        <w:t xml:space="preserve"> </w:t>
      </w:r>
      <w:r w:rsidRPr="007171C8">
        <w:rPr>
          <w:rFonts w:ascii="Arial" w:hAnsi="Arial" w:cs="Arial"/>
          <w:sz w:val="24"/>
          <w:szCs w:val="24"/>
        </w:rPr>
        <w:t xml:space="preserve">PCC plan, and </w:t>
      </w:r>
      <w:r w:rsidR="00602114">
        <w:rPr>
          <w:rFonts w:ascii="Arial" w:hAnsi="Arial" w:cs="Arial"/>
          <w:sz w:val="24"/>
          <w:szCs w:val="24"/>
        </w:rPr>
        <w:t>thirty-two</w:t>
      </w:r>
      <w:r w:rsidR="00B6510C">
        <w:rPr>
          <w:rFonts w:ascii="Arial" w:hAnsi="Arial" w:cs="Arial"/>
          <w:sz w:val="24"/>
          <w:szCs w:val="24"/>
        </w:rPr>
        <w:t xml:space="preserve"> percent (32</w:t>
      </w:r>
      <w:r w:rsidRPr="007171C8">
        <w:rPr>
          <w:rFonts w:ascii="Arial" w:hAnsi="Arial" w:cs="Arial"/>
          <w:sz w:val="24"/>
          <w:szCs w:val="24"/>
        </w:rPr>
        <w:t>%</w:t>
      </w:r>
      <w:r w:rsidR="00B6510C">
        <w:rPr>
          <w:rFonts w:ascii="Arial" w:hAnsi="Arial" w:cs="Arial"/>
          <w:sz w:val="24"/>
          <w:szCs w:val="24"/>
        </w:rPr>
        <w:t>)</w:t>
      </w:r>
      <w:r w:rsidRPr="007171C8">
        <w:rPr>
          <w:rFonts w:ascii="Arial" w:hAnsi="Arial" w:cs="Arial"/>
          <w:sz w:val="24"/>
          <w:szCs w:val="24"/>
        </w:rPr>
        <w:t xml:space="preserve"> were adults enrolled in FFS coverage. </w:t>
      </w:r>
      <w:r w:rsidR="00154AF1" w:rsidRPr="00985776">
        <w:rPr>
          <w:rFonts w:ascii="Arial" w:hAnsi="Arial" w:cs="Arial"/>
          <w:sz w:val="24"/>
          <w:szCs w:val="24"/>
        </w:rPr>
        <w:t>S</w:t>
      </w:r>
      <w:r w:rsidR="00602114">
        <w:rPr>
          <w:rFonts w:ascii="Arial" w:hAnsi="Arial" w:cs="Arial"/>
          <w:sz w:val="24"/>
          <w:szCs w:val="24"/>
        </w:rPr>
        <w:t>eventeen</w:t>
      </w:r>
      <w:r w:rsidR="00B6510C">
        <w:rPr>
          <w:rFonts w:ascii="Arial" w:hAnsi="Arial" w:cs="Arial"/>
          <w:sz w:val="24"/>
          <w:szCs w:val="24"/>
        </w:rPr>
        <w:t xml:space="preserve"> percent (17</w:t>
      </w:r>
      <w:r w:rsidRPr="007171C8">
        <w:rPr>
          <w:rFonts w:ascii="Arial" w:hAnsi="Arial" w:cs="Arial"/>
          <w:sz w:val="24"/>
          <w:szCs w:val="24"/>
        </w:rPr>
        <w:t>%</w:t>
      </w:r>
      <w:r w:rsidR="00B6510C">
        <w:rPr>
          <w:rFonts w:ascii="Arial" w:hAnsi="Arial" w:cs="Arial"/>
          <w:sz w:val="24"/>
          <w:szCs w:val="24"/>
        </w:rPr>
        <w:t>)</w:t>
      </w:r>
      <w:r w:rsidRPr="007171C8">
        <w:rPr>
          <w:rFonts w:ascii="Arial" w:hAnsi="Arial" w:cs="Arial"/>
          <w:sz w:val="24"/>
          <w:szCs w:val="24"/>
        </w:rPr>
        <w:t xml:space="preserve"> were children enrolled in </w:t>
      </w:r>
      <w:r w:rsidR="00D639CA" w:rsidRPr="007171C8">
        <w:rPr>
          <w:rFonts w:ascii="Arial" w:hAnsi="Arial" w:cs="Arial"/>
          <w:sz w:val="24"/>
          <w:szCs w:val="24"/>
        </w:rPr>
        <w:t xml:space="preserve">an Accountable Care Partnership Care Plan or </w:t>
      </w:r>
      <w:r w:rsidRPr="007171C8">
        <w:rPr>
          <w:rFonts w:ascii="Arial" w:hAnsi="Arial" w:cs="Arial"/>
          <w:sz w:val="24"/>
          <w:szCs w:val="24"/>
        </w:rPr>
        <w:t xml:space="preserve">MCO, </w:t>
      </w:r>
      <w:r w:rsidR="00602114">
        <w:rPr>
          <w:rFonts w:ascii="Arial" w:hAnsi="Arial" w:cs="Arial"/>
          <w:sz w:val="24"/>
          <w:szCs w:val="24"/>
        </w:rPr>
        <w:t>twelve</w:t>
      </w:r>
      <w:r w:rsidRPr="007171C8">
        <w:rPr>
          <w:rFonts w:ascii="Arial" w:hAnsi="Arial" w:cs="Arial"/>
          <w:sz w:val="24"/>
          <w:szCs w:val="24"/>
        </w:rPr>
        <w:t xml:space="preserve">% were children enrolled in </w:t>
      </w:r>
      <w:r w:rsidR="00041291" w:rsidRPr="007171C8">
        <w:rPr>
          <w:rFonts w:ascii="Arial" w:hAnsi="Arial" w:cs="Arial"/>
          <w:sz w:val="24"/>
          <w:szCs w:val="24"/>
        </w:rPr>
        <w:t>a Primary Care ACO</w:t>
      </w:r>
      <w:r w:rsidR="00D639CA" w:rsidRPr="007171C8">
        <w:rPr>
          <w:rFonts w:ascii="Arial" w:hAnsi="Arial" w:cs="Arial"/>
          <w:sz w:val="24"/>
          <w:szCs w:val="24"/>
        </w:rPr>
        <w:t xml:space="preserve"> or the </w:t>
      </w:r>
      <w:r w:rsidRPr="007171C8">
        <w:rPr>
          <w:rFonts w:ascii="Arial" w:hAnsi="Arial" w:cs="Arial"/>
          <w:sz w:val="24"/>
          <w:szCs w:val="24"/>
        </w:rPr>
        <w:t xml:space="preserve">PCC plan, and </w:t>
      </w:r>
      <w:r w:rsidR="001C0E2A">
        <w:rPr>
          <w:rFonts w:ascii="Arial" w:hAnsi="Arial" w:cs="Arial"/>
          <w:sz w:val="24"/>
          <w:szCs w:val="24"/>
        </w:rPr>
        <w:t>seven</w:t>
      </w:r>
      <w:r w:rsidRPr="007171C8">
        <w:rPr>
          <w:rFonts w:ascii="Arial" w:hAnsi="Arial" w:cs="Arial"/>
          <w:sz w:val="24"/>
          <w:szCs w:val="24"/>
        </w:rPr>
        <w:t>% were children enrolled in FFS coverage.</w:t>
      </w:r>
    </w:p>
    <w:p w:rsidR="00D75AEC" w:rsidRDefault="00D75AEC" w:rsidP="001159B2">
      <w:pPr>
        <w:ind w:firstLine="0"/>
        <w:rPr>
          <w:rFonts w:ascii="Arial" w:hAnsi="Arial" w:cs="Arial"/>
          <w:b/>
          <w:sz w:val="24"/>
        </w:rPr>
      </w:pPr>
    </w:p>
    <w:p w:rsidR="0062252B" w:rsidRPr="007171C8" w:rsidRDefault="008623F0" w:rsidP="00BE1A18">
      <w:pPr>
        <w:ind w:firstLine="0"/>
        <w:rPr>
          <w:rFonts w:ascii="Arial" w:eastAsia="Calibri" w:hAnsi="Arial" w:cs="Arial"/>
          <w:color w:val="7030A0"/>
        </w:rPr>
      </w:pPr>
      <w:r w:rsidRPr="00A779BD">
        <w:rPr>
          <w:rFonts w:ascii="Arial" w:hAnsi="Arial" w:cs="Arial"/>
          <w:b/>
          <w:sz w:val="24"/>
        </w:rPr>
        <w:lastRenderedPageBreak/>
        <w:t xml:space="preserve">Figure </w:t>
      </w:r>
      <w:r w:rsidR="00B84D88" w:rsidRPr="00A779BD">
        <w:rPr>
          <w:rFonts w:ascii="Arial" w:hAnsi="Arial" w:cs="Arial"/>
          <w:b/>
          <w:sz w:val="24"/>
        </w:rPr>
        <w:t>#</w:t>
      </w:r>
      <w:r w:rsidR="008B3F54" w:rsidRPr="00A779BD">
        <w:rPr>
          <w:rFonts w:ascii="Arial" w:hAnsi="Arial" w:cs="Arial"/>
          <w:b/>
          <w:sz w:val="24"/>
        </w:rPr>
        <w:t>3:</w:t>
      </w:r>
      <w:r w:rsidRPr="00A779BD">
        <w:rPr>
          <w:rFonts w:ascii="Arial" w:hAnsi="Arial" w:cs="Arial"/>
          <w:b/>
          <w:sz w:val="24"/>
        </w:rPr>
        <w:t xml:space="preserve"> Map of Massachusetts by County</w:t>
      </w:r>
      <w:r w:rsidR="00C961E2" w:rsidRPr="00A779BD">
        <w:rPr>
          <w:rStyle w:val="FootnoteReference"/>
          <w:rFonts w:ascii="Arial" w:hAnsi="Arial" w:cs="Arial"/>
          <w:b/>
          <w:sz w:val="24"/>
        </w:rPr>
        <w:footnoteReference w:id="2"/>
      </w:r>
      <w:r w:rsidR="00A338D1" w:rsidRPr="007171C8">
        <w:rPr>
          <w:rFonts w:ascii="Arial" w:hAnsi="Arial" w:cs="Arial"/>
          <w:noProof/>
          <w:sz w:val="24"/>
          <w:szCs w:val="24"/>
        </w:rPr>
        <w:drawing>
          <wp:inline distT="0" distB="0" distL="0" distR="0" wp14:anchorId="710F7EBE" wp14:editId="7A7E2A2B">
            <wp:extent cx="5943600" cy="3302071"/>
            <wp:effectExtent l="0" t="0" r="0" b="0"/>
            <wp:docPr id="1" name="Picture 1" descr="This figure shows a map of Massachusetts by counties for reference. Massachusetts counties shown in the map include: Barnstable, Berkshire, Bristol, Dukes, Essex, Franklin, Hampden, Hampshire, Middlesex, Nantucket, Norfolk, Plymouth, Suffolk and Worcester." title="Massachusetts Map by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nicale:Desktop:massachusetts-county-map.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02071"/>
                    </a:xfrm>
                    <a:prstGeom prst="rect">
                      <a:avLst/>
                    </a:prstGeom>
                    <a:noFill/>
                    <a:ln>
                      <a:noFill/>
                    </a:ln>
                  </pic:spPr>
                </pic:pic>
              </a:graphicData>
            </a:graphic>
          </wp:inline>
        </w:drawing>
      </w:r>
    </w:p>
    <w:p w:rsidR="0030007B" w:rsidRPr="007171C8" w:rsidRDefault="0030007B" w:rsidP="002D08A9">
      <w:pPr>
        <w:pStyle w:val="NoSpacing"/>
      </w:pPr>
    </w:p>
    <w:p w:rsidR="00EF5EDF" w:rsidRPr="002D08A9" w:rsidRDefault="008623F0" w:rsidP="002D08A9">
      <w:pPr>
        <w:pStyle w:val="NoSpacing"/>
        <w:ind w:firstLine="0"/>
        <w:rPr>
          <w:rFonts w:ascii="Arial" w:hAnsi="Arial" w:cs="Arial"/>
          <w:sz w:val="24"/>
        </w:rPr>
      </w:pPr>
      <w:r w:rsidRPr="002D08A9">
        <w:rPr>
          <w:rFonts w:ascii="Arial" w:hAnsi="Arial" w:cs="Arial"/>
          <w:sz w:val="24"/>
        </w:rPr>
        <w:t xml:space="preserve">Figure </w:t>
      </w:r>
      <w:r w:rsidR="00956E0D">
        <w:rPr>
          <w:rFonts w:ascii="Arial" w:hAnsi="Arial" w:cs="Arial"/>
          <w:sz w:val="24"/>
        </w:rPr>
        <w:t>#</w:t>
      </w:r>
      <w:r w:rsidR="00C961E2" w:rsidRPr="002D08A9">
        <w:rPr>
          <w:rFonts w:ascii="Arial" w:hAnsi="Arial" w:cs="Arial"/>
          <w:sz w:val="24"/>
        </w:rPr>
        <w:t xml:space="preserve">3 </w:t>
      </w:r>
      <w:r w:rsidRPr="002D08A9">
        <w:rPr>
          <w:rFonts w:ascii="Arial" w:hAnsi="Arial" w:cs="Arial"/>
          <w:sz w:val="24"/>
        </w:rPr>
        <w:t xml:space="preserve">shows the distribution of the counties in the Commonwealth of Massachusetts for reference. Readers should </w:t>
      </w:r>
      <w:r w:rsidR="00272197" w:rsidRPr="002D08A9">
        <w:rPr>
          <w:rFonts w:ascii="Arial" w:hAnsi="Arial" w:cs="Arial"/>
          <w:sz w:val="24"/>
        </w:rPr>
        <w:t>note</w:t>
      </w:r>
      <w:r w:rsidRPr="002D08A9">
        <w:rPr>
          <w:rFonts w:ascii="Arial" w:hAnsi="Arial" w:cs="Arial"/>
          <w:sz w:val="24"/>
        </w:rPr>
        <w:t xml:space="preserve"> that </w:t>
      </w:r>
      <w:r w:rsidR="0057273A" w:rsidRPr="002D08A9">
        <w:rPr>
          <w:rFonts w:ascii="Arial" w:hAnsi="Arial" w:cs="Arial"/>
          <w:sz w:val="24"/>
        </w:rPr>
        <w:t xml:space="preserve">because Massachusetts </w:t>
      </w:r>
      <w:r w:rsidRPr="002D08A9">
        <w:rPr>
          <w:rFonts w:ascii="Arial" w:hAnsi="Arial" w:cs="Arial"/>
          <w:sz w:val="24"/>
        </w:rPr>
        <w:t xml:space="preserve">is </w:t>
      </w:r>
      <w:r w:rsidR="008D1DD7" w:rsidRPr="002D08A9">
        <w:rPr>
          <w:rFonts w:ascii="Arial" w:hAnsi="Arial" w:cs="Arial"/>
          <w:sz w:val="24"/>
        </w:rPr>
        <w:t>a small state, patients</w:t>
      </w:r>
      <w:r w:rsidRPr="002D08A9">
        <w:rPr>
          <w:rFonts w:ascii="Arial" w:hAnsi="Arial" w:cs="Arial"/>
          <w:sz w:val="24"/>
        </w:rPr>
        <w:t xml:space="preserve"> often seek health care</w:t>
      </w:r>
      <w:r w:rsidR="008D1DD7" w:rsidRPr="002D08A9">
        <w:rPr>
          <w:rFonts w:ascii="Arial" w:hAnsi="Arial" w:cs="Arial"/>
          <w:sz w:val="24"/>
        </w:rPr>
        <w:t xml:space="preserve"> services</w:t>
      </w:r>
      <w:r w:rsidRPr="002D08A9">
        <w:rPr>
          <w:rFonts w:ascii="Arial" w:hAnsi="Arial" w:cs="Arial"/>
          <w:sz w:val="24"/>
        </w:rPr>
        <w:t xml:space="preserve"> (both Medicaid and commercial) several miles away in a county</w:t>
      </w:r>
      <w:r w:rsidR="00676CB6">
        <w:rPr>
          <w:rFonts w:ascii="Arial" w:hAnsi="Arial" w:cs="Arial"/>
          <w:sz w:val="24"/>
        </w:rPr>
        <w:t xml:space="preserve"> other than their county of residence</w:t>
      </w:r>
      <w:r w:rsidRPr="002D08A9">
        <w:rPr>
          <w:rFonts w:ascii="Arial" w:hAnsi="Arial" w:cs="Arial"/>
          <w:sz w:val="24"/>
        </w:rPr>
        <w:t>.</w:t>
      </w:r>
    </w:p>
    <w:p w:rsidR="00A46B06" w:rsidRDefault="00A46B06" w:rsidP="00A46B06">
      <w:pPr>
        <w:pStyle w:val="NoSpacing"/>
        <w:ind w:firstLine="0"/>
        <w:rPr>
          <w:rFonts w:ascii="Arial" w:hAnsi="Arial" w:cs="Arial"/>
          <w:sz w:val="24"/>
        </w:rPr>
      </w:pPr>
    </w:p>
    <w:p w:rsidR="008623F0" w:rsidRPr="00921237" w:rsidRDefault="007F43FA" w:rsidP="001159B2">
      <w:pPr>
        <w:ind w:firstLine="0"/>
        <w:rPr>
          <w:rFonts w:ascii="Arial" w:hAnsi="Arial" w:cs="Arial"/>
          <w:sz w:val="24"/>
        </w:rPr>
      </w:pPr>
      <w:r w:rsidRPr="00A779BD">
        <w:rPr>
          <w:rFonts w:ascii="Arial" w:hAnsi="Arial" w:cs="Arial"/>
          <w:b/>
          <w:sz w:val="24"/>
        </w:rPr>
        <w:t>Figure #</w:t>
      </w:r>
      <w:r w:rsidR="002B07B8" w:rsidRPr="00A779BD">
        <w:rPr>
          <w:rFonts w:ascii="Arial" w:hAnsi="Arial" w:cs="Arial"/>
          <w:b/>
          <w:sz w:val="24"/>
        </w:rPr>
        <w:t>4</w:t>
      </w:r>
      <w:r w:rsidRPr="00A779BD">
        <w:rPr>
          <w:rFonts w:ascii="Arial" w:hAnsi="Arial" w:cs="Arial"/>
          <w:b/>
          <w:sz w:val="24"/>
        </w:rPr>
        <w:t>: Medicaid Members</w:t>
      </w:r>
      <w:r w:rsidR="006442F6">
        <w:rPr>
          <w:rStyle w:val="FootnoteReference"/>
          <w:rFonts w:ascii="Arial" w:hAnsi="Arial" w:cs="Arial"/>
          <w:b/>
          <w:sz w:val="24"/>
        </w:rPr>
        <w:footnoteReference w:id="3"/>
      </w:r>
      <w:r w:rsidR="006442F6">
        <w:rPr>
          <w:rFonts w:ascii="Arial" w:hAnsi="Arial" w:cs="Arial"/>
          <w:b/>
          <w:sz w:val="24"/>
        </w:rPr>
        <w:t xml:space="preserve"> </w:t>
      </w:r>
      <w:r w:rsidRPr="00A779BD">
        <w:rPr>
          <w:rFonts w:ascii="Arial" w:hAnsi="Arial" w:cs="Arial"/>
          <w:b/>
          <w:sz w:val="24"/>
        </w:rPr>
        <w:t>by County</w:t>
      </w:r>
    </w:p>
    <w:tbl>
      <w:tblPr>
        <w:tblW w:w="8640" w:type="dxa"/>
        <w:tblInd w:w="-3" w:type="dxa"/>
        <w:tblCellMar>
          <w:left w:w="0" w:type="dxa"/>
          <w:right w:w="0" w:type="dxa"/>
        </w:tblCellMar>
        <w:tblLook w:val="04A0" w:firstRow="1" w:lastRow="0" w:firstColumn="1" w:lastColumn="0" w:noHBand="0" w:noVBand="1"/>
      </w:tblPr>
      <w:tblGrid>
        <w:gridCol w:w="1377"/>
        <w:gridCol w:w="1900"/>
        <w:gridCol w:w="1270"/>
        <w:gridCol w:w="1620"/>
        <w:gridCol w:w="1360"/>
        <w:gridCol w:w="1560"/>
      </w:tblGrid>
      <w:tr w:rsidR="001159B2" w:rsidRPr="001159B2" w:rsidTr="007171C8">
        <w:trPr>
          <w:trHeight w:val="1275"/>
          <w:tblHeader/>
        </w:trPr>
        <w:tc>
          <w:tcPr>
            <w:tcW w:w="11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center"/>
              <w:rPr>
                <w:rFonts w:ascii="Arial" w:eastAsia="Calibri" w:hAnsi="Arial" w:cs="Arial"/>
                <w:b/>
                <w:sz w:val="24"/>
                <w:szCs w:val="24"/>
              </w:rPr>
            </w:pPr>
            <w:r w:rsidRPr="00D6309A">
              <w:rPr>
                <w:rFonts w:ascii="Arial" w:eastAsia="Calibri" w:hAnsi="Arial" w:cs="Arial"/>
                <w:b/>
                <w:sz w:val="24"/>
                <w:szCs w:val="24"/>
              </w:rPr>
              <w:t>County</w:t>
            </w:r>
          </w:p>
        </w:tc>
        <w:tc>
          <w:tcPr>
            <w:tcW w:w="1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b/>
                <w:sz w:val="24"/>
                <w:szCs w:val="24"/>
              </w:rPr>
            </w:pPr>
            <w:r w:rsidRPr="00D6309A">
              <w:rPr>
                <w:rFonts w:ascii="Arial" w:eastAsia="Calibri" w:hAnsi="Arial" w:cs="Arial"/>
                <w:b/>
                <w:sz w:val="24"/>
                <w:szCs w:val="24"/>
              </w:rPr>
              <w:t>SFY16 Members (Base Year)</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b/>
                <w:sz w:val="24"/>
                <w:szCs w:val="24"/>
              </w:rPr>
            </w:pPr>
            <w:r w:rsidRPr="00D6309A">
              <w:rPr>
                <w:rFonts w:ascii="Arial" w:eastAsia="Calibri" w:hAnsi="Arial" w:cs="Arial"/>
                <w:b/>
                <w:sz w:val="24"/>
                <w:szCs w:val="24"/>
              </w:rPr>
              <w:t>SFY17 Members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b/>
                <w:sz w:val="24"/>
                <w:szCs w:val="24"/>
              </w:rPr>
            </w:pPr>
            <w:r w:rsidRPr="00D6309A">
              <w:rPr>
                <w:rFonts w:ascii="Arial" w:eastAsia="Calibri" w:hAnsi="Arial" w:cs="Arial"/>
                <w:b/>
                <w:sz w:val="24"/>
                <w:szCs w:val="24"/>
              </w:rPr>
              <w:t>SFY Member Percentage Change, Compared with SFY16</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b/>
                <w:sz w:val="24"/>
                <w:szCs w:val="24"/>
              </w:rPr>
            </w:pPr>
            <w:r w:rsidRPr="00D6309A">
              <w:rPr>
                <w:rFonts w:ascii="Arial" w:eastAsia="Calibri" w:hAnsi="Arial" w:cs="Arial"/>
                <w:b/>
                <w:sz w:val="24"/>
                <w:szCs w:val="24"/>
              </w:rPr>
              <w:t>SFY 18 Members</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b/>
                <w:sz w:val="24"/>
                <w:szCs w:val="24"/>
              </w:rPr>
            </w:pPr>
            <w:r w:rsidRPr="00D6309A">
              <w:rPr>
                <w:rFonts w:ascii="Arial" w:eastAsia="Calibri" w:hAnsi="Arial" w:cs="Arial"/>
                <w:b/>
                <w:sz w:val="24"/>
                <w:szCs w:val="24"/>
              </w:rPr>
              <w:t>SFY 18 Member Percentage Change, Compared with SFY16</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Barnstable</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24,206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23,626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-2.4%</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36,403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50.4%</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Berkshire</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19,343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18,582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-3.9%</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15,412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-20.3%</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Bristol</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83,075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81,462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-1.9%</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94,765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14.1%</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Dukes</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2,251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2,887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28.3%</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4,320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91.9%</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Essex</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112,975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112,290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-0.6%</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126,731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12.2%</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6442F6">
            <w:pPr>
              <w:ind w:firstLine="0"/>
              <w:rPr>
                <w:rFonts w:ascii="Arial" w:eastAsia="Calibri" w:hAnsi="Arial" w:cs="Arial"/>
                <w:color w:val="000000"/>
                <w:sz w:val="24"/>
                <w:szCs w:val="24"/>
              </w:rPr>
            </w:pPr>
            <w:r w:rsidRPr="00D6309A">
              <w:rPr>
                <w:rFonts w:ascii="Arial" w:eastAsia="Calibri" w:hAnsi="Arial" w:cs="Arial"/>
                <w:color w:val="000000"/>
                <w:sz w:val="24"/>
                <w:szCs w:val="24"/>
              </w:rPr>
              <w:t>Franklin</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10,782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10,408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-3.5%</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15,133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40.4%</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Hampden</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80,290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77,864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-3.0%</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69,793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-13.1%</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Hampshire</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14,256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13,959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-2.1%</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17,844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25.2%</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lastRenderedPageBreak/>
              <w:t>Middlesex</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154,462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155,172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0.5%</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143,541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-7.1%</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Nantucket</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1,577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1,858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17.8%</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2,494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58.1%</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Norfolk</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61,147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61,064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-0.1%</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60,360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-1.3%</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Plymouth</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60,351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59,758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-1.0%</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66,843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10.8%</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Suffolk</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149,401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147,077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-1.6%</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151,607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1.5%</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Worcester</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106,459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107,223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0.7%</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139,556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31.1%</w:t>
            </w:r>
          </w:p>
        </w:tc>
      </w:tr>
      <w:tr w:rsidR="001159B2" w:rsidRPr="001159B2" w:rsidTr="001159B2">
        <w:trPr>
          <w:trHeight w:val="255"/>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rPr>
                <w:rFonts w:ascii="Arial" w:eastAsia="Calibri" w:hAnsi="Arial" w:cs="Arial"/>
                <w:color w:val="000000"/>
                <w:sz w:val="24"/>
                <w:szCs w:val="24"/>
              </w:rPr>
            </w:pPr>
            <w:r w:rsidRPr="00D6309A">
              <w:rPr>
                <w:rFonts w:ascii="Arial" w:eastAsia="Calibri" w:hAnsi="Arial" w:cs="Arial"/>
                <w:color w:val="000000"/>
                <w:sz w:val="24"/>
                <w:szCs w:val="24"/>
              </w:rPr>
              <w:t>Total</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880,575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873,230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-0.8%</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 xml:space="preserve">944,802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59B2" w:rsidRPr="00D6309A" w:rsidRDefault="001159B2" w:rsidP="001159B2">
            <w:pPr>
              <w:ind w:firstLine="0"/>
              <w:jc w:val="right"/>
              <w:rPr>
                <w:rFonts w:ascii="Arial" w:eastAsia="Calibri" w:hAnsi="Arial" w:cs="Arial"/>
                <w:color w:val="000000"/>
                <w:sz w:val="24"/>
                <w:szCs w:val="24"/>
              </w:rPr>
            </w:pPr>
            <w:r w:rsidRPr="00D6309A">
              <w:rPr>
                <w:rFonts w:ascii="Arial" w:eastAsia="Calibri" w:hAnsi="Arial" w:cs="Arial"/>
                <w:color w:val="000000"/>
                <w:sz w:val="24"/>
                <w:szCs w:val="24"/>
              </w:rPr>
              <w:t>7.3%</w:t>
            </w:r>
          </w:p>
        </w:tc>
      </w:tr>
    </w:tbl>
    <w:p w:rsidR="001159B2" w:rsidRPr="007171C8" w:rsidRDefault="001159B2" w:rsidP="00E21531">
      <w:pPr>
        <w:ind w:firstLine="0"/>
        <w:rPr>
          <w:rFonts w:ascii="Arial" w:eastAsia="Calibri" w:hAnsi="Arial" w:cs="Arial"/>
          <w:sz w:val="24"/>
        </w:rPr>
      </w:pPr>
    </w:p>
    <w:p w:rsidR="00002B56" w:rsidRPr="007171C8" w:rsidRDefault="00BA01E4" w:rsidP="00E21531">
      <w:pPr>
        <w:ind w:firstLine="0"/>
        <w:rPr>
          <w:rFonts w:ascii="Arial" w:eastAsia="Calibri" w:hAnsi="Arial" w:cs="Arial"/>
        </w:rPr>
      </w:pPr>
      <w:r w:rsidRPr="00FB79CD">
        <w:rPr>
          <w:rFonts w:ascii="Arial" w:eastAsia="Calibri" w:hAnsi="Arial" w:cs="Arial"/>
          <w:sz w:val="24"/>
        </w:rPr>
        <w:t>Figure #</w:t>
      </w:r>
      <w:r w:rsidR="002B07B8" w:rsidRPr="00FB79CD">
        <w:rPr>
          <w:rFonts w:ascii="Arial" w:eastAsia="Calibri" w:hAnsi="Arial" w:cs="Arial"/>
          <w:sz w:val="24"/>
        </w:rPr>
        <w:t>4</w:t>
      </w:r>
      <w:r w:rsidRPr="00FB79CD">
        <w:rPr>
          <w:rFonts w:ascii="Arial" w:eastAsia="Calibri" w:hAnsi="Arial" w:cs="Arial"/>
          <w:sz w:val="24"/>
        </w:rPr>
        <w:t xml:space="preserve"> shows</w:t>
      </w:r>
      <w:r w:rsidRPr="007171C8">
        <w:rPr>
          <w:rFonts w:ascii="Arial" w:eastAsia="Calibri" w:hAnsi="Arial" w:cs="Arial"/>
          <w:sz w:val="24"/>
        </w:rPr>
        <w:t xml:space="preserve"> the geographic distribution of where MassHealth Medicaid FFS </w:t>
      </w:r>
      <w:r w:rsidR="00DB2D5B">
        <w:rPr>
          <w:rFonts w:ascii="Arial" w:eastAsia="Calibri" w:hAnsi="Arial" w:cs="Arial"/>
          <w:sz w:val="24"/>
        </w:rPr>
        <w:t xml:space="preserve">members, </w:t>
      </w:r>
      <w:r w:rsidRPr="007171C8">
        <w:rPr>
          <w:rFonts w:ascii="Arial" w:eastAsia="Calibri" w:hAnsi="Arial" w:cs="Arial"/>
          <w:sz w:val="24"/>
        </w:rPr>
        <w:t xml:space="preserve">PCC </w:t>
      </w:r>
      <w:r w:rsidR="009E3D34" w:rsidRPr="007171C8">
        <w:rPr>
          <w:rFonts w:ascii="Arial" w:eastAsia="Calibri" w:hAnsi="Arial" w:cs="Arial"/>
          <w:sz w:val="24"/>
        </w:rPr>
        <w:t>Plan</w:t>
      </w:r>
      <w:r w:rsidRPr="007171C8">
        <w:rPr>
          <w:rFonts w:ascii="Arial" w:eastAsia="Calibri" w:hAnsi="Arial" w:cs="Arial"/>
          <w:sz w:val="24"/>
        </w:rPr>
        <w:t xml:space="preserve"> members</w:t>
      </w:r>
      <w:r w:rsidR="00DB2D5B">
        <w:rPr>
          <w:rFonts w:ascii="Arial" w:eastAsia="Calibri" w:hAnsi="Arial" w:cs="Arial"/>
          <w:sz w:val="24"/>
        </w:rPr>
        <w:t xml:space="preserve"> and members enrolled</w:t>
      </w:r>
      <w:r w:rsidRPr="007171C8">
        <w:rPr>
          <w:rFonts w:ascii="Arial" w:eastAsia="Calibri" w:hAnsi="Arial" w:cs="Arial"/>
          <w:sz w:val="24"/>
        </w:rPr>
        <w:t xml:space="preserve"> </w:t>
      </w:r>
      <w:r w:rsidR="00DB2D5B">
        <w:rPr>
          <w:rFonts w:ascii="Arial" w:eastAsia="Calibri" w:hAnsi="Arial" w:cs="Arial"/>
          <w:sz w:val="24"/>
        </w:rPr>
        <w:t>i</w:t>
      </w:r>
      <w:r w:rsidR="009E3D34" w:rsidRPr="007171C8">
        <w:rPr>
          <w:rFonts w:ascii="Arial" w:eastAsia="Calibri" w:hAnsi="Arial" w:cs="Arial"/>
          <w:sz w:val="24"/>
        </w:rPr>
        <w:t xml:space="preserve">n a </w:t>
      </w:r>
      <w:r w:rsidR="00EF4CCB" w:rsidRPr="007171C8">
        <w:rPr>
          <w:rFonts w:ascii="Arial" w:eastAsia="Calibri" w:hAnsi="Arial" w:cs="Arial"/>
          <w:sz w:val="24"/>
        </w:rPr>
        <w:t xml:space="preserve">Primary Care </w:t>
      </w:r>
      <w:r w:rsidR="009E3D34" w:rsidRPr="007171C8">
        <w:rPr>
          <w:rFonts w:ascii="Arial" w:eastAsia="Calibri" w:hAnsi="Arial" w:cs="Arial"/>
          <w:sz w:val="24"/>
        </w:rPr>
        <w:t>ACO</w:t>
      </w:r>
      <w:r w:rsidRPr="007171C8">
        <w:rPr>
          <w:rFonts w:ascii="Arial" w:eastAsia="Calibri" w:hAnsi="Arial" w:cs="Arial"/>
          <w:sz w:val="24"/>
        </w:rPr>
        <w:t xml:space="preserve"> reside, </w:t>
      </w:r>
      <w:r w:rsidR="008B6F2B" w:rsidRPr="007171C8">
        <w:rPr>
          <w:rFonts w:ascii="Arial" w:eastAsia="Calibri" w:hAnsi="Arial" w:cs="Arial"/>
          <w:sz w:val="24"/>
        </w:rPr>
        <w:t>distributed</w:t>
      </w:r>
      <w:r w:rsidRPr="007171C8">
        <w:rPr>
          <w:rFonts w:ascii="Arial" w:eastAsia="Calibri" w:hAnsi="Arial" w:cs="Arial"/>
          <w:sz w:val="24"/>
        </w:rPr>
        <w:t xml:space="preserve"> by county throughout SFY16 – SFY18. The table demonstrates a significant total increase in enrollment </w:t>
      </w:r>
      <w:r w:rsidR="00F51C3F">
        <w:rPr>
          <w:rFonts w:ascii="Arial" w:eastAsia="Calibri" w:hAnsi="Arial" w:cs="Arial"/>
          <w:sz w:val="24"/>
        </w:rPr>
        <w:t xml:space="preserve">in these delivery systems </w:t>
      </w:r>
      <w:r w:rsidRPr="007171C8">
        <w:rPr>
          <w:rFonts w:ascii="Arial" w:eastAsia="Calibri" w:hAnsi="Arial" w:cs="Arial"/>
          <w:sz w:val="24"/>
        </w:rPr>
        <w:t>from SFY16 to SFY18</w:t>
      </w:r>
      <w:r w:rsidR="009E3D34" w:rsidRPr="007171C8">
        <w:rPr>
          <w:rFonts w:ascii="Arial" w:eastAsia="Calibri" w:hAnsi="Arial" w:cs="Arial"/>
          <w:sz w:val="24"/>
        </w:rPr>
        <w:t xml:space="preserve"> (7.3%)</w:t>
      </w:r>
      <w:r w:rsidRPr="007171C8">
        <w:rPr>
          <w:rFonts w:ascii="Arial" w:eastAsia="Calibri" w:hAnsi="Arial" w:cs="Arial"/>
          <w:sz w:val="24"/>
        </w:rPr>
        <w:t xml:space="preserve">, and notably high growth in Dukes (91.9%), Nantucket (58.1%), Barnstable (50.4%), Franklin (40.4%), and Worcester </w:t>
      </w:r>
      <w:r w:rsidR="006A63C8">
        <w:rPr>
          <w:rFonts w:ascii="Arial" w:eastAsia="Calibri" w:hAnsi="Arial" w:cs="Arial"/>
          <w:sz w:val="24"/>
        </w:rPr>
        <w:t>c</w:t>
      </w:r>
      <w:r w:rsidRPr="007171C8">
        <w:rPr>
          <w:rFonts w:ascii="Arial" w:eastAsia="Calibri" w:hAnsi="Arial" w:cs="Arial"/>
          <w:sz w:val="24"/>
        </w:rPr>
        <w:t>ounties (31.1%)</w:t>
      </w:r>
      <w:r w:rsidR="00A338D1" w:rsidRPr="007171C8">
        <w:rPr>
          <w:rFonts w:ascii="Arial" w:eastAsia="Calibri" w:hAnsi="Arial" w:cs="Arial"/>
          <w:sz w:val="24"/>
        </w:rPr>
        <w:t>.</w:t>
      </w:r>
      <w:r w:rsidR="000114FE" w:rsidRPr="007171C8">
        <w:rPr>
          <w:rFonts w:ascii="Arial" w:eastAsia="Calibri" w:hAnsi="Arial" w:cs="Arial"/>
          <w:sz w:val="24"/>
        </w:rPr>
        <w:t xml:space="preserve"> </w:t>
      </w:r>
      <w:r w:rsidR="00A338D1" w:rsidRPr="007171C8">
        <w:rPr>
          <w:rFonts w:ascii="Arial" w:eastAsia="Calibri" w:hAnsi="Arial" w:cs="Arial"/>
          <w:sz w:val="24"/>
        </w:rPr>
        <w:t>Note that both Dukes and Nantucket are island communities, with a small total population, hence throughout the report, a small change in members or providers may result in a large change in the ratios or percentages for those communities.</w:t>
      </w:r>
    </w:p>
    <w:p w:rsidR="008B6F2B" w:rsidRPr="007171C8" w:rsidRDefault="008B6F2B" w:rsidP="008B6F2B">
      <w:pPr>
        <w:ind w:firstLine="0"/>
        <w:rPr>
          <w:rFonts w:ascii="Arial" w:eastAsia="Calibri" w:hAnsi="Arial" w:cs="Arial"/>
        </w:rPr>
      </w:pPr>
    </w:p>
    <w:p w:rsidR="007F43FA" w:rsidRPr="007171C8" w:rsidRDefault="008623F0" w:rsidP="00C451AC">
      <w:pPr>
        <w:ind w:firstLine="0"/>
        <w:rPr>
          <w:rFonts w:ascii="Arial" w:hAnsi="Arial" w:cs="Arial"/>
          <w:sz w:val="24"/>
          <w:szCs w:val="24"/>
        </w:rPr>
      </w:pPr>
      <w:r w:rsidRPr="007171C8">
        <w:rPr>
          <w:rFonts w:ascii="Arial" w:hAnsi="Arial" w:cs="Arial"/>
          <w:sz w:val="24"/>
        </w:rPr>
        <w:t>Shifts in enrollment trends seen throughout the data presented in the 2019 AMRP</w:t>
      </w:r>
      <w:r w:rsidR="00C86C17">
        <w:rPr>
          <w:rFonts w:ascii="Arial" w:hAnsi="Arial" w:cs="Arial"/>
          <w:sz w:val="24"/>
        </w:rPr>
        <w:t>—including enrollment increases in</w:t>
      </w:r>
      <w:r w:rsidRPr="007171C8">
        <w:rPr>
          <w:rFonts w:ascii="Arial" w:hAnsi="Arial" w:cs="Arial"/>
          <w:sz w:val="24"/>
        </w:rPr>
        <w:t xml:space="preserve"> </w:t>
      </w:r>
      <w:r w:rsidR="00C86C17" w:rsidRPr="007171C8">
        <w:rPr>
          <w:rFonts w:ascii="Arial" w:eastAsia="Calibri" w:hAnsi="Arial" w:cs="Arial"/>
          <w:sz w:val="24"/>
          <w:szCs w:val="24"/>
        </w:rPr>
        <w:t>Dukes, Nantucket, Franklin and Worcester counties</w:t>
      </w:r>
      <w:r w:rsidR="00C86C17">
        <w:rPr>
          <w:rFonts w:ascii="Arial" w:eastAsia="Calibri" w:hAnsi="Arial" w:cs="Arial"/>
          <w:sz w:val="24"/>
          <w:szCs w:val="24"/>
        </w:rPr>
        <w:t>--</w:t>
      </w:r>
      <w:r w:rsidR="00C86C17" w:rsidRPr="007171C8">
        <w:rPr>
          <w:rFonts w:ascii="Arial" w:eastAsia="Calibri" w:hAnsi="Arial" w:cs="Arial"/>
          <w:sz w:val="24"/>
          <w:szCs w:val="24"/>
        </w:rPr>
        <w:t xml:space="preserve"> </w:t>
      </w:r>
      <w:r w:rsidRPr="007171C8">
        <w:rPr>
          <w:rFonts w:ascii="Arial" w:hAnsi="Arial" w:cs="Arial"/>
          <w:sz w:val="24"/>
        </w:rPr>
        <w:t xml:space="preserve">are consistent with the launch of the ACO program and its impact on member and provider regional </w:t>
      </w:r>
      <w:r w:rsidR="00EF4CCB" w:rsidRPr="007171C8">
        <w:rPr>
          <w:rFonts w:ascii="Arial" w:hAnsi="Arial" w:cs="Arial"/>
          <w:sz w:val="24"/>
        </w:rPr>
        <w:t>changes.</w:t>
      </w:r>
      <w:r w:rsidR="006D4496">
        <w:rPr>
          <w:rFonts w:ascii="Arial" w:eastAsia="Calibri" w:hAnsi="Arial" w:cs="Arial"/>
          <w:sz w:val="24"/>
          <w:szCs w:val="24"/>
        </w:rPr>
        <w:t xml:space="preserve"> </w:t>
      </w:r>
      <w:r w:rsidR="00224EBC">
        <w:rPr>
          <w:rFonts w:ascii="Arial" w:hAnsi="Arial" w:cs="Arial"/>
          <w:sz w:val="24"/>
          <w:szCs w:val="24"/>
        </w:rPr>
        <w:t>A</w:t>
      </w:r>
      <w:r w:rsidR="006442F6">
        <w:rPr>
          <w:rFonts w:ascii="Arial" w:hAnsi="Arial" w:cs="Arial"/>
          <w:sz w:val="24"/>
          <w:szCs w:val="24"/>
        </w:rPr>
        <w:t>s noted earlier,</w:t>
      </w:r>
      <w:r w:rsidR="00127A5F" w:rsidRPr="007171C8">
        <w:rPr>
          <w:rFonts w:ascii="Arial" w:hAnsi="Arial" w:cs="Arial"/>
          <w:sz w:val="24"/>
          <w:szCs w:val="24"/>
        </w:rPr>
        <w:t xml:space="preserve"> some members may see providers in neighboring counties</w:t>
      </w:r>
      <w:r w:rsidR="0062499B" w:rsidRPr="007171C8">
        <w:rPr>
          <w:rFonts w:ascii="Arial" w:hAnsi="Arial" w:cs="Arial"/>
          <w:sz w:val="24"/>
          <w:szCs w:val="24"/>
        </w:rPr>
        <w:t>.</w:t>
      </w:r>
      <w:r w:rsidR="00CC1C46" w:rsidRPr="007171C8">
        <w:rPr>
          <w:rFonts w:ascii="Arial" w:hAnsi="Arial" w:cs="Arial"/>
          <w:sz w:val="24"/>
          <w:szCs w:val="24"/>
        </w:rPr>
        <w:t xml:space="preserve"> </w:t>
      </w:r>
      <w:r w:rsidR="0062499B" w:rsidRPr="007171C8">
        <w:rPr>
          <w:rFonts w:ascii="Arial" w:hAnsi="Arial" w:cs="Arial"/>
          <w:sz w:val="24"/>
          <w:szCs w:val="24"/>
        </w:rPr>
        <w:t xml:space="preserve">As such, </w:t>
      </w:r>
      <w:r w:rsidR="00127A5F" w:rsidRPr="007171C8">
        <w:rPr>
          <w:rFonts w:ascii="Arial" w:hAnsi="Arial" w:cs="Arial"/>
          <w:sz w:val="24"/>
          <w:szCs w:val="24"/>
        </w:rPr>
        <w:t xml:space="preserve">members may </w:t>
      </w:r>
      <w:r w:rsidR="00EA0DA1" w:rsidRPr="007171C8">
        <w:rPr>
          <w:rFonts w:ascii="Arial" w:hAnsi="Arial" w:cs="Arial"/>
          <w:sz w:val="24"/>
          <w:szCs w:val="24"/>
        </w:rPr>
        <w:t xml:space="preserve">not live and seek care consistently in one county throughout the course of </w:t>
      </w:r>
      <w:r w:rsidR="0062499B" w:rsidRPr="007171C8">
        <w:rPr>
          <w:rFonts w:ascii="Arial" w:hAnsi="Arial" w:cs="Arial"/>
          <w:sz w:val="24"/>
          <w:szCs w:val="24"/>
        </w:rPr>
        <w:t>a given</w:t>
      </w:r>
      <w:r w:rsidR="00EA0DA1" w:rsidRPr="007171C8">
        <w:rPr>
          <w:rFonts w:ascii="Arial" w:hAnsi="Arial" w:cs="Arial"/>
          <w:sz w:val="24"/>
          <w:szCs w:val="24"/>
        </w:rPr>
        <w:t xml:space="preserve"> year.</w:t>
      </w:r>
      <w:r w:rsidR="001732B3" w:rsidRPr="007171C8">
        <w:rPr>
          <w:rFonts w:ascii="Arial" w:hAnsi="Arial" w:cs="Arial"/>
          <w:sz w:val="24"/>
          <w:szCs w:val="24"/>
        </w:rPr>
        <w:t xml:space="preserve"> Furthermore, </w:t>
      </w:r>
      <w:r w:rsidR="0062499B" w:rsidRPr="007171C8">
        <w:rPr>
          <w:rFonts w:ascii="Arial" w:hAnsi="Arial" w:cs="Arial"/>
          <w:sz w:val="24"/>
          <w:szCs w:val="24"/>
        </w:rPr>
        <w:t xml:space="preserve">with the exception of the Home Health Services section, </w:t>
      </w:r>
      <w:r w:rsidR="001732B3" w:rsidRPr="007171C8">
        <w:rPr>
          <w:rFonts w:ascii="Arial" w:hAnsi="Arial" w:cs="Arial"/>
          <w:sz w:val="24"/>
          <w:szCs w:val="24"/>
        </w:rPr>
        <w:t>t</w:t>
      </w:r>
      <w:r w:rsidR="0081769B" w:rsidRPr="007171C8">
        <w:rPr>
          <w:rFonts w:ascii="Arial" w:hAnsi="Arial" w:cs="Arial"/>
          <w:sz w:val="24"/>
          <w:szCs w:val="24"/>
        </w:rPr>
        <w:t xml:space="preserve">he episode of care data </w:t>
      </w:r>
      <w:r w:rsidR="0081769B" w:rsidRPr="008607F9">
        <w:rPr>
          <w:rFonts w:ascii="Arial" w:hAnsi="Arial" w:cs="Arial"/>
          <w:sz w:val="24"/>
          <w:szCs w:val="24"/>
        </w:rPr>
        <w:t>in the utilization section</w:t>
      </w:r>
      <w:r w:rsidR="0062499B" w:rsidRPr="008607F9">
        <w:rPr>
          <w:rFonts w:ascii="Arial" w:hAnsi="Arial" w:cs="Arial"/>
          <w:sz w:val="24"/>
          <w:szCs w:val="24"/>
        </w:rPr>
        <w:t>s</w:t>
      </w:r>
      <w:r w:rsidR="0081769B" w:rsidRPr="008607F9">
        <w:rPr>
          <w:rFonts w:ascii="Arial" w:hAnsi="Arial" w:cs="Arial"/>
          <w:sz w:val="24"/>
          <w:szCs w:val="24"/>
        </w:rPr>
        <w:t xml:space="preserve"> was calculated based on the location of the provider.</w:t>
      </w:r>
      <w:r w:rsidR="00C17134" w:rsidRPr="008607F9">
        <w:rPr>
          <w:rFonts w:ascii="Arial" w:hAnsi="Arial" w:cs="Arial"/>
          <w:sz w:val="24"/>
          <w:szCs w:val="24"/>
        </w:rPr>
        <w:t xml:space="preserve"> </w:t>
      </w:r>
      <w:r w:rsidR="00D017FF" w:rsidRPr="008607F9">
        <w:rPr>
          <w:rFonts w:ascii="Arial" w:hAnsi="Arial" w:cs="Arial"/>
          <w:sz w:val="24"/>
          <w:szCs w:val="24"/>
        </w:rPr>
        <w:t>F</w:t>
      </w:r>
      <w:r w:rsidR="005D3073" w:rsidRPr="008607F9">
        <w:rPr>
          <w:rFonts w:ascii="Arial" w:hAnsi="Arial" w:cs="Arial"/>
          <w:sz w:val="24"/>
          <w:szCs w:val="24"/>
        </w:rPr>
        <w:t>igure</w:t>
      </w:r>
      <w:r w:rsidR="00B84D88" w:rsidRPr="008607F9">
        <w:rPr>
          <w:rFonts w:ascii="Arial" w:hAnsi="Arial" w:cs="Arial"/>
          <w:sz w:val="24"/>
          <w:szCs w:val="24"/>
        </w:rPr>
        <w:t xml:space="preserve"> #</w:t>
      </w:r>
      <w:r w:rsidR="00833FDD" w:rsidRPr="008607F9">
        <w:rPr>
          <w:rFonts w:ascii="Arial" w:hAnsi="Arial" w:cs="Arial"/>
          <w:sz w:val="24"/>
          <w:szCs w:val="24"/>
        </w:rPr>
        <w:t xml:space="preserve">4 </w:t>
      </w:r>
      <w:r w:rsidR="005D3073" w:rsidRPr="008607F9">
        <w:rPr>
          <w:rFonts w:ascii="Arial" w:hAnsi="Arial" w:cs="Arial"/>
          <w:sz w:val="24"/>
          <w:szCs w:val="24"/>
        </w:rPr>
        <w:t>above incl</w:t>
      </w:r>
      <w:r w:rsidR="000715CA" w:rsidRPr="008607F9">
        <w:rPr>
          <w:rFonts w:ascii="Arial" w:hAnsi="Arial" w:cs="Arial"/>
          <w:sz w:val="24"/>
          <w:szCs w:val="24"/>
        </w:rPr>
        <w:t>udes members in FFS with MassHe</w:t>
      </w:r>
      <w:r w:rsidR="005D3073" w:rsidRPr="008607F9">
        <w:rPr>
          <w:rFonts w:ascii="Arial" w:hAnsi="Arial" w:cs="Arial"/>
          <w:sz w:val="24"/>
          <w:szCs w:val="24"/>
        </w:rPr>
        <w:t>a</w:t>
      </w:r>
      <w:r w:rsidR="000715CA" w:rsidRPr="008607F9">
        <w:rPr>
          <w:rFonts w:ascii="Arial" w:hAnsi="Arial" w:cs="Arial"/>
          <w:sz w:val="24"/>
          <w:szCs w:val="24"/>
        </w:rPr>
        <w:t>l</w:t>
      </w:r>
      <w:r w:rsidR="005D3073" w:rsidRPr="008607F9">
        <w:rPr>
          <w:rFonts w:ascii="Arial" w:hAnsi="Arial" w:cs="Arial"/>
          <w:sz w:val="24"/>
          <w:szCs w:val="24"/>
        </w:rPr>
        <w:t xml:space="preserve">th </w:t>
      </w:r>
      <w:r w:rsidR="0019256C">
        <w:rPr>
          <w:rFonts w:ascii="Arial" w:hAnsi="Arial" w:cs="Arial"/>
          <w:sz w:val="24"/>
          <w:szCs w:val="24"/>
        </w:rPr>
        <w:t>primary coverage and</w:t>
      </w:r>
      <w:r w:rsidR="00C94AD1">
        <w:rPr>
          <w:rFonts w:ascii="Arial" w:hAnsi="Arial" w:cs="Arial"/>
          <w:sz w:val="24"/>
          <w:szCs w:val="24"/>
        </w:rPr>
        <w:t xml:space="preserve"> </w:t>
      </w:r>
      <w:r w:rsidR="0019256C">
        <w:rPr>
          <w:rFonts w:ascii="Arial" w:hAnsi="Arial" w:cs="Arial"/>
          <w:sz w:val="24"/>
          <w:szCs w:val="24"/>
        </w:rPr>
        <w:t xml:space="preserve">also members with MassHealth </w:t>
      </w:r>
      <w:r w:rsidR="00186602">
        <w:rPr>
          <w:rFonts w:ascii="Arial" w:hAnsi="Arial" w:cs="Arial"/>
          <w:sz w:val="24"/>
          <w:szCs w:val="24"/>
        </w:rPr>
        <w:t xml:space="preserve">as </w:t>
      </w:r>
      <w:r w:rsidR="0019256C">
        <w:rPr>
          <w:rFonts w:ascii="Arial" w:hAnsi="Arial" w:cs="Arial"/>
          <w:sz w:val="24"/>
          <w:szCs w:val="24"/>
        </w:rPr>
        <w:t xml:space="preserve">secondary coverage with </w:t>
      </w:r>
      <w:r w:rsidR="00186602">
        <w:rPr>
          <w:rFonts w:ascii="Arial" w:hAnsi="Arial" w:cs="Arial"/>
          <w:sz w:val="24"/>
          <w:szCs w:val="24"/>
        </w:rPr>
        <w:t>other primary insurance known as Third Party Liability (TPL)</w:t>
      </w:r>
      <w:r w:rsidR="0019256C">
        <w:rPr>
          <w:rFonts w:ascii="Arial" w:hAnsi="Arial" w:cs="Arial"/>
          <w:sz w:val="24"/>
          <w:szCs w:val="24"/>
        </w:rPr>
        <w:t xml:space="preserve">. </w:t>
      </w:r>
      <w:r w:rsidR="005D3073" w:rsidRPr="008607F9">
        <w:rPr>
          <w:rFonts w:ascii="Arial" w:hAnsi="Arial" w:cs="Arial"/>
          <w:sz w:val="24"/>
          <w:szCs w:val="24"/>
        </w:rPr>
        <w:t xml:space="preserve"> </w:t>
      </w:r>
      <w:r w:rsidR="0019256C">
        <w:rPr>
          <w:rFonts w:ascii="Arial" w:hAnsi="Arial" w:cs="Arial"/>
          <w:sz w:val="24"/>
          <w:szCs w:val="24"/>
        </w:rPr>
        <w:t>However,</w:t>
      </w:r>
      <w:r w:rsidR="005D3073" w:rsidRPr="008607F9">
        <w:rPr>
          <w:rFonts w:ascii="Arial" w:hAnsi="Arial" w:cs="Arial"/>
          <w:sz w:val="24"/>
          <w:szCs w:val="24"/>
        </w:rPr>
        <w:t xml:space="preserve"> the member counts</w:t>
      </w:r>
      <w:r w:rsidR="005D3073" w:rsidRPr="007171C8">
        <w:rPr>
          <w:rFonts w:ascii="Arial" w:hAnsi="Arial" w:cs="Arial"/>
          <w:sz w:val="24"/>
          <w:szCs w:val="24"/>
        </w:rPr>
        <w:t xml:space="preserve"> used to calculate access ratios in this </w:t>
      </w:r>
      <w:r w:rsidR="001D1FDA" w:rsidRPr="007171C8">
        <w:rPr>
          <w:rFonts w:ascii="Arial" w:hAnsi="Arial" w:cs="Arial"/>
          <w:sz w:val="24"/>
          <w:szCs w:val="24"/>
        </w:rPr>
        <w:t>AMRP</w:t>
      </w:r>
      <w:r w:rsidR="0019256C">
        <w:rPr>
          <w:rFonts w:ascii="Arial" w:hAnsi="Arial" w:cs="Arial"/>
          <w:sz w:val="24"/>
          <w:szCs w:val="24"/>
        </w:rPr>
        <w:t xml:space="preserve"> (excluding home health)</w:t>
      </w:r>
      <w:r w:rsidR="005D3073" w:rsidRPr="007171C8">
        <w:rPr>
          <w:rFonts w:ascii="Arial" w:hAnsi="Arial" w:cs="Arial"/>
          <w:sz w:val="24"/>
          <w:szCs w:val="24"/>
        </w:rPr>
        <w:t xml:space="preserve"> include a </w:t>
      </w:r>
      <w:r w:rsidR="00C17134" w:rsidRPr="007171C8">
        <w:rPr>
          <w:rFonts w:ascii="Arial" w:hAnsi="Arial" w:cs="Arial"/>
          <w:sz w:val="24"/>
          <w:szCs w:val="24"/>
        </w:rPr>
        <w:t xml:space="preserve">subset of </w:t>
      </w:r>
      <w:r w:rsidR="005D3073" w:rsidRPr="007171C8">
        <w:rPr>
          <w:rFonts w:ascii="Arial" w:hAnsi="Arial" w:cs="Arial"/>
          <w:sz w:val="24"/>
          <w:szCs w:val="24"/>
        </w:rPr>
        <w:t>these</w:t>
      </w:r>
      <w:r w:rsidR="0062499B" w:rsidRPr="007171C8">
        <w:rPr>
          <w:rFonts w:ascii="Arial" w:hAnsi="Arial" w:cs="Arial"/>
          <w:sz w:val="24"/>
          <w:szCs w:val="24"/>
        </w:rPr>
        <w:t xml:space="preserve"> </w:t>
      </w:r>
      <w:r w:rsidR="00C17134" w:rsidRPr="007171C8">
        <w:rPr>
          <w:rFonts w:ascii="Arial" w:hAnsi="Arial" w:cs="Arial"/>
          <w:sz w:val="24"/>
          <w:szCs w:val="24"/>
        </w:rPr>
        <w:t xml:space="preserve">members </w:t>
      </w:r>
      <w:r w:rsidR="005D3073" w:rsidRPr="007171C8">
        <w:rPr>
          <w:rFonts w:ascii="Arial" w:hAnsi="Arial" w:cs="Arial"/>
          <w:sz w:val="24"/>
          <w:szCs w:val="24"/>
        </w:rPr>
        <w:t>and do</w:t>
      </w:r>
      <w:r w:rsidR="00986B6B" w:rsidRPr="007171C8">
        <w:rPr>
          <w:rFonts w:ascii="Arial" w:hAnsi="Arial" w:cs="Arial"/>
          <w:sz w:val="24"/>
          <w:szCs w:val="24"/>
        </w:rPr>
        <w:t xml:space="preserve"> </w:t>
      </w:r>
      <w:r w:rsidR="005D3073" w:rsidRPr="007171C8">
        <w:rPr>
          <w:rFonts w:ascii="Arial" w:hAnsi="Arial" w:cs="Arial"/>
          <w:sz w:val="24"/>
          <w:szCs w:val="24"/>
        </w:rPr>
        <w:t>n</w:t>
      </w:r>
      <w:r w:rsidR="00986B6B" w:rsidRPr="007171C8">
        <w:rPr>
          <w:rFonts w:ascii="Arial" w:hAnsi="Arial" w:cs="Arial"/>
          <w:sz w:val="24"/>
          <w:szCs w:val="24"/>
        </w:rPr>
        <w:t>o</w:t>
      </w:r>
      <w:r w:rsidR="005D3073" w:rsidRPr="007171C8">
        <w:rPr>
          <w:rFonts w:ascii="Arial" w:hAnsi="Arial" w:cs="Arial"/>
          <w:sz w:val="24"/>
          <w:szCs w:val="24"/>
        </w:rPr>
        <w:t>t include FFS</w:t>
      </w:r>
      <w:r w:rsidR="0019256C">
        <w:rPr>
          <w:rFonts w:ascii="Arial" w:hAnsi="Arial" w:cs="Arial"/>
          <w:sz w:val="24"/>
          <w:szCs w:val="24"/>
        </w:rPr>
        <w:t xml:space="preserve"> members</w:t>
      </w:r>
      <w:r w:rsidR="005D3073" w:rsidRPr="007171C8">
        <w:rPr>
          <w:rFonts w:ascii="Arial" w:hAnsi="Arial" w:cs="Arial"/>
          <w:sz w:val="24"/>
          <w:szCs w:val="24"/>
        </w:rPr>
        <w:t xml:space="preserve"> with </w:t>
      </w:r>
      <w:r w:rsidR="00986B6B" w:rsidRPr="007171C8">
        <w:rPr>
          <w:rFonts w:ascii="Arial" w:hAnsi="Arial" w:cs="Arial"/>
          <w:sz w:val="24"/>
          <w:szCs w:val="24"/>
        </w:rPr>
        <w:t>Mass</w:t>
      </w:r>
      <w:r w:rsidR="005D3073" w:rsidRPr="007171C8">
        <w:rPr>
          <w:rFonts w:ascii="Arial" w:hAnsi="Arial" w:cs="Arial"/>
          <w:sz w:val="24"/>
          <w:szCs w:val="24"/>
        </w:rPr>
        <w:t>Health as secondary</w:t>
      </w:r>
      <w:r w:rsidR="00986B6B" w:rsidRPr="007171C8">
        <w:rPr>
          <w:rFonts w:ascii="Arial" w:hAnsi="Arial" w:cs="Arial"/>
          <w:sz w:val="24"/>
          <w:szCs w:val="24"/>
        </w:rPr>
        <w:t xml:space="preserve"> coverage</w:t>
      </w:r>
      <w:r w:rsidR="0019256C">
        <w:rPr>
          <w:rFonts w:ascii="Arial" w:hAnsi="Arial" w:cs="Arial"/>
          <w:sz w:val="24"/>
          <w:szCs w:val="24"/>
        </w:rPr>
        <w:t xml:space="preserve"> with </w:t>
      </w:r>
      <w:r w:rsidR="00186602">
        <w:rPr>
          <w:rFonts w:ascii="Arial" w:hAnsi="Arial" w:cs="Arial"/>
          <w:sz w:val="24"/>
          <w:szCs w:val="24"/>
        </w:rPr>
        <w:t>TPL</w:t>
      </w:r>
      <w:r w:rsidR="005D3073" w:rsidRPr="007171C8">
        <w:rPr>
          <w:rFonts w:ascii="Arial" w:hAnsi="Arial" w:cs="Arial"/>
          <w:sz w:val="24"/>
          <w:szCs w:val="24"/>
        </w:rPr>
        <w:t>.</w:t>
      </w:r>
      <w:r w:rsidR="00584FCF" w:rsidRPr="007171C8">
        <w:rPr>
          <w:rFonts w:ascii="Arial" w:hAnsi="Arial" w:cs="Arial"/>
          <w:sz w:val="24"/>
          <w:szCs w:val="24"/>
        </w:rPr>
        <w:t xml:space="preserve"> </w:t>
      </w:r>
    </w:p>
    <w:p w:rsidR="002B07B8" w:rsidRPr="007171C8" w:rsidRDefault="002B07B8" w:rsidP="00C451AC">
      <w:pPr>
        <w:ind w:firstLine="0"/>
        <w:rPr>
          <w:rFonts w:ascii="Arial" w:hAnsi="Arial" w:cs="Arial"/>
          <w:sz w:val="24"/>
          <w:szCs w:val="24"/>
        </w:rPr>
      </w:pPr>
    </w:p>
    <w:p w:rsidR="00BE1A18" w:rsidRDefault="006442F6" w:rsidP="00BE1A18">
      <w:pPr>
        <w:ind w:firstLine="0"/>
        <w:rPr>
          <w:rFonts w:ascii="Arial" w:hAnsi="Arial" w:cs="Arial"/>
          <w:sz w:val="24"/>
          <w:szCs w:val="24"/>
        </w:rPr>
      </w:pPr>
      <w:r>
        <w:rPr>
          <w:rFonts w:ascii="Arial" w:hAnsi="Arial" w:cs="Arial"/>
          <w:sz w:val="24"/>
          <w:szCs w:val="24"/>
        </w:rPr>
        <w:t>T</w:t>
      </w:r>
      <w:r w:rsidR="007F43FA" w:rsidRPr="007171C8">
        <w:rPr>
          <w:rFonts w:ascii="Arial" w:hAnsi="Arial" w:cs="Arial"/>
          <w:sz w:val="24"/>
          <w:szCs w:val="24"/>
        </w:rPr>
        <w:t xml:space="preserve">he methodology used throughout the AMRP may </w:t>
      </w:r>
      <w:r w:rsidR="00826AFA">
        <w:rPr>
          <w:rFonts w:ascii="Arial" w:hAnsi="Arial" w:cs="Arial"/>
          <w:sz w:val="24"/>
          <w:szCs w:val="24"/>
        </w:rPr>
        <w:t xml:space="preserve">appear to </w:t>
      </w:r>
      <w:r w:rsidR="007F43FA" w:rsidRPr="007171C8">
        <w:rPr>
          <w:rFonts w:ascii="Arial" w:hAnsi="Arial" w:cs="Arial"/>
          <w:sz w:val="24"/>
          <w:szCs w:val="24"/>
        </w:rPr>
        <w:t xml:space="preserve">result in access undercounts </w:t>
      </w:r>
      <w:r w:rsidR="00B3462E">
        <w:rPr>
          <w:rFonts w:ascii="Arial" w:hAnsi="Arial" w:cs="Arial"/>
          <w:sz w:val="24"/>
          <w:szCs w:val="24"/>
        </w:rPr>
        <w:t xml:space="preserve">for data tables in certain counties </w:t>
      </w:r>
      <w:r w:rsidR="007F43FA" w:rsidRPr="007171C8">
        <w:rPr>
          <w:rFonts w:ascii="Arial" w:hAnsi="Arial" w:cs="Arial"/>
          <w:sz w:val="24"/>
          <w:szCs w:val="24"/>
        </w:rPr>
        <w:t xml:space="preserve">for </w:t>
      </w:r>
      <w:r w:rsidR="00B3462E">
        <w:rPr>
          <w:rFonts w:ascii="Arial" w:hAnsi="Arial" w:cs="Arial"/>
          <w:sz w:val="24"/>
          <w:szCs w:val="24"/>
        </w:rPr>
        <w:t>several</w:t>
      </w:r>
      <w:r w:rsidR="007F43FA" w:rsidRPr="007171C8">
        <w:rPr>
          <w:rFonts w:ascii="Arial" w:hAnsi="Arial" w:cs="Arial"/>
          <w:sz w:val="24"/>
          <w:szCs w:val="24"/>
        </w:rPr>
        <w:t xml:space="preserve"> reasons. M</w:t>
      </w:r>
      <w:r w:rsidR="00584FCF" w:rsidRPr="007171C8">
        <w:rPr>
          <w:rFonts w:ascii="Arial" w:hAnsi="Arial" w:cs="Arial"/>
          <w:sz w:val="24"/>
          <w:szCs w:val="24"/>
        </w:rPr>
        <w:t xml:space="preserve">any members access care from </w:t>
      </w:r>
      <w:r w:rsidR="00056645" w:rsidRPr="00056645">
        <w:rPr>
          <w:rFonts w:ascii="Arial" w:hAnsi="Arial" w:cs="Arial"/>
          <w:sz w:val="24"/>
          <w:szCs w:val="24"/>
        </w:rPr>
        <w:t>hospital</w:t>
      </w:r>
      <w:r w:rsidR="00056645">
        <w:rPr>
          <w:rFonts w:ascii="Arial" w:hAnsi="Arial" w:cs="Arial"/>
          <w:sz w:val="24"/>
          <w:szCs w:val="24"/>
        </w:rPr>
        <w:t>s</w:t>
      </w:r>
      <w:r w:rsidR="00056645" w:rsidRPr="00056645">
        <w:rPr>
          <w:rFonts w:ascii="Arial" w:hAnsi="Arial" w:cs="Arial"/>
          <w:sz w:val="24"/>
          <w:szCs w:val="24"/>
        </w:rPr>
        <w:t xml:space="preserve"> or community health center</w:t>
      </w:r>
      <w:r w:rsidR="00056645">
        <w:rPr>
          <w:rFonts w:ascii="Arial" w:hAnsi="Arial" w:cs="Arial"/>
          <w:sz w:val="24"/>
          <w:szCs w:val="24"/>
        </w:rPr>
        <w:t>s</w:t>
      </w:r>
      <w:r w:rsidR="000444E4">
        <w:rPr>
          <w:rFonts w:ascii="Arial" w:hAnsi="Arial" w:cs="Arial"/>
          <w:sz w:val="24"/>
          <w:szCs w:val="24"/>
        </w:rPr>
        <w:t xml:space="preserve"> (CHCs)</w:t>
      </w:r>
      <w:r w:rsidR="00AB00B9">
        <w:rPr>
          <w:rFonts w:ascii="Arial" w:hAnsi="Arial" w:cs="Arial"/>
          <w:sz w:val="24"/>
          <w:szCs w:val="24"/>
        </w:rPr>
        <w:t>, whose individual clinicians</w:t>
      </w:r>
      <w:r w:rsidR="00056645" w:rsidRPr="00056645">
        <w:rPr>
          <w:rFonts w:ascii="Arial" w:hAnsi="Arial" w:cs="Arial"/>
          <w:sz w:val="24"/>
          <w:szCs w:val="24"/>
        </w:rPr>
        <w:t xml:space="preserve"> </w:t>
      </w:r>
      <w:r w:rsidR="00056645">
        <w:rPr>
          <w:rFonts w:ascii="Arial" w:hAnsi="Arial" w:cs="Arial"/>
          <w:sz w:val="24"/>
          <w:szCs w:val="24"/>
        </w:rPr>
        <w:t>may</w:t>
      </w:r>
      <w:r w:rsidR="00584FCF" w:rsidRPr="007171C8">
        <w:rPr>
          <w:rFonts w:ascii="Arial" w:hAnsi="Arial" w:cs="Arial"/>
          <w:sz w:val="24"/>
          <w:szCs w:val="24"/>
        </w:rPr>
        <w:t xml:space="preserve"> not</w:t>
      </w:r>
      <w:r w:rsidR="00056645">
        <w:rPr>
          <w:rFonts w:ascii="Arial" w:hAnsi="Arial" w:cs="Arial"/>
          <w:sz w:val="24"/>
          <w:szCs w:val="24"/>
        </w:rPr>
        <w:t xml:space="preserve"> be</w:t>
      </w:r>
      <w:r w:rsidR="00584FCF" w:rsidRPr="007171C8">
        <w:rPr>
          <w:rFonts w:ascii="Arial" w:hAnsi="Arial" w:cs="Arial"/>
          <w:sz w:val="24"/>
          <w:szCs w:val="24"/>
        </w:rPr>
        <w:t xml:space="preserve"> </w:t>
      </w:r>
      <w:r w:rsidR="00D34AAA" w:rsidRPr="007171C8">
        <w:rPr>
          <w:rFonts w:ascii="Arial" w:hAnsi="Arial" w:cs="Arial"/>
          <w:sz w:val="24"/>
          <w:szCs w:val="24"/>
        </w:rPr>
        <w:t xml:space="preserve">individually enrolled in </w:t>
      </w:r>
      <w:r w:rsidR="00826AFA">
        <w:rPr>
          <w:rFonts w:ascii="Arial" w:hAnsi="Arial" w:cs="Arial"/>
          <w:sz w:val="24"/>
          <w:szCs w:val="24"/>
        </w:rPr>
        <w:t>the Medicaid Management Information System (</w:t>
      </w:r>
      <w:r w:rsidR="00D34AAA" w:rsidRPr="007171C8">
        <w:rPr>
          <w:rFonts w:ascii="Arial" w:hAnsi="Arial" w:cs="Arial"/>
          <w:sz w:val="24"/>
          <w:szCs w:val="24"/>
        </w:rPr>
        <w:t>MMIS</w:t>
      </w:r>
      <w:r w:rsidR="00826AFA">
        <w:rPr>
          <w:rFonts w:ascii="Arial" w:hAnsi="Arial" w:cs="Arial"/>
          <w:sz w:val="24"/>
          <w:szCs w:val="24"/>
        </w:rPr>
        <w:t>)</w:t>
      </w:r>
      <w:r w:rsidR="00D34AAA" w:rsidRPr="007171C8">
        <w:rPr>
          <w:rFonts w:ascii="Arial" w:hAnsi="Arial" w:cs="Arial"/>
          <w:sz w:val="24"/>
          <w:szCs w:val="24"/>
        </w:rPr>
        <w:t xml:space="preserve"> </w:t>
      </w:r>
      <w:r w:rsidR="00056645">
        <w:rPr>
          <w:rFonts w:ascii="Arial" w:hAnsi="Arial" w:cs="Arial"/>
          <w:sz w:val="24"/>
          <w:szCs w:val="24"/>
        </w:rPr>
        <w:t>and</w:t>
      </w:r>
      <w:r w:rsidR="00D34AAA" w:rsidRPr="007171C8">
        <w:rPr>
          <w:rFonts w:ascii="Arial" w:hAnsi="Arial" w:cs="Arial"/>
          <w:sz w:val="24"/>
          <w:szCs w:val="24"/>
        </w:rPr>
        <w:t xml:space="preserve"> provide services under a facility billing structure</w:t>
      </w:r>
      <w:r w:rsidR="00056645">
        <w:rPr>
          <w:rFonts w:ascii="Arial" w:hAnsi="Arial" w:cs="Arial"/>
          <w:sz w:val="24"/>
          <w:szCs w:val="24"/>
        </w:rPr>
        <w:t>.</w:t>
      </w:r>
      <w:r w:rsidR="00D34AAA" w:rsidRPr="007171C8">
        <w:rPr>
          <w:rFonts w:ascii="Arial" w:hAnsi="Arial" w:cs="Arial"/>
          <w:sz w:val="24"/>
          <w:szCs w:val="24"/>
        </w:rPr>
        <w:t xml:space="preserve"> </w:t>
      </w:r>
      <w:r w:rsidR="00B3462E">
        <w:rPr>
          <w:rFonts w:ascii="Arial" w:hAnsi="Arial" w:cs="Arial"/>
          <w:sz w:val="24"/>
          <w:szCs w:val="24"/>
        </w:rPr>
        <w:t>In addition, p</w:t>
      </w:r>
      <w:r w:rsidR="00D34AAA" w:rsidRPr="007171C8">
        <w:rPr>
          <w:rFonts w:ascii="Arial" w:hAnsi="Arial" w:cs="Arial"/>
          <w:sz w:val="24"/>
          <w:szCs w:val="24"/>
        </w:rPr>
        <w:t xml:space="preserve">roviders </w:t>
      </w:r>
      <w:r w:rsidR="00893A88">
        <w:rPr>
          <w:rFonts w:ascii="Arial" w:hAnsi="Arial" w:cs="Arial"/>
          <w:sz w:val="24"/>
          <w:szCs w:val="24"/>
        </w:rPr>
        <w:t>may</w:t>
      </w:r>
      <w:r w:rsidR="00D34AAA" w:rsidRPr="007171C8">
        <w:rPr>
          <w:rFonts w:ascii="Arial" w:hAnsi="Arial" w:cs="Arial"/>
          <w:sz w:val="24"/>
          <w:szCs w:val="24"/>
        </w:rPr>
        <w:t xml:space="preserve"> provide care at numerous site </w:t>
      </w:r>
      <w:r w:rsidR="00893A88" w:rsidRPr="007171C8">
        <w:rPr>
          <w:rFonts w:ascii="Arial" w:hAnsi="Arial" w:cs="Arial"/>
          <w:sz w:val="24"/>
          <w:szCs w:val="24"/>
        </w:rPr>
        <w:t>locations,</w:t>
      </w:r>
      <w:r w:rsidR="00893A88">
        <w:rPr>
          <w:rFonts w:ascii="Arial" w:hAnsi="Arial" w:cs="Arial"/>
          <w:sz w:val="24"/>
          <w:szCs w:val="24"/>
        </w:rPr>
        <w:t xml:space="preserve"> but the data used for the AMRP accounts for a single site location per provider to </w:t>
      </w:r>
      <w:r w:rsidR="00C370C4">
        <w:rPr>
          <w:rFonts w:ascii="Arial" w:hAnsi="Arial" w:cs="Arial"/>
          <w:sz w:val="24"/>
          <w:szCs w:val="24"/>
        </w:rPr>
        <w:t xml:space="preserve">ensure unduplicated </w:t>
      </w:r>
      <w:r w:rsidR="00893A88">
        <w:rPr>
          <w:rFonts w:ascii="Arial" w:hAnsi="Arial" w:cs="Arial"/>
          <w:sz w:val="24"/>
          <w:szCs w:val="24"/>
        </w:rPr>
        <w:t>provider counts.</w:t>
      </w:r>
      <w:r w:rsidR="00D34AAA" w:rsidRPr="007171C8">
        <w:rPr>
          <w:rFonts w:ascii="Arial" w:hAnsi="Arial" w:cs="Arial"/>
          <w:sz w:val="24"/>
          <w:szCs w:val="24"/>
        </w:rPr>
        <w:t xml:space="preserve"> </w:t>
      </w:r>
      <w:r w:rsidR="00056645">
        <w:rPr>
          <w:rFonts w:ascii="Arial" w:hAnsi="Arial" w:cs="Arial"/>
          <w:sz w:val="24"/>
          <w:szCs w:val="24"/>
        </w:rPr>
        <w:lastRenderedPageBreak/>
        <w:t>A</w:t>
      </w:r>
      <w:r w:rsidR="00056645" w:rsidRPr="007171C8">
        <w:rPr>
          <w:rFonts w:ascii="Arial" w:hAnsi="Arial" w:cs="Arial"/>
          <w:sz w:val="24"/>
          <w:szCs w:val="24"/>
        </w:rPr>
        <w:t xml:space="preserve">s a result, </w:t>
      </w:r>
      <w:r w:rsidR="007029F5">
        <w:rPr>
          <w:rFonts w:ascii="Arial" w:hAnsi="Arial" w:cs="Arial"/>
          <w:sz w:val="24"/>
          <w:szCs w:val="24"/>
        </w:rPr>
        <w:t>certain</w:t>
      </w:r>
      <w:r w:rsidR="00056645">
        <w:rPr>
          <w:rFonts w:ascii="Arial" w:hAnsi="Arial" w:cs="Arial"/>
          <w:sz w:val="24"/>
          <w:szCs w:val="24"/>
        </w:rPr>
        <w:t xml:space="preserve"> providers may</w:t>
      </w:r>
      <w:r w:rsidR="00056645" w:rsidRPr="007171C8">
        <w:rPr>
          <w:rFonts w:ascii="Arial" w:hAnsi="Arial" w:cs="Arial"/>
          <w:sz w:val="24"/>
          <w:szCs w:val="24"/>
        </w:rPr>
        <w:t xml:space="preserve"> not </w:t>
      </w:r>
      <w:r w:rsidR="00056645">
        <w:rPr>
          <w:rFonts w:ascii="Arial" w:hAnsi="Arial" w:cs="Arial"/>
          <w:sz w:val="24"/>
          <w:szCs w:val="24"/>
        </w:rPr>
        <w:t xml:space="preserve">be individually </w:t>
      </w:r>
      <w:r w:rsidR="00056645" w:rsidRPr="007171C8">
        <w:rPr>
          <w:rFonts w:ascii="Arial" w:hAnsi="Arial" w:cs="Arial"/>
          <w:sz w:val="24"/>
          <w:szCs w:val="24"/>
        </w:rPr>
        <w:t xml:space="preserve">captured in the data presented in the 2019 AMRP. </w:t>
      </w:r>
    </w:p>
    <w:p w:rsidR="00921237" w:rsidRDefault="00921237" w:rsidP="00BE1A18">
      <w:pPr>
        <w:ind w:firstLine="0"/>
        <w:rPr>
          <w:rFonts w:ascii="Arial" w:hAnsi="Arial" w:cs="Arial"/>
          <w:sz w:val="24"/>
          <w:szCs w:val="24"/>
        </w:rPr>
      </w:pPr>
    </w:p>
    <w:p w:rsidR="002262CD" w:rsidRPr="007171C8" w:rsidRDefault="00131791" w:rsidP="00E83EB1">
      <w:pPr>
        <w:pStyle w:val="Heading2"/>
        <w:rPr>
          <w:rFonts w:ascii="Arial" w:hAnsi="Arial" w:cs="Arial"/>
          <w:color w:val="auto"/>
          <w:sz w:val="24"/>
          <w:u w:val="single"/>
        </w:rPr>
      </w:pPr>
      <w:bookmarkStart w:id="10" w:name="_Toc10810569"/>
      <w:bookmarkStart w:id="11" w:name="_Toc20296917"/>
      <w:r w:rsidRPr="007171C8">
        <w:rPr>
          <w:rFonts w:ascii="Arial" w:hAnsi="Arial" w:cs="Arial"/>
          <w:color w:val="auto"/>
          <w:sz w:val="24"/>
          <w:u w:val="single"/>
        </w:rPr>
        <w:t>Member Perceptions of Access to Care</w:t>
      </w:r>
      <w:bookmarkEnd w:id="10"/>
      <w:bookmarkEnd w:id="11"/>
    </w:p>
    <w:p w:rsidR="0055204F" w:rsidRPr="0055204F" w:rsidRDefault="0055204F" w:rsidP="0055204F">
      <w:pPr>
        <w:ind w:firstLine="0"/>
        <w:rPr>
          <w:rFonts w:ascii="Arial" w:hAnsi="Arial" w:cs="Arial"/>
          <w:sz w:val="24"/>
          <w:szCs w:val="24"/>
        </w:rPr>
      </w:pPr>
    </w:p>
    <w:p w:rsidR="0055204F" w:rsidRPr="0055204F" w:rsidRDefault="00893A88" w:rsidP="0055204F">
      <w:pPr>
        <w:ind w:firstLine="0"/>
        <w:rPr>
          <w:rFonts w:ascii="Arial" w:hAnsi="Arial" w:cs="Arial"/>
          <w:sz w:val="24"/>
          <w:szCs w:val="24"/>
        </w:rPr>
      </w:pPr>
      <w:r>
        <w:rPr>
          <w:rFonts w:ascii="Arial" w:hAnsi="Arial" w:cs="Arial"/>
          <w:sz w:val="24"/>
          <w:szCs w:val="24"/>
        </w:rPr>
        <w:t xml:space="preserve">Data on members’ reported concerns related to </w:t>
      </w:r>
      <w:r w:rsidR="0055204F" w:rsidRPr="0055204F">
        <w:rPr>
          <w:rFonts w:ascii="Arial" w:hAnsi="Arial" w:cs="Arial"/>
          <w:sz w:val="24"/>
          <w:szCs w:val="24"/>
        </w:rPr>
        <w:t xml:space="preserve">accessing care is collected and tracked by our customer service center (CSC). </w:t>
      </w:r>
    </w:p>
    <w:p w:rsidR="0055204F" w:rsidRPr="0055204F" w:rsidRDefault="0055204F" w:rsidP="0055204F">
      <w:pPr>
        <w:ind w:firstLine="0"/>
        <w:rPr>
          <w:rFonts w:ascii="Arial" w:hAnsi="Arial" w:cs="Arial"/>
          <w:sz w:val="24"/>
          <w:szCs w:val="24"/>
        </w:rPr>
      </w:pPr>
    </w:p>
    <w:p w:rsidR="0055204F" w:rsidRPr="0055204F" w:rsidRDefault="0055204F" w:rsidP="0055204F">
      <w:pPr>
        <w:ind w:firstLine="0"/>
        <w:rPr>
          <w:rFonts w:ascii="Arial" w:eastAsia="Calibri" w:hAnsi="Arial" w:cs="Arial"/>
          <w:sz w:val="24"/>
          <w:szCs w:val="24"/>
        </w:rPr>
      </w:pPr>
      <w:proofErr w:type="spellStart"/>
      <w:r w:rsidRPr="0055204F">
        <w:rPr>
          <w:rFonts w:ascii="Arial" w:eastAsia="Calibri" w:hAnsi="Arial" w:cs="Arial"/>
          <w:sz w:val="24"/>
          <w:szCs w:val="24"/>
        </w:rPr>
        <w:t>MassHealth’s</w:t>
      </w:r>
      <w:proofErr w:type="spellEnd"/>
      <w:r w:rsidRPr="0055204F">
        <w:rPr>
          <w:rFonts w:ascii="Arial" w:eastAsia="Calibri" w:hAnsi="Arial" w:cs="Arial"/>
          <w:sz w:val="24"/>
          <w:szCs w:val="24"/>
        </w:rPr>
        <w:t xml:space="preserve"> customer service vendor operates a central call and support center for MassHealth providers, provider applicants, members, member applicants, and others interested in accessing information relevant to MassHealth. The CSC provides callers with general information as well as specific assistance with eligibility, health plan enrollment/applications, health plan management, MassHealth benefits and services, transportation authorization, billing issues, complaints, appeals, referrals, and many other issues. The hours of operation for the CSC are Monday through Friday from 8:00 AM to 5:00 PM.</w:t>
      </w:r>
    </w:p>
    <w:p w:rsidR="0055204F" w:rsidRPr="0055204F" w:rsidRDefault="0055204F" w:rsidP="0055204F">
      <w:pPr>
        <w:ind w:firstLine="0"/>
        <w:rPr>
          <w:rFonts w:ascii="Arial" w:eastAsia="MS Mincho" w:hAnsi="Arial" w:cs="Arial"/>
          <w:sz w:val="24"/>
          <w:szCs w:val="24"/>
        </w:rPr>
      </w:pPr>
    </w:p>
    <w:p w:rsidR="0055204F" w:rsidRPr="0055204F" w:rsidRDefault="0055204F" w:rsidP="0055204F">
      <w:pPr>
        <w:ind w:firstLine="0"/>
        <w:rPr>
          <w:rFonts w:ascii="Arial" w:eastAsia="MS Mincho" w:hAnsi="Arial" w:cs="Arial"/>
          <w:sz w:val="24"/>
          <w:szCs w:val="24"/>
        </w:rPr>
      </w:pPr>
      <w:r w:rsidRPr="0055204F">
        <w:rPr>
          <w:rFonts w:ascii="Arial" w:eastAsia="MS Mincho" w:hAnsi="Arial" w:cs="Arial"/>
          <w:sz w:val="24"/>
          <w:szCs w:val="24"/>
        </w:rPr>
        <w:t>F</w:t>
      </w:r>
      <w:r w:rsidRPr="00B84D88">
        <w:rPr>
          <w:rFonts w:ascii="Arial" w:eastAsia="MS Mincho" w:hAnsi="Arial" w:cs="Arial"/>
          <w:sz w:val="24"/>
          <w:szCs w:val="24"/>
        </w:rPr>
        <w:t>igure #</w:t>
      </w:r>
      <w:r w:rsidR="00F277EF" w:rsidRPr="00B84D88">
        <w:rPr>
          <w:rFonts w:ascii="Arial" w:eastAsia="MS Mincho" w:hAnsi="Arial" w:cs="Arial"/>
          <w:sz w:val="24"/>
          <w:szCs w:val="24"/>
        </w:rPr>
        <w:t>5</w:t>
      </w:r>
      <w:r w:rsidRPr="00B84D88">
        <w:rPr>
          <w:rFonts w:ascii="Arial" w:eastAsia="MS Mincho" w:hAnsi="Arial" w:cs="Arial"/>
          <w:sz w:val="24"/>
          <w:szCs w:val="24"/>
        </w:rPr>
        <w:t xml:space="preserve"> is an all-inclusive grid of the </w:t>
      </w:r>
      <w:r w:rsidR="00893A88">
        <w:rPr>
          <w:rFonts w:ascii="Arial" w:eastAsia="MS Mincho" w:hAnsi="Arial" w:cs="Arial"/>
          <w:sz w:val="24"/>
          <w:szCs w:val="24"/>
        </w:rPr>
        <w:t>provider</w:t>
      </w:r>
      <w:r w:rsidR="00691A70">
        <w:rPr>
          <w:rFonts w:ascii="Arial" w:eastAsia="MS Mincho" w:hAnsi="Arial" w:cs="Arial"/>
          <w:sz w:val="24"/>
          <w:szCs w:val="24"/>
        </w:rPr>
        <w:t>-access r</w:t>
      </w:r>
      <w:r w:rsidR="00893A88">
        <w:rPr>
          <w:rFonts w:ascii="Arial" w:eastAsia="MS Mincho" w:hAnsi="Arial" w:cs="Arial"/>
          <w:sz w:val="24"/>
          <w:szCs w:val="24"/>
        </w:rPr>
        <w:t xml:space="preserve">elated </w:t>
      </w:r>
      <w:r w:rsidRPr="00B84D88">
        <w:rPr>
          <w:rFonts w:ascii="Arial" w:eastAsia="MS Mincho" w:hAnsi="Arial" w:cs="Arial"/>
          <w:sz w:val="24"/>
          <w:szCs w:val="24"/>
        </w:rPr>
        <w:t xml:space="preserve">calls received </w:t>
      </w:r>
      <w:r w:rsidR="00893A88">
        <w:rPr>
          <w:rFonts w:ascii="Arial" w:eastAsia="MS Mincho" w:hAnsi="Arial" w:cs="Arial"/>
          <w:sz w:val="24"/>
          <w:szCs w:val="24"/>
        </w:rPr>
        <w:t>per quarter from</w:t>
      </w:r>
      <w:r w:rsidRPr="00B84D88">
        <w:rPr>
          <w:rFonts w:ascii="Arial" w:eastAsia="MS Mincho" w:hAnsi="Arial" w:cs="Arial"/>
          <w:sz w:val="24"/>
          <w:szCs w:val="24"/>
        </w:rPr>
        <w:t xml:space="preserve"> April 2016- March 2019, as well as their dispositions. </w:t>
      </w:r>
    </w:p>
    <w:p w:rsidR="0055204F" w:rsidRPr="0055204F" w:rsidRDefault="0055204F" w:rsidP="0055204F">
      <w:pPr>
        <w:ind w:firstLine="0"/>
        <w:rPr>
          <w:rFonts w:ascii="Arial" w:eastAsia="MS Mincho" w:hAnsi="Arial" w:cs="Arial"/>
          <w:sz w:val="24"/>
          <w:szCs w:val="24"/>
        </w:rPr>
      </w:pPr>
    </w:p>
    <w:p w:rsidR="0055204F" w:rsidRPr="002B2ECC" w:rsidRDefault="0055204F" w:rsidP="0055204F">
      <w:pPr>
        <w:ind w:firstLine="0"/>
        <w:rPr>
          <w:rFonts w:ascii="Arial" w:eastAsia="MS Mincho" w:hAnsi="Arial" w:cs="Arial"/>
          <w:b/>
          <w:sz w:val="24"/>
          <w:szCs w:val="24"/>
        </w:rPr>
      </w:pPr>
      <w:r w:rsidRPr="00A779BD">
        <w:rPr>
          <w:rFonts w:ascii="Arial" w:eastAsia="MS Mincho" w:hAnsi="Arial" w:cs="Arial"/>
          <w:b/>
          <w:sz w:val="24"/>
          <w:szCs w:val="24"/>
        </w:rPr>
        <w:t>Figure</w:t>
      </w:r>
      <w:r w:rsidR="00B84D88" w:rsidRPr="00A779BD">
        <w:rPr>
          <w:rFonts w:ascii="Arial" w:eastAsia="MS Mincho" w:hAnsi="Arial" w:cs="Arial"/>
          <w:b/>
          <w:sz w:val="24"/>
          <w:szCs w:val="24"/>
        </w:rPr>
        <w:t xml:space="preserve"> #</w:t>
      </w:r>
      <w:r w:rsidR="00F277EF" w:rsidRPr="00A779BD">
        <w:rPr>
          <w:rFonts w:ascii="Arial" w:eastAsia="MS Mincho" w:hAnsi="Arial" w:cs="Arial"/>
          <w:b/>
          <w:sz w:val="24"/>
          <w:szCs w:val="24"/>
        </w:rPr>
        <w:t>5</w:t>
      </w:r>
      <w:r w:rsidR="00B84D88" w:rsidRPr="00A779BD">
        <w:rPr>
          <w:rFonts w:ascii="Arial" w:eastAsia="MS Mincho" w:hAnsi="Arial" w:cs="Arial"/>
          <w:b/>
          <w:sz w:val="24"/>
          <w:szCs w:val="24"/>
        </w:rPr>
        <w:t xml:space="preserve">: </w:t>
      </w:r>
      <w:r w:rsidRPr="00A779BD">
        <w:rPr>
          <w:rFonts w:ascii="Arial" w:eastAsia="MS Mincho" w:hAnsi="Arial" w:cs="Arial"/>
          <w:b/>
          <w:sz w:val="24"/>
          <w:szCs w:val="24"/>
        </w:rPr>
        <w:t>Total Calls Related to Provider Access and Their Disposition</w:t>
      </w:r>
    </w:p>
    <w:tbl>
      <w:tblPr>
        <w:tblW w:w="5000" w:type="pct"/>
        <w:tblLayout w:type="fixed"/>
        <w:tblLook w:val="04A0" w:firstRow="1" w:lastRow="0" w:firstColumn="1" w:lastColumn="0" w:noHBand="0" w:noVBand="1"/>
      </w:tblPr>
      <w:tblGrid>
        <w:gridCol w:w="2011"/>
        <w:gridCol w:w="1341"/>
        <w:gridCol w:w="1724"/>
        <w:gridCol w:w="1628"/>
        <w:gridCol w:w="1436"/>
        <w:gridCol w:w="1436"/>
      </w:tblGrid>
      <w:tr w:rsidR="005416F5" w:rsidRPr="0055204F" w:rsidTr="007738E4">
        <w:trPr>
          <w:trHeight w:val="1348"/>
          <w:tblHeader/>
        </w:trPr>
        <w:tc>
          <w:tcPr>
            <w:tcW w:w="1050" w:type="pct"/>
            <w:tcBorders>
              <w:top w:val="single" w:sz="8" w:space="0" w:color="auto"/>
              <w:left w:val="single" w:sz="8" w:space="0" w:color="auto"/>
              <w:bottom w:val="single" w:sz="8" w:space="0" w:color="auto"/>
              <w:right w:val="single" w:sz="8" w:space="0" w:color="auto"/>
            </w:tcBorders>
            <w:shd w:val="clear" w:color="000000" w:fill="FFFFFF"/>
            <w:noWrap/>
            <w:hideMark/>
          </w:tcPr>
          <w:p w:rsidR="0055204F" w:rsidRPr="0055204F" w:rsidRDefault="0055204F" w:rsidP="0082497B">
            <w:pPr>
              <w:ind w:firstLine="0"/>
              <w:jc w:val="center"/>
              <w:rPr>
                <w:rFonts w:ascii="Arial" w:eastAsia="Times New Roman" w:hAnsi="Arial" w:cs="Arial"/>
                <w:b/>
                <w:bCs/>
                <w:color w:val="000000"/>
                <w:sz w:val="24"/>
                <w:szCs w:val="24"/>
              </w:rPr>
            </w:pPr>
            <w:r w:rsidRPr="0055204F">
              <w:rPr>
                <w:rFonts w:ascii="Arial" w:eastAsia="Times New Roman" w:hAnsi="Arial" w:cs="Arial"/>
                <w:b/>
                <w:bCs/>
                <w:color w:val="000000"/>
                <w:sz w:val="24"/>
                <w:szCs w:val="24"/>
              </w:rPr>
              <w:t>Quarter</w:t>
            </w:r>
          </w:p>
        </w:tc>
        <w:tc>
          <w:tcPr>
            <w:tcW w:w="700" w:type="pct"/>
            <w:tcBorders>
              <w:top w:val="single" w:sz="8" w:space="0" w:color="auto"/>
              <w:left w:val="nil"/>
              <w:bottom w:val="single" w:sz="8" w:space="0" w:color="auto"/>
              <w:right w:val="single" w:sz="8" w:space="0" w:color="auto"/>
            </w:tcBorders>
            <w:shd w:val="clear" w:color="000000" w:fill="FFFFFF"/>
            <w:hideMark/>
          </w:tcPr>
          <w:p w:rsidR="0055204F" w:rsidRPr="0055204F" w:rsidRDefault="0055204F" w:rsidP="0082497B">
            <w:pPr>
              <w:ind w:firstLine="0"/>
              <w:jc w:val="center"/>
              <w:rPr>
                <w:rFonts w:ascii="Arial" w:eastAsia="Times New Roman" w:hAnsi="Arial" w:cs="Arial"/>
                <w:b/>
                <w:bCs/>
                <w:color w:val="000000"/>
                <w:sz w:val="24"/>
                <w:szCs w:val="24"/>
              </w:rPr>
            </w:pPr>
            <w:r w:rsidRPr="0055204F">
              <w:rPr>
                <w:rFonts w:ascii="Arial" w:eastAsia="Times New Roman" w:hAnsi="Arial" w:cs="Arial"/>
                <w:b/>
                <w:bCs/>
                <w:color w:val="000000"/>
                <w:sz w:val="24"/>
                <w:szCs w:val="24"/>
              </w:rPr>
              <w:t>Calls Related to Provider Access</w:t>
            </w:r>
          </w:p>
        </w:tc>
        <w:tc>
          <w:tcPr>
            <w:tcW w:w="900" w:type="pct"/>
            <w:tcBorders>
              <w:top w:val="single" w:sz="8" w:space="0" w:color="auto"/>
              <w:left w:val="nil"/>
              <w:bottom w:val="single" w:sz="8" w:space="0" w:color="auto"/>
              <w:right w:val="single" w:sz="4" w:space="0" w:color="auto"/>
            </w:tcBorders>
            <w:shd w:val="clear" w:color="000000" w:fill="FFFFFF"/>
            <w:hideMark/>
          </w:tcPr>
          <w:p w:rsidR="0055204F" w:rsidRPr="0055204F" w:rsidRDefault="0055204F" w:rsidP="0082497B">
            <w:pPr>
              <w:ind w:firstLine="0"/>
              <w:jc w:val="center"/>
              <w:rPr>
                <w:rFonts w:ascii="Arial" w:eastAsia="Times New Roman" w:hAnsi="Arial" w:cs="Arial"/>
                <w:b/>
                <w:bCs/>
                <w:color w:val="000000"/>
                <w:sz w:val="24"/>
                <w:szCs w:val="24"/>
              </w:rPr>
            </w:pPr>
            <w:r w:rsidRPr="0055204F">
              <w:rPr>
                <w:rFonts w:ascii="Arial" w:eastAsia="Times New Roman" w:hAnsi="Arial" w:cs="Arial"/>
                <w:b/>
                <w:bCs/>
                <w:color w:val="000000"/>
                <w:sz w:val="24"/>
                <w:szCs w:val="24"/>
              </w:rPr>
              <w:t>Calls Initially Resolved by Customer Service Representatives (CSRs)</w:t>
            </w:r>
          </w:p>
        </w:tc>
        <w:tc>
          <w:tcPr>
            <w:tcW w:w="850" w:type="pct"/>
            <w:tcBorders>
              <w:top w:val="single" w:sz="4" w:space="0" w:color="auto"/>
              <w:left w:val="single" w:sz="4" w:space="0" w:color="auto"/>
              <w:bottom w:val="single" w:sz="4" w:space="0" w:color="auto"/>
              <w:right w:val="single" w:sz="4" w:space="0" w:color="auto"/>
            </w:tcBorders>
            <w:shd w:val="clear" w:color="000000" w:fill="FFFFFF"/>
          </w:tcPr>
          <w:p w:rsidR="0055204F" w:rsidRPr="0055204F" w:rsidRDefault="0055204F" w:rsidP="0082497B">
            <w:pPr>
              <w:ind w:firstLine="0"/>
              <w:jc w:val="center"/>
              <w:rPr>
                <w:rFonts w:ascii="Arial" w:eastAsia="Times New Roman" w:hAnsi="Arial" w:cs="Arial"/>
                <w:b/>
                <w:bCs/>
                <w:color w:val="000000"/>
                <w:sz w:val="24"/>
                <w:szCs w:val="24"/>
              </w:rPr>
            </w:pPr>
            <w:r w:rsidRPr="0055204F">
              <w:rPr>
                <w:rFonts w:ascii="Arial" w:eastAsia="Times New Roman" w:hAnsi="Arial" w:cs="Arial"/>
                <w:b/>
                <w:bCs/>
                <w:color w:val="000000"/>
                <w:sz w:val="24"/>
                <w:szCs w:val="24"/>
              </w:rPr>
              <w:t>Percent of Calls Resolved on one Phone Call (One Call Resolution)</w:t>
            </w:r>
          </w:p>
        </w:tc>
        <w:tc>
          <w:tcPr>
            <w:tcW w:w="750" w:type="pct"/>
            <w:tcBorders>
              <w:top w:val="single" w:sz="8" w:space="0" w:color="auto"/>
              <w:left w:val="single" w:sz="4" w:space="0" w:color="auto"/>
              <w:bottom w:val="single" w:sz="8" w:space="0" w:color="auto"/>
              <w:right w:val="single" w:sz="8" w:space="0" w:color="auto"/>
            </w:tcBorders>
            <w:shd w:val="clear" w:color="000000" w:fill="FFFFFF"/>
            <w:hideMark/>
          </w:tcPr>
          <w:p w:rsidR="0055204F" w:rsidRPr="0055204F" w:rsidRDefault="0055204F" w:rsidP="0082497B">
            <w:pPr>
              <w:ind w:firstLine="0"/>
              <w:jc w:val="center"/>
              <w:rPr>
                <w:rFonts w:ascii="Arial" w:eastAsia="Times New Roman" w:hAnsi="Arial" w:cs="Arial"/>
                <w:b/>
                <w:bCs/>
                <w:color w:val="000000"/>
                <w:sz w:val="24"/>
                <w:szCs w:val="24"/>
              </w:rPr>
            </w:pPr>
            <w:r w:rsidRPr="0055204F">
              <w:rPr>
                <w:rFonts w:ascii="Arial" w:eastAsia="Times New Roman" w:hAnsi="Arial" w:cs="Arial"/>
                <w:b/>
                <w:bCs/>
                <w:color w:val="000000"/>
                <w:sz w:val="24"/>
                <w:szCs w:val="24"/>
              </w:rPr>
              <w:t>Calls Resolved by CSRs after a Call to Provider</w:t>
            </w:r>
          </w:p>
        </w:tc>
        <w:tc>
          <w:tcPr>
            <w:tcW w:w="750" w:type="pct"/>
            <w:tcBorders>
              <w:top w:val="single" w:sz="8" w:space="0" w:color="auto"/>
              <w:left w:val="nil"/>
              <w:bottom w:val="single" w:sz="8" w:space="0" w:color="auto"/>
              <w:right w:val="single" w:sz="8" w:space="0" w:color="auto"/>
            </w:tcBorders>
            <w:shd w:val="clear" w:color="000000" w:fill="FFFFFF"/>
            <w:hideMark/>
          </w:tcPr>
          <w:p w:rsidR="0055204F" w:rsidRPr="0055204F" w:rsidRDefault="0055204F" w:rsidP="0082497B">
            <w:pPr>
              <w:ind w:firstLine="0"/>
              <w:jc w:val="center"/>
              <w:rPr>
                <w:rFonts w:ascii="Arial" w:eastAsia="Times New Roman" w:hAnsi="Arial" w:cs="Arial"/>
                <w:b/>
                <w:bCs/>
                <w:color w:val="000000"/>
                <w:sz w:val="24"/>
                <w:szCs w:val="24"/>
              </w:rPr>
            </w:pPr>
            <w:r w:rsidRPr="0055204F">
              <w:rPr>
                <w:rFonts w:ascii="Arial" w:eastAsia="Times New Roman" w:hAnsi="Arial" w:cs="Arial"/>
                <w:b/>
                <w:bCs/>
                <w:color w:val="000000"/>
                <w:sz w:val="24"/>
                <w:szCs w:val="24"/>
              </w:rPr>
              <w:t>Calls Resolved by Escalation to CSC Research Team</w:t>
            </w:r>
          </w:p>
        </w:tc>
      </w:tr>
      <w:tr w:rsidR="005416F5" w:rsidRPr="0055204F" w:rsidTr="005416F5">
        <w:trPr>
          <w:trHeight w:val="315"/>
        </w:trPr>
        <w:tc>
          <w:tcPr>
            <w:tcW w:w="1050" w:type="pct"/>
            <w:tcBorders>
              <w:top w:val="nil"/>
              <w:left w:val="single" w:sz="8"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April 2016-June 2016</w:t>
            </w:r>
          </w:p>
        </w:tc>
        <w:tc>
          <w:tcPr>
            <w:tcW w:w="70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17,607</w:t>
            </w:r>
          </w:p>
        </w:tc>
        <w:tc>
          <w:tcPr>
            <w:tcW w:w="900" w:type="pct"/>
            <w:tcBorders>
              <w:top w:val="nil"/>
              <w:left w:val="nil"/>
              <w:bottom w:val="single" w:sz="8" w:space="0" w:color="auto"/>
              <w:right w:val="single" w:sz="4"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16,830</w:t>
            </w:r>
          </w:p>
        </w:tc>
        <w:tc>
          <w:tcPr>
            <w:tcW w:w="850" w:type="pct"/>
            <w:tcBorders>
              <w:top w:val="single" w:sz="4" w:space="0" w:color="auto"/>
              <w:left w:val="single" w:sz="4" w:space="0" w:color="auto"/>
              <w:bottom w:val="single" w:sz="4" w:space="0" w:color="auto"/>
              <w:right w:val="single" w:sz="4" w:space="0" w:color="auto"/>
            </w:tcBorders>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hAnsi="Arial" w:cs="Arial"/>
                <w:sz w:val="24"/>
                <w:szCs w:val="24"/>
              </w:rPr>
              <w:t>95.6%</w:t>
            </w:r>
          </w:p>
        </w:tc>
        <w:tc>
          <w:tcPr>
            <w:tcW w:w="750" w:type="pct"/>
            <w:tcBorders>
              <w:top w:val="nil"/>
              <w:left w:val="single" w:sz="4"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255</w:t>
            </w:r>
          </w:p>
        </w:tc>
        <w:tc>
          <w:tcPr>
            <w:tcW w:w="75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522</w:t>
            </w:r>
          </w:p>
        </w:tc>
      </w:tr>
      <w:tr w:rsidR="005416F5" w:rsidRPr="0055204F" w:rsidTr="005416F5">
        <w:trPr>
          <w:trHeight w:val="315"/>
        </w:trPr>
        <w:tc>
          <w:tcPr>
            <w:tcW w:w="1050" w:type="pct"/>
            <w:tcBorders>
              <w:top w:val="nil"/>
              <w:left w:val="single" w:sz="8"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July 2016-September 2016</w:t>
            </w:r>
          </w:p>
        </w:tc>
        <w:tc>
          <w:tcPr>
            <w:tcW w:w="70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23,078</w:t>
            </w:r>
          </w:p>
        </w:tc>
        <w:tc>
          <w:tcPr>
            <w:tcW w:w="900" w:type="pct"/>
            <w:tcBorders>
              <w:top w:val="nil"/>
              <w:left w:val="nil"/>
              <w:bottom w:val="single" w:sz="8" w:space="0" w:color="auto"/>
              <w:right w:val="single" w:sz="4"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22,538</w:t>
            </w:r>
          </w:p>
        </w:tc>
        <w:tc>
          <w:tcPr>
            <w:tcW w:w="850" w:type="pct"/>
            <w:tcBorders>
              <w:top w:val="single" w:sz="4" w:space="0" w:color="auto"/>
              <w:left w:val="single" w:sz="4" w:space="0" w:color="auto"/>
              <w:bottom w:val="single" w:sz="4" w:space="0" w:color="auto"/>
              <w:right w:val="single" w:sz="4" w:space="0" w:color="auto"/>
            </w:tcBorders>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hAnsi="Arial" w:cs="Arial"/>
                <w:sz w:val="24"/>
                <w:szCs w:val="24"/>
              </w:rPr>
              <w:t>97.7%</w:t>
            </w:r>
          </w:p>
        </w:tc>
        <w:tc>
          <w:tcPr>
            <w:tcW w:w="750" w:type="pct"/>
            <w:tcBorders>
              <w:top w:val="nil"/>
              <w:left w:val="single" w:sz="4"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155</w:t>
            </w:r>
          </w:p>
        </w:tc>
        <w:tc>
          <w:tcPr>
            <w:tcW w:w="75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385</w:t>
            </w:r>
          </w:p>
        </w:tc>
      </w:tr>
      <w:tr w:rsidR="005416F5" w:rsidRPr="0055204F" w:rsidTr="005416F5">
        <w:trPr>
          <w:trHeight w:val="315"/>
        </w:trPr>
        <w:tc>
          <w:tcPr>
            <w:tcW w:w="1050" w:type="pct"/>
            <w:tcBorders>
              <w:top w:val="nil"/>
              <w:left w:val="single" w:sz="8"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October 2016-December 2016</w:t>
            </w:r>
          </w:p>
        </w:tc>
        <w:tc>
          <w:tcPr>
            <w:tcW w:w="70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17,835</w:t>
            </w:r>
          </w:p>
        </w:tc>
        <w:tc>
          <w:tcPr>
            <w:tcW w:w="900" w:type="pct"/>
            <w:tcBorders>
              <w:top w:val="nil"/>
              <w:left w:val="nil"/>
              <w:bottom w:val="single" w:sz="8" w:space="0" w:color="auto"/>
              <w:right w:val="single" w:sz="4"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17,403</w:t>
            </w:r>
          </w:p>
        </w:tc>
        <w:tc>
          <w:tcPr>
            <w:tcW w:w="850" w:type="pct"/>
            <w:tcBorders>
              <w:top w:val="single" w:sz="4" w:space="0" w:color="auto"/>
              <w:left w:val="single" w:sz="4" w:space="0" w:color="auto"/>
              <w:bottom w:val="single" w:sz="4" w:space="0" w:color="auto"/>
              <w:right w:val="single" w:sz="4" w:space="0" w:color="auto"/>
            </w:tcBorders>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hAnsi="Arial" w:cs="Arial"/>
                <w:sz w:val="24"/>
                <w:szCs w:val="24"/>
              </w:rPr>
              <w:t>97.6%</w:t>
            </w:r>
          </w:p>
        </w:tc>
        <w:tc>
          <w:tcPr>
            <w:tcW w:w="750" w:type="pct"/>
            <w:tcBorders>
              <w:top w:val="nil"/>
              <w:left w:val="single" w:sz="4"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80</w:t>
            </w:r>
          </w:p>
        </w:tc>
        <w:tc>
          <w:tcPr>
            <w:tcW w:w="75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352</w:t>
            </w:r>
          </w:p>
        </w:tc>
      </w:tr>
      <w:tr w:rsidR="005416F5" w:rsidRPr="0055204F" w:rsidTr="005416F5">
        <w:trPr>
          <w:trHeight w:val="315"/>
        </w:trPr>
        <w:tc>
          <w:tcPr>
            <w:tcW w:w="1050" w:type="pct"/>
            <w:tcBorders>
              <w:top w:val="nil"/>
              <w:left w:val="single" w:sz="8"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January 2017-March 2017</w:t>
            </w:r>
          </w:p>
        </w:tc>
        <w:tc>
          <w:tcPr>
            <w:tcW w:w="70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17,132</w:t>
            </w:r>
          </w:p>
        </w:tc>
        <w:tc>
          <w:tcPr>
            <w:tcW w:w="900" w:type="pct"/>
            <w:tcBorders>
              <w:top w:val="nil"/>
              <w:left w:val="nil"/>
              <w:bottom w:val="single" w:sz="8" w:space="0" w:color="auto"/>
              <w:right w:val="single" w:sz="4"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16,750</w:t>
            </w:r>
          </w:p>
        </w:tc>
        <w:tc>
          <w:tcPr>
            <w:tcW w:w="850" w:type="pct"/>
            <w:tcBorders>
              <w:top w:val="single" w:sz="4" w:space="0" w:color="auto"/>
              <w:left w:val="single" w:sz="4" w:space="0" w:color="auto"/>
              <w:bottom w:val="single" w:sz="4" w:space="0" w:color="auto"/>
              <w:right w:val="single" w:sz="4" w:space="0" w:color="auto"/>
            </w:tcBorders>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hAnsi="Arial" w:cs="Arial"/>
                <w:sz w:val="24"/>
                <w:szCs w:val="24"/>
              </w:rPr>
              <w:t>97.8%</w:t>
            </w:r>
          </w:p>
        </w:tc>
        <w:tc>
          <w:tcPr>
            <w:tcW w:w="750" w:type="pct"/>
            <w:tcBorders>
              <w:top w:val="nil"/>
              <w:left w:val="single" w:sz="4"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124</w:t>
            </w:r>
          </w:p>
        </w:tc>
        <w:tc>
          <w:tcPr>
            <w:tcW w:w="75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258</w:t>
            </w:r>
          </w:p>
        </w:tc>
      </w:tr>
      <w:tr w:rsidR="005416F5" w:rsidRPr="0055204F" w:rsidTr="005416F5">
        <w:trPr>
          <w:trHeight w:val="315"/>
        </w:trPr>
        <w:tc>
          <w:tcPr>
            <w:tcW w:w="1050" w:type="pct"/>
            <w:tcBorders>
              <w:top w:val="nil"/>
              <w:left w:val="single" w:sz="8"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April 2017-June 2017</w:t>
            </w:r>
          </w:p>
        </w:tc>
        <w:tc>
          <w:tcPr>
            <w:tcW w:w="70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23,767</w:t>
            </w:r>
          </w:p>
        </w:tc>
        <w:tc>
          <w:tcPr>
            <w:tcW w:w="900" w:type="pct"/>
            <w:tcBorders>
              <w:top w:val="nil"/>
              <w:left w:val="nil"/>
              <w:bottom w:val="single" w:sz="8" w:space="0" w:color="auto"/>
              <w:right w:val="single" w:sz="4"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23,286</w:t>
            </w:r>
          </w:p>
        </w:tc>
        <w:tc>
          <w:tcPr>
            <w:tcW w:w="850" w:type="pct"/>
            <w:tcBorders>
              <w:top w:val="single" w:sz="4" w:space="0" w:color="auto"/>
              <w:left w:val="single" w:sz="4" w:space="0" w:color="auto"/>
              <w:bottom w:val="single" w:sz="4" w:space="0" w:color="auto"/>
              <w:right w:val="single" w:sz="4" w:space="0" w:color="auto"/>
            </w:tcBorders>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hAnsi="Arial" w:cs="Arial"/>
                <w:sz w:val="24"/>
                <w:szCs w:val="24"/>
              </w:rPr>
              <w:t>98.0%</w:t>
            </w:r>
          </w:p>
        </w:tc>
        <w:tc>
          <w:tcPr>
            <w:tcW w:w="750" w:type="pct"/>
            <w:tcBorders>
              <w:top w:val="nil"/>
              <w:left w:val="single" w:sz="4"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155</w:t>
            </w:r>
          </w:p>
        </w:tc>
        <w:tc>
          <w:tcPr>
            <w:tcW w:w="75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326</w:t>
            </w:r>
          </w:p>
        </w:tc>
      </w:tr>
      <w:tr w:rsidR="005416F5" w:rsidRPr="0055204F" w:rsidTr="005416F5">
        <w:trPr>
          <w:trHeight w:val="315"/>
        </w:trPr>
        <w:tc>
          <w:tcPr>
            <w:tcW w:w="1050" w:type="pct"/>
            <w:tcBorders>
              <w:top w:val="nil"/>
              <w:left w:val="single" w:sz="8"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July 2017-September 2017</w:t>
            </w:r>
          </w:p>
        </w:tc>
        <w:tc>
          <w:tcPr>
            <w:tcW w:w="70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28,609</w:t>
            </w:r>
          </w:p>
        </w:tc>
        <w:tc>
          <w:tcPr>
            <w:tcW w:w="900" w:type="pct"/>
            <w:tcBorders>
              <w:top w:val="nil"/>
              <w:left w:val="nil"/>
              <w:bottom w:val="single" w:sz="8" w:space="0" w:color="auto"/>
              <w:right w:val="single" w:sz="4"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28,181</w:t>
            </w:r>
          </w:p>
        </w:tc>
        <w:tc>
          <w:tcPr>
            <w:tcW w:w="850" w:type="pct"/>
            <w:tcBorders>
              <w:top w:val="single" w:sz="4" w:space="0" w:color="auto"/>
              <w:left w:val="single" w:sz="4" w:space="0" w:color="auto"/>
              <w:bottom w:val="single" w:sz="4" w:space="0" w:color="auto"/>
              <w:right w:val="single" w:sz="4" w:space="0" w:color="auto"/>
            </w:tcBorders>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hAnsi="Arial" w:cs="Arial"/>
                <w:sz w:val="24"/>
                <w:szCs w:val="24"/>
              </w:rPr>
              <w:t>98.5%</w:t>
            </w:r>
          </w:p>
        </w:tc>
        <w:tc>
          <w:tcPr>
            <w:tcW w:w="750" w:type="pct"/>
            <w:tcBorders>
              <w:top w:val="nil"/>
              <w:left w:val="single" w:sz="4"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117</w:t>
            </w:r>
          </w:p>
        </w:tc>
        <w:tc>
          <w:tcPr>
            <w:tcW w:w="75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311</w:t>
            </w:r>
          </w:p>
        </w:tc>
      </w:tr>
      <w:tr w:rsidR="005416F5" w:rsidRPr="0055204F" w:rsidTr="005416F5">
        <w:trPr>
          <w:trHeight w:val="315"/>
        </w:trPr>
        <w:tc>
          <w:tcPr>
            <w:tcW w:w="1050" w:type="pct"/>
            <w:tcBorders>
              <w:top w:val="nil"/>
              <w:left w:val="single" w:sz="8"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October 2017-December 2017</w:t>
            </w:r>
          </w:p>
        </w:tc>
        <w:tc>
          <w:tcPr>
            <w:tcW w:w="70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41,187</w:t>
            </w:r>
          </w:p>
        </w:tc>
        <w:tc>
          <w:tcPr>
            <w:tcW w:w="900" w:type="pct"/>
            <w:tcBorders>
              <w:top w:val="nil"/>
              <w:left w:val="nil"/>
              <w:bottom w:val="single" w:sz="8" w:space="0" w:color="auto"/>
              <w:right w:val="single" w:sz="4"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40,514</w:t>
            </w:r>
          </w:p>
        </w:tc>
        <w:tc>
          <w:tcPr>
            <w:tcW w:w="850" w:type="pct"/>
            <w:tcBorders>
              <w:top w:val="single" w:sz="4" w:space="0" w:color="auto"/>
              <w:left w:val="single" w:sz="4" w:space="0" w:color="auto"/>
              <w:bottom w:val="single" w:sz="4" w:space="0" w:color="auto"/>
              <w:right w:val="single" w:sz="4" w:space="0" w:color="auto"/>
            </w:tcBorders>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hAnsi="Arial" w:cs="Arial"/>
                <w:sz w:val="24"/>
                <w:szCs w:val="24"/>
              </w:rPr>
              <w:t>98.4%</w:t>
            </w:r>
          </w:p>
        </w:tc>
        <w:tc>
          <w:tcPr>
            <w:tcW w:w="750" w:type="pct"/>
            <w:tcBorders>
              <w:top w:val="nil"/>
              <w:left w:val="single" w:sz="4"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95</w:t>
            </w:r>
          </w:p>
        </w:tc>
        <w:tc>
          <w:tcPr>
            <w:tcW w:w="75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578</w:t>
            </w:r>
          </w:p>
        </w:tc>
      </w:tr>
      <w:tr w:rsidR="005416F5" w:rsidRPr="0055204F" w:rsidTr="005416F5">
        <w:trPr>
          <w:trHeight w:val="315"/>
        </w:trPr>
        <w:tc>
          <w:tcPr>
            <w:tcW w:w="1050" w:type="pct"/>
            <w:tcBorders>
              <w:top w:val="nil"/>
              <w:left w:val="single" w:sz="8"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January 2018-March 2018</w:t>
            </w:r>
          </w:p>
        </w:tc>
        <w:tc>
          <w:tcPr>
            <w:tcW w:w="70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61,993</w:t>
            </w:r>
          </w:p>
        </w:tc>
        <w:tc>
          <w:tcPr>
            <w:tcW w:w="900" w:type="pct"/>
            <w:tcBorders>
              <w:top w:val="nil"/>
              <w:left w:val="nil"/>
              <w:bottom w:val="single" w:sz="8" w:space="0" w:color="auto"/>
              <w:right w:val="single" w:sz="4"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59,652</w:t>
            </w:r>
          </w:p>
        </w:tc>
        <w:tc>
          <w:tcPr>
            <w:tcW w:w="850" w:type="pct"/>
            <w:tcBorders>
              <w:top w:val="single" w:sz="4" w:space="0" w:color="auto"/>
              <w:left w:val="single" w:sz="4" w:space="0" w:color="auto"/>
              <w:bottom w:val="single" w:sz="4" w:space="0" w:color="auto"/>
              <w:right w:val="single" w:sz="4" w:space="0" w:color="auto"/>
            </w:tcBorders>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hAnsi="Arial" w:cs="Arial"/>
                <w:sz w:val="24"/>
                <w:szCs w:val="24"/>
              </w:rPr>
              <w:t>96.2%</w:t>
            </w:r>
          </w:p>
        </w:tc>
        <w:tc>
          <w:tcPr>
            <w:tcW w:w="750" w:type="pct"/>
            <w:tcBorders>
              <w:top w:val="nil"/>
              <w:left w:val="single" w:sz="4"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128</w:t>
            </w:r>
          </w:p>
        </w:tc>
        <w:tc>
          <w:tcPr>
            <w:tcW w:w="75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2213</w:t>
            </w:r>
          </w:p>
        </w:tc>
      </w:tr>
      <w:tr w:rsidR="005416F5" w:rsidRPr="0055204F" w:rsidTr="005416F5">
        <w:trPr>
          <w:trHeight w:val="315"/>
        </w:trPr>
        <w:tc>
          <w:tcPr>
            <w:tcW w:w="1050" w:type="pct"/>
            <w:tcBorders>
              <w:top w:val="nil"/>
              <w:left w:val="single" w:sz="8"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April 2018-June 2018</w:t>
            </w:r>
          </w:p>
        </w:tc>
        <w:tc>
          <w:tcPr>
            <w:tcW w:w="70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42,771</w:t>
            </w:r>
          </w:p>
        </w:tc>
        <w:tc>
          <w:tcPr>
            <w:tcW w:w="900" w:type="pct"/>
            <w:tcBorders>
              <w:top w:val="nil"/>
              <w:left w:val="nil"/>
              <w:bottom w:val="single" w:sz="8" w:space="0" w:color="auto"/>
              <w:right w:val="single" w:sz="4"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40,048</w:t>
            </w:r>
          </w:p>
        </w:tc>
        <w:tc>
          <w:tcPr>
            <w:tcW w:w="850" w:type="pct"/>
            <w:tcBorders>
              <w:top w:val="single" w:sz="4" w:space="0" w:color="auto"/>
              <w:left w:val="single" w:sz="4" w:space="0" w:color="auto"/>
              <w:bottom w:val="single" w:sz="4" w:space="0" w:color="auto"/>
              <w:right w:val="single" w:sz="4" w:space="0" w:color="auto"/>
            </w:tcBorders>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hAnsi="Arial" w:cs="Arial"/>
                <w:sz w:val="24"/>
                <w:szCs w:val="24"/>
              </w:rPr>
              <w:t>93.6%</w:t>
            </w:r>
          </w:p>
        </w:tc>
        <w:tc>
          <w:tcPr>
            <w:tcW w:w="750" w:type="pct"/>
            <w:tcBorders>
              <w:top w:val="nil"/>
              <w:left w:val="single" w:sz="4"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166</w:t>
            </w:r>
          </w:p>
        </w:tc>
        <w:tc>
          <w:tcPr>
            <w:tcW w:w="75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2557</w:t>
            </w:r>
          </w:p>
        </w:tc>
      </w:tr>
      <w:tr w:rsidR="005416F5" w:rsidRPr="0055204F" w:rsidTr="005416F5">
        <w:trPr>
          <w:trHeight w:val="315"/>
        </w:trPr>
        <w:tc>
          <w:tcPr>
            <w:tcW w:w="1050" w:type="pct"/>
            <w:tcBorders>
              <w:top w:val="nil"/>
              <w:left w:val="single" w:sz="8"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lastRenderedPageBreak/>
              <w:t>July 2018-September 2018</w:t>
            </w:r>
          </w:p>
        </w:tc>
        <w:tc>
          <w:tcPr>
            <w:tcW w:w="70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30,156</w:t>
            </w:r>
          </w:p>
        </w:tc>
        <w:tc>
          <w:tcPr>
            <w:tcW w:w="900" w:type="pct"/>
            <w:tcBorders>
              <w:top w:val="nil"/>
              <w:left w:val="nil"/>
              <w:bottom w:val="single" w:sz="8" w:space="0" w:color="auto"/>
              <w:right w:val="single" w:sz="4"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29,356</w:t>
            </w:r>
          </w:p>
        </w:tc>
        <w:tc>
          <w:tcPr>
            <w:tcW w:w="850" w:type="pct"/>
            <w:tcBorders>
              <w:top w:val="single" w:sz="4" w:space="0" w:color="auto"/>
              <w:left w:val="single" w:sz="4" w:space="0" w:color="auto"/>
              <w:bottom w:val="single" w:sz="4" w:space="0" w:color="auto"/>
              <w:right w:val="single" w:sz="4" w:space="0" w:color="auto"/>
            </w:tcBorders>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hAnsi="Arial" w:cs="Arial"/>
                <w:sz w:val="24"/>
                <w:szCs w:val="24"/>
              </w:rPr>
              <w:t>97.3%</w:t>
            </w:r>
          </w:p>
        </w:tc>
        <w:tc>
          <w:tcPr>
            <w:tcW w:w="750" w:type="pct"/>
            <w:tcBorders>
              <w:top w:val="nil"/>
              <w:left w:val="single" w:sz="4"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97</w:t>
            </w:r>
          </w:p>
        </w:tc>
        <w:tc>
          <w:tcPr>
            <w:tcW w:w="75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703</w:t>
            </w:r>
          </w:p>
        </w:tc>
      </w:tr>
      <w:tr w:rsidR="005416F5" w:rsidRPr="0055204F" w:rsidTr="005416F5">
        <w:trPr>
          <w:trHeight w:val="315"/>
        </w:trPr>
        <w:tc>
          <w:tcPr>
            <w:tcW w:w="1050" w:type="pct"/>
            <w:tcBorders>
              <w:top w:val="nil"/>
              <w:left w:val="single" w:sz="8"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October 2018-December 2018</w:t>
            </w:r>
          </w:p>
        </w:tc>
        <w:tc>
          <w:tcPr>
            <w:tcW w:w="70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24,378</w:t>
            </w:r>
          </w:p>
        </w:tc>
        <w:tc>
          <w:tcPr>
            <w:tcW w:w="900" w:type="pct"/>
            <w:tcBorders>
              <w:top w:val="nil"/>
              <w:left w:val="nil"/>
              <w:bottom w:val="single" w:sz="8" w:space="0" w:color="auto"/>
              <w:right w:val="single" w:sz="4"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23,632</w:t>
            </w:r>
          </w:p>
        </w:tc>
        <w:tc>
          <w:tcPr>
            <w:tcW w:w="850" w:type="pct"/>
            <w:tcBorders>
              <w:top w:val="single" w:sz="4" w:space="0" w:color="auto"/>
              <w:left w:val="single" w:sz="4" w:space="0" w:color="auto"/>
              <w:bottom w:val="single" w:sz="4" w:space="0" w:color="auto"/>
              <w:right w:val="single" w:sz="4" w:space="0" w:color="auto"/>
            </w:tcBorders>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hAnsi="Arial" w:cs="Arial"/>
                <w:sz w:val="24"/>
                <w:szCs w:val="24"/>
              </w:rPr>
              <w:t>96.9%</w:t>
            </w:r>
          </w:p>
        </w:tc>
        <w:tc>
          <w:tcPr>
            <w:tcW w:w="750" w:type="pct"/>
            <w:tcBorders>
              <w:top w:val="nil"/>
              <w:left w:val="single" w:sz="4"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183</w:t>
            </w:r>
          </w:p>
        </w:tc>
        <w:tc>
          <w:tcPr>
            <w:tcW w:w="75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563</w:t>
            </w:r>
          </w:p>
        </w:tc>
      </w:tr>
      <w:tr w:rsidR="005416F5" w:rsidRPr="0055204F" w:rsidTr="005416F5">
        <w:trPr>
          <w:trHeight w:val="315"/>
        </w:trPr>
        <w:tc>
          <w:tcPr>
            <w:tcW w:w="1050" w:type="pct"/>
            <w:tcBorders>
              <w:top w:val="nil"/>
              <w:left w:val="single" w:sz="8"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January 2019-March 2019</w:t>
            </w:r>
          </w:p>
        </w:tc>
        <w:tc>
          <w:tcPr>
            <w:tcW w:w="70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23,437</w:t>
            </w:r>
          </w:p>
        </w:tc>
        <w:tc>
          <w:tcPr>
            <w:tcW w:w="900" w:type="pct"/>
            <w:tcBorders>
              <w:top w:val="nil"/>
              <w:left w:val="nil"/>
              <w:bottom w:val="single" w:sz="8" w:space="0" w:color="auto"/>
              <w:right w:val="single" w:sz="4"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22,320</w:t>
            </w:r>
          </w:p>
        </w:tc>
        <w:tc>
          <w:tcPr>
            <w:tcW w:w="850" w:type="pct"/>
            <w:tcBorders>
              <w:top w:val="single" w:sz="4" w:space="0" w:color="auto"/>
              <w:left w:val="single" w:sz="4" w:space="0" w:color="auto"/>
              <w:bottom w:val="single" w:sz="4" w:space="0" w:color="auto"/>
              <w:right w:val="single" w:sz="4" w:space="0" w:color="auto"/>
            </w:tcBorders>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hAnsi="Arial" w:cs="Arial"/>
                <w:sz w:val="24"/>
                <w:szCs w:val="24"/>
              </w:rPr>
              <w:t>95.2%</w:t>
            </w:r>
          </w:p>
        </w:tc>
        <w:tc>
          <w:tcPr>
            <w:tcW w:w="750" w:type="pct"/>
            <w:tcBorders>
              <w:top w:val="nil"/>
              <w:left w:val="single" w:sz="4" w:space="0" w:color="auto"/>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145</w:t>
            </w:r>
          </w:p>
        </w:tc>
        <w:tc>
          <w:tcPr>
            <w:tcW w:w="750" w:type="pct"/>
            <w:tcBorders>
              <w:top w:val="nil"/>
              <w:left w:val="nil"/>
              <w:bottom w:val="single" w:sz="8" w:space="0" w:color="auto"/>
              <w:right w:val="single" w:sz="8" w:space="0" w:color="auto"/>
            </w:tcBorders>
            <w:shd w:val="clear" w:color="auto" w:fill="auto"/>
            <w:noWrap/>
            <w:hideMark/>
          </w:tcPr>
          <w:p w:rsidR="0055204F" w:rsidRPr="0055204F" w:rsidRDefault="0055204F" w:rsidP="0055204F">
            <w:pPr>
              <w:ind w:firstLine="0"/>
              <w:jc w:val="center"/>
              <w:rPr>
                <w:rFonts w:ascii="Arial" w:eastAsia="Times New Roman" w:hAnsi="Arial" w:cs="Arial"/>
                <w:color w:val="000000"/>
                <w:sz w:val="24"/>
                <w:szCs w:val="24"/>
              </w:rPr>
            </w:pPr>
            <w:r w:rsidRPr="0055204F">
              <w:rPr>
                <w:rFonts w:ascii="Arial" w:eastAsia="Times New Roman" w:hAnsi="Arial" w:cs="Arial"/>
                <w:color w:val="000000"/>
                <w:sz w:val="24"/>
                <w:szCs w:val="24"/>
              </w:rPr>
              <w:t>972</w:t>
            </w:r>
          </w:p>
        </w:tc>
      </w:tr>
    </w:tbl>
    <w:p w:rsidR="0055204F" w:rsidRPr="0055204F" w:rsidRDefault="0055204F" w:rsidP="0055204F">
      <w:pPr>
        <w:ind w:firstLine="0"/>
        <w:rPr>
          <w:rFonts w:ascii="Arial" w:eastAsia="MS Mincho" w:hAnsi="Arial" w:cs="Arial"/>
          <w:sz w:val="24"/>
          <w:szCs w:val="24"/>
        </w:rPr>
      </w:pPr>
    </w:p>
    <w:p w:rsidR="0055204F" w:rsidRPr="00B84D88" w:rsidRDefault="0055204F" w:rsidP="0055204F">
      <w:pPr>
        <w:ind w:firstLine="0"/>
        <w:rPr>
          <w:rFonts w:ascii="Arial" w:eastAsia="MS Mincho" w:hAnsi="Arial" w:cs="Arial"/>
          <w:sz w:val="24"/>
          <w:szCs w:val="24"/>
        </w:rPr>
      </w:pPr>
      <w:r w:rsidRPr="00B84D88">
        <w:rPr>
          <w:rFonts w:ascii="Arial" w:eastAsia="MS Mincho" w:hAnsi="Arial" w:cs="Arial"/>
          <w:sz w:val="24"/>
          <w:szCs w:val="24"/>
        </w:rPr>
        <w:t xml:space="preserve">The following figure (Figure </w:t>
      </w:r>
      <w:r w:rsidR="00F277EF" w:rsidRPr="00B84D88">
        <w:rPr>
          <w:rFonts w:ascii="Arial" w:eastAsia="MS Mincho" w:hAnsi="Arial" w:cs="Arial"/>
          <w:sz w:val="24"/>
          <w:szCs w:val="24"/>
        </w:rPr>
        <w:t>6</w:t>
      </w:r>
      <w:r w:rsidRPr="00B84D88">
        <w:rPr>
          <w:rFonts w:ascii="Arial" w:eastAsia="MS Mincho" w:hAnsi="Arial" w:cs="Arial"/>
          <w:sz w:val="24"/>
          <w:szCs w:val="24"/>
        </w:rPr>
        <w:t xml:space="preserve">) includes the number of calls (out of the total calls in Figure </w:t>
      </w:r>
      <w:r w:rsidR="00F277EF" w:rsidRPr="00B84D88">
        <w:rPr>
          <w:rFonts w:ascii="Arial" w:eastAsia="MS Mincho" w:hAnsi="Arial" w:cs="Arial"/>
          <w:sz w:val="24"/>
          <w:szCs w:val="24"/>
        </w:rPr>
        <w:t>5</w:t>
      </w:r>
      <w:r w:rsidRPr="00B84D88">
        <w:rPr>
          <w:rFonts w:ascii="Arial" w:eastAsia="MS Mincho" w:hAnsi="Arial" w:cs="Arial"/>
          <w:sz w:val="24"/>
          <w:szCs w:val="24"/>
        </w:rPr>
        <w:t>) that were resolved by the CSR on the first call, as well as calls that were resolved after an</w:t>
      </w:r>
      <w:r w:rsidRPr="0055204F">
        <w:rPr>
          <w:rFonts w:ascii="Arial" w:eastAsia="MS Mincho" w:hAnsi="Arial" w:cs="Arial"/>
          <w:sz w:val="24"/>
          <w:szCs w:val="24"/>
        </w:rPr>
        <w:t xml:space="preserve"> escalati</w:t>
      </w:r>
      <w:r w:rsidRPr="00B84D88">
        <w:rPr>
          <w:rFonts w:ascii="Arial" w:eastAsia="MS Mincho" w:hAnsi="Arial" w:cs="Arial"/>
          <w:sz w:val="24"/>
          <w:szCs w:val="24"/>
        </w:rPr>
        <w:t xml:space="preserve">on to the CSC Research team or a phone call to a provider. </w:t>
      </w:r>
    </w:p>
    <w:p w:rsidR="00A46B06" w:rsidRDefault="00A46B06" w:rsidP="0055204F">
      <w:pPr>
        <w:ind w:firstLine="0"/>
        <w:rPr>
          <w:rFonts w:ascii="Arial" w:eastAsia="MS Mincho" w:hAnsi="Arial" w:cs="Arial"/>
          <w:b/>
          <w:sz w:val="24"/>
          <w:szCs w:val="24"/>
        </w:rPr>
      </w:pPr>
    </w:p>
    <w:p w:rsidR="0055204F" w:rsidRPr="00A779BD" w:rsidRDefault="0055204F" w:rsidP="0055204F">
      <w:pPr>
        <w:ind w:firstLine="0"/>
        <w:rPr>
          <w:rFonts w:ascii="Arial" w:eastAsia="MS Mincho" w:hAnsi="Arial" w:cs="Arial"/>
          <w:b/>
          <w:sz w:val="24"/>
          <w:szCs w:val="24"/>
        </w:rPr>
      </w:pPr>
      <w:r w:rsidRPr="00A779BD">
        <w:rPr>
          <w:rFonts w:ascii="Arial" w:eastAsia="MS Mincho" w:hAnsi="Arial" w:cs="Arial"/>
          <w:b/>
          <w:sz w:val="24"/>
          <w:szCs w:val="24"/>
        </w:rPr>
        <w:t>Figure</w:t>
      </w:r>
      <w:r w:rsidR="00B84D88" w:rsidRPr="00A779BD">
        <w:rPr>
          <w:rFonts w:ascii="Arial" w:eastAsia="MS Mincho" w:hAnsi="Arial" w:cs="Arial"/>
          <w:b/>
          <w:sz w:val="24"/>
          <w:szCs w:val="24"/>
        </w:rPr>
        <w:t xml:space="preserve"> #</w:t>
      </w:r>
      <w:r w:rsidR="00F277EF" w:rsidRPr="00A779BD">
        <w:rPr>
          <w:rFonts w:ascii="Arial" w:eastAsia="MS Mincho" w:hAnsi="Arial" w:cs="Arial"/>
          <w:b/>
          <w:sz w:val="24"/>
          <w:szCs w:val="24"/>
        </w:rPr>
        <w:t>6</w:t>
      </w:r>
      <w:r w:rsidR="00B84D88" w:rsidRPr="00A779BD">
        <w:rPr>
          <w:rFonts w:ascii="Arial" w:eastAsia="MS Mincho" w:hAnsi="Arial" w:cs="Arial"/>
          <w:b/>
          <w:sz w:val="24"/>
          <w:szCs w:val="24"/>
        </w:rPr>
        <w:t xml:space="preserve">: </w:t>
      </w:r>
      <w:r w:rsidRPr="00A779BD">
        <w:rPr>
          <w:rFonts w:ascii="Arial" w:eastAsia="MS Mincho" w:hAnsi="Arial" w:cs="Arial"/>
          <w:b/>
          <w:sz w:val="24"/>
          <w:szCs w:val="24"/>
        </w:rPr>
        <w:t>Access to Care Calls - Call Disposition by Resolution Method</w:t>
      </w:r>
    </w:p>
    <w:p w:rsidR="00C241B6" w:rsidRPr="000409DC" w:rsidRDefault="0055204F" w:rsidP="000409DC">
      <w:pPr>
        <w:ind w:firstLine="0"/>
        <w:jc w:val="center"/>
        <w:rPr>
          <w:rFonts w:ascii="Arial" w:eastAsia="Calibri" w:hAnsi="Arial" w:cs="Arial"/>
          <w:b/>
          <w:sz w:val="24"/>
          <w:szCs w:val="24"/>
        </w:rPr>
      </w:pPr>
      <w:r w:rsidRPr="0055204F">
        <w:rPr>
          <w:rFonts w:ascii="Arial" w:eastAsia="Calibri" w:hAnsi="Arial" w:cs="Arial"/>
          <w:b/>
          <w:noProof/>
          <w:sz w:val="24"/>
          <w:szCs w:val="24"/>
        </w:rPr>
        <w:drawing>
          <wp:inline distT="0" distB="0" distL="0" distR="0" wp14:anchorId="5524AA3B" wp14:editId="7AA387F3">
            <wp:extent cx="6423247" cy="4206240"/>
            <wp:effectExtent l="0" t="0" r="0" b="3810"/>
            <wp:docPr id="3" name="Picture 3" descr="Figure 6. Bar graph of Access to Care Calls from April 2016 to March 2019. Data shown represent Figure 5 second and sixth data columns, Calls Initially Resolved by Customer Service Representatives and Calls Resolved by Escalation Team to CSC Research Team, respectively." title="Access to Care Calls - Call Disposition by Resolution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3247" cy="4206240"/>
                    </a:xfrm>
                    <a:prstGeom prst="rect">
                      <a:avLst/>
                    </a:prstGeom>
                    <a:noFill/>
                  </pic:spPr>
                </pic:pic>
              </a:graphicData>
            </a:graphic>
          </wp:inline>
        </w:drawing>
      </w:r>
      <w:r w:rsidR="00C241B6">
        <w:rPr>
          <w:rFonts w:ascii="Arial" w:eastAsia="Calibri" w:hAnsi="Arial" w:cs="Arial"/>
          <w:sz w:val="24"/>
          <w:szCs w:val="24"/>
        </w:rPr>
        <w:br w:type="page"/>
      </w:r>
    </w:p>
    <w:p w:rsidR="0055204F" w:rsidRPr="0055204F" w:rsidRDefault="0055204F" w:rsidP="0055204F">
      <w:pPr>
        <w:ind w:firstLine="0"/>
        <w:rPr>
          <w:rFonts w:ascii="Arial" w:eastAsia="Calibri" w:hAnsi="Arial" w:cs="Arial"/>
          <w:sz w:val="24"/>
          <w:szCs w:val="24"/>
        </w:rPr>
      </w:pPr>
      <w:r w:rsidRPr="0055204F">
        <w:rPr>
          <w:rFonts w:ascii="Arial" w:eastAsia="Calibri" w:hAnsi="Arial" w:cs="Arial"/>
          <w:sz w:val="24"/>
          <w:szCs w:val="24"/>
        </w:rPr>
        <w:lastRenderedPageBreak/>
        <w:t xml:space="preserve">The data in both </w:t>
      </w:r>
      <w:r w:rsidR="00BC3C2D">
        <w:rPr>
          <w:rFonts w:ascii="Arial" w:eastAsia="Calibri" w:hAnsi="Arial" w:cs="Arial"/>
          <w:sz w:val="24"/>
          <w:szCs w:val="24"/>
        </w:rPr>
        <w:t>F</w:t>
      </w:r>
      <w:r w:rsidRPr="0055204F">
        <w:rPr>
          <w:rFonts w:ascii="Arial" w:eastAsia="Calibri" w:hAnsi="Arial" w:cs="Arial"/>
          <w:sz w:val="24"/>
          <w:szCs w:val="24"/>
        </w:rPr>
        <w:t xml:space="preserve">igures </w:t>
      </w:r>
      <w:r w:rsidR="00BC3C2D">
        <w:rPr>
          <w:rFonts w:ascii="Arial" w:eastAsia="Calibri" w:hAnsi="Arial" w:cs="Arial"/>
          <w:sz w:val="24"/>
          <w:szCs w:val="24"/>
        </w:rPr>
        <w:t xml:space="preserve">5 and 6 </w:t>
      </w:r>
      <w:r w:rsidRPr="0055204F">
        <w:rPr>
          <w:rFonts w:ascii="Arial" w:eastAsia="Calibri" w:hAnsi="Arial" w:cs="Arial"/>
          <w:sz w:val="24"/>
          <w:szCs w:val="24"/>
        </w:rPr>
        <w:t>above is comprised of:</w:t>
      </w:r>
    </w:p>
    <w:p w:rsidR="0055204F" w:rsidRPr="0055204F" w:rsidRDefault="0055204F" w:rsidP="0055204F">
      <w:pPr>
        <w:ind w:firstLine="0"/>
        <w:rPr>
          <w:rFonts w:ascii="Arial" w:eastAsia="Calibri" w:hAnsi="Arial" w:cs="Arial"/>
          <w:sz w:val="24"/>
          <w:szCs w:val="24"/>
        </w:rPr>
      </w:pPr>
    </w:p>
    <w:p w:rsidR="0055204F" w:rsidRPr="0055204F" w:rsidRDefault="0055204F" w:rsidP="0055204F">
      <w:pPr>
        <w:numPr>
          <w:ilvl w:val="0"/>
          <w:numId w:val="10"/>
        </w:numPr>
        <w:contextualSpacing/>
        <w:rPr>
          <w:rFonts w:ascii="Arial" w:eastAsia="Calibri" w:hAnsi="Arial" w:cs="Arial"/>
          <w:sz w:val="24"/>
          <w:szCs w:val="24"/>
        </w:rPr>
      </w:pPr>
      <w:r w:rsidRPr="0055204F">
        <w:rPr>
          <w:rFonts w:ascii="Arial" w:eastAsia="Calibri" w:hAnsi="Arial" w:cs="Arial"/>
          <w:sz w:val="24"/>
          <w:szCs w:val="24"/>
        </w:rPr>
        <w:t>Aggregate number of calls regarding access issues as noted by the CSRs</w:t>
      </w:r>
    </w:p>
    <w:p w:rsidR="0055204F" w:rsidRPr="0055204F" w:rsidRDefault="0055204F" w:rsidP="0055204F">
      <w:pPr>
        <w:numPr>
          <w:ilvl w:val="0"/>
          <w:numId w:val="10"/>
        </w:numPr>
        <w:contextualSpacing/>
        <w:rPr>
          <w:rFonts w:ascii="Arial" w:eastAsia="Calibri" w:hAnsi="Arial" w:cs="Arial"/>
          <w:sz w:val="24"/>
          <w:szCs w:val="24"/>
        </w:rPr>
      </w:pPr>
      <w:r w:rsidRPr="0055204F">
        <w:rPr>
          <w:rFonts w:ascii="Arial" w:eastAsia="Calibri" w:hAnsi="Arial" w:cs="Arial"/>
          <w:sz w:val="24"/>
          <w:szCs w:val="24"/>
        </w:rPr>
        <w:t>Calls that the CSRs were able to fully resolve on the first call with the member</w:t>
      </w:r>
    </w:p>
    <w:p w:rsidR="0055204F" w:rsidRDefault="0055204F" w:rsidP="0055204F">
      <w:pPr>
        <w:pStyle w:val="ListParagraph"/>
        <w:numPr>
          <w:ilvl w:val="0"/>
          <w:numId w:val="10"/>
        </w:numPr>
        <w:rPr>
          <w:rFonts w:ascii="Arial" w:eastAsia="Calibri" w:hAnsi="Arial" w:cs="Arial"/>
          <w:sz w:val="24"/>
          <w:szCs w:val="24"/>
        </w:rPr>
      </w:pPr>
      <w:r w:rsidRPr="0055204F">
        <w:rPr>
          <w:rFonts w:ascii="Arial" w:eastAsia="Calibri" w:hAnsi="Arial" w:cs="Arial"/>
          <w:sz w:val="24"/>
          <w:szCs w:val="24"/>
        </w:rPr>
        <w:t>Calls resolved by the CSRs after a call to the provider or by escalating to the</w:t>
      </w:r>
    </w:p>
    <w:p w:rsidR="0055204F" w:rsidRPr="0055204F" w:rsidRDefault="0055204F" w:rsidP="0055204F">
      <w:pPr>
        <w:pStyle w:val="ListParagraph"/>
        <w:ind w:firstLine="0"/>
        <w:rPr>
          <w:rFonts w:ascii="Arial" w:eastAsia="Calibri" w:hAnsi="Arial" w:cs="Arial"/>
          <w:sz w:val="24"/>
          <w:szCs w:val="24"/>
        </w:rPr>
      </w:pPr>
      <w:r w:rsidRPr="0055204F">
        <w:rPr>
          <w:rFonts w:ascii="Arial" w:eastAsia="Calibri" w:hAnsi="Arial" w:cs="Arial"/>
          <w:sz w:val="24"/>
          <w:szCs w:val="24"/>
        </w:rPr>
        <w:t>CSC’s Research Team</w:t>
      </w:r>
      <w:r w:rsidR="00224EBC">
        <w:rPr>
          <w:rFonts w:ascii="Arial" w:eastAsia="Calibri" w:hAnsi="Arial" w:cs="Arial"/>
          <w:sz w:val="24"/>
          <w:szCs w:val="24"/>
        </w:rPr>
        <w:t xml:space="preserve">. The Research Team </w:t>
      </w:r>
      <w:r w:rsidRPr="0055204F">
        <w:rPr>
          <w:rFonts w:ascii="Arial" w:eastAsia="Calibri" w:hAnsi="Arial" w:cs="Arial"/>
          <w:sz w:val="24"/>
          <w:szCs w:val="24"/>
        </w:rPr>
        <w:t>contacts both the member and provider</w:t>
      </w:r>
      <w:r w:rsidR="00224EBC">
        <w:rPr>
          <w:rFonts w:ascii="Arial" w:eastAsia="Calibri" w:hAnsi="Arial" w:cs="Arial"/>
          <w:sz w:val="24"/>
          <w:szCs w:val="24"/>
        </w:rPr>
        <w:t>,</w:t>
      </w:r>
      <w:r w:rsidRPr="0055204F">
        <w:rPr>
          <w:rFonts w:ascii="Arial" w:eastAsia="Calibri" w:hAnsi="Arial" w:cs="Arial"/>
          <w:sz w:val="24"/>
          <w:szCs w:val="24"/>
        </w:rPr>
        <w:t xml:space="preserve"> if necessary</w:t>
      </w:r>
      <w:r w:rsidR="00224EBC">
        <w:rPr>
          <w:rFonts w:ascii="Arial" w:eastAsia="Calibri" w:hAnsi="Arial" w:cs="Arial"/>
          <w:sz w:val="24"/>
          <w:szCs w:val="24"/>
        </w:rPr>
        <w:t>,</w:t>
      </w:r>
      <w:r w:rsidRPr="0055204F">
        <w:rPr>
          <w:rFonts w:ascii="Arial" w:eastAsia="Calibri" w:hAnsi="Arial" w:cs="Arial"/>
          <w:sz w:val="24"/>
          <w:szCs w:val="24"/>
        </w:rPr>
        <w:t xml:space="preserve"> and also performs functions in the MMIS system </w:t>
      </w:r>
      <w:r w:rsidR="00657DD8">
        <w:rPr>
          <w:rFonts w:ascii="Arial" w:eastAsia="Calibri" w:hAnsi="Arial" w:cs="Arial"/>
          <w:sz w:val="24"/>
          <w:szCs w:val="24"/>
        </w:rPr>
        <w:t>not available to CSRs</w:t>
      </w:r>
      <w:r w:rsidRPr="0055204F">
        <w:rPr>
          <w:rFonts w:ascii="Arial" w:eastAsia="Calibri" w:hAnsi="Arial" w:cs="Arial"/>
          <w:sz w:val="24"/>
          <w:szCs w:val="24"/>
        </w:rPr>
        <w:t xml:space="preserve">, such as the various exception processes in place (i.e. </w:t>
      </w:r>
      <w:r>
        <w:rPr>
          <w:rFonts w:ascii="Arial" w:eastAsia="Calibri" w:hAnsi="Arial" w:cs="Arial"/>
          <w:sz w:val="24"/>
          <w:szCs w:val="24"/>
        </w:rPr>
        <w:t>s</w:t>
      </w:r>
      <w:r w:rsidRPr="0055204F">
        <w:rPr>
          <w:rFonts w:ascii="Arial" w:eastAsia="Calibri" w:hAnsi="Arial" w:cs="Arial"/>
          <w:sz w:val="24"/>
          <w:szCs w:val="24"/>
        </w:rPr>
        <w:t xml:space="preserve">ervice </w:t>
      </w:r>
      <w:r>
        <w:rPr>
          <w:rFonts w:ascii="Arial" w:eastAsia="Calibri" w:hAnsi="Arial" w:cs="Arial"/>
          <w:sz w:val="24"/>
          <w:szCs w:val="24"/>
        </w:rPr>
        <w:t>ar</w:t>
      </w:r>
      <w:r w:rsidRPr="0055204F">
        <w:rPr>
          <w:rFonts w:ascii="Arial" w:eastAsia="Calibri" w:hAnsi="Arial" w:cs="Arial"/>
          <w:sz w:val="24"/>
          <w:szCs w:val="24"/>
        </w:rPr>
        <w:t>ea)</w:t>
      </w:r>
      <w:r w:rsidR="00657DD8">
        <w:rPr>
          <w:rFonts w:ascii="Arial" w:eastAsia="Calibri" w:hAnsi="Arial" w:cs="Arial"/>
          <w:sz w:val="24"/>
          <w:szCs w:val="24"/>
        </w:rPr>
        <w:t>.</w:t>
      </w:r>
    </w:p>
    <w:p w:rsidR="0055204F" w:rsidRPr="0055204F" w:rsidRDefault="0055204F" w:rsidP="0055204F">
      <w:pPr>
        <w:ind w:firstLine="0"/>
        <w:rPr>
          <w:rFonts w:ascii="Arial" w:eastAsia="Calibri" w:hAnsi="Arial" w:cs="Arial"/>
          <w:sz w:val="24"/>
          <w:szCs w:val="24"/>
        </w:rPr>
      </w:pPr>
    </w:p>
    <w:p w:rsidR="0055204F" w:rsidRPr="0055204F" w:rsidRDefault="0055204F" w:rsidP="0055204F">
      <w:pPr>
        <w:ind w:firstLine="0"/>
        <w:rPr>
          <w:rFonts w:ascii="Arial" w:eastAsia="Calibri" w:hAnsi="Arial" w:cs="Arial"/>
          <w:sz w:val="24"/>
          <w:szCs w:val="24"/>
        </w:rPr>
      </w:pPr>
      <w:r w:rsidRPr="0055204F">
        <w:rPr>
          <w:rFonts w:ascii="Arial" w:eastAsia="Calibri" w:hAnsi="Arial" w:cs="Arial"/>
          <w:sz w:val="24"/>
          <w:szCs w:val="24"/>
        </w:rPr>
        <w:t xml:space="preserve">For purposes of </w:t>
      </w:r>
      <w:r w:rsidR="007029F5">
        <w:rPr>
          <w:rFonts w:ascii="Arial" w:eastAsia="Calibri" w:hAnsi="Arial" w:cs="Arial"/>
          <w:sz w:val="24"/>
          <w:szCs w:val="24"/>
        </w:rPr>
        <w:t xml:space="preserve">Figures </w:t>
      </w:r>
      <w:r w:rsidR="00C77E47">
        <w:rPr>
          <w:rFonts w:ascii="Arial" w:eastAsia="Calibri" w:hAnsi="Arial" w:cs="Arial"/>
          <w:sz w:val="24"/>
          <w:szCs w:val="24"/>
        </w:rPr>
        <w:t>5 and 6</w:t>
      </w:r>
      <w:r w:rsidRPr="0055204F">
        <w:rPr>
          <w:rFonts w:ascii="Arial" w:eastAsia="Calibri" w:hAnsi="Arial" w:cs="Arial"/>
          <w:sz w:val="24"/>
          <w:szCs w:val="24"/>
        </w:rPr>
        <w:t xml:space="preserve"> above, provider access refers to member inquiries related to:</w:t>
      </w:r>
    </w:p>
    <w:p w:rsidR="0055204F" w:rsidRPr="0055204F" w:rsidRDefault="0055204F" w:rsidP="0055204F">
      <w:pPr>
        <w:ind w:firstLine="0"/>
        <w:rPr>
          <w:rFonts w:ascii="Arial" w:eastAsia="Calibri" w:hAnsi="Arial" w:cs="Arial"/>
          <w:sz w:val="24"/>
          <w:szCs w:val="24"/>
        </w:rPr>
      </w:pPr>
    </w:p>
    <w:p w:rsidR="0055204F" w:rsidRPr="0055204F" w:rsidRDefault="0055204F" w:rsidP="0055204F">
      <w:pPr>
        <w:pStyle w:val="ListParagraph"/>
        <w:numPr>
          <w:ilvl w:val="0"/>
          <w:numId w:val="20"/>
        </w:numPr>
        <w:rPr>
          <w:rFonts w:ascii="Arial" w:eastAsia="Calibri" w:hAnsi="Arial" w:cs="Arial"/>
          <w:sz w:val="24"/>
          <w:szCs w:val="24"/>
        </w:rPr>
      </w:pPr>
      <w:r w:rsidRPr="0055204F">
        <w:rPr>
          <w:rFonts w:ascii="Arial" w:eastAsia="Calibri" w:hAnsi="Arial" w:cs="Arial"/>
          <w:sz w:val="24"/>
          <w:szCs w:val="24"/>
        </w:rPr>
        <w:t xml:space="preserve">Provider billing, </w:t>
      </w:r>
    </w:p>
    <w:p w:rsidR="0055204F" w:rsidRPr="0055204F" w:rsidRDefault="0055204F" w:rsidP="0055204F">
      <w:pPr>
        <w:pStyle w:val="ListParagraph"/>
        <w:numPr>
          <w:ilvl w:val="0"/>
          <w:numId w:val="20"/>
        </w:numPr>
        <w:rPr>
          <w:rFonts w:ascii="Arial" w:eastAsia="Calibri" w:hAnsi="Arial" w:cs="Arial"/>
          <w:sz w:val="24"/>
          <w:szCs w:val="24"/>
        </w:rPr>
      </w:pPr>
      <w:r w:rsidRPr="0055204F">
        <w:rPr>
          <w:rFonts w:ascii="Arial" w:eastAsia="Calibri" w:hAnsi="Arial" w:cs="Arial"/>
          <w:sz w:val="24"/>
          <w:szCs w:val="24"/>
        </w:rPr>
        <w:t xml:space="preserve">Participating providers, </w:t>
      </w:r>
    </w:p>
    <w:p w:rsidR="0055204F" w:rsidRPr="0055204F" w:rsidRDefault="0055204F" w:rsidP="0055204F">
      <w:pPr>
        <w:pStyle w:val="ListParagraph"/>
        <w:numPr>
          <w:ilvl w:val="0"/>
          <w:numId w:val="20"/>
        </w:numPr>
        <w:rPr>
          <w:rFonts w:ascii="Arial" w:eastAsia="Calibri" w:hAnsi="Arial" w:cs="Arial"/>
          <w:sz w:val="24"/>
          <w:szCs w:val="24"/>
        </w:rPr>
      </w:pPr>
      <w:r w:rsidRPr="0055204F">
        <w:rPr>
          <w:rFonts w:ascii="Arial" w:eastAsia="Calibri" w:hAnsi="Arial" w:cs="Arial"/>
          <w:sz w:val="24"/>
          <w:szCs w:val="24"/>
        </w:rPr>
        <w:t>Continuity of care issues (assistance for members transitioning to or from a</w:t>
      </w:r>
      <w:r w:rsidR="007029F5">
        <w:rPr>
          <w:rFonts w:ascii="Arial" w:eastAsia="Calibri" w:hAnsi="Arial" w:cs="Arial"/>
          <w:sz w:val="24"/>
          <w:szCs w:val="24"/>
        </w:rPr>
        <w:t xml:space="preserve">n </w:t>
      </w:r>
      <w:r w:rsidRPr="0055204F">
        <w:rPr>
          <w:rFonts w:ascii="Arial" w:eastAsia="Calibri" w:hAnsi="Arial" w:cs="Arial"/>
          <w:sz w:val="24"/>
          <w:szCs w:val="24"/>
        </w:rPr>
        <w:t xml:space="preserve">MCO, ACO or the PCC Plan), </w:t>
      </w:r>
    </w:p>
    <w:p w:rsidR="0055204F" w:rsidRPr="0055204F" w:rsidRDefault="0055204F" w:rsidP="0055204F">
      <w:pPr>
        <w:pStyle w:val="ListParagraph"/>
        <w:numPr>
          <w:ilvl w:val="0"/>
          <w:numId w:val="20"/>
        </w:numPr>
        <w:rPr>
          <w:rFonts w:ascii="Arial" w:eastAsia="Calibri" w:hAnsi="Arial" w:cs="Arial"/>
          <w:sz w:val="24"/>
          <w:szCs w:val="24"/>
        </w:rPr>
      </w:pPr>
      <w:r w:rsidRPr="0055204F">
        <w:rPr>
          <w:rFonts w:ascii="Arial" w:eastAsia="Calibri" w:hAnsi="Arial" w:cs="Arial"/>
          <w:sz w:val="24"/>
          <w:szCs w:val="24"/>
        </w:rPr>
        <w:t>Member enrollment and provider access issues. Examples include:</w:t>
      </w:r>
    </w:p>
    <w:p w:rsidR="0055204F" w:rsidRPr="0055204F" w:rsidRDefault="0055204F" w:rsidP="0055204F">
      <w:pPr>
        <w:pStyle w:val="ListParagraph"/>
        <w:numPr>
          <w:ilvl w:val="1"/>
          <w:numId w:val="20"/>
        </w:numPr>
        <w:rPr>
          <w:rFonts w:ascii="Arial" w:eastAsia="Calibri" w:hAnsi="Arial" w:cs="Arial"/>
          <w:sz w:val="24"/>
          <w:szCs w:val="24"/>
        </w:rPr>
      </w:pPr>
      <w:r w:rsidRPr="0055204F">
        <w:rPr>
          <w:rFonts w:ascii="Arial" w:eastAsia="Calibri" w:hAnsi="Arial" w:cs="Arial"/>
          <w:sz w:val="24"/>
          <w:szCs w:val="24"/>
        </w:rPr>
        <w:t xml:space="preserve">Questions about getting an appointment with a provider, </w:t>
      </w:r>
    </w:p>
    <w:p w:rsidR="0055204F" w:rsidRPr="0055204F" w:rsidRDefault="0055204F" w:rsidP="0055204F">
      <w:pPr>
        <w:pStyle w:val="ListParagraph"/>
        <w:numPr>
          <w:ilvl w:val="1"/>
          <w:numId w:val="20"/>
        </w:numPr>
        <w:rPr>
          <w:rFonts w:ascii="Arial" w:eastAsia="Calibri" w:hAnsi="Arial" w:cs="Arial"/>
          <w:sz w:val="24"/>
          <w:szCs w:val="24"/>
        </w:rPr>
      </w:pPr>
      <w:r w:rsidRPr="0055204F">
        <w:rPr>
          <w:rFonts w:ascii="Arial" w:eastAsia="Calibri" w:hAnsi="Arial" w:cs="Arial"/>
          <w:sz w:val="24"/>
          <w:szCs w:val="24"/>
        </w:rPr>
        <w:t>Locating a provider and provider calls related to member question</w:t>
      </w:r>
      <w:r w:rsidR="00893A88">
        <w:rPr>
          <w:rFonts w:ascii="Arial" w:eastAsia="Calibri" w:hAnsi="Arial" w:cs="Arial"/>
          <w:sz w:val="24"/>
          <w:szCs w:val="24"/>
        </w:rPr>
        <w:t>s</w:t>
      </w:r>
      <w:r w:rsidRPr="0055204F">
        <w:rPr>
          <w:rFonts w:ascii="Arial" w:eastAsia="Calibri" w:hAnsi="Arial" w:cs="Arial"/>
          <w:sz w:val="24"/>
          <w:szCs w:val="24"/>
        </w:rPr>
        <w:t xml:space="preserve"> about member coverage,</w:t>
      </w:r>
    </w:p>
    <w:p w:rsidR="0055204F" w:rsidRPr="0055204F" w:rsidRDefault="0055204F" w:rsidP="0055204F">
      <w:pPr>
        <w:pStyle w:val="ListParagraph"/>
        <w:numPr>
          <w:ilvl w:val="1"/>
          <w:numId w:val="20"/>
        </w:numPr>
        <w:rPr>
          <w:rFonts w:ascii="Arial" w:eastAsia="Calibri" w:hAnsi="Arial" w:cs="Arial"/>
          <w:sz w:val="24"/>
          <w:szCs w:val="24"/>
        </w:rPr>
      </w:pPr>
      <w:r w:rsidRPr="0055204F">
        <w:rPr>
          <w:rFonts w:ascii="Arial" w:eastAsia="Calibri" w:hAnsi="Arial" w:cs="Arial"/>
          <w:sz w:val="24"/>
          <w:szCs w:val="24"/>
        </w:rPr>
        <w:t xml:space="preserve">Assisting members with requests to enroll into out-of-area health plans, which saw significant interest due to the ACO launch and its establishment of defined service areas that differed vastly from the previous MCO arrangements. </w:t>
      </w:r>
    </w:p>
    <w:p w:rsidR="0055204F" w:rsidRPr="0055204F" w:rsidRDefault="0055204F" w:rsidP="0055204F">
      <w:pPr>
        <w:pStyle w:val="ListParagraph"/>
        <w:numPr>
          <w:ilvl w:val="0"/>
          <w:numId w:val="20"/>
        </w:numPr>
        <w:rPr>
          <w:rFonts w:ascii="Arial" w:eastAsia="Calibri" w:hAnsi="Arial" w:cs="Arial"/>
          <w:sz w:val="24"/>
          <w:szCs w:val="24"/>
        </w:rPr>
      </w:pPr>
      <w:r w:rsidRPr="0055204F">
        <w:rPr>
          <w:rFonts w:ascii="Arial" w:eastAsia="Calibri" w:hAnsi="Arial" w:cs="Arial"/>
          <w:sz w:val="24"/>
          <w:szCs w:val="24"/>
        </w:rPr>
        <w:t>Questions and issues directly resulting from the ACO launch in March of 2018. This was the largest contributor to the marked increase in calls and inquiries during the October 2017-June 2018 period.</w:t>
      </w:r>
    </w:p>
    <w:p w:rsidR="0055204F" w:rsidRPr="00DA770C" w:rsidRDefault="0055204F" w:rsidP="00DA770C">
      <w:pPr>
        <w:ind w:left="360" w:firstLine="0"/>
      </w:pPr>
    </w:p>
    <w:p w:rsidR="0055204F" w:rsidRPr="0055204F" w:rsidRDefault="0055204F" w:rsidP="0055204F">
      <w:pPr>
        <w:ind w:firstLine="0"/>
        <w:rPr>
          <w:rFonts w:ascii="Arial" w:eastAsia="Calibri" w:hAnsi="Arial" w:cs="Arial"/>
          <w:sz w:val="24"/>
          <w:szCs w:val="24"/>
        </w:rPr>
      </w:pPr>
      <w:r w:rsidRPr="0055204F">
        <w:rPr>
          <w:rFonts w:ascii="Arial" w:eastAsia="Calibri" w:hAnsi="Arial" w:cs="Arial"/>
          <w:sz w:val="24"/>
          <w:szCs w:val="24"/>
        </w:rPr>
        <w:t xml:space="preserve">During the launch of </w:t>
      </w:r>
      <w:r w:rsidR="009E0920">
        <w:rPr>
          <w:rFonts w:ascii="Arial" w:eastAsia="Calibri" w:hAnsi="Arial" w:cs="Arial"/>
          <w:sz w:val="24"/>
          <w:szCs w:val="24"/>
        </w:rPr>
        <w:t xml:space="preserve">the </w:t>
      </w:r>
      <w:r w:rsidRPr="0055204F">
        <w:rPr>
          <w:rFonts w:ascii="Arial" w:eastAsia="Calibri" w:hAnsi="Arial" w:cs="Arial"/>
          <w:sz w:val="24"/>
          <w:szCs w:val="24"/>
        </w:rPr>
        <w:t xml:space="preserve">ACO program in March 2018 the CSC expanded capacity to answer and resolve calls and established a dedicated team of resources to handle all health plan-related questions. The call center performance for health plan-related calls during this timeframe is shown </w:t>
      </w:r>
      <w:r w:rsidR="00BC3C2D">
        <w:rPr>
          <w:rFonts w:ascii="Arial" w:eastAsia="Calibri" w:hAnsi="Arial" w:cs="Arial"/>
          <w:sz w:val="24"/>
          <w:szCs w:val="24"/>
        </w:rPr>
        <w:t>in Figure 7</w:t>
      </w:r>
      <w:r w:rsidR="00BE68A3">
        <w:rPr>
          <w:rFonts w:ascii="Arial" w:eastAsia="Calibri" w:hAnsi="Arial" w:cs="Arial"/>
          <w:sz w:val="24"/>
          <w:szCs w:val="24"/>
        </w:rPr>
        <w:t xml:space="preserve"> </w:t>
      </w:r>
      <w:r w:rsidR="002C37D2">
        <w:rPr>
          <w:rFonts w:ascii="Arial" w:eastAsia="Calibri" w:hAnsi="Arial" w:cs="Arial"/>
          <w:sz w:val="24"/>
          <w:szCs w:val="24"/>
        </w:rPr>
        <w:t>below.</w:t>
      </w:r>
    </w:p>
    <w:p w:rsidR="0055204F" w:rsidRPr="0055204F" w:rsidRDefault="0055204F" w:rsidP="0055204F">
      <w:pPr>
        <w:ind w:firstLine="0"/>
        <w:rPr>
          <w:rFonts w:ascii="Arial" w:eastAsia="Calibri" w:hAnsi="Arial" w:cs="Arial"/>
          <w:sz w:val="24"/>
          <w:szCs w:val="24"/>
        </w:rPr>
      </w:pPr>
    </w:p>
    <w:p w:rsidR="00D75AEC" w:rsidRDefault="00D75AEC">
      <w:pPr>
        <w:ind w:firstLine="0"/>
        <w:rPr>
          <w:rFonts w:ascii="Arial" w:eastAsia="Calibri" w:hAnsi="Arial" w:cs="Arial"/>
          <w:b/>
          <w:sz w:val="24"/>
          <w:szCs w:val="24"/>
        </w:rPr>
      </w:pPr>
      <w:r>
        <w:rPr>
          <w:rFonts w:ascii="Arial" w:eastAsia="Calibri" w:hAnsi="Arial" w:cs="Arial"/>
          <w:b/>
          <w:sz w:val="24"/>
          <w:szCs w:val="24"/>
        </w:rPr>
        <w:br w:type="page"/>
      </w:r>
    </w:p>
    <w:p w:rsidR="0055204F" w:rsidRPr="002B2ECC" w:rsidRDefault="0055204F" w:rsidP="0055204F">
      <w:pPr>
        <w:ind w:firstLine="0"/>
        <w:rPr>
          <w:rFonts w:ascii="Arial" w:eastAsia="Calibri" w:hAnsi="Arial" w:cs="Arial"/>
          <w:b/>
          <w:sz w:val="24"/>
          <w:szCs w:val="24"/>
        </w:rPr>
      </w:pPr>
      <w:r w:rsidRPr="00A779BD">
        <w:rPr>
          <w:rFonts w:ascii="Arial" w:eastAsia="Calibri" w:hAnsi="Arial" w:cs="Arial"/>
          <w:b/>
          <w:sz w:val="24"/>
          <w:szCs w:val="24"/>
        </w:rPr>
        <w:lastRenderedPageBreak/>
        <w:t>Figure</w:t>
      </w:r>
      <w:r w:rsidR="00B84D88" w:rsidRPr="00A779BD">
        <w:rPr>
          <w:rFonts w:ascii="Arial" w:eastAsia="Calibri" w:hAnsi="Arial" w:cs="Arial"/>
          <w:b/>
          <w:sz w:val="24"/>
          <w:szCs w:val="24"/>
        </w:rPr>
        <w:t xml:space="preserve"> #</w:t>
      </w:r>
      <w:r w:rsidR="00F277EF" w:rsidRPr="00A779BD">
        <w:rPr>
          <w:rFonts w:ascii="Arial" w:eastAsia="Calibri" w:hAnsi="Arial" w:cs="Arial"/>
          <w:b/>
          <w:sz w:val="24"/>
          <w:szCs w:val="24"/>
        </w:rPr>
        <w:t>7</w:t>
      </w:r>
      <w:r w:rsidRPr="00A779BD">
        <w:rPr>
          <w:rFonts w:ascii="Arial" w:eastAsia="Calibri" w:hAnsi="Arial" w:cs="Arial"/>
          <w:b/>
          <w:sz w:val="24"/>
          <w:szCs w:val="24"/>
        </w:rPr>
        <w:t>: CSC Call Center Times during the ACO Launch Period</w:t>
      </w:r>
    </w:p>
    <w:p w:rsidR="0055204F" w:rsidRPr="0055204F" w:rsidRDefault="0055204F" w:rsidP="0055204F">
      <w:pPr>
        <w:ind w:firstLine="0"/>
        <w:jc w:val="center"/>
        <w:rPr>
          <w:rFonts w:ascii="Arial" w:eastAsia="Calibri" w:hAnsi="Arial" w:cs="Arial"/>
          <w:sz w:val="24"/>
          <w:szCs w:val="24"/>
        </w:rPr>
      </w:pPr>
      <w:r w:rsidRPr="0055204F">
        <w:rPr>
          <w:rFonts w:ascii="Arial" w:eastAsia="Calibri" w:hAnsi="Arial" w:cs="Arial"/>
          <w:noProof/>
          <w:sz w:val="24"/>
          <w:szCs w:val="24"/>
        </w:rPr>
        <w:drawing>
          <wp:inline distT="0" distB="0" distL="0" distR="0" wp14:anchorId="6EA37268" wp14:editId="0F68E6D0">
            <wp:extent cx="5831231" cy="3505200"/>
            <wp:effectExtent l="0" t="0" r="0" b="0"/>
            <wp:docPr id="11" name="Picture 11" descr="Figure 7. Bar graph of CSC Call Center times from October 2017 to September 2018, broken down by four time periods. Each time period shows that the Average Speed to Answer in minutes is approximately half of the Average Call Length." title="CSC Call Center Times during the ACO Launch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1862" cy="3511590"/>
                    </a:xfrm>
                    <a:prstGeom prst="rect">
                      <a:avLst/>
                    </a:prstGeom>
                    <a:noFill/>
                  </pic:spPr>
                </pic:pic>
              </a:graphicData>
            </a:graphic>
          </wp:inline>
        </w:drawing>
      </w:r>
    </w:p>
    <w:p w:rsidR="0055204F" w:rsidRPr="0055204F" w:rsidRDefault="0055204F" w:rsidP="0055204F">
      <w:pPr>
        <w:ind w:firstLine="0"/>
        <w:rPr>
          <w:rFonts w:ascii="Arial" w:eastAsia="Calibri" w:hAnsi="Arial" w:cs="Arial"/>
          <w:sz w:val="24"/>
          <w:szCs w:val="24"/>
        </w:rPr>
      </w:pPr>
    </w:p>
    <w:p w:rsidR="0055204F" w:rsidRPr="0055204F" w:rsidRDefault="0055204F" w:rsidP="0055204F">
      <w:pPr>
        <w:ind w:firstLine="0"/>
        <w:rPr>
          <w:rFonts w:ascii="Arial" w:eastAsia="Calibri" w:hAnsi="Arial" w:cs="Arial"/>
          <w:sz w:val="24"/>
          <w:szCs w:val="24"/>
        </w:rPr>
      </w:pPr>
      <w:r w:rsidRPr="0055204F">
        <w:rPr>
          <w:rFonts w:ascii="Arial" w:eastAsia="Calibri" w:hAnsi="Arial" w:cs="Arial"/>
          <w:sz w:val="24"/>
          <w:szCs w:val="24"/>
        </w:rPr>
        <w:t xml:space="preserve">The ACO rollout saw a significant increase in calls related to provider access. As the data shows above, call wait time (average speed to answer) remained low although call volume had significantly increased. Average call length varied throughout the ACO launch period, as expected, due to the increased complexity of calls around </w:t>
      </w:r>
      <w:r w:rsidR="009E0920">
        <w:rPr>
          <w:rFonts w:ascii="Arial" w:eastAsia="Calibri" w:hAnsi="Arial" w:cs="Arial"/>
          <w:sz w:val="24"/>
          <w:szCs w:val="24"/>
        </w:rPr>
        <w:t xml:space="preserve">the </w:t>
      </w:r>
      <w:r w:rsidRPr="0055204F">
        <w:rPr>
          <w:rFonts w:ascii="Arial" w:eastAsia="Calibri" w:hAnsi="Arial" w:cs="Arial"/>
          <w:sz w:val="24"/>
          <w:szCs w:val="24"/>
        </w:rPr>
        <w:t xml:space="preserve">ACO launch. </w:t>
      </w:r>
    </w:p>
    <w:p w:rsidR="0055204F" w:rsidRPr="0055204F" w:rsidRDefault="0055204F" w:rsidP="0055204F">
      <w:pPr>
        <w:ind w:firstLine="0"/>
        <w:rPr>
          <w:rFonts w:ascii="Arial" w:eastAsia="Calibri" w:hAnsi="Arial" w:cs="Arial"/>
          <w:sz w:val="24"/>
          <w:szCs w:val="24"/>
        </w:rPr>
      </w:pPr>
    </w:p>
    <w:p w:rsidR="0055204F" w:rsidRPr="0055204F" w:rsidRDefault="0055204F" w:rsidP="0055204F">
      <w:pPr>
        <w:ind w:firstLine="0"/>
        <w:rPr>
          <w:rFonts w:ascii="Arial" w:eastAsia="Calibri" w:hAnsi="Arial" w:cs="Arial"/>
          <w:sz w:val="24"/>
          <w:szCs w:val="24"/>
        </w:rPr>
      </w:pPr>
      <w:r w:rsidRPr="0055204F">
        <w:rPr>
          <w:rFonts w:ascii="Arial" w:eastAsia="Calibri" w:hAnsi="Arial" w:cs="Arial"/>
          <w:sz w:val="24"/>
          <w:szCs w:val="24"/>
        </w:rPr>
        <w:t>Due to the high level of planning and collaboration between CSC and EOHHS, the call center was well prepared to handle the increase in calls experienced during ACO launch. The rate of such continued resolution of calls demonstrates EOHHS’ commitment to member access.</w:t>
      </w:r>
    </w:p>
    <w:p w:rsidR="0055204F" w:rsidRPr="00272197" w:rsidRDefault="0055204F" w:rsidP="0055204F">
      <w:pPr>
        <w:ind w:firstLine="0"/>
        <w:rPr>
          <w:rFonts w:ascii="Calibri" w:eastAsia="Calibri" w:hAnsi="Calibri" w:cs="Times New Roman"/>
          <w:sz w:val="24"/>
          <w:szCs w:val="24"/>
        </w:rPr>
      </w:pPr>
    </w:p>
    <w:p w:rsidR="006071BF" w:rsidRDefault="004E545F" w:rsidP="00352C45">
      <w:pPr>
        <w:pStyle w:val="Heading2"/>
        <w:rPr>
          <w:rFonts w:ascii="Arial" w:hAnsi="Arial" w:cs="Arial"/>
          <w:color w:val="auto"/>
          <w:sz w:val="24"/>
          <w:szCs w:val="24"/>
          <w:u w:val="single"/>
        </w:rPr>
      </w:pPr>
      <w:bookmarkStart w:id="12" w:name="_Toc20296918"/>
      <w:bookmarkStart w:id="13" w:name="_Toc10810570"/>
      <w:r w:rsidRPr="0066291B">
        <w:rPr>
          <w:rFonts w:ascii="Arial" w:hAnsi="Arial" w:cs="Arial"/>
          <w:color w:val="auto"/>
          <w:sz w:val="24"/>
          <w:szCs w:val="24"/>
          <w:u w:val="single"/>
        </w:rPr>
        <w:t xml:space="preserve">Provider Access </w:t>
      </w:r>
      <w:r w:rsidR="005E2F64" w:rsidRPr="0066291B">
        <w:rPr>
          <w:rFonts w:ascii="Arial" w:hAnsi="Arial" w:cs="Arial"/>
          <w:color w:val="auto"/>
          <w:sz w:val="24"/>
          <w:szCs w:val="24"/>
          <w:u w:val="single"/>
        </w:rPr>
        <w:t>Resources for Members</w:t>
      </w:r>
      <w:bookmarkEnd w:id="12"/>
      <w:r w:rsidR="00DE11FB">
        <w:rPr>
          <w:rFonts w:ascii="Arial" w:hAnsi="Arial" w:cs="Arial"/>
          <w:color w:val="auto"/>
          <w:sz w:val="24"/>
          <w:szCs w:val="24"/>
          <w:u w:val="single"/>
        </w:rPr>
        <w:t xml:space="preserve"> </w:t>
      </w:r>
    </w:p>
    <w:p w:rsidR="006071BF" w:rsidRPr="00DA770C" w:rsidRDefault="006071BF" w:rsidP="00DA770C">
      <w:pPr>
        <w:ind w:left="360" w:firstLine="0"/>
      </w:pPr>
    </w:p>
    <w:p w:rsidR="005E2F64" w:rsidRPr="00985776" w:rsidRDefault="001E3A62" w:rsidP="00985776">
      <w:pPr>
        <w:pStyle w:val="Heading3"/>
        <w:rPr>
          <w:rFonts w:ascii="Arial" w:hAnsi="Arial" w:cs="Arial"/>
        </w:rPr>
      </w:pPr>
      <w:bookmarkStart w:id="14" w:name="_Toc20296919"/>
      <w:r w:rsidRPr="00985776">
        <w:rPr>
          <w:rFonts w:ascii="Arial" w:hAnsi="Arial" w:cs="Arial"/>
        </w:rPr>
        <w:t>The MassHealth Provider Directory</w:t>
      </w:r>
      <w:bookmarkEnd w:id="13"/>
      <w:bookmarkEnd w:id="14"/>
    </w:p>
    <w:p w:rsidR="006160B7" w:rsidRDefault="006160B7" w:rsidP="00C95D5A">
      <w:pPr>
        <w:spacing w:after="100" w:afterAutospacing="1"/>
        <w:ind w:firstLine="0"/>
        <w:contextualSpacing/>
        <w:rPr>
          <w:rFonts w:ascii="Arial" w:hAnsi="Arial" w:cs="Arial"/>
          <w:sz w:val="24"/>
          <w:szCs w:val="24"/>
        </w:rPr>
      </w:pPr>
    </w:p>
    <w:p w:rsidR="00DB33F9" w:rsidRDefault="00C95D5A" w:rsidP="00C95D5A">
      <w:pPr>
        <w:spacing w:after="100" w:afterAutospacing="1"/>
        <w:ind w:firstLine="0"/>
        <w:contextualSpacing/>
        <w:rPr>
          <w:rFonts w:ascii="Arial" w:eastAsia="Calibri" w:hAnsi="Arial" w:cs="Arial"/>
          <w:sz w:val="24"/>
          <w:szCs w:val="24"/>
        </w:rPr>
      </w:pPr>
      <w:r w:rsidRPr="00352C45">
        <w:rPr>
          <w:rFonts w:ascii="Arial" w:hAnsi="Arial" w:cs="Arial"/>
          <w:sz w:val="24"/>
          <w:szCs w:val="24"/>
        </w:rPr>
        <w:t xml:space="preserve">The MassHealth online provider directory, located at: </w:t>
      </w:r>
      <w:hyperlink r:id="rId14" w:tooltip="MassHealth Provider Directory" w:history="1">
        <w:r w:rsidRPr="00352C45">
          <w:rPr>
            <w:rStyle w:val="Hyperlink"/>
            <w:rFonts w:ascii="Arial" w:eastAsia="Calibri" w:hAnsi="Arial" w:cs="Arial"/>
            <w:sz w:val="24"/>
            <w:szCs w:val="24"/>
          </w:rPr>
          <w:t>https://masshealth.ehs.state.ma.us/providerdirectory/</w:t>
        </w:r>
      </w:hyperlink>
      <w:r w:rsidRPr="00352C45">
        <w:rPr>
          <w:rStyle w:val="Hyperlink"/>
          <w:rFonts w:ascii="Arial" w:eastAsia="Calibri" w:hAnsi="Arial" w:cs="Arial"/>
          <w:color w:val="000000" w:themeColor="text1"/>
          <w:sz w:val="24"/>
          <w:szCs w:val="24"/>
          <w:u w:val="none"/>
        </w:rPr>
        <w:t xml:space="preserve">, allows </w:t>
      </w:r>
      <w:r w:rsidR="008E759C">
        <w:rPr>
          <w:rStyle w:val="Hyperlink"/>
          <w:rFonts w:ascii="Arial" w:eastAsia="Calibri" w:hAnsi="Arial" w:cs="Arial"/>
          <w:color w:val="000000" w:themeColor="text1"/>
          <w:sz w:val="24"/>
          <w:szCs w:val="24"/>
          <w:u w:val="none"/>
        </w:rPr>
        <w:t>members enrolled in the PCC Plan, a Primary Care ACO or FFS</w:t>
      </w:r>
      <w:r w:rsidRPr="00352C45">
        <w:rPr>
          <w:rStyle w:val="Hyperlink"/>
          <w:rFonts w:ascii="Arial" w:eastAsia="Calibri" w:hAnsi="Arial" w:cs="Arial"/>
          <w:color w:val="000000" w:themeColor="text1"/>
          <w:sz w:val="24"/>
          <w:szCs w:val="24"/>
          <w:u w:val="none"/>
        </w:rPr>
        <w:t xml:space="preserve"> to easily connect</w:t>
      </w:r>
      <w:r w:rsidR="00ED2B8F">
        <w:rPr>
          <w:rStyle w:val="Hyperlink"/>
          <w:rFonts w:ascii="Arial" w:eastAsia="Calibri" w:hAnsi="Arial" w:cs="Arial"/>
          <w:color w:val="000000" w:themeColor="text1"/>
          <w:sz w:val="24"/>
          <w:szCs w:val="24"/>
          <w:u w:val="none"/>
        </w:rPr>
        <w:t xml:space="preserve"> </w:t>
      </w:r>
      <w:r w:rsidRPr="00352C45">
        <w:rPr>
          <w:rStyle w:val="Hyperlink"/>
          <w:rFonts w:ascii="Arial" w:eastAsia="Calibri" w:hAnsi="Arial" w:cs="Arial"/>
          <w:color w:val="000000" w:themeColor="text1"/>
          <w:sz w:val="24"/>
          <w:szCs w:val="24"/>
          <w:u w:val="none"/>
        </w:rPr>
        <w:t xml:space="preserve">with providers, hospitals, and health </w:t>
      </w:r>
      <w:r w:rsidR="00352C45" w:rsidRPr="00352C45">
        <w:rPr>
          <w:rStyle w:val="Hyperlink"/>
          <w:rFonts w:ascii="Arial" w:eastAsia="Calibri" w:hAnsi="Arial" w:cs="Arial"/>
          <w:color w:val="000000" w:themeColor="text1"/>
          <w:sz w:val="24"/>
          <w:szCs w:val="24"/>
          <w:u w:val="none"/>
        </w:rPr>
        <w:t>centers.</w:t>
      </w:r>
      <w:r w:rsidR="00352C45" w:rsidRPr="00352C45">
        <w:rPr>
          <w:rFonts w:ascii="Arial" w:eastAsia="Calibri" w:hAnsi="Arial" w:cs="Arial"/>
          <w:color w:val="000000" w:themeColor="text1"/>
          <w:sz w:val="24"/>
          <w:szCs w:val="24"/>
        </w:rPr>
        <w:t xml:space="preserve"> </w:t>
      </w:r>
      <w:r w:rsidR="00352C45" w:rsidRPr="00352C45">
        <w:rPr>
          <w:rFonts w:ascii="Arial" w:eastAsia="Calibri" w:hAnsi="Arial" w:cs="Arial"/>
          <w:sz w:val="24"/>
          <w:szCs w:val="24"/>
        </w:rPr>
        <w:t>Users</w:t>
      </w:r>
      <w:r w:rsidRPr="00352C45">
        <w:rPr>
          <w:rFonts w:ascii="Arial" w:eastAsia="Calibri" w:hAnsi="Arial" w:cs="Arial"/>
          <w:sz w:val="24"/>
          <w:szCs w:val="24"/>
        </w:rPr>
        <w:t xml:space="preserve"> can search the large database of MassHealth-participating providers and health care facilities and narrow their search by specific provider type, such as cardiologist or obstetrician, location, or a provider’s name. </w:t>
      </w:r>
    </w:p>
    <w:p w:rsidR="00C241B6" w:rsidRDefault="00C241B6">
      <w:pPr>
        <w:ind w:firstLine="0"/>
        <w:rPr>
          <w:rFonts w:ascii="Arial" w:hAnsi="Arial" w:cs="Arial"/>
          <w:b/>
          <w:sz w:val="24"/>
          <w:u w:val="single"/>
        </w:rPr>
      </w:pPr>
      <w:bookmarkStart w:id="15" w:name="_Toc10810571"/>
      <w:r>
        <w:rPr>
          <w:rFonts w:ascii="Arial" w:hAnsi="Arial" w:cs="Arial"/>
        </w:rPr>
        <w:br w:type="page"/>
      </w:r>
    </w:p>
    <w:p w:rsidR="008E759C" w:rsidRPr="0066291B" w:rsidRDefault="008E759C" w:rsidP="0066291B">
      <w:pPr>
        <w:pStyle w:val="Heading3"/>
        <w:rPr>
          <w:rFonts w:ascii="Arial" w:hAnsi="Arial" w:cs="Arial"/>
        </w:rPr>
      </w:pPr>
      <w:bookmarkStart w:id="16" w:name="_Toc20296920"/>
      <w:r w:rsidRPr="0066291B">
        <w:rPr>
          <w:rFonts w:ascii="Arial" w:hAnsi="Arial" w:cs="Arial"/>
        </w:rPr>
        <w:lastRenderedPageBreak/>
        <w:t>MassHealth Choices</w:t>
      </w:r>
      <w:bookmarkEnd w:id="15"/>
      <w:bookmarkEnd w:id="16"/>
    </w:p>
    <w:p w:rsidR="008E759C" w:rsidRPr="00DA770C" w:rsidRDefault="008E759C" w:rsidP="00DA770C">
      <w:pPr>
        <w:ind w:left="360" w:firstLine="0"/>
      </w:pPr>
    </w:p>
    <w:p w:rsidR="008E759C" w:rsidRPr="00CB764A" w:rsidRDefault="008E759C" w:rsidP="008E759C">
      <w:pPr>
        <w:pStyle w:val="ListParagraph"/>
        <w:spacing w:after="100" w:afterAutospacing="1"/>
        <w:ind w:left="0" w:firstLine="0"/>
        <w:rPr>
          <w:rFonts w:ascii="Arial" w:hAnsi="Arial" w:cs="Arial"/>
          <w:sz w:val="24"/>
          <w:szCs w:val="24"/>
        </w:rPr>
      </w:pPr>
      <w:r w:rsidRPr="00A97022">
        <w:rPr>
          <w:rFonts w:ascii="Arial" w:hAnsi="Arial" w:cs="Arial"/>
          <w:sz w:val="24"/>
          <w:szCs w:val="24"/>
        </w:rPr>
        <w:t>The MassHealth Choices feature of the MassHealth website</w:t>
      </w:r>
      <w:r>
        <w:rPr>
          <w:rFonts w:ascii="Arial" w:hAnsi="Arial" w:cs="Arial"/>
          <w:sz w:val="24"/>
          <w:szCs w:val="24"/>
        </w:rPr>
        <w:t>,</w:t>
      </w:r>
      <w:r w:rsidRPr="00A97022">
        <w:rPr>
          <w:rFonts w:ascii="Arial" w:hAnsi="Arial" w:cs="Arial"/>
          <w:sz w:val="24"/>
          <w:szCs w:val="24"/>
        </w:rPr>
        <w:t xml:space="preserve"> </w:t>
      </w:r>
      <w:r>
        <w:rPr>
          <w:rFonts w:ascii="Arial" w:hAnsi="Arial" w:cs="Arial"/>
          <w:sz w:val="24"/>
          <w:szCs w:val="24"/>
        </w:rPr>
        <w:t>l</w:t>
      </w:r>
      <w:r w:rsidRPr="00A97022">
        <w:rPr>
          <w:rFonts w:ascii="Arial" w:hAnsi="Arial" w:cs="Arial"/>
          <w:sz w:val="24"/>
          <w:szCs w:val="24"/>
        </w:rPr>
        <w:t>ocated at</w:t>
      </w:r>
      <w:r w:rsidRPr="00CB764A">
        <w:t xml:space="preserve"> </w:t>
      </w:r>
      <w:hyperlink r:id="rId15" w:tooltip="MassHealth Choices Website" w:history="1">
        <w:r w:rsidRPr="008B4815">
          <w:rPr>
            <w:rStyle w:val="Hyperlink"/>
            <w:rFonts w:ascii="Arial" w:hAnsi="Arial" w:cs="Arial"/>
            <w:sz w:val="24"/>
            <w:szCs w:val="24"/>
          </w:rPr>
          <w:t>https://www.masshealthchoices.com/home</w:t>
        </w:r>
      </w:hyperlink>
      <w:r w:rsidRPr="008508CA">
        <w:rPr>
          <w:rStyle w:val="Hyperlink"/>
          <w:rFonts w:ascii="Arial" w:eastAsia="Calibri" w:hAnsi="Arial" w:cs="Arial"/>
          <w:color w:val="000000" w:themeColor="text1"/>
          <w:sz w:val="24"/>
          <w:szCs w:val="24"/>
          <w:u w:val="none"/>
        </w:rPr>
        <w:t>, l</w:t>
      </w:r>
      <w:r>
        <w:rPr>
          <w:rStyle w:val="Hyperlink"/>
          <w:rFonts w:ascii="Arial" w:eastAsia="Calibri" w:hAnsi="Arial" w:cs="Arial"/>
          <w:color w:val="000000" w:themeColor="text1"/>
          <w:sz w:val="24"/>
          <w:szCs w:val="24"/>
          <w:u w:val="none"/>
        </w:rPr>
        <w:t>a</w:t>
      </w:r>
      <w:r w:rsidRPr="008508CA">
        <w:rPr>
          <w:rStyle w:val="Hyperlink"/>
          <w:rFonts w:ascii="Arial" w:eastAsia="Calibri" w:hAnsi="Arial" w:cs="Arial"/>
          <w:color w:val="000000" w:themeColor="text1"/>
          <w:sz w:val="24"/>
          <w:szCs w:val="24"/>
          <w:u w:val="none"/>
        </w:rPr>
        <w:t>unched in November 2017,</w:t>
      </w:r>
      <w:r w:rsidRPr="008508CA">
        <w:rPr>
          <w:rFonts w:ascii="Arial" w:eastAsia="Calibri" w:hAnsi="Arial" w:cs="Arial"/>
          <w:color w:val="000000" w:themeColor="text1"/>
          <w:sz w:val="24"/>
          <w:szCs w:val="24"/>
        </w:rPr>
        <w:t xml:space="preserve"> </w:t>
      </w:r>
      <w:r w:rsidRPr="00A97022">
        <w:rPr>
          <w:rFonts w:ascii="Arial" w:eastAsia="Calibri" w:hAnsi="Arial" w:cs="Arial"/>
          <w:sz w:val="24"/>
          <w:szCs w:val="24"/>
        </w:rPr>
        <w:t>offers health plan comparison and primary care provider search tools that allow MassHealth managed care eligible members, including members enrolled in Accountable Care Partnership P</w:t>
      </w:r>
      <w:r>
        <w:rPr>
          <w:rFonts w:ascii="Arial" w:eastAsia="Calibri" w:hAnsi="Arial" w:cs="Arial"/>
          <w:sz w:val="24"/>
          <w:szCs w:val="24"/>
        </w:rPr>
        <w:t xml:space="preserve">lans and Primary Care ACOs, to </w:t>
      </w:r>
      <w:r w:rsidRPr="00A97022">
        <w:rPr>
          <w:rFonts w:ascii="Arial" w:eastAsia="Calibri" w:hAnsi="Arial" w:cs="Arial"/>
          <w:sz w:val="24"/>
          <w:szCs w:val="24"/>
        </w:rPr>
        <w:t xml:space="preserve">compare health plan options available in their service area and find primary care providers that participate in </w:t>
      </w:r>
      <w:r w:rsidR="007442C7">
        <w:rPr>
          <w:rFonts w:ascii="Arial" w:eastAsia="Calibri" w:hAnsi="Arial" w:cs="Arial"/>
          <w:sz w:val="24"/>
          <w:szCs w:val="24"/>
        </w:rPr>
        <w:t>the</w:t>
      </w:r>
      <w:r w:rsidR="007442C7" w:rsidRPr="00A97022">
        <w:rPr>
          <w:rFonts w:ascii="Arial" w:eastAsia="Calibri" w:hAnsi="Arial" w:cs="Arial"/>
          <w:sz w:val="24"/>
          <w:szCs w:val="24"/>
        </w:rPr>
        <w:t xml:space="preserve"> </w:t>
      </w:r>
      <w:r w:rsidRPr="00A97022">
        <w:rPr>
          <w:rFonts w:ascii="Arial" w:eastAsia="Calibri" w:hAnsi="Arial" w:cs="Arial"/>
          <w:sz w:val="24"/>
          <w:szCs w:val="24"/>
        </w:rPr>
        <w:t xml:space="preserve">available options. MassHealth managed care eligible members can also learn about other important information, view or download helpful materials such as the MassHealth Enrollment Guide, and enroll in the plan of their choice that best meets their needs. </w:t>
      </w:r>
      <w:r>
        <w:rPr>
          <w:rFonts w:ascii="Arial" w:eastAsia="Calibri" w:hAnsi="Arial" w:cs="Arial"/>
          <w:sz w:val="24"/>
          <w:szCs w:val="24"/>
        </w:rPr>
        <w:t>This page may also be used by PCC Plan members to locate a PCC.</w:t>
      </w:r>
    </w:p>
    <w:p w:rsidR="005A0509" w:rsidRPr="00130F4C" w:rsidRDefault="00A054EB" w:rsidP="00130F4C">
      <w:pPr>
        <w:pStyle w:val="Heading3"/>
        <w:rPr>
          <w:rFonts w:ascii="Arial" w:hAnsi="Arial" w:cs="Arial"/>
        </w:rPr>
      </w:pPr>
      <w:bookmarkStart w:id="17" w:name="_Toc10810572"/>
      <w:bookmarkStart w:id="18" w:name="_Toc20296921"/>
      <w:r w:rsidRPr="00130F4C">
        <w:rPr>
          <w:rFonts w:ascii="Arial" w:hAnsi="Arial" w:cs="Arial"/>
        </w:rPr>
        <w:t>Disability Search</w:t>
      </w:r>
      <w:bookmarkEnd w:id="17"/>
      <w:bookmarkEnd w:id="18"/>
      <w:r w:rsidRPr="00130F4C">
        <w:rPr>
          <w:rFonts w:ascii="Arial" w:hAnsi="Arial" w:cs="Arial"/>
        </w:rPr>
        <w:t xml:space="preserve"> </w:t>
      </w:r>
    </w:p>
    <w:p w:rsidR="006160B7" w:rsidRPr="006160B7" w:rsidRDefault="006160B7" w:rsidP="006160B7"/>
    <w:p w:rsidR="00DB33F9" w:rsidRPr="00A97022" w:rsidRDefault="001E3A62" w:rsidP="00A054EB">
      <w:pPr>
        <w:spacing w:after="100" w:afterAutospacing="1"/>
        <w:ind w:firstLine="0"/>
        <w:rPr>
          <w:rFonts w:ascii="Arial" w:hAnsi="Arial" w:cs="Arial"/>
          <w:sz w:val="24"/>
          <w:szCs w:val="24"/>
        </w:rPr>
      </w:pPr>
      <w:r w:rsidRPr="001E3A62">
        <w:rPr>
          <w:rStyle w:val="Hyperlink"/>
          <w:rFonts w:ascii="Arial" w:eastAsia="Calibri" w:hAnsi="Arial" w:cs="Arial"/>
          <w:color w:val="auto"/>
          <w:sz w:val="24"/>
          <w:szCs w:val="24"/>
          <w:u w:val="none"/>
        </w:rPr>
        <w:t>The</w:t>
      </w:r>
      <w:r w:rsidR="005A0509" w:rsidRPr="001E3A62">
        <w:rPr>
          <w:rStyle w:val="Hyperlink"/>
          <w:rFonts w:ascii="Arial" w:eastAsia="Calibri" w:hAnsi="Arial" w:cs="Arial"/>
          <w:color w:val="auto"/>
          <w:sz w:val="24"/>
          <w:szCs w:val="24"/>
          <w:u w:val="none"/>
        </w:rPr>
        <w:t xml:space="preserve"> MassHealth online provider directory </w:t>
      </w:r>
      <w:r w:rsidRPr="001E3A62">
        <w:rPr>
          <w:rStyle w:val="Hyperlink"/>
          <w:rFonts w:ascii="Arial" w:eastAsia="Calibri" w:hAnsi="Arial" w:cs="Arial"/>
          <w:color w:val="auto"/>
          <w:sz w:val="24"/>
          <w:szCs w:val="24"/>
          <w:u w:val="none"/>
        </w:rPr>
        <w:t xml:space="preserve">includes </w:t>
      </w:r>
      <w:r w:rsidR="005A0509" w:rsidRPr="001E3A62">
        <w:rPr>
          <w:rFonts w:ascii="Arial" w:hAnsi="Arial" w:cs="Arial"/>
          <w:sz w:val="24"/>
          <w:szCs w:val="24"/>
        </w:rPr>
        <w:t xml:space="preserve">a </w:t>
      </w:r>
      <w:r w:rsidR="00DB33F9" w:rsidRPr="001E3A62">
        <w:rPr>
          <w:rFonts w:ascii="Arial" w:hAnsi="Arial" w:cs="Arial"/>
          <w:sz w:val="24"/>
          <w:szCs w:val="24"/>
        </w:rPr>
        <w:t>link to</w:t>
      </w:r>
      <w:r w:rsidR="00DB33F9" w:rsidRPr="00A97022">
        <w:rPr>
          <w:rFonts w:ascii="Arial" w:hAnsi="Arial" w:cs="Arial"/>
          <w:sz w:val="24"/>
          <w:szCs w:val="24"/>
        </w:rPr>
        <w:t xml:space="preserve"> redirect members to DisabilityInfo.org, which is a separate web directory that allows members to search by accessibility preference</w:t>
      </w:r>
      <w:r w:rsidR="005A0AB9" w:rsidRPr="00A97022">
        <w:rPr>
          <w:rFonts w:ascii="Arial" w:hAnsi="Arial" w:cs="Arial"/>
          <w:sz w:val="24"/>
          <w:szCs w:val="24"/>
        </w:rPr>
        <w:t xml:space="preserve"> (such as provider sites with wheelchair ramps, dental chairs that allow wheelchair access, or special signage for the blind) </w:t>
      </w:r>
      <w:r w:rsidR="00DB33F9" w:rsidRPr="00A97022">
        <w:rPr>
          <w:rFonts w:ascii="Arial" w:hAnsi="Arial" w:cs="Arial"/>
          <w:sz w:val="24"/>
          <w:szCs w:val="24"/>
        </w:rPr>
        <w:t>when seeking a provider. The DisabilityInfo.org web directory</w:t>
      </w:r>
      <w:r w:rsidR="005A0AB9" w:rsidRPr="00A97022">
        <w:rPr>
          <w:rFonts w:ascii="Arial" w:hAnsi="Arial" w:cs="Arial"/>
          <w:sz w:val="24"/>
          <w:szCs w:val="24"/>
        </w:rPr>
        <w:t xml:space="preserve"> is sponsored by numerous state agencies (including MassHealth) and</w:t>
      </w:r>
      <w:r w:rsidR="00DB33F9" w:rsidRPr="00A97022">
        <w:rPr>
          <w:rFonts w:ascii="Arial" w:hAnsi="Arial" w:cs="Arial"/>
          <w:sz w:val="24"/>
          <w:szCs w:val="24"/>
        </w:rPr>
        <w:t xml:space="preserve"> features a variety of statewide providers</w:t>
      </w:r>
      <w:r w:rsidR="005A0AB9" w:rsidRPr="00A97022">
        <w:rPr>
          <w:rFonts w:ascii="Arial" w:hAnsi="Arial" w:cs="Arial"/>
          <w:sz w:val="24"/>
          <w:szCs w:val="24"/>
        </w:rPr>
        <w:t xml:space="preserve"> (medical and dental)</w:t>
      </w:r>
      <w:r w:rsidR="00DB33F9" w:rsidRPr="00A97022">
        <w:rPr>
          <w:rFonts w:ascii="Arial" w:hAnsi="Arial" w:cs="Arial"/>
          <w:sz w:val="24"/>
          <w:szCs w:val="24"/>
        </w:rPr>
        <w:t>, programs, services, and consultants,</w:t>
      </w:r>
      <w:r w:rsidR="008726A4" w:rsidRPr="00A97022">
        <w:rPr>
          <w:rFonts w:ascii="Arial" w:hAnsi="Arial" w:cs="Arial"/>
          <w:sz w:val="24"/>
          <w:szCs w:val="24"/>
        </w:rPr>
        <w:t xml:space="preserve"> including </w:t>
      </w:r>
      <w:r w:rsidR="00DB33F9" w:rsidRPr="00A97022">
        <w:rPr>
          <w:rFonts w:ascii="Arial" w:hAnsi="Arial" w:cs="Arial"/>
          <w:sz w:val="24"/>
          <w:szCs w:val="24"/>
        </w:rPr>
        <w:t>MassHealth providers</w:t>
      </w:r>
      <w:r w:rsidR="008726A4" w:rsidRPr="00A97022">
        <w:rPr>
          <w:rFonts w:ascii="Arial" w:hAnsi="Arial" w:cs="Arial"/>
          <w:sz w:val="24"/>
          <w:szCs w:val="24"/>
        </w:rPr>
        <w:t xml:space="preserve"> to the extent providers have reported their MassHealth participation in survey responses</w:t>
      </w:r>
      <w:r w:rsidR="00A054EB" w:rsidRPr="00A97022">
        <w:rPr>
          <w:rFonts w:ascii="Arial" w:hAnsi="Arial" w:cs="Arial"/>
          <w:sz w:val="24"/>
          <w:szCs w:val="24"/>
        </w:rPr>
        <w:t>.</w:t>
      </w:r>
      <w:r w:rsidR="008726A4" w:rsidRPr="00A97022">
        <w:rPr>
          <w:rFonts w:ascii="Arial" w:hAnsi="Arial" w:cs="Arial"/>
          <w:sz w:val="24"/>
          <w:szCs w:val="24"/>
        </w:rPr>
        <w:t xml:space="preserve"> Going forward, a</w:t>
      </w:r>
      <w:r w:rsidR="00DB33F9" w:rsidRPr="00A97022">
        <w:rPr>
          <w:rFonts w:ascii="Arial" w:hAnsi="Arial" w:cs="Arial"/>
          <w:sz w:val="24"/>
          <w:szCs w:val="24"/>
        </w:rPr>
        <w:t xml:space="preserve">ll MassHealth providers will be encouraged to participate in </w:t>
      </w:r>
      <w:r w:rsidR="003C360F" w:rsidRPr="00A97022">
        <w:rPr>
          <w:rFonts w:ascii="Arial" w:hAnsi="Arial" w:cs="Arial"/>
          <w:sz w:val="24"/>
          <w:szCs w:val="24"/>
        </w:rPr>
        <w:t xml:space="preserve">accessibility </w:t>
      </w:r>
      <w:r w:rsidR="00A054EB" w:rsidRPr="00A97022">
        <w:rPr>
          <w:rFonts w:ascii="Arial" w:hAnsi="Arial" w:cs="Arial"/>
          <w:sz w:val="24"/>
          <w:szCs w:val="24"/>
        </w:rPr>
        <w:t>directory</w:t>
      </w:r>
      <w:r w:rsidR="00DB33F9" w:rsidRPr="00A97022">
        <w:rPr>
          <w:rFonts w:ascii="Arial" w:hAnsi="Arial" w:cs="Arial"/>
          <w:sz w:val="24"/>
          <w:szCs w:val="24"/>
        </w:rPr>
        <w:t xml:space="preserve"> and data collection activities.</w:t>
      </w:r>
    </w:p>
    <w:p w:rsidR="002D08A9" w:rsidRDefault="002D08A9" w:rsidP="002D08A9">
      <w:pPr>
        <w:ind w:firstLine="0"/>
        <w:rPr>
          <w:rFonts w:ascii="Arial" w:hAnsi="Arial" w:cs="Arial"/>
          <w:sz w:val="24"/>
        </w:rPr>
      </w:pPr>
      <w:bookmarkStart w:id="19" w:name="_Toc10810573"/>
      <w:r w:rsidRPr="002D08A9">
        <w:rPr>
          <w:rFonts w:ascii="Arial" w:hAnsi="Arial" w:cs="Arial"/>
          <w:sz w:val="24"/>
        </w:rPr>
        <w:t xml:space="preserve">MassHealth PCC Plan and Primary Care ACO members have MBHP as their health plan for behavioral health benefits. </w:t>
      </w:r>
      <w:r w:rsidR="00C9479B" w:rsidRPr="00007568">
        <w:rPr>
          <w:rFonts w:ascii="Arial" w:hAnsi="Arial" w:cs="Arial"/>
          <w:sz w:val="24"/>
        </w:rPr>
        <w:t>In MBHP’s</w:t>
      </w:r>
      <w:r w:rsidRPr="002D08A9">
        <w:rPr>
          <w:rFonts w:ascii="Arial" w:hAnsi="Arial" w:cs="Arial"/>
          <w:sz w:val="24"/>
        </w:rPr>
        <w:t xml:space="preserve"> </w:t>
      </w:r>
      <w:hyperlink r:id="rId16" w:tooltip="Behavioral Health Provider Directory" w:history="1">
        <w:r w:rsidRPr="002D08A9">
          <w:rPr>
            <w:rFonts w:ascii="Arial" w:hAnsi="Arial" w:cs="Arial"/>
            <w:color w:val="0000FF"/>
            <w:sz w:val="24"/>
            <w:u w:val="single"/>
          </w:rPr>
          <w:t>behavioral health provider directory</w:t>
        </w:r>
      </w:hyperlink>
      <w:r w:rsidR="00691A70">
        <w:rPr>
          <w:rFonts w:ascii="Arial" w:hAnsi="Arial" w:cs="Arial"/>
          <w:sz w:val="24"/>
        </w:rPr>
        <w:t xml:space="preserve">, searches can </w:t>
      </w:r>
      <w:r w:rsidRPr="002D08A9">
        <w:rPr>
          <w:rFonts w:ascii="Arial" w:hAnsi="Arial" w:cs="Arial"/>
          <w:sz w:val="24"/>
        </w:rPr>
        <w:t>be filtered for the type of behavioral health training and special interests</w:t>
      </w:r>
      <w:r w:rsidR="00C9479B">
        <w:rPr>
          <w:rFonts w:ascii="Arial" w:hAnsi="Arial" w:cs="Arial"/>
          <w:sz w:val="24"/>
        </w:rPr>
        <w:t xml:space="preserve"> of providers</w:t>
      </w:r>
      <w:r w:rsidRPr="002D08A9">
        <w:rPr>
          <w:rFonts w:ascii="Arial" w:hAnsi="Arial" w:cs="Arial"/>
          <w:sz w:val="24"/>
        </w:rPr>
        <w:t>, as well as provider gender and language capabilities</w:t>
      </w:r>
      <w:r w:rsidR="002C718D">
        <w:rPr>
          <w:rFonts w:ascii="Arial" w:hAnsi="Arial" w:cs="Arial"/>
          <w:sz w:val="24"/>
        </w:rPr>
        <w:t>,</w:t>
      </w:r>
      <w:r w:rsidRPr="002D08A9">
        <w:rPr>
          <w:rFonts w:ascii="Arial" w:hAnsi="Arial" w:cs="Arial"/>
          <w:sz w:val="24"/>
        </w:rPr>
        <w:t xml:space="preserve"> which may be critical for therapeutic connections where </w:t>
      </w:r>
      <w:proofErr w:type="gramStart"/>
      <w:r w:rsidRPr="002D08A9">
        <w:rPr>
          <w:rFonts w:ascii="Arial" w:hAnsi="Arial" w:cs="Arial"/>
          <w:sz w:val="24"/>
        </w:rPr>
        <w:t>cultural</w:t>
      </w:r>
      <w:proofErr w:type="gramEnd"/>
      <w:r w:rsidRPr="002D08A9">
        <w:rPr>
          <w:rFonts w:ascii="Arial" w:hAnsi="Arial" w:cs="Arial"/>
          <w:sz w:val="24"/>
        </w:rPr>
        <w:t xml:space="preserve"> and linguistic competency and</w:t>
      </w:r>
      <w:r w:rsidR="00EC3047">
        <w:rPr>
          <w:rFonts w:ascii="Arial" w:hAnsi="Arial" w:cs="Arial"/>
          <w:sz w:val="24"/>
        </w:rPr>
        <w:t xml:space="preserve"> trauma may play a large role. </w:t>
      </w:r>
      <w:r w:rsidRPr="002D08A9">
        <w:rPr>
          <w:rFonts w:ascii="Arial" w:hAnsi="Arial" w:cs="Arial"/>
          <w:sz w:val="24"/>
        </w:rPr>
        <w:t xml:space="preserve">Depending on their eligibility, MassHealth FFS members have either MBHP or the MassHealth </w:t>
      </w:r>
      <w:r w:rsidR="00691A70">
        <w:rPr>
          <w:rFonts w:ascii="Arial" w:hAnsi="Arial" w:cs="Arial"/>
          <w:sz w:val="24"/>
        </w:rPr>
        <w:t xml:space="preserve">FFS </w:t>
      </w:r>
      <w:r w:rsidRPr="002D08A9">
        <w:rPr>
          <w:rFonts w:ascii="Arial" w:hAnsi="Arial" w:cs="Arial"/>
          <w:sz w:val="24"/>
        </w:rPr>
        <w:t xml:space="preserve">behavioral health network; the latter network is available at </w:t>
      </w:r>
      <w:hyperlink r:id="rId17" w:tooltip="MassHealth Online Provider Directory " w:history="1">
        <w:r w:rsidRPr="002D08A9">
          <w:rPr>
            <w:rFonts w:ascii="Arial" w:hAnsi="Arial" w:cs="Arial"/>
            <w:color w:val="0000FF"/>
            <w:sz w:val="24"/>
            <w:u w:val="single"/>
          </w:rPr>
          <w:t>https://masshealth.ehs.state.ma.us/providerdirectory/</w:t>
        </w:r>
      </w:hyperlink>
      <w:r w:rsidRPr="002D08A9">
        <w:rPr>
          <w:rFonts w:ascii="Arial" w:hAnsi="Arial" w:cs="Arial"/>
          <w:sz w:val="24"/>
        </w:rPr>
        <w:t xml:space="preserve"> and is organized by provider type.</w:t>
      </w:r>
    </w:p>
    <w:p w:rsidR="00734F17" w:rsidRDefault="00734F17" w:rsidP="002D08A9">
      <w:pPr>
        <w:ind w:firstLine="0"/>
        <w:rPr>
          <w:rFonts w:ascii="Arial" w:hAnsi="Arial" w:cs="Arial"/>
          <w:sz w:val="24"/>
        </w:rPr>
      </w:pPr>
    </w:p>
    <w:p w:rsidR="004C69BC" w:rsidRDefault="00A22853" w:rsidP="00B35B20">
      <w:pPr>
        <w:pStyle w:val="Heading2"/>
        <w:rPr>
          <w:rFonts w:ascii="Arial" w:hAnsi="Arial" w:cs="Arial"/>
          <w:color w:val="auto"/>
          <w:sz w:val="24"/>
          <w:szCs w:val="24"/>
          <w:u w:val="single"/>
        </w:rPr>
      </w:pPr>
      <w:bookmarkStart w:id="20" w:name="_Toc20296922"/>
      <w:r>
        <w:rPr>
          <w:rFonts w:ascii="Arial" w:hAnsi="Arial" w:cs="Arial"/>
          <w:color w:val="auto"/>
          <w:sz w:val="24"/>
          <w:szCs w:val="24"/>
          <w:u w:val="single"/>
        </w:rPr>
        <w:t xml:space="preserve">MassHealth Review of the </w:t>
      </w:r>
      <w:r w:rsidR="004C69BC">
        <w:rPr>
          <w:rFonts w:ascii="Arial" w:hAnsi="Arial" w:cs="Arial"/>
          <w:color w:val="auto"/>
          <w:sz w:val="24"/>
          <w:szCs w:val="24"/>
          <w:u w:val="single"/>
        </w:rPr>
        <w:t>Public Comment</w:t>
      </w:r>
      <w:r w:rsidR="00F35606">
        <w:rPr>
          <w:rFonts w:ascii="Arial" w:hAnsi="Arial" w:cs="Arial"/>
          <w:color w:val="auto"/>
          <w:sz w:val="24"/>
          <w:szCs w:val="24"/>
          <w:u w:val="single"/>
        </w:rPr>
        <w:t xml:space="preserve"> Period</w:t>
      </w:r>
      <w:bookmarkEnd w:id="20"/>
      <w:r w:rsidR="004C69BC">
        <w:rPr>
          <w:rFonts w:ascii="Arial" w:hAnsi="Arial" w:cs="Arial"/>
          <w:color w:val="auto"/>
          <w:sz w:val="24"/>
          <w:szCs w:val="24"/>
          <w:u w:val="single"/>
        </w:rPr>
        <w:t xml:space="preserve"> </w:t>
      </w:r>
    </w:p>
    <w:p w:rsidR="004C69BC" w:rsidRDefault="004C69BC" w:rsidP="004C69BC">
      <w:pPr>
        <w:ind w:firstLine="0"/>
        <w:rPr>
          <w:rFonts w:ascii="Arial" w:hAnsi="Arial" w:cs="Arial"/>
          <w:sz w:val="24"/>
          <w:szCs w:val="24"/>
        </w:rPr>
      </w:pPr>
    </w:p>
    <w:p w:rsidR="00745FDB" w:rsidRPr="003711C6" w:rsidRDefault="00CD3161" w:rsidP="00745FDB">
      <w:pPr>
        <w:ind w:firstLine="0"/>
        <w:rPr>
          <w:rFonts w:ascii="Arial" w:hAnsi="Arial" w:cs="Arial"/>
          <w:sz w:val="24"/>
          <w:szCs w:val="24"/>
        </w:rPr>
      </w:pPr>
      <w:r w:rsidRPr="00CD3161">
        <w:rPr>
          <w:rFonts w:ascii="Arial" w:hAnsi="Arial" w:cs="Arial"/>
          <w:sz w:val="24"/>
          <w:szCs w:val="24"/>
        </w:rPr>
        <w:t>The Medical Care Advisory Committee (MCAC) is a federally-mandated advisory board compris</w:t>
      </w:r>
      <w:r w:rsidR="00115BB7">
        <w:rPr>
          <w:rFonts w:ascii="Arial" w:hAnsi="Arial" w:cs="Arial"/>
          <w:sz w:val="24"/>
          <w:szCs w:val="24"/>
        </w:rPr>
        <w:t>ed</w:t>
      </w:r>
      <w:r w:rsidRPr="00CD3161">
        <w:rPr>
          <w:rFonts w:ascii="Arial" w:hAnsi="Arial" w:cs="Arial"/>
          <w:sz w:val="24"/>
          <w:szCs w:val="24"/>
        </w:rPr>
        <w:t xml:space="preserve"> </w:t>
      </w:r>
      <w:r>
        <w:rPr>
          <w:rFonts w:ascii="Arial" w:hAnsi="Arial" w:cs="Arial"/>
          <w:sz w:val="24"/>
          <w:szCs w:val="24"/>
        </w:rPr>
        <w:t xml:space="preserve">of </w:t>
      </w:r>
      <w:r w:rsidRPr="00CD3161">
        <w:rPr>
          <w:rFonts w:ascii="Arial" w:hAnsi="Arial" w:cs="Arial"/>
          <w:sz w:val="24"/>
          <w:szCs w:val="24"/>
        </w:rPr>
        <w:t xml:space="preserve">key stakeholders in the Medicaid program. </w:t>
      </w:r>
      <w:r>
        <w:rPr>
          <w:rFonts w:ascii="Arial" w:hAnsi="Arial" w:cs="Arial"/>
          <w:sz w:val="24"/>
          <w:szCs w:val="24"/>
        </w:rPr>
        <w:t xml:space="preserve">In Massachusetts the MCAC convenes with the </w:t>
      </w:r>
      <w:r w:rsidRPr="00CD3161">
        <w:rPr>
          <w:rFonts w:ascii="Arial" w:hAnsi="Arial" w:cs="Arial"/>
          <w:sz w:val="24"/>
          <w:szCs w:val="24"/>
        </w:rPr>
        <w:t xml:space="preserve">Payment Policy Advisory Board </w:t>
      </w:r>
      <w:r>
        <w:rPr>
          <w:rFonts w:ascii="Arial" w:hAnsi="Arial" w:cs="Arial"/>
          <w:sz w:val="24"/>
          <w:szCs w:val="24"/>
        </w:rPr>
        <w:t>to advise the E</w:t>
      </w:r>
      <w:r w:rsidRPr="00CD3161">
        <w:rPr>
          <w:rFonts w:ascii="Arial" w:hAnsi="Arial" w:cs="Arial"/>
          <w:sz w:val="24"/>
          <w:szCs w:val="24"/>
        </w:rPr>
        <w:t xml:space="preserve">xecutive </w:t>
      </w:r>
      <w:r>
        <w:rPr>
          <w:rFonts w:ascii="Arial" w:hAnsi="Arial" w:cs="Arial"/>
          <w:sz w:val="24"/>
          <w:szCs w:val="24"/>
        </w:rPr>
        <w:t>O</w:t>
      </w:r>
      <w:r w:rsidRPr="00CD3161">
        <w:rPr>
          <w:rFonts w:ascii="Arial" w:hAnsi="Arial" w:cs="Arial"/>
          <w:sz w:val="24"/>
          <w:szCs w:val="24"/>
        </w:rPr>
        <w:t xml:space="preserve">ffice about health care services and </w:t>
      </w:r>
      <w:r w:rsidR="00115BB7">
        <w:rPr>
          <w:rFonts w:ascii="Arial" w:hAnsi="Arial" w:cs="Arial"/>
          <w:sz w:val="24"/>
          <w:szCs w:val="24"/>
        </w:rPr>
        <w:t>reimbursement models</w:t>
      </w:r>
      <w:r w:rsidRPr="00CD3161">
        <w:rPr>
          <w:rFonts w:ascii="Arial" w:hAnsi="Arial" w:cs="Arial"/>
          <w:sz w:val="24"/>
          <w:szCs w:val="24"/>
        </w:rPr>
        <w:t xml:space="preserve">. </w:t>
      </w:r>
    </w:p>
    <w:p w:rsidR="00FD3595" w:rsidRDefault="00FD3595" w:rsidP="00B35B20">
      <w:pPr>
        <w:ind w:firstLine="0"/>
        <w:rPr>
          <w:rFonts w:ascii="Arial" w:hAnsi="Arial" w:cs="Arial"/>
          <w:sz w:val="24"/>
          <w:szCs w:val="24"/>
        </w:rPr>
      </w:pPr>
    </w:p>
    <w:p w:rsidR="00687CDD" w:rsidRDefault="008B187E" w:rsidP="00B35B20">
      <w:pPr>
        <w:ind w:firstLine="0"/>
        <w:rPr>
          <w:rFonts w:ascii="Arial" w:hAnsi="Arial" w:cs="Arial"/>
          <w:sz w:val="24"/>
          <w:szCs w:val="24"/>
        </w:rPr>
      </w:pPr>
      <w:r w:rsidRPr="008B187E">
        <w:rPr>
          <w:rFonts w:ascii="Arial" w:hAnsi="Arial" w:cs="Arial"/>
          <w:sz w:val="24"/>
          <w:szCs w:val="24"/>
        </w:rPr>
        <w:t xml:space="preserve">One comment from the MCAC suggested that MassHealth further stratify data by characteristics such as race, ethnicity, language, age, </w:t>
      </w:r>
      <w:proofErr w:type="gramStart"/>
      <w:r w:rsidRPr="008B187E">
        <w:rPr>
          <w:rFonts w:ascii="Arial" w:hAnsi="Arial" w:cs="Arial"/>
          <w:sz w:val="24"/>
          <w:szCs w:val="24"/>
        </w:rPr>
        <w:t>geography</w:t>
      </w:r>
      <w:proofErr w:type="gramEnd"/>
      <w:r w:rsidRPr="008B187E">
        <w:rPr>
          <w:rFonts w:ascii="Arial" w:hAnsi="Arial" w:cs="Arial"/>
          <w:sz w:val="24"/>
          <w:szCs w:val="24"/>
        </w:rPr>
        <w:t xml:space="preserve"> and disability status; and employ metrics in addition to those required by CMS. </w:t>
      </w:r>
      <w:r w:rsidR="00C4084B">
        <w:rPr>
          <w:rFonts w:ascii="Arial" w:hAnsi="Arial" w:cs="Arial"/>
          <w:sz w:val="24"/>
          <w:szCs w:val="24"/>
        </w:rPr>
        <w:t xml:space="preserve">In </w:t>
      </w:r>
      <w:r w:rsidR="00E9301C">
        <w:rPr>
          <w:rFonts w:ascii="Arial" w:hAnsi="Arial" w:cs="Arial"/>
          <w:sz w:val="24"/>
          <w:szCs w:val="24"/>
        </w:rPr>
        <w:t xml:space="preserve">the 2019 AMRP, </w:t>
      </w:r>
      <w:r w:rsidR="00E9301C">
        <w:rPr>
          <w:rFonts w:ascii="Arial" w:hAnsi="Arial" w:cs="Arial"/>
          <w:sz w:val="24"/>
          <w:szCs w:val="24"/>
        </w:rPr>
        <w:lastRenderedPageBreak/>
        <w:t xml:space="preserve">MassHealth added an analysis of members by age and by disability status in the primary care and behavioral health </w:t>
      </w:r>
      <w:r w:rsidR="00C4084B">
        <w:rPr>
          <w:rFonts w:ascii="Arial" w:hAnsi="Arial" w:cs="Arial"/>
          <w:sz w:val="24"/>
          <w:szCs w:val="24"/>
        </w:rPr>
        <w:t xml:space="preserve">care </w:t>
      </w:r>
      <w:r w:rsidR="00E9301C">
        <w:rPr>
          <w:rFonts w:ascii="Arial" w:hAnsi="Arial" w:cs="Arial"/>
          <w:sz w:val="24"/>
          <w:szCs w:val="24"/>
        </w:rPr>
        <w:t xml:space="preserve">sections </w:t>
      </w:r>
      <w:r w:rsidR="00C4084B">
        <w:rPr>
          <w:rFonts w:ascii="Arial" w:hAnsi="Arial" w:cs="Arial"/>
          <w:sz w:val="24"/>
          <w:szCs w:val="24"/>
        </w:rPr>
        <w:t>of the AMRP</w:t>
      </w:r>
      <w:r w:rsidR="004A35BA">
        <w:rPr>
          <w:rFonts w:ascii="Arial" w:hAnsi="Arial" w:cs="Arial"/>
          <w:sz w:val="24"/>
          <w:szCs w:val="24"/>
        </w:rPr>
        <w:t xml:space="preserve"> respectively</w:t>
      </w:r>
      <w:r w:rsidR="00E9301C">
        <w:rPr>
          <w:rFonts w:ascii="Arial" w:hAnsi="Arial" w:cs="Arial"/>
          <w:sz w:val="24"/>
          <w:szCs w:val="24"/>
        </w:rPr>
        <w:t xml:space="preserve">. </w:t>
      </w:r>
      <w:r w:rsidR="00E9301C" w:rsidRPr="008B187E">
        <w:rPr>
          <w:rFonts w:ascii="Arial" w:hAnsi="Arial" w:cs="Arial"/>
          <w:sz w:val="24"/>
          <w:szCs w:val="24"/>
        </w:rPr>
        <w:t xml:space="preserve">We </w:t>
      </w:r>
      <w:r w:rsidR="00E9301C">
        <w:rPr>
          <w:rFonts w:ascii="Arial" w:hAnsi="Arial" w:cs="Arial"/>
          <w:sz w:val="24"/>
          <w:szCs w:val="24"/>
        </w:rPr>
        <w:t xml:space="preserve">also </w:t>
      </w:r>
      <w:r w:rsidR="00E9301C" w:rsidRPr="008B187E">
        <w:rPr>
          <w:rFonts w:ascii="Arial" w:hAnsi="Arial" w:cs="Arial"/>
          <w:sz w:val="24"/>
          <w:szCs w:val="24"/>
        </w:rPr>
        <w:t>appreciate the MCAC comments regarding data analysis and metrics and the request for MassHealth to incorporate member time and distance data in the AMRP.</w:t>
      </w:r>
      <w:r w:rsidR="00E9301C">
        <w:rPr>
          <w:rFonts w:ascii="Arial" w:hAnsi="Arial" w:cs="Arial"/>
          <w:sz w:val="24"/>
          <w:szCs w:val="24"/>
        </w:rPr>
        <w:t xml:space="preserve"> </w:t>
      </w:r>
      <w:r w:rsidR="00C4084B">
        <w:rPr>
          <w:rFonts w:ascii="Arial" w:hAnsi="Arial" w:cs="Arial"/>
          <w:sz w:val="24"/>
          <w:szCs w:val="24"/>
        </w:rPr>
        <w:t xml:space="preserve">In </w:t>
      </w:r>
      <w:r w:rsidRPr="008B187E">
        <w:rPr>
          <w:rFonts w:ascii="Arial" w:hAnsi="Arial" w:cs="Arial"/>
          <w:sz w:val="24"/>
          <w:szCs w:val="24"/>
        </w:rPr>
        <w:t>the 2019 AMRP, MassHealth used newly acquired software to perform a geo-mapping analysis of members’ access to primary care physicians, allowing additional data characteristics to be applied in the analysis such as time and distance.</w:t>
      </w:r>
    </w:p>
    <w:p w:rsidR="008B187E" w:rsidRDefault="008B187E" w:rsidP="00B35B20">
      <w:pPr>
        <w:ind w:firstLine="0"/>
        <w:rPr>
          <w:rFonts w:ascii="Arial" w:hAnsi="Arial" w:cs="Arial"/>
          <w:sz w:val="24"/>
          <w:szCs w:val="24"/>
        </w:rPr>
      </w:pPr>
    </w:p>
    <w:p w:rsidR="00EA4CA0" w:rsidRDefault="008B187E" w:rsidP="00B35B20">
      <w:pPr>
        <w:ind w:firstLine="0"/>
        <w:rPr>
          <w:rFonts w:ascii="Arial" w:hAnsi="Arial" w:cs="Arial"/>
          <w:sz w:val="24"/>
          <w:szCs w:val="24"/>
        </w:rPr>
      </w:pPr>
      <w:r w:rsidRPr="008B187E">
        <w:rPr>
          <w:rFonts w:ascii="Arial" w:hAnsi="Arial" w:cs="Arial"/>
          <w:sz w:val="24"/>
          <w:szCs w:val="24"/>
        </w:rPr>
        <w:t xml:space="preserve">MCAC also suggested that </w:t>
      </w:r>
      <w:proofErr w:type="spellStart"/>
      <w:r w:rsidRPr="008B187E">
        <w:rPr>
          <w:rFonts w:ascii="Arial" w:hAnsi="Arial" w:cs="Arial"/>
          <w:sz w:val="24"/>
          <w:szCs w:val="24"/>
        </w:rPr>
        <w:t>MassHealth’s</w:t>
      </w:r>
      <w:proofErr w:type="spellEnd"/>
      <w:r w:rsidRPr="008B187E">
        <w:rPr>
          <w:rFonts w:ascii="Arial" w:hAnsi="Arial" w:cs="Arial"/>
          <w:sz w:val="24"/>
          <w:szCs w:val="24"/>
        </w:rPr>
        <w:t xml:space="preserve"> AMRP should </w:t>
      </w:r>
      <w:r w:rsidR="00C4084B">
        <w:rPr>
          <w:rFonts w:ascii="Arial" w:hAnsi="Arial" w:cs="Arial"/>
          <w:sz w:val="24"/>
          <w:szCs w:val="24"/>
        </w:rPr>
        <w:t xml:space="preserve">measure access to mental health and substance abuse disorder </w:t>
      </w:r>
      <w:r w:rsidR="00EA4CA0">
        <w:rPr>
          <w:rFonts w:ascii="Arial" w:hAnsi="Arial" w:cs="Arial"/>
          <w:sz w:val="24"/>
          <w:szCs w:val="24"/>
        </w:rPr>
        <w:t xml:space="preserve">(SUD) </w:t>
      </w:r>
      <w:r w:rsidR="00C4084B">
        <w:rPr>
          <w:rFonts w:ascii="Arial" w:hAnsi="Arial" w:cs="Arial"/>
          <w:sz w:val="24"/>
          <w:szCs w:val="24"/>
        </w:rPr>
        <w:t xml:space="preserve">providers and services separately. The 2019 AMRP measures access to several </w:t>
      </w:r>
      <w:r w:rsidR="00EA4CA0">
        <w:rPr>
          <w:rFonts w:ascii="Arial" w:hAnsi="Arial" w:cs="Arial"/>
          <w:sz w:val="24"/>
          <w:szCs w:val="24"/>
        </w:rPr>
        <w:t>mental</w:t>
      </w:r>
      <w:r w:rsidR="00C4084B">
        <w:rPr>
          <w:rFonts w:ascii="Arial" w:hAnsi="Arial" w:cs="Arial"/>
          <w:sz w:val="24"/>
          <w:szCs w:val="24"/>
        </w:rPr>
        <w:t xml:space="preserve"> health providers </w:t>
      </w:r>
      <w:r w:rsidR="00EA4CA0">
        <w:rPr>
          <w:rFonts w:ascii="Arial" w:hAnsi="Arial" w:cs="Arial"/>
          <w:sz w:val="24"/>
          <w:szCs w:val="24"/>
        </w:rPr>
        <w:t xml:space="preserve">and services </w:t>
      </w:r>
      <w:r w:rsidR="00C4084B">
        <w:rPr>
          <w:rFonts w:ascii="Arial" w:hAnsi="Arial" w:cs="Arial"/>
          <w:sz w:val="24"/>
          <w:szCs w:val="24"/>
        </w:rPr>
        <w:t xml:space="preserve">including </w:t>
      </w:r>
      <w:r w:rsidR="00EA4CA0">
        <w:rPr>
          <w:rFonts w:ascii="Arial" w:hAnsi="Arial" w:cs="Arial"/>
          <w:sz w:val="24"/>
          <w:szCs w:val="24"/>
        </w:rPr>
        <w:t xml:space="preserve">psychologists, physiatrists, Inpatient and Outpatient Psychiatric Hospitals, Mental Health Centers, as well as SUD providers such as </w:t>
      </w:r>
      <w:r w:rsidR="00EA4CA0" w:rsidRPr="00EA4CA0">
        <w:rPr>
          <w:rFonts w:ascii="Arial" w:hAnsi="Arial" w:cs="Arial"/>
          <w:sz w:val="24"/>
          <w:szCs w:val="24"/>
        </w:rPr>
        <w:t xml:space="preserve">SUD </w:t>
      </w:r>
      <w:r w:rsidR="00EA4CA0">
        <w:rPr>
          <w:rFonts w:ascii="Arial" w:hAnsi="Arial" w:cs="Arial"/>
          <w:sz w:val="24"/>
          <w:szCs w:val="24"/>
        </w:rPr>
        <w:t>I</w:t>
      </w:r>
      <w:r w:rsidR="00EA4CA0" w:rsidRPr="00EA4CA0">
        <w:rPr>
          <w:rFonts w:ascii="Arial" w:hAnsi="Arial" w:cs="Arial"/>
          <w:sz w:val="24"/>
          <w:szCs w:val="24"/>
        </w:rPr>
        <w:t xml:space="preserve">npatient and </w:t>
      </w:r>
      <w:r w:rsidR="00EA4CA0">
        <w:rPr>
          <w:rFonts w:ascii="Arial" w:hAnsi="Arial" w:cs="Arial"/>
          <w:sz w:val="24"/>
          <w:szCs w:val="24"/>
        </w:rPr>
        <w:t>O</w:t>
      </w:r>
      <w:r w:rsidR="00EA4CA0" w:rsidRPr="00EA4CA0">
        <w:rPr>
          <w:rFonts w:ascii="Arial" w:hAnsi="Arial" w:cs="Arial"/>
          <w:sz w:val="24"/>
          <w:szCs w:val="24"/>
        </w:rPr>
        <w:t xml:space="preserve">utpatient </w:t>
      </w:r>
      <w:r w:rsidR="00EA4CA0">
        <w:rPr>
          <w:rFonts w:ascii="Arial" w:hAnsi="Arial" w:cs="Arial"/>
          <w:sz w:val="24"/>
          <w:szCs w:val="24"/>
        </w:rPr>
        <w:t>H</w:t>
      </w:r>
      <w:r w:rsidR="00EA4CA0" w:rsidRPr="00EA4CA0">
        <w:rPr>
          <w:rFonts w:ascii="Arial" w:hAnsi="Arial" w:cs="Arial"/>
          <w:sz w:val="24"/>
          <w:szCs w:val="24"/>
        </w:rPr>
        <w:t>ospitals</w:t>
      </w:r>
      <w:r w:rsidR="00EA4CA0">
        <w:rPr>
          <w:rFonts w:ascii="Arial" w:hAnsi="Arial" w:cs="Arial"/>
          <w:sz w:val="24"/>
          <w:szCs w:val="24"/>
        </w:rPr>
        <w:t>.</w:t>
      </w:r>
    </w:p>
    <w:p w:rsidR="008B187E" w:rsidRPr="00115BB7" w:rsidRDefault="008B187E" w:rsidP="00B35B20">
      <w:pPr>
        <w:ind w:firstLine="0"/>
        <w:rPr>
          <w:rFonts w:ascii="Arial" w:hAnsi="Arial" w:cs="Arial"/>
          <w:strike/>
          <w:sz w:val="24"/>
          <w:szCs w:val="24"/>
        </w:rPr>
      </w:pPr>
    </w:p>
    <w:p w:rsidR="000409DC" w:rsidRDefault="00687CDD" w:rsidP="002D08A9">
      <w:pPr>
        <w:ind w:firstLine="0"/>
        <w:rPr>
          <w:rFonts w:ascii="Arial" w:hAnsi="Arial" w:cs="Arial"/>
          <w:sz w:val="24"/>
          <w:szCs w:val="24"/>
        </w:rPr>
      </w:pPr>
      <w:r w:rsidRPr="000409DC">
        <w:rPr>
          <w:rFonts w:ascii="Arial" w:hAnsi="Arial" w:cs="Arial"/>
          <w:sz w:val="24"/>
          <w:szCs w:val="24"/>
        </w:rPr>
        <w:t>In response to MCAC’s suggestion</w:t>
      </w:r>
      <w:r>
        <w:rPr>
          <w:rFonts w:ascii="Arial" w:hAnsi="Arial" w:cs="Arial"/>
          <w:sz w:val="24"/>
          <w:szCs w:val="24"/>
        </w:rPr>
        <w:t xml:space="preserve">s, MassHealth notes that </w:t>
      </w:r>
      <w:r w:rsidRPr="005E6072">
        <w:rPr>
          <w:rFonts w:ascii="Arial" w:hAnsi="Arial" w:cs="Arial"/>
          <w:sz w:val="24"/>
          <w:szCs w:val="24"/>
        </w:rPr>
        <w:t xml:space="preserve">CMS identified specific services for inclusion in states’ AMRPs and provided broad parameters and flexibility with regard to data to be used in developing AMRPs, specifically noting that the focus of the AMRP is FFS. </w:t>
      </w:r>
      <w:proofErr w:type="spellStart"/>
      <w:r w:rsidRPr="00745FDB">
        <w:rPr>
          <w:rFonts w:ascii="Arial" w:hAnsi="Arial" w:cs="Arial"/>
          <w:sz w:val="24"/>
          <w:szCs w:val="24"/>
        </w:rPr>
        <w:t>MassHealth’s</w:t>
      </w:r>
      <w:proofErr w:type="spellEnd"/>
      <w:r w:rsidRPr="00745FDB">
        <w:rPr>
          <w:rFonts w:ascii="Arial" w:hAnsi="Arial" w:cs="Arial"/>
          <w:sz w:val="24"/>
          <w:szCs w:val="24"/>
        </w:rPr>
        <w:t xml:space="preserve"> AMRP follows the framework provided in CMS’s model AMRP, builds on </w:t>
      </w:r>
      <w:proofErr w:type="spellStart"/>
      <w:r w:rsidRPr="00745FDB">
        <w:rPr>
          <w:rFonts w:ascii="Arial" w:hAnsi="Arial" w:cs="Arial"/>
          <w:sz w:val="24"/>
          <w:szCs w:val="24"/>
        </w:rPr>
        <w:t>MassHealth’s</w:t>
      </w:r>
      <w:proofErr w:type="spellEnd"/>
      <w:r w:rsidRPr="00745FDB">
        <w:rPr>
          <w:rFonts w:ascii="Arial" w:hAnsi="Arial" w:cs="Arial"/>
          <w:sz w:val="24"/>
          <w:szCs w:val="24"/>
        </w:rPr>
        <w:t xml:space="preserve"> initial 2016 AMRP submission, provides detailed analysis of the most up-to-date data available and assesses member access to each of the specifically identified services. The agency appreciates that CMS has afforded states flexibility to develop AMRPs using available data resources; recognized the variability in frameworks employed by states in administering Medicaid programs; acknowledged that, currently, there is not a nationally accepted approach to data and data analysis for FFS programs; and allowed states to leverage existing CMS-required publicly-available routine data submissions for FFS</w:t>
      </w:r>
      <w:r>
        <w:rPr>
          <w:rFonts w:ascii="Arial" w:hAnsi="Arial" w:cs="Arial"/>
          <w:sz w:val="24"/>
          <w:szCs w:val="24"/>
        </w:rPr>
        <w:t>.</w:t>
      </w:r>
    </w:p>
    <w:p w:rsidR="003A6539" w:rsidRPr="00687CDD" w:rsidRDefault="003A6539" w:rsidP="002D08A9">
      <w:pPr>
        <w:ind w:firstLine="0"/>
        <w:rPr>
          <w:rFonts w:ascii="Arial" w:hAnsi="Arial" w:cs="Arial"/>
          <w:sz w:val="24"/>
          <w:szCs w:val="24"/>
        </w:rPr>
      </w:pPr>
    </w:p>
    <w:p w:rsidR="00B26CE4" w:rsidRPr="00472ED1" w:rsidRDefault="00B26CE4" w:rsidP="00647D1A">
      <w:pPr>
        <w:pStyle w:val="Heading1"/>
        <w:rPr>
          <w:rFonts w:ascii="Arial" w:hAnsi="Arial" w:cs="Arial"/>
          <w:szCs w:val="24"/>
        </w:rPr>
      </w:pPr>
      <w:bookmarkStart w:id="21" w:name="_Toc10810574"/>
      <w:bookmarkStart w:id="22" w:name="_Toc20296923"/>
      <w:bookmarkEnd w:id="19"/>
      <w:r w:rsidRPr="00472ED1">
        <w:rPr>
          <w:rFonts w:ascii="Arial" w:hAnsi="Arial" w:cs="Arial"/>
          <w:szCs w:val="24"/>
        </w:rPr>
        <w:t>Section 2: Review Analysis of Primary Care Services</w:t>
      </w:r>
      <w:bookmarkEnd w:id="21"/>
      <w:bookmarkEnd w:id="22"/>
    </w:p>
    <w:p w:rsidR="00B26CE4" w:rsidRPr="00A87220" w:rsidRDefault="00B26CE4" w:rsidP="0022638C">
      <w:pPr>
        <w:ind w:firstLine="0"/>
        <w:rPr>
          <w:rFonts w:ascii="Arial" w:hAnsi="Arial" w:cs="Arial"/>
          <w:sz w:val="24"/>
          <w:szCs w:val="24"/>
          <w:highlight w:val="yellow"/>
          <w:u w:val="single"/>
        </w:rPr>
      </w:pPr>
    </w:p>
    <w:p w:rsidR="00B26CE4" w:rsidRPr="0066291B" w:rsidRDefault="0075698B" w:rsidP="0066291B">
      <w:pPr>
        <w:pStyle w:val="Heading2"/>
        <w:rPr>
          <w:rFonts w:ascii="Arial" w:hAnsi="Arial" w:cs="Arial"/>
          <w:color w:val="auto"/>
          <w:sz w:val="24"/>
          <w:szCs w:val="24"/>
          <w:u w:val="single"/>
        </w:rPr>
      </w:pPr>
      <w:bookmarkStart w:id="23" w:name="_Toc10810575"/>
      <w:bookmarkStart w:id="24" w:name="_Toc20296924"/>
      <w:r w:rsidRPr="0066291B">
        <w:rPr>
          <w:rFonts w:ascii="Arial" w:hAnsi="Arial" w:cs="Arial"/>
          <w:color w:val="auto"/>
          <w:sz w:val="24"/>
          <w:szCs w:val="24"/>
          <w:u w:val="single"/>
        </w:rPr>
        <w:t>1</w:t>
      </w:r>
      <w:r w:rsidR="007A502F" w:rsidRPr="0066291B">
        <w:rPr>
          <w:rFonts w:ascii="Arial" w:hAnsi="Arial" w:cs="Arial"/>
          <w:color w:val="auto"/>
          <w:sz w:val="24"/>
          <w:szCs w:val="24"/>
          <w:u w:val="single"/>
        </w:rPr>
        <w:t>.</w:t>
      </w:r>
      <w:r w:rsidRPr="0066291B">
        <w:rPr>
          <w:rFonts w:ascii="Arial" w:hAnsi="Arial" w:cs="Arial"/>
          <w:color w:val="auto"/>
          <w:sz w:val="24"/>
          <w:szCs w:val="24"/>
          <w:u w:val="single"/>
        </w:rPr>
        <w:t xml:space="preserve"> </w:t>
      </w:r>
      <w:r w:rsidR="002B5017" w:rsidRPr="0066291B">
        <w:rPr>
          <w:rFonts w:ascii="Arial" w:hAnsi="Arial" w:cs="Arial"/>
          <w:color w:val="auto"/>
          <w:sz w:val="24"/>
          <w:szCs w:val="24"/>
          <w:u w:val="single"/>
        </w:rPr>
        <w:t>Availability of P</w:t>
      </w:r>
      <w:r w:rsidR="00B26CE4" w:rsidRPr="0066291B">
        <w:rPr>
          <w:rFonts w:ascii="Arial" w:hAnsi="Arial" w:cs="Arial"/>
          <w:color w:val="auto"/>
          <w:sz w:val="24"/>
          <w:szCs w:val="24"/>
          <w:u w:val="single"/>
        </w:rPr>
        <w:t xml:space="preserve">rimary </w:t>
      </w:r>
      <w:r w:rsidR="002B5017" w:rsidRPr="0066291B">
        <w:rPr>
          <w:rFonts w:ascii="Arial" w:hAnsi="Arial" w:cs="Arial"/>
          <w:color w:val="auto"/>
          <w:sz w:val="24"/>
          <w:szCs w:val="24"/>
          <w:u w:val="single"/>
        </w:rPr>
        <w:t>C</w:t>
      </w:r>
      <w:r w:rsidR="00B26CE4" w:rsidRPr="0066291B">
        <w:rPr>
          <w:rFonts w:ascii="Arial" w:hAnsi="Arial" w:cs="Arial"/>
          <w:color w:val="auto"/>
          <w:sz w:val="24"/>
          <w:szCs w:val="24"/>
          <w:u w:val="single"/>
        </w:rPr>
        <w:t xml:space="preserve">are </w:t>
      </w:r>
      <w:r w:rsidR="002B5017" w:rsidRPr="0066291B">
        <w:rPr>
          <w:rFonts w:ascii="Arial" w:hAnsi="Arial" w:cs="Arial"/>
          <w:color w:val="auto"/>
          <w:sz w:val="24"/>
          <w:szCs w:val="24"/>
          <w:u w:val="single"/>
        </w:rPr>
        <w:t>P</w:t>
      </w:r>
      <w:r w:rsidR="00B26CE4" w:rsidRPr="0066291B">
        <w:rPr>
          <w:rFonts w:ascii="Arial" w:hAnsi="Arial" w:cs="Arial"/>
          <w:color w:val="auto"/>
          <w:sz w:val="24"/>
          <w:szCs w:val="24"/>
          <w:u w:val="single"/>
        </w:rPr>
        <w:t>roviders</w:t>
      </w:r>
      <w:bookmarkEnd w:id="23"/>
      <w:bookmarkEnd w:id="24"/>
    </w:p>
    <w:p w:rsidR="00FF385A" w:rsidRPr="00A87220" w:rsidRDefault="00FF385A" w:rsidP="003916D7">
      <w:pPr>
        <w:ind w:firstLine="0"/>
        <w:rPr>
          <w:rFonts w:ascii="Arial" w:hAnsi="Arial" w:cs="Arial"/>
          <w:sz w:val="24"/>
          <w:szCs w:val="24"/>
        </w:rPr>
      </w:pPr>
    </w:p>
    <w:p w:rsidR="00A87220" w:rsidRDefault="00DC3FD1" w:rsidP="003916D7">
      <w:pPr>
        <w:ind w:firstLine="0"/>
        <w:rPr>
          <w:rFonts w:ascii="Arial" w:hAnsi="Arial" w:cs="Arial"/>
          <w:sz w:val="24"/>
          <w:szCs w:val="24"/>
        </w:rPr>
      </w:pPr>
      <w:r w:rsidRPr="00A87220">
        <w:rPr>
          <w:rFonts w:ascii="Arial" w:hAnsi="Arial" w:cs="Arial"/>
          <w:sz w:val="24"/>
          <w:szCs w:val="24"/>
        </w:rPr>
        <w:t xml:space="preserve">In this section of the </w:t>
      </w:r>
      <w:r w:rsidR="001D1FDA" w:rsidRPr="00A87220">
        <w:rPr>
          <w:rFonts w:ascii="Arial" w:hAnsi="Arial" w:cs="Arial"/>
          <w:sz w:val="24"/>
          <w:szCs w:val="24"/>
        </w:rPr>
        <w:t>AMRP</w:t>
      </w:r>
      <w:r w:rsidR="00BC3C2D">
        <w:rPr>
          <w:rFonts w:ascii="Arial" w:hAnsi="Arial" w:cs="Arial"/>
          <w:sz w:val="24"/>
          <w:szCs w:val="24"/>
        </w:rPr>
        <w:t>,</w:t>
      </w:r>
      <w:r w:rsidR="003C77F1" w:rsidRPr="00A87220">
        <w:rPr>
          <w:rFonts w:ascii="Arial" w:hAnsi="Arial" w:cs="Arial"/>
          <w:sz w:val="24"/>
          <w:szCs w:val="24"/>
        </w:rPr>
        <w:t xml:space="preserve"> </w:t>
      </w:r>
      <w:r w:rsidRPr="00A87220">
        <w:rPr>
          <w:rFonts w:ascii="Arial" w:hAnsi="Arial" w:cs="Arial"/>
          <w:sz w:val="24"/>
          <w:szCs w:val="24"/>
        </w:rPr>
        <w:t>MassHealth present</w:t>
      </w:r>
      <w:r w:rsidR="00436A57" w:rsidRPr="00A87220">
        <w:rPr>
          <w:rFonts w:ascii="Arial" w:hAnsi="Arial" w:cs="Arial"/>
          <w:sz w:val="24"/>
          <w:szCs w:val="24"/>
        </w:rPr>
        <w:t>s</w:t>
      </w:r>
      <w:r w:rsidRPr="00A87220">
        <w:rPr>
          <w:rFonts w:ascii="Arial" w:hAnsi="Arial" w:cs="Arial"/>
          <w:sz w:val="24"/>
          <w:szCs w:val="24"/>
        </w:rPr>
        <w:t xml:space="preserve"> the required data </w:t>
      </w:r>
      <w:r w:rsidR="00C478D1" w:rsidRPr="00A87220">
        <w:rPr>
          <w:rFonts w:ascii="Arial" w:hAnsi="Arial" w:cs="Arial"/>
          <w:sz w:val="24"/>
          <w:szCs w:val="24"/>
        </w:rPr>
        <w:t xml:space="preserve">on the </w:t>
      </w:r>
      <w:r w:rsidR="006271D4" w:rsidRPr="00A87220">
        <w:rPr>
          <w:rFonts w:ascii="Arial" w:hAnsi="Arial" w:cs="Arial"/>
          <w:sz w:val="24"/>
          <w:szCs w:val="24"/>
        </w:rPr>
        <w:t xml:space="preserve">number of enrolled </w:t>
      </w:r>
      <w:r w:rsidR="00F43206">
        <w:rPr>
          <w:rFonts w:ascii="Arial" w:hAnsi="Arial" w:cs="Arial"/>
          <w:sz w:val="24"/>
          <w:szCs w:val="24"/>
        </w:rPr>
        <w:t xml:space="preserve">primary care </w:t>
      </w:r>
      <w:r w:rsidR="00C478D1" w:rsidRPr="00A87220">
        <w:rPr>
          <w:rFonts w:ascii="Arial" w:hAnsi="Arial" w:cs="Arial"/>
          <w:sz w:val="24"/>
          <w:szCs w:val="24"/>
        </w:rPr>
        <w:t xml:space="preserve">providers. </w:t>
      </w:r>
    </w:p>
    <w:p w:rsidR="00A87220" w:rsidRDefault="00A87220" w:rsidP="003916D7">
      <w:pPr>
        <w:ind w:firstLine="0"/>
        <w:rPr>
          <w:rFonts w:ascii="Arial" w:hAnsi="Arial" w:cs="Arial"/>
          <w:sz w:val="24"/>
          <w:szCs w:val="24"/>
        </w:rPr>
      </w:pPr>
    </w:p>
    <w:p w:rsidR="00FA7381" w:rsidRPr="00A87220" w:rsidRDefault="00E73CD4" w:rsidP="003916D7">
      <w:pPr>
        <w:ind w:firstLine="0"/>
        <w:rPr>
          <w:rFonts w:ascii="Arial" w:hAnsi="Arial" w:cs="Arial"/>
          <w:sz w:val="24"/>
          <w:szCs w:val="24"/>
        </w:rPr>
      </w:pPr>
      <w:r w:rsidRPr="00A87220">
        <w:rPr>
          <w:rFonts w:ascii="Arial" w:hAnsi="Arial" w:cs="Arial"/>
          <w:sz w:val="24"/>
          <w:szCs w:val="24"/>
        </w:rPr>
        <w:t>D</w:t>
      </w:r>
      <w:r w:rsidR="00FA7381" w:rsidRPr="00A87220">
        <w:rPr>
          <w:rFonts w:ascii="Arial" w:hAnsi="Arial" w:cs="Arial"/>
          <w:sz w:val="24"/>
          <w:szCs w:val="24"/>
        </w:rPr>
        <w:t>ata source</w:t>
      </w:r>
      <w:r w:rsidRPr="00A87220">
        <w:rPr>
          <w:rFonts w:ascii="Arial" w:hAnsi="Arial" w:cs="Arial"/>
          <w:sz w:val="24"/>
          <w:szCs w:val="24"/>
        </w:rPr>
        <w:t>:</w:t>
      </w:r>
      <w:r w:rsidR="00FA7381" w:rsidRPr="00A87220">
        <w:rPr>
          <w:rFonts w:ascii="Arial" w:hAnsi="Arial" w:cs="Arial"/>
          <w:sz w:val="24"/>
          <w:szCs w:val="24"/>
        </w:rPr>
        <w:t xml:space="preserve"> MMIS </w:t>
      </w:r>
      <w:r w:rsidR="00183434" w:rsidRPr="00A87220">
        <w:rPr>
          <w:rFonts w:ascii="Arial" w:hAnsi="Arial" w:cs="Arial"/>
          <w:sz w:val="24"/>
          <w:szCs w:val="24"/>
        </w:rPr>
        <w:t xml:space="preserve">provider </w:t>
      </w:r>
      <w:r w:rsidR="00FA7381" w:rsidRPr="00A87220">
        <w:rPr>
          <w:rFonts w:ascii="Arial" w:hAnsi="Arial" w:cs="Arial"/>
          <w:sz w:val="24"/>
          <w:szCs w:val="24"/>
        </w:rPr>
        <w:t>enrollment data</w:t>
      </w:r>
    </w:p>
    <w:p w:rsidR="007D5848" w:rsidRPr="00A87220" w:rsidRDefault="00E73CD4" w:rsidP="003916D7">
      <w:pPr>
        <w:ind w:firstLine="0"/>
        <w:rPr>
          <w:rFonts w:ascii="Arial" w:hAnsi="Arial" w:cs="Arial"/>
          <w:sz w:val="24"/>
          <w:szCs w:val="24"/>
        </w:rPr>
      </w:pPr>
      <w:r w:rsidRPr="00A87220">
        <w:rPr>
          <w:rFonts w:ascii="Arial" w:hAnsi="Arial" w:cs="Arial"/>
          <w:sz w:val="24"/>
          <w:szCs w:val="24"/>
        </w:rPr>
        <w:t>M</w:t>
      </w:r>
      <w:r w:rsidR="00FA7381" w:rsidRPr="00A87220">
        <w:rPr>
          <w:rFonts w:ascii="Arial" w:hAnsi="Arial" w:cs="Arial"/>
          <w:sz w:val="24"/>
          <w:szCs w:val="24"/>
        </w:rPr>
        <w:t>ethodology</w:t>
      </w:r>
      <w:r w:rsidR="006A4B20" w:rsidRPr="00A87220">
        <w:rPr>
          <w:rFonts w:ascii="Arial" w:hAnsi="Arial" w:cs="Arial"/>
          <w:sz w:val="24"/>
          <w:szCs w:val="24"/>
        </w:rPr>
        <w:t>:</w:t>
      </w:r>
      <w:r w:rsidR="00FA7381" w:rsidRPr="00A87220">
        <w:rPr>
          <w:rFonts w:ascii="Arial" w:hAnsi="Arial" w:cs="Arial"/>
          <w:sz w:val="24"/>
          <w:szCs w:val="24"/>
        </w:rPr>
        <w:t xml:space="preserve"> </w:t>
      </w:r>
      <w:r w:rsidR="008B5606" w:rsidRPr="00A87220">
        <w:rPr>
          <w:rFonts w:ascii="Arial" w:hAnsi="Arial" w:cs="Arial"/>
          <w:sz w:val="24"/>
          <w:szCs w:val="24"/>
        </w:rPr>
        <w:t>In order to determine the number of providers</w:t>
      </w:r>
      <w:r w:rsidR="00697F12" w:rsidRPr="00A87220">
        <w:rPr>
          <w:rFonts w:ascii="Arial" w:hAnsi="Arial" w:cs="Arial"/>
          <w:sz w:val="24"/>
          <w:szCs w:val="24"/>
        </w:rPr>
        <w:t xml:space="preserve"> trended over time</w:t>
      </w:r>
      <w:r w:rsidR="008B5606" w:rsidRPr="00A87220">
        <w:rPr>
          <w:rFonts w:ascii="Arial" w:hAnsi="Arial" w:cs="Arial"/>
          <w:sz w:val="24"/>
          <w:szCs w:val="24"/>
        </w:rPr>
        <w:t xml:space="preserve">, </w:t>
      </w:r>
      <w:r w:rsidR="007029F5">
        <w:rPr>
          <w:rFonts w:ascii="Arial" w:hAnsi="Arial" w:cs="Arial"/>
          <w:sz w:val="24"/>
          <w:szCs w:val="24"/>
        </w:rPr>
        <w:t xml:space="preserve">MassHealth </w:t>
      </w:r>
      <w:r w:rsidR="008B5606" w:rsidRPr="00A87220">
        <w:rPr>
          <w:rFonts w:ascii="Arial" w:hAnsi="Arial" w:cs="Arial"/>
          <w:sz w:val="24"/>
          <w:szCs w:val="24"/>
        </w:rPr>
        <w:t>r</w:t>
      </w:r>
      <w:r w:rsidRPr="00A87220">
        <w:rPr>
          <w:rFonts w:ascii="Arial" w:hAnsi="Arial" w:cs="Arial"/>
          <w:sz w:val="24"/>
          <w:szCs w:val="24"/>
        </w:rPr>
        <w:t>a</w:t>
      </w:r>
      <w:r w:rsidR="008B5606" w:rsidRPr="00A87220">
        <w:rPr>
          <w:rFonts w:ascii="Arial" w:hAnsi="Arial" w:cs="Arial"/>
          <w:sz w:val="24"/>
          <w:szCs w:val="24"/>
        </w:rPr>
        <w:t>n the number of</w:t>
      </w:r>
      <w:r w:rsidR="00DE3442">
        <w:rPr>
          <w:rFonts w:ascii="Arial" w:hAnsi="Arial" w:cs="Arial"/>
          <w:sz w:val="24"/>
          <w:szCs w:val="24"/>
        </w:rPr>
        <w:t xml:space="preserve"> providers set to an active pay status</w:t>
      </w:r>
      <w:r w:rsidR="008B051B">
        <w:rPr>
          <w:rStyle w:val="FootnoteReference"/>
          <w:rFonts w:ascii="Arial" w:hAnsi="Arial" w:cs="Arial"/>
          <w:sz w:val="24"/>
          <w:szCs w:val="24"/>
        </w:rPr>
        <w:footnoteReference w:id="4"/>
      </w:r>
      <w:r w:rsidR="008B051B">
        <w:rPr>
          <w:rStyle w:val="EndnoteReference"/>
          <w:rFonts w:ascii="Arial" w:hAnsi="Arial" w:cs="Arial"/>
          <w:sz w:val="24"/>
          <w:szCs w:val="24"/>
        </w:rPr>
        <w:t xml:space="preserve"> </w:t>
      </w:r>
      <w:r w:rsidR="008B5606" w:rsidRPr="00A87220">
        <w:rPr>
          <w:rFonts w:ascii="Arial" w:hAnsi="Arial" w:cs="Arial"/>
          <w:sz w:val="24"/>
          <w:szCs w:val="24"/>
        </w:rPr>
        <w:t xml:space="preserve">in MMIS for each section of the </w:t>
      </w:r>
      <w:r w:rsidR="001D1FDA" w:rsidRPr="00A87220">
        <w:rPr>
          <w:rFonts w:ascii="Arial" w:hAnsi="Arial" w:cs="Arial"/>
          <w:sz w:val="24"/>
          <w:szCs w:val="24"/>
        </w:rPr>
        <w:t>AMRP</w:t>
      </w:r>
      <w:r w:rsidR="003C77F1" w:rsidRPr="00A87220">
        <w:rPr>
          <w:rFonts w:ascii="Arial" w:hAnsi="Arial" w:cs="Arial"/>
          <w:sz w:val="24"/>
          <w:szCs w:val="24"/>
        </w:rPr>
        <w:t xml:space="preserve"> </w:t>
      </w:r>
      <w:r w:rsidR="008B5606" w:rsidRPr="00A87220">
        <w:rPr>
          <w:rFonts w:ascii="Arial" w:hAnsi="Arial" w:cs="Arial"/>
          <w:sz w:val="24"/>
          <w:szCs w:val="24"/>
        </w:rPr>
        <w:t xml:space="preserve">(by each provider type) listed below by county – unduplicated over </w:t>
      </w:r>
      <w:r w:rsidR="00A87DF3" w:rsidRPr="00A87220">
        <w:rPr>
          <w:rFonts w:ascii="Arial" w:hAnsi="Arial" w:cs="Arial"/>
          <w:sz w:val="24"/>
          <w:szCs w:val="24"/>
        </w:rPr>
        <w:t xml:space="preserve">each </w:t>
      </w:r>
      <w:r w:rsidR="008B5606" w:rsidRPr="00A87220">
        <w:rPr>
          <w:rFonts w:ascii="Arial" w:hAnsi="Arial" w:cs="Arial"/>
          <w:sz w:val="24"/>
          <w:szCs w:val="24"/>
        </w:rPr>
        <w:t>full fiscal year for SFY1</w:t>
      </w:r>
      <w:r w:rsidR="009706F8" w:rsidRPr="00A87220">
        <w:rPr>
          <w:rFonts w:ascii="Arial" w:hAnsi="Arial" w:cs="Arial"/>
          <w:sz w:val="24"/>
          <w:szCs w:val="24"/>
        </w:rPr>
        <w:t>6</w:t>
      </w:r>
      <w:r w:rsidR="008B5606" w:rsidRPr="00A87220">
        <w:rPr>
          <w:rFonts w:ascii="Arial" w:hAnsi="Arial" w:cs="Arial"/>
          <w:sz w:val="24"/>
          <w:szCs w:val="24"/>
        </w:rPr>
        <w:t>, SFY1</w:t>
      </w:r>
      <w:r w:rsidR="009706F8" w:rsidRPr="00A87220">
        <w:rPr>
          <w:rFonts w:ascii="Arial" w:hAnsi="Arial" w:cs="Arial"/>
          <w:sz w:val="24"/>
          <w:szCs w:val="24"/>
        </w:rPr>
        <w:t>7</w:t>
      </w:r>
      <w:r w:rsidR="008B5606" w:rsidRPr="00A87220">
        <w:rPr>
          <w:rFonts w:ascii="Arial" w:hAnsi="Arial" w:cs="Arial"/>
          <w:sz w:val="24"/>
          <w:szCs w:val="24"/>
        </w:rPr>
        <w:t xml:space="preserve"> and SFY1</w:t>
      </w:r>
      <w:r w:rsidR="009706F8" w:rsidRPr="00A87220">
        <w:rPr>
          <w:rFonts w:ascii="Arial" w:hAnsi="Arial" w:cs="Arial"/>
          <w:sz w:val="24"/>
          <w:szCs w:val="24"/>
        </w:rPr>
        <w:t>8</w:t>
      </w:r>
      <w:r w:rsidR="008B5606" w:rsidRPr="00A87220">
        <w:rPr>
          <w:rFonts w:ascii="Arial" w:hAnsi="Arial" w:cs="Arial"/>
          <w:sz w:val="24"/>
          <w:szCs w:val="24"/>
        </w:rPr>
        <w:t>.</w:t>
      </w:r>
    </w:p>
    <w:p w:rsidR="00E055CC" w:rsidRPr="00A87220" w:rsidRDefault="00E055CC" w:rsidP="00B26CE4">
      <w:pPr>
        <w:ind w:firstLine="0"/>
        <w:rPr>
          <w:rFonts w:ascii="Arial" w:hAnsi="Arial" w:cs="Arial"/>
          <w:b/>
          <w:sz w:val="24"/>
          <w:szCs w:val="24"/>
        </w:rPr>
      </w:pPr>
    </w:p>
    <w:p w:rsidR="00CB1711" w:rsidRPr="001B12FB" w:rsidRDefault="00CB1711" w:rsidP="00CB1711">
      <w:pPr>
        <w:ind w:firstLine="0"/>
        <w:rPr>
          <w:rFonts w:ascii="Arial" w:hAnsi="Arial" w:cs="Arial"/>
          <w:b/>
          <w:sz w:val="24"/>
          <w:szCs w:val="24"/>
        </w:rPr>
      </w:pPr>
      <w:r w:rsidRPr="00CB1711">
        <w:rPr>
          <w:rFonts w:ascii="Arial" w:hAnsi="Arial" w:cs="Arial"/>
          <w:sz w:val="24"/>
          <w:szCs w:val="24"/>
        </w:rPr>
        <w:t>Out-of-state</w:t>
      </w:r>
      <w:r w:rsidRPr="00CB1711" w:rsidDel="00E01522">
        <w:rPr>
          <w:rFonts w:ascii="Arial" w:hAnsi="Arial" w:cs="Arial"/>
          <w:sz w:val="24"/>
          <w:szCs w:val="24"/>
        </w:rPr>
        <w:t xml:space="preserve"> </w:t>
      </w:r>
      <w:r w:rsidRPr="00CB1711">
        <w:rPr>
          <w:rFonts w:ascii="Arial" w:hAnsi="Arial" w:cs="Arial"/>
          <w:sz w:val="24"/>
          <w:szCs w:val="24"/>
        </w:rPr>
        <w:t xml:space="preserve">provider information is included for individual physicians, nurse practitioners and dentists because those providers are eligible to enroll with MassHealth. </w:t>
      </w:r>
      <w:r w:rsidR="002E7F48">
        <w:rPr>
          <w:rFonts w:ascii="Arial" w:hAnsi="Arial" w:cs="Arial"/>
          <w:sz w:val="24"/>
          <w:szCs w:val="24"/>
        </w:rPr>
        <w:t>Although p</w:t>
      </w:r>
      <w:r w:rsidRPr="00CB1711">
        <w:rPr>
          <w:rFonts w:ascii="Arial" w:hAnsi="Arial" w:cs="Arial"/>
          <w:sz w:val="24"/>
          <w:szCs w:val="24"/>
        </w:rPr>
        <w:t>roviders may enroll from any state</w:t>
      </w:r>
      <w:r w:rsidR="00434649">
        <w:rPr>
          <w:rFonts w:ascii="Arial" w:hAnsi="Arial" w:cs="Arial"/>
          <w:sz w:val="24"/>
          <w:szCs w:val="24"/>
        </w:rPr>
        <w:t>,</w:t>
      </w:r>
      <w:r w:rsidR="00BC3C2D">
        <w:rPr>
          <w:rFonts w:ascii="Arial" w:hAnsi="Arial" w:cs="Arial"/>
          <w:sz w:val="24"/>
          <w:szCs w:val="24"/>
        </w:rPr>
        <w:t xml:space="preserve"> </w:t>
      </w:r>
      <w:r w:rsidRPr="00CB1711">
        <w:rPr>
          <w:rFonts w:ascii="Arial" w:hAnsi="Arial" w:cs="Arial"/>
          <w:sz w:val="24"/>
          <w:szCs w:val="24"/>
        </w:rPr>
        <w:t xml:space="preserve">out-of-state provider </w:t>
      </w:r>
      <w:r w:rsidRPr="00CB1711">
        <w:rPr>
          <w:rFonts w:ascii="Arial" w:hAnsi="Arial" w:cs="Arial"/>
          <w:sz w:val="24"/>
          <w:szCs w:val="24"/>
        </w:rPr>
        <w:lastRenderedPageBreak/>
        <w:t xml:space="preserve">enrollment </w:t>
      </w:r>
      <w:r w:rsidR="002E7F48">
        <w:rPr>
          <w:rFonts w:ascii="Arial" w:hAnsi="Arial" w:cs="Arial"/>
          <w:sz w:val="24"/>
          <w:szCs w:val="24"/>
        </w:rPr>
        <w:t xml:space="preserve">particularly </w:t>
      </w:r>
      <w:r w:rsidRPr="00CB1711">
        <w:rPr>
          <w:rFonts w:ascii="Arial" w:hAnsi="Arial" w:cs="Arial"/>
          <w:sz w:val="24"/>
          <w:szCs w:val="24"/>
        </w:rPr>
        <w:t xml:space="preserve">allows members who live near the state border to access </w:t>
      </w:r>
      <w:r w:rsidR="007029F5">
        <w:rPr>
          <w:rFonts w:ascii="Arial" w:hAnsi="Arial" w:cs="Arial"/>
          <w:sz w:val="24"/>
          <w:szCs w:val="24"/>
        </w:rPr>
        <w:t>additional</w:t>
      </w:r>
      <w:r w:rsidRPr="00CB1711">
        <w:rPr>
          <w:rFonts w:ascii="Arial" w:hAnsi="Arial" w:cs="Arial"/>
          <w:sz w:val="24"/>
          <w:szCs w:val="24"/>
        </w:rPr>
        <w:t xml:space="preserve"> </w:t>
      </w:r>
      <w:r w:rsidR="0050311A">
        <w:rPr>
          <w:rFonts w:ascii="Arial" w:hAnsi="Arial" w:cs="Arial"/>
          <w:sz w:val="24"/>
          <w:szCs w:val="24"/>
        </w:rPr>
        <w:t>primary care</w:t>
      </w:r>
      <w:r w:rsidRPr="00CB1711">
        <w:rPr>
          <w:rFonts w:ascii="Arial" w:hAnsi="Arial" w:cs="Arial"/>
          <w:sz w:val="24"/>
          <w:szCs w:val="24"/>
        </w:rPr>
        <w:t xml:space="preserve"> providers.</w:t>
      </w:r>
    </w:p>
    <w:p w:rsidR="00CB1711" w:rsidRDefault="00CB1711" w:rsidP="009D7164">
      <w:pPr>
        <w:ind w:firstLine="0"/>
        <w:rPr>
          <w:rFonts w:ascii="Arial" w:hAnsi="Arial" w:cs="Arial"/>
          <w:sz w:val="24"/>
          <w:szCs w:val="24"/>
        </w:rPr>
      </w:pPr>
    </w:p>
    <w:p w:rsidR="009D7164" w:rsidRPr="00A87220" w:rsidRDefault="00C477B7" w:rsidP="009D7164">
      <w:pPr>
        <w:ind w:firstLine="0"/>
        <w:rPr>
          <w:rFonts w:ascii="Arial" w:hAnsi="Arial" w:cs="Arial"/>
          <w:sz w:val="24"/>
          <w:szCs w:val="24"/>
        </w:rPr>
      </w:pPr>
      <w:r w:rsidRPr="00C477B7">
        <w:rPr>
          <w:rFonts w:ascii="Arial" w:hAnsi="Arial" w:cs="Arial"/>
          <w:sz w:val="24"/>
          <w:szCs w:val="24"/>
        </w:rPr>
        <w:t xml:space="preserve">Note that many primary care providers may be </w:t>
      </w:r>
      <w:r w:rsidR="00F2329F">
        <w:rPr>
          <w:rFonts w:ascii="Arial" w:hAnsi="Arial" w:cs="Arial"/>
          <w:sz w:val="24"/>
          <w:szCs w:val="24"/>
        </w:rPr>
        <w:t>facility</w:t>
      </w:r>
      <w:r w:rsidRPr="00C477B7">
        <w:rPr>
          <w:rFonts w:ascii="Arial" w:hAnsi="Arial" w:cs="Arial"/>
          <w:sz w:val="24"/>
          <w:szCs w:val="24"/>
        </w:rPr>
        <w:t>-based providers who do not practice independently and may only be affiliated with a hospital</w:t>
      </w:r>
      <w:r w:rsidR="00D25716">
        <w:rPr>
          <w:rFonts w:ascii="Arial" w:hAnsi="Arial" w:cs="Arial"/>
          <w:sz w:val="24"/>
          <w:szCs w:val="24"/>
        </w:rPr>
        <w:t xml:space="preserve"> or</w:t>
      </w:r>
      <w:r w:rsidR="00091D99">
        <w:rPr>
          <w:rFonts w:ascii="Arial" w:hAnsi="Arial" w:cs="Arial"/>
          <w:sz w:val="24"/>
          <w:szCs w:val="24"/>
        </w:rPr>
        <w:t xml:space="preserve"> </w:t>
      </w:r>
      <w:r w:rsidR="001E1A44">
        <w:rPr>
          <w:rFonts w:ascii="Arial" w:hAnsi="Arial" w:cs="Arial"/>
          <w:sz w:val="24"/>
          <w:szCs w:val="24"/>
        </w:rPr>
        <w:t>CHC</w:t>
      </w:r>
      <w:r w:rsidRPr="00C477B7">
        <w:rPr>
          <w:rFonts w:ascii="Arial" w:hAnsi="Arial" w:cs="Arial"/>
          <w:sz w:val="24"/>
          <w:szCs w:val="24"/>
        </w:rPr>
        <w:t>. Therefore, because they are not all individually enrolled as billing providers with</w:t>
      </w:r>
      <w:r>
        <w:rPr>
          <w:rFonts w:ascii="Arial" w:hAnsi="Arial" w:cs="Arial"/>
          <w:sz w:val="24"/>
          <w:szCs w:val="24"/>
        </w:rPr>
        <w:t xml:space="preserve"> </w:t>
      </w:r>
      <w:r w:rsidRPr="00C477B7">
        <w:rPr>
          <w:rFonts w:ascii="Arial" w:hAnsi="Arial" w:cs="Arial"/>
          <w:sz w:val="24"/>
          <w:szCs w:val="24"/>
        </w:rPr>
        <w:t xml:space="preserve">MassHealth, they are not reflected in the data below and, as a result, the provider counts </w:t>
      </w:r>
      <w:r w:rsidR="00F2329F">
        <w:rPr>
          <w:rFonts w:ascii="Arial" w:hAnsi="Arial" w:cs="Arial"/>
          <w:sz w:val="24"/>
          <w:szCs w:val="24"/>
        </w:rPr>
        <w:t xml:space="preserve">may underestimate the number of </w:t>
      </w:r>
      <w:r w:rsidR="007029F5">
        <w:rPr>
          <w:rFonts w:ascii="Arial" w:hAnsi="Arial" w:cs="Arial"/>
          <w:sz w:val="24"/>
          <w:szCs w:val="24"/>
        </w:rPr>
        <w:t xml:space="preserve">actual </w:t>
      </w:r>
      <w:r w:rsidR="00F2329F">
        <w:rPr>
          <w:rFonts w:ascii="Arial" w:hAnsi="Arial" w:cs="Arial"/>
          <w:sz w:val="24"/>
          <w:szCs w:val="24"/>
        </w:rPr>
        <w:t>clinicians providing services</w:t>
      </w:r>
      <w:r>
        <w:rPr>
          <w:rFonts w:ascii="Arial" w:hAnsi="Arial" w:cs="Arial"/>
          <w:sz w:val="24"/>
          <w:szCs w:val="24"/>
        </w:rPr>
        <w:t xml:space="preserve">. </w:t>
      </w:r>
      <w:r w:rsidR="00F873DF" w:rsidRPr="00A87220">
        <w:rPr>
          <w:rFonts w:ascii="Arial" w:hAnsi="Arial" w:cs="Arial"/>
          <w:sz w:val="24"/>
          <w:szCs w:val="24"/>
        </w:rPr>
        <w:t>This is especially true in counties where hospital</w:t>
      </w:r>
      <w:r w:rsidR="00BA20CE" w:rsidRPr="00A87220">
        <w:rPr>
          <w:rFonts w:ascii="Arial" w:hAnsi="Arial" w:cs="Arial"/>
          <w:sz w:val="24"/>
          <w:szCs w:val="24"/>
        </w:rPr>
        <w:t>-</w:t>
      </w:r>
      <w:r w:rsidR="00F873DF" w:rsidRPr="00A87220">
        <w:rPr>
          <w:rFonts w:ascii="Arial" w:hAnsi="Arial" w:cs="Arial"/>
          <w:sz w:val="24"/>
          <w:szCs w:val="24"/>
        </w:rPr>
        <w:t>based outpatient departments or physician practices employ or contract with large numbers of individual providers.</w:t>
      </w:r>
    </w:p>
    <w:p w:rsidR="009D7164" w:rsidRPr="00A87220" w:rsidRDefault="009D7164" w:rsidP="00B26CE4">
      <w:pPr>
        <w:ind w:firstLine="0"/>
        <w:rPr>
          <w:rFonts w:ascii="Arial" w:hAnsi="Arial" w:cs="Arial"/>
          <w:b/>
          <w:sz w:val="24"/>
          <w:szCs w:val="24"/>
        </w:rPr>
      </w:pPr>
    </w:p>
    <w:p w:rsidR="00FA0381" w:rsidRDefault="00FA0381" w:rsidP="00FA0381">
      <w:pPr>
        <w:ind w:firstLine="0"/>
        <w:rPr>
          <w:rFonts w:ascii="Arial" w:eastAsia="Calibri" w:hAnsi="Arial" w:cs="Arial"/>
          <w:sz w:val="24"/>
          <w:szCs w:val="24"/>
        </w:rPr>
      </w:pPr>
      <w:r w:rsidRPr="00A87220">
        <w:rPr>
          <w:rFonts w:ascii="Arial" w:eastAsia="Calibri" w:hAnsi="Arial" w:cs="Arial"/>
          <w:sz w:val="24"/>
          <w:szCs w:val="24"/>
        </w:rPr>
        <w:t>Please note that total provider counts for Hospital Outpatient Departments (</w:t>
      </w:r>
      <w:r w:rsidR="008A6BD3" w:rsidRPr="00A87220">
        <w:rPr>
          <w:rFonts w:ascii="Arial" w:eastAsia="Calibri" w:hAnsi="Arial" w:cs="Arial"/>
          <w:sz w:val="24"/>
          <w:szCs w:val="24"/>
        </w:rPr>
        <w:t>HOD</w:t>
      </w:r>
      <w:r w:rsidRPr="00A87220">
        <w:rPr>
          <w:rFonts w:ascii="Arial" w:eastAsia="Calibri" w:hAnsi="Arial" w:cs="Arial"/>
          <w:sz w:val="24"/>
          <w:szCs w:val="24"/>
        </w:rPr>
        <w:t>s) and Hospital Licensed Health Centers (HLHCs) are combined as they are both hospital satellite locations providing outpatient primary care services.</w:t>
      </w:r>
    </w:p>
    <w:p w:rsidR="007A576C" w:rsidRDefault="007A576C" w:rsidP="007A576C">
      <w:pPr>
        <w:ind w:firstLine="0"/>
        <w:rPr>
          <w:rFonts w:ascii="Arial" w:hAnsi="Arial" w:cs="Arial"/>
          <w:sz w:val="24"/>
          <w:szCs w:val="24"/>
          <w:highlight w:val="yellow"/>
        </w:rPr>
      </w:pPr>
    </w:p>
    <w:p w:rsidR="00DD757F" w:rsidRPr="00036194" w:rsidRDefault="001717D2" w:rsidP="00DD757F">
      <w:pPr>
        <w:ind w:firstLine="0"/>
        <w:rPr>
          <w:rFonts w:ascii="Arial" w:hAnsi="Arial" w:cs="Arial"/>
          <w:sz w:val="24"/>
          <w:szCs w:val="24"/>
        </w:rPr>
      </w:pPr>
      <w:r w:rsidRPr="001717D2">
        <w:rPr>
          <w:rFonts w:ascii="Arial" w:hAnsi="Arial" w:cs="Arial"/>
          <w:sz w:val="24"/>
          <w:szCs w:val="24"/>
        </w:rPr>
        <w:t>Note that d</w:t>
      </w:r>
      <w:r w:rsidR="007A576C" w:rsidRPr="001717D2">
        <w:rPr>
          <w:rFonts w:ascii="Arial" w:hAnsi="Arial" w:cs="Arial"/>
          <w:sz w:val="24"/>
          <w:szCs w:val="24"/>
        </w:rPr>
        <w:t xml:space="preserve">entists are included in the primary care services section </w:t>
      </w:r>
      <w:r>
        <w:rPr>
          <w:rFonts w:ascii="Arial" w:hAnsi="Arial" w:cs="Arial"/>
          <w:sz w:val="24"/>
          <w:szCs w:val="24"/>
        </w:rPr>
        <w:t>as they are</w:t>
      </w:r>
      <w:r w:rsidR="007A576C" w:rsidRPr="001717D2">
        <w:rPr>
          <w:rFonts w:ascii="Arial" w:hAnsi="Arial" w:cs="Arial"/>
          <w:sz w:val="24"/>
          <w:szCs w:val="24"/>
        </w:rPr>
        <w:t xml:space="preserve"> considered </w:t>
      </w:r>
      <w:r>
        <w:rPr>
          <w:rFonts w:ascii="Arial" w:hAnsi="Arial" w:cs="Arial"/>
          <w:sz w:val="24"/>
          <w:szCs w:val="24"/>
        </w:rPr>
        <w:t xml:space="preserve">to be </w:t>
      </w:r>
      <w:r w:rsidR="007A576C" w:rsidRPr="001717D2">
        <w:rPr>
          <w:rFonts w:ascii="Arial" w:hAnsi="Arial" w:cs="Arial"/>
          <w:sz w:val="24"/>
          <w:szCs w:val="24"/>
        </w:rPr>
        <w:t xml:space="preserve">primary care providers for purposes of the AMRP. </w:t>
      </w:r>
      <w:r w:rsidR="00DD757F">
        <w:rPr>
          <w:rFonts w:ascii="Arial" w:hAnsi="Arial" w:cs="Arial"/>
          <w:sz w:val="24"/>
          <w:szCs w:val="24"/>
        </w:rPr>
        <w:t>A</w:t>
      </w:r>
      <w:r w:rsidR="00DD757F" w:rsidRPr="00036194">
        <w:rPr>
          <w:rFonts w:ascii="Arial" w:hAnsi="Arial" w:cs="Arial"/>
          <w:sz w:val="24"/>
          <w:szCs w:val="24"/>
        </w:rPr>
        <w:t>s with other providers, the data counts below for dentists and dental services may underestimate the number of clinicians providing services. Dentists</w:t>
      </w:r>
      <w:r w:rsidR="00DD757F">
        <w:rPr>
          <w:rFonts w:ascii="Arial" w:hAnsi="Arial" w:cs="Arial"/>
          <w:sz w:val="24"/>
          <w:szCs w:val="24"/>
        </w:rPr>
        <w:t>, like physicians and nurse practitioners,</w:t>
      </w:r>
      <w:r w:rsidR="00DD757F" w:rsidRPr="00036194">
        <w:rPr>
          <w:rFonts w:ascii="Arial" w:hAnsi="Arial" w:cs="Arial"/>
          <w:sz w:val="24"/>
          <w:szCs w:val="24"/>
        </w:rPr>
        <w:t xml:space="preserve"> may</w:t>
      </w:r>
      <w:r w:rsidR="00FA28D6">
        <w:rPr>
          <w:rFonts w:ascii="Arial" w:hAnsi="Arial" w:cs="Arial"/>
          <w:sz w:val="24"/>
          <w:szCs w:val="24"/>
        </w:rPr>
        <w:t xml:space="preserve"> or may</w:t>
      </w:r>
      <w:r w:rsidR="00DD757F" w:rsidRPr="00036194">
        <w:rPr>
          <w:rFonts w:ascii="Arial" w:hAnsi="Arial" w:cs="Arial"/>
          <w:sz w:val="24"/>
          <w:szCs w:val="24"/>
        </w:rPr>
        <w:t xml:space="preserve"> not practice independently and may</w:t>
      </w:r>
      <w:r w:rsidR="00FA28D6">
        <w:rPr>
          <w:rFonts w:ascii="Arial" w:hAnsi="Arial" w:cs="Arial"/>
          <w:sz w:val="24"/>
          <w:szCs w:val="24"/>
        </w:rPr>
        <w:t xml:space="preserve"> therefore</w:t>
      </w:r>
      <w:r w:rsidR="00DD757F" w:rsidRPr="00036194">
        <w:rPr>
          <w:rFonts w:ascii="Arial" w:hAnsi="Arial" w:cs="Arial"/>
          <w:sz w:val="24"/>
          <w:szCs w:val="24"/>
        </w:rPr>
        <w:t xml:space="preserve"> not be individually enrolled as billing providers. For example, they may provide services within a CHC or dental clinic affiliated with a dental school. Additionally, for purposes of the AMRP, MassHealth has not counted non-dentist providers of dental services (such as hygienists, clinics or dental schools). </w:t>
      </w:r>
    </w:p>
    <w:p w:rsidR="0092005E" w:rsidRDefault="0092005E" w:rsidP="00BE2E79">
      <w:pPr>
        <w:ind w:firstLine="0"/>
        <w:rPr>
          <w:rFonts w:ascii="Arial" w:hAnsi="Arial" w:cs="Arial"/>
          <w:b/>
          <w:sz w:val="24"/>
          <w:szCs w:val="24"/>
        </w:rPr>
      </w:pPr>
    </w:p>
    <w:p w:rsidR="00CF6BDC" w:rsidRPr="00BE2E79" w:rsidRDefault="009D7164" w:rsidP="00BE2E79">
      <w:pPr>
        <w:ind w:firstLine="0"/>
        <w:rPr>
          <w:rFonts w:ascii="Arial" w:hAnsi="Arial" w:cs="Arial"/>
          <w:b/>
          <w:sz w:val="24"/>
          <w:szCs w:val="24"/>
        </w:rPr>
      </w:pPr>
      <w:r w:rsidRPr="00BE2E79">
        <w:rPr>
          <w:rFonts w:ascii="Arial" w:hAnsi="Arial" w:cs="Arial"/>
          <w:b/>
          <w:sz w:val="24"/>
          <w:szCs w:val="24"/>
        </w:rPr>
        <w:t xml:space="preserve">Number of </w:t>
      </w:r>
      <w:r w:rsidR="00CF6BDC" w:rsidRPr="00BE2E79">
        <w:rPr>
          <w:rFonts w:ascii="Arial" w:hAnsi="Arial" w:cs="Arial"/>
          <w:b/>
          <w:sz w:val="24"/>
          <w:szCs w:val="24"/>
        </w:rPr>
        <w:t>P</w:t>
      </w:r>
      <w:r w:rsidR="00F4603E" w:rsidRPr="00BE2E79">
        <w:rPr>
          <w:rFonts w:ascii="Arial" w:hAnsi="Arial" w:cs="Arial"/>
          <w:b/>
          <w:sz w:val="24"/>
          <w:szCs w:val="24"/>
        </w:rPr>
        <w:t xml:space="preserve">rimary </w:t>
      </w:r>
      <w:r w:rsidR="00CF6BDC" w:rsidRPr="00BE2E79">
        <w:rPr>
          <w:rFonts w:ascii="Arial" w:hAnsi="Arial" w:cs="Arial"/>
          <w:b/>
          <w:sz w:val="24"/>
          <w:szCs w:val="24"/>
        </w:rPr>
        <w:t>C</w:t>
      </w:r>
      <w:r w:rsidR="00F4603E" w:rsidRPr="00BE2E79">
        <w:rPr>
          <w:rFonts w:ascii="Arial" w:hAnsi="Arial" w:cs="Arial"/>
          <w:b/>
          <w:sz w:val="24"/>
          <w:szCs w:val="24"/>
        </w:rPr>
        <w:t xml:space="preserve">are </w:t>
      </w:r>
      <w:r w:rsidR="00CF6BDC" w:rsidRPr="00BE2E79">
        <w:rPr>
          <w:rFonts w:ascii="Arial" w:hAnsi="Arial" w:cs="Arial"/>
          <w:b/>
          <w:sz w:val="24"/>
          <w:szCs w:val="24"/>
        </w:rPr>
        <w:t>P</w:t>
      </w:r>
      <w:r w:rsidR="00F4603E" w:rsidRPr="00BE2E79">
        <w:rPr>
          <w:rFonts w:ascii="Arial" w:hAnsi="Arial" w:cs="Arial"/>
          <w:b/>
          <w:sz w:val="24"/>
          <w:szCs w:val="24"/>
        </w:rPr>
        <w:t>hysicians</w:t>
      </w:r>
      <w:r w:rsidR="00CF6BDC" w:rsidRPr="00BE2E79">
        <w:rPr>
          <w:rFonts w:ascii="Arial" w:hAnsi="Arial" w:cs="Arial"/>
          <w:b/>
          <w:sz w:val="24"/>
          <w:szCs w:val="24"/>
        </w:rPr>
        <w:t xml:space="preserve"> </w:t>
      </w:r>
      <w:r w:rsidRPr="00BE2E79">
        <w:rPr>
          <w:rFonts w:ascii="Arial" w:hAnsi="Arial" w:cs="Arial"/>
          <w:b/>
          <w:sz w:val="24"/>
          <w:szCs w:val="24"/>
        </w:rPr>
        <w:t>(</w:t>
      </w:r>
      <w:r w:rsidR="00CF7E60" w:rsidRPr="00BE2E79">
        <w:rPr>
          <w:rFonts w:ascii="Arial" w:hAnsi="Arial" w:cs="Arial"/>
          <w:b/>
          <w:sz w:val="24"/>
          <w:szCs w:val="24"/>
        </w:rPr>
        <w:t>Physicians with a S</w:t>
      </w:r>
      <w:r w:rsidR="00CF6BDC" w:rsidRPr="00BE2E79">
        <w:rPr>
          <w:rFonts w:ascii="Arial" w:hAnsi="Arial" w:cs="Arial"/>
          <w:b/>
          <w:sz w:val="24"/>
          <w:szCs w:val="24"/>
        </w:rPr>
        <w:t>pecialty of Internal Medicine, General Medicine or Pediatrics</w:t>
      </w:r>
      <w:r w:rsidRPr="00BE2E79">
        <w:rPr>
          <w:rFonts w:ascii="Arial" w:hAnsi="Arial" w:cs="Arial"/>
          <w:b/>
          <w:sz w:val="24"/>
          <w:szCs w:val="24"/>
        </w:rPr>
        <w:t xml:space="preserve">) </w:t>
      </w:r>
      <w:r w:rsidR="00CD3AA8">
        <w:rPr>
          <w:rFonts w:ascii="Arial" w:hAnsi="Arial" w:cs="Arial"/>
          <w:b/>
          <w:sz w:val="24"/>
          <w:szCs w:val="24"/>
        </w:rPr>
        <w:t>by County</w:t>
      </w:r>
      <w:r w:rsidRPr="00BE2E79">
        <w:rPr>
          <w:rFonts w:ascii="Arial" w:hAnsi="Arial" w:cs="Arial"/>
          <w:b/>
          <w:sz w:val="24"/>
          <w:szCs w:val="24"/>
        </w:rPr>
        <w:t xml:space="preserve"> SFY1</w:t>
      </w:r>
      <w:r w:rsidR="002D0CC9" w:rsidRPr="00BE2E79">
        <w:rPr>
          <w:rFonts w:ascii="Arial" w:hAnsi="Arial" w:cs="Arial"/>
          <w:b/>
          <w:sz w:val="24"/>
          <w:szCs w:val="24"/>
        </w:rPr>
        <w:t>6</w:t>
      </w:r>
      <w:r w:rsidRPr="00BE2E79">
        <w:rPr>
          <w:rFonts w:ascii="Arial" w:hAnsi="Arial" w:cs="Arial"/>
          <w:b/>
          <w:sz w:val="24"/>
          <w:szCs w:val="24"/>
        </w:rPr>
        <w:t>-SFY1</w:t>
      </w:r>
      <w:r w:rsidR="002D0CC9" w:rsidRPr="00BE2E79">
        <w:rPr>
          <w:rFonts w:ascii="Arial" w:hAnsi="Arial" w:cs="Arial"/>
          <w:b/>
          <w:sz w:val="24"/>
          <w:szCs w:val="24"/>
        </w:rPr>
        <w:t>8</w:t>
      </w:r>
    </w:p>
    <w:tbl>
      <w:tblPr>
        <w:tblStyle w:val="TableGrid1"/>
        <w:tblW w:w="4660" w:type="dxa"/>
        <w:tblInd w:w="113" w:type="dxa"/>
        <w:tblLook w:val="04A0" w:firstRow="1" w:lastRow="0" w:firstColumn="1" w:lastColumn="0" w:noHBand="0" w:noVBand="1"/>
        <w:tblCaption w:val="Number of Primary Care Physicians (Physicians with a Specialty of Internal Medicine, General Medicine or Pediatrics) per County SFY16-SFY18"/>
      </w:tblPr>
      <w:tblGrid>
        <w:gridCol w:w="1440"/>
        <w:gridCol w:w="1440"/>
        <w:gridCol w:w="1440"/>
        <w:gridCol w:w="1440"/>
      </w:tblGrid>
      <w:tr w:rsidR="00DC09A0" w:rsidRPr="009D2941" w:rsidTr="002A6152">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 SFY16 </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 SFY17 </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 SFY18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238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239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250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158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157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149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611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608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608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13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7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6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877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858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830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66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69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70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768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743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747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176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169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164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1,861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1,852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1,830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4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9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9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768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793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813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43344B" w:rsidP="00DC09A0">
            <w:pPr>
              <w:ind w:firstLine="0"/>
              <w:rPr>
                <w:rFonts w:ascii="Arial" w:eastAsia="Times New Roman" w:hAnsi="Arial" w:cs="Arial"/>
                <w:color w:val="000000"/>
                <w:sz w:val="24"/>
                <w:szCs w:val="24"/>
              </w:rPr>
            </w:pPr>
            <w:r>
              <w:rPr>
                <w:rFonts w:ascii="Arial" w:eastAsia="Times New Roman" w:hAnsi="Arial" w:cs="Arial"/>
                <w:color w:val="000000"/>
                <w:sz w:val="24"/>
                <w:szCs w:val="24"/>
              </w:rPr>
              <w:t>Out-of-state</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329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344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447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455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436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421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4,006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4,045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3,934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1,266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1,259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1,236 </w:t>
            </w:r>
          </w:p>
        </w:tc>
      </w:tr>
      <w:tr w:rsidR="00DC09A0" w:rsidRPr="009D2941"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C09A0" w:rsidRPr="009D2941" w:rsidRDefault="00DC09A0" w:rsidP="00DC09A0">
            <w:pPr>
              <w:ind w:firstLine="0"/>
              <w:rPr>
                <w:rFonts w:ascii="Arial" w:eastAsia="Times New Roman" w:hAnsi="Arial" w:cs="Arial"/>
                <w:color w:val="000000"/>
                <w:sz w:val="24"/>
                <w:szCs w:val="24"/>
              </w:rPr>
            </w:pPr>
            <w:r w:rsidRPr="009D2941">
              <w:rPr>
                <w:rFonts w:ascii="Arial" w:eastAsia="Times New Roman" w:hAnsi="Arial" w:cs="Arial"/>
                <w:color w:val="000000"/>
                <w:sz w:val="24"/>
                <w:szCs w:val="24"/>
              </w:rPr>
              <w:lastRenderedPageBreak/>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11,596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11,588 </w:t>
            </w:r>
          </w:p>
        </w:tc>
        <w:tc>
          <w:tcPr>
            <w:tcW w:w="1440" w:type="dxa"/>
            <w:tcBorders>
              <w:top w:val="nil"/>
              <w:left w:val="nil"/>
              <w:bottom w:val="single" w:sz="4" w:space="0" w:color="auto"/>
              <w:right w:val="single" w:sz="4" w:space="0" w:color="auto"/>
            </w:tcBorders>
            <w:shd w:val="clear" w:color="000000" w:fill="FFFFFF"/>
            <w:noWrap/>
            <w:vAlign w:val="bottom"/>
            <w:hideMark/>
          </w:tcPr>
          <w:p w:rsidR="00DC09A0" w:rsidRPr="009D2941" w:rsidRDefault="00DC09A0" w:rsidP="00DC09A0">
            <w:pPr>
              <w:ind w:firstLine="0"/>
              <w:jc w:val="right"/>
              <w:rPr>
                <w:rFonts w:ascii="Arial" w:eastAsia="Times New Roman" w:hAnsi="Arial" w:cs="Arial"/>
                <w:color w:val="000000"/>
                <w:sz w:val="24"/>
                <w:szCs w:val="24"/>
              </w:rPr>
            </w:pPr>
            <w:r w:rsidRPr="009D2941">
              <w:rPr>
                <w:rFonts w:ascii="Arial" w:eastAsia="Times New Roman" w:hAnsi="Arial" w:cs="Arial"/>
                <w:color w:val="000000"/>
                <w:sz w:val="24"/>
                <w:szCs w:val="24"/>
              </w:rPr>
              <w:t xml:space="preserve">11,514 </w:t>
            </w:r>
          </w:p>
        </w:tc>
      </w:tr>
    </w:tbl>
    <w:p w:rsidR="00DC09A0" w:rsidRPr="00D6309A" w:rsidRDefault="00DC09A0" w:rsidP="008A7122">
      <w:pPr>
        <w:rPr>
          <w:rFonts w:ascii="Arial" w:hAnsi="Arial" w:cs="Arial"/>
          <w:sz w:val="24"/>
          <w:szCs w:val="24"/>
        </w:rPr>
      </w:pPr>
    </w:p>
    <w:p w:rsidR="00CF6BDC" w:rsidRPr="00BE2E79" w:rsidRDefault="00AB7CA9" w:rsidP="00BE2E79">
      <w:pPr>
        <w:ind w:firstLine="0"/>
        <w:rPr>
          <w:rFonts w:ascii="Arial" w:hAnsi="Arial" w:cs="Arial"/>
          <w:b/>
          <w:sz w:val="24"/>
        </w:rPr>
      </w:pPr>
      <w:r w:rsidRPr="00BE2E79">
        <w:rPr>
          <w:rFonts w:ascii="Arial" w:hAnsi="Arial" w:cs="Arial"/>
          <w:b/>
          <w:sz w:val="24"/>
        </w:rPr>
        <w:t xml:space="preserve">Number of </w:t>
      </w:r>
      <w:r w:rsidR="00CF6BDC" w:rsidRPr="00BE2E79">
        <w:rPr>
          <w:rFonts w:ascii="Arial" w:hAnsi="Arial" w:cs="Arial"/>
          <w:b/>
          <w:sz w:val="24"/>
        </w:rPr>
        <w:t>Nurse Practitioners</w:t>
      </w:r>
      <w:r w:rsidRPr="00BE2E79">
        <w:rPr>
          <w:rFonts w:ascii="Arial" w:hAnsi="Arial" w:cs="Arial"/>
          <w:b/>
          <w:sz w:val="24"/>
        </w:rPr>
        <w:t xml:space="preserve"> </w:t>
      </w:r>
      <w:r w:rsidR="00CD3AA8">
        <w:rPr>
          <w:rFonts w:ascii="Arial" w:hAnsi="Arial" w:cs="Arial"/>
          <w:b/>
          <w:sz w:val="24"/>
        </w:rPr>
        <w:t>by County</w:t>
      </w:r>
      <w:r w:rsidRPr="00BE2E79">
        <w:rPr>
          <w:rFonts w:ascii="Arial" w:hAnsi="Arial" w:cs="Arial"/>
          <w:b/>
          <w:sz w:val="24"/>
        </w:rPr>
        <w:t xml:space="preserve"> SFY1</w:t>
      </w:r>
      <w:r w:rsidR="002D0CC9" w:rsidRPr="00BE2E79">
        <w:rPr>
          <w:rFonts w:ascii="Arial" w:hAnsi="Arial" w:cs="Arial"/>
          <w:b/>
          <w:sz w:val="24"/>
        </w:rPr>
        <w:t>6</w:t>
      </w:r>
      <w:r w:rsidRPr="00BE2E79">
        <w:rPr>
          <w:rFonts w:ascii="Arial" w:hAnsi="Arial" w:cs="Arial"/>
          <w:b/>
          <w:sz w:val="24"/>
        </w:rPr>
        <w:t>-SFY1</w:t>
      </w:r>
      <w:r w:rsidR="002D0CC9" w:rsidRPr="00BE2E79">
        <w:rPr>
          <w:rFonts w:ascii="Arial" w:hAnsi="Arial" w:cs="Arial"/>
          <w:b/>
          <w:sz w:val="24"/>
        </w:rPr>
        <w:t>8</w:t>
      </w:r>
    </w:p>
    <w:tbl>
      <w:tblPr>
        <w:tblW w:w="4280" w:type="dxa"/>
        <w:tblInd w:w="113" w:type="dxa"/>
        <w:tblLook w:val="04A0" w:firstRow="1" w:lastRow="0" w:firstColumn="1" w:lastColumn="0" w:noHBand="0" w:noVBand="1"/>
      </w:tblPr>
      <w:tblGrid>
        <w:gridCol w:w="1420"/>
        <w:gridCol w:w="1440"/>
        <w:gridCol w:w="1440"/>
        <w:gridCol w:w="1440"/>
      </w:tblGrid>
      <w:tr w:rsidR="00776566" w:rsidRPr="00D6309A" w:rsidTr="002A6152">
        <w:trPr>
          <w:trHeight w:val="300"/>
          <w:tblHeader/>
        </w:trPr>
        <w:tc>
          <w:tcPr>
            <w:tcW w:w="14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 SFY16 </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 SFY17 </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 SFY18 </w:t>
            </w:r>
          </w:p>
        </w:tc>
      </w:tr>
      <w:tr w:rsidR="00776566" w:rsidRPr="00D6309A"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527171" w:rsidP="00527171">
            <w:pPr>
              <w:ind w:firstLine="0"/>
              <w:rPr>
                <w:rFonts w:ascii="Arial" w:eastAsia="Times New Roman" w:hAnsi="Arial" w:cs="Arial"/>
                <w:color w:val="000000"/>
                <w:sz w:val="24"/>
                <w:szCs w:val="24"/>
              </w:rPr>
            </w:pPr>
            <w:r>
              <w:rPr>
                <w:rFonts w:ascii="Arial" w:eastAsia="Times New Roman" w:hAnsi="Arial" w:cs="Arial"/>
                <w:color w:val="000000"/>
                <w:sz w:val="24"/>
                <w:szCs w:val="24"/>
              </w:rPr>
              <w:t>B</w:t>
            </w:r>
            <w:r w:rsidR="00776566" w:rsidRPr="00D6309A">
              <w:rPr>
                <w:rFonts w:ascii="Arial" w:eastAsia="Times New Roman" w:hAnsi="Arial" w:cs="Arial"/>
                <w:color w:val="000000"/>
                <w:sz w:val="24"/>
                <w:szCs w:val="24"/>
              </w:rPr>
              <w:t xml:space="preserve">arnstable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28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53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116 </w:t>
            </w:r>
          </w:p>
        </w:tc>
      </w:tr>
      <w:tr w:rsidR="00776566" w:rsidRPr="00D6309A"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Berkshire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36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46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51 </w:t>
            </w:r>
          </w:p>
        </w:tc>
      </w:tr>
      <w:tr w:rsidR="00776566" w:rsidRPr="00D6309A"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Bristol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284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320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376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 xml:space="preserve">Dukes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1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0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 xml:space="preserve">Essex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261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287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368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 xml:space="preserve">Franklin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16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20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18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 xml:space="preserve">Hampden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209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220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250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776566" w:rsidRPr="00F277EF" w:rsidRDefault="00D6309A" w:rsidP="00D6309A">
            <w:pPr>
              <w:ind w:firstLine="0"/>
              <w:rPr>
                <w:rFonts w:ascii="Arial" w:eastAsia="Times New Roman" w:hAnsi="Arial" w:cs="Arial"/>
                <w:sz w:val="24"/>
                <w:szCs w:val="24"/>
              </w:rPr>
            </w:pPr>
            <w:r w:rsidRPr="00F277EF">
              <w:rPr>
                <w:rFonts w:ascii="Arial" w:eastAsia="Times New Roman" w:hAnsi="Arial" w:cs="Arial"/>
                <w:sz w:val="24"/>
                <w:szCs w:val="24"/>
              </w:rPr>
              <w:t>H</w:t>
            </w:r>
            <w:r w:rsidR="00776566" w:rsidRPr="00F277EF">
              <w:rPr>
                <w:rFonts w:ascii="Arial" w:eastAsia="Times New Roman" w:hAnsi="Arial" w:cs="Arial"/>
                <w:sz w:val="24"/>
                <w:szCs w:val="24"/>
              </w:rPr>
              <w:t xml:space="preserve">ampshire </w:t>
            </w:r>
          </w:p>
        </w:tc>
        <w:tc>
          <w:tcPr>
            <w:tcW w:w="1440" w:type="dxa"/>
            <w:tcBorders>
              <w:top w:val="nil"/>
              <w:left w:val="nil"/>
              <w:bottom w:val="single" w:sz="4" w:space="0" w:color="auto"/>
              <w:right w:val="single" w:sz="4" w:space="0" w:color="auto"/>
            </w:tcBorders>
            <w:shd w:val="clear" w:color="000000" w:fill="FFFFFF"/>
            <w:noWrap/>
            <w:vAlign w:val="center"/>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67 </w:t>
            </w:r>
          </w:p>
        </w:tc>
        <w:tc>
          <w:tcPr>
            <w:tcW w:w="1440" w:type="dxa"/>
            <w:tcBorders>
              <w:top w:val="nil"/>
              <w:left w:val="nil"/>
              <w:bottom w:val="single" w:sz="4" w:space="0" w:color="auto"/>
              <w:right w:val="single" w:sz="4" w:space="0" w:color="auto"/>
            </w:tcBorders>
            <w:shd w:val="clear" w:color="000000" w:fill="FFFFFF"/>
            <w:noWrap/>
            <w:vAlign w:val="center"/>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72 </w:t>
            </w:r>
          </w:p>
        </w:tc>
        <w:tc>
          <w:tcPr>
            <w:tcW w:w="1440" w:type="dxa"/>
            <w:tcBorders>
              <w:top w:val="nil"/>
              <w:left w:val="nil"/>
              <w:bottom w:val="single" w:sz="4" w:space="0" w:color="auto"/>
              <w:right w:val="single" w:sz="4" w:space="0" w:color="auto"/>
            </w:tcBorders>
            <w:shd w:val="clear" w:color="000000" w:fill="FFFFFF"/>
            <w:noWrap/>
            <w:vAlign w:val="center"/>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73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 xml:space="preserve">Middlesex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415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502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579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 xml:space="preserve">Nantucket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 xml:space="preserve">Norfolk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236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265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289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091D99" w:rsidP="00776566">
            <w:pPr>
              <w:ind w:firstLine="0"/>
              <w:rPr>
                <w:rFonts w:ascii="Arial" w:eastAsia="Times New Roman" w:hAnsi="Arial" w:cs="Arial"/>
                <w:sz w:val="24"/>
                <w:szCs w:val="24"/>
              </w:rPr>
            </w:pPr>
            <w:r>
              <w:rPr>
                <w:rFonts w:ascii="Arial" w:eastAsia="Times New Roman" w:hAnsi="Arial" w:cs="Arial"/>
                <w:sz w:val="24"/>
                <w:szCs w:val="24"/>
              </w:rPr>
              <w:t>Out</w:t>
            </w:r>
            <w:r w:rsidR="0043344B">
              <w:rPr>
                <w:rFonts w:ascii="Arial" w:eastAsia="Times New Roman" w:hAnsi="Arial" w:cs="Arial"/>
                <w:sz w:val="24"/>
                <w:szCs w:val="24"/>
              </w:rPr>
              <w:t>-of-state</w:t>
            </w:r>
            <w:r w:rsidR="00776566" w:rsidRPr="00F277EF">
              <w:rPr>
                <w:rFonts w:ascii="Arial" w:eastAsia="Times New Roman" w:hAnsi="Arial" w:cs="Arial"/>
                <w:sz w:val="24"/>
                <w:szCs w:val="24"/>
              </w:rPr>
              <w:t xml:space="preserve">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54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70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78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 xml:space="preserve">Plymouth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175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214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223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 xml:space="preserve">Suffolk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771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860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1,003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 xml:space="preserve">Worcester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413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467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526 </w:t>
            </w:r>
          </w:p>
        </w:tc>
      </w:tr>
      <w:tr w:rsidR="00776566" w:rsidRPr="00F277EF" w:rsidTr="002A6152">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 xml:space="preserve">Total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2,969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3,399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 xml:space="preserve">3,952 </w:t>
            </w:r>
          </w:p>
        </w:tc>
      </w:tr>
    </w:tbl>
    <w:p w:rsidR="00776566" w:rsidRPr="00F277EF" w:rsidRDefault="00776566" w:rsidP="008A7122">
      <w:pPr>
        <w:rPr>
          <w:rFonts w:ascii="Arial" w:hAnsi="Arial" w:cs="Arial"/>
          <w:sz w:val="24"/>
          <w:szCs w:val="24"/>
        </w:rPr>
      </w:pPr>
    </w:p>
    <w:p w:rsidR="008C703D" w:rsidRPr="00F277EF" w:rsidRDefault="00232251" w:rsidP="00BE2E79">
      <w:pPr>
        <w:ind w:firstLine="0"/>
        <w:rPr>
          <w:rFonts w:ascii="Arial" w:hAnsi="Arial" w:cs="Arial"/>
          <w:b/>
          <w:sz w:val="24"/>
          <w:szCs w:val="24"/>
        </w:rPr>
      </w:pPr>
      <w:r w:rsidRPr="00F277EF">
        <w:rPr>
          <w:rFonts w:ascii="Arial" w:hAnsi="Arial" w:cs="Arial"/>
          <w:b/>
          <w:sz w:val="24"/>
          <w:szCs w:val="24"/>
        </w:rPr>
        <w:t xml:space="preserve">Number of </w:t>
      </w:r>
      <w:r w:rsidR="001E1A44">
        <w:rPr>
          <w:rFonts w:ascii="Arial" w:hAnsi="Arial" w:cs="Arial"/>
          <w:b/>
          <w:sz w:val="24"/>
          <w:szCs w:val="24"/>
        </w:rPr>
        <w:t>CHCs</w:t>
      </w:r>
      <w:r w:rsidRPr="00F277EF">
        <w:rPr>
          <w:rFonts w:ascii="Arial" w:hAnsi="Arial" w:cs="Arial"/>
          <w:b/>
          <w:sz w:val="24"/>
          <w:szCs w:val="24"/>
        </w:rPr>
        <w:t xml:space="preserve"> </w:t>
      </w:r>
      <w:r w:rsidR="00CD3AA8">
        <w:rPr>
          <w:rFonts w:ascii="Arial" w:hAnsi="Arial" w:cs="Arial"/>
          <w:b/>
          <w:sz w:val="24"/>
          <w:szCs w:val="24"/>
        </w:rPr>
        <w:t>by County</w:t>
      </w:r>
      <w:r w:rsidRPr="00F277EF">
        <w:rPr>
          <w:rFonts w:ascii="Arial" w:hAnsi="Arial" w:cs="Arial"/>
          <w:b/>
          <w:sz w:val="24"/>
          <w:szCs w:val="24"/>
        </w:rPr>
        <w:t xml:space="preserve"> SFY1</w:t>
      </w:r>
      <w:r w:rsidR="002D0CC9" w:rsidRPr="00F277EF">
        <w:rPr>
          <w:rFonts w:ascii="Arial" w:hAnsi="Arial" w:cs="Arial"/>
          <w:b/>
          <w:sz w:val="24"/>
          <w:szCs w:val="24"/>
        </w:rPr>
        <w:t>6</w:t>
      </w:r>
      <w:r w:rsidRPr="00F277EF">
        <w:rPr>
          <w:rFonts w:ascii="Arial" w:hAnsi="Arial" w:cs="Arial"/>
          <w:b/>
          <w:sz w:val="24"/>
          <w:szCs w:val="24"/>
        </w:rPr>
        <w:t>-SFY1</w:t>
      </w:r>
      <w:r w:rsidR="002D0CC9" w:rsidRPr="00F277EF">
        <w:rPr>
          <w:rFonts w:ascii="Arial" w:hAnsi="Arial" w:cs="Arial"/>
          <w:b/>
          <w:sz w:val="24"/>
          <w:szCs w:val="24"/>
        </w:rPr>
        <w:t>8</w:t>
      </w:r>
    </w:p>
    <w:tbl>
      <w:tblPr>
        <w:tblW w:w="6208" w:type="dxa"/>
        <w:tblInd w:w="113" w:type="dxa"/>
        <w:tblLook w:val="04A0" w:firstRow="1" w:lastRow="0" w:firstColumn="1" w:lastColumn="0" w:noHBand="0" w:noVBand="1"/>
      </w:tblPr>
      <w:tblGrid>
        <w:gridCol w:w="1888"/>
        <w:gridCol w:w="1440"/>
        <w:gridCol w:w="1440"/>
        <w:gridCol w:w="1440"/>
      </w:tblGrid>
      <w:tr w:rsidR="00776566" w:rsidRPr="00F277EF" w:rsidTr="00CF5131">
        <w:trPr>
          <w:trHeight w:val="300"/>
          <w:tblHeader/>
        </w:trPr>
        <w:tc>
          <w:tcPr>
            <w:tcW w:w="18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SFY18</w:t>
            </w:r>
          </w:p>
        </w:tc>
      </w:tr>
      <w:tr w:rsidR="00776566" w:rsidRPr="00F277EF"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10</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9</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9</w:t>
            </w:r>
          </w:p>
        </w:tc>
      </w:tr>
      <w:tr w:rsidR="00776566" w:rsidRPr="00F277EF"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6</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7</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6</w:t>
            </w:r>
          </w:p>
        </w:tc>
      </w:tr>
      <w:tr w:rsidR="00776566" w:rsidRPr="00F277EF"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5</w:t>
            </w:r>
          </w:p>
        </w:tc>
      </w:tr>
      <w:tr w:rsidR="00776566" w:rsidRPr="00F277EF"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1</w:t>
            </w:r>
          </w:p>
        </w:tc>
      </w:tr>
      <w:tr w:rsidR="00776566" w:rsidRPr="00F277EF"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15</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15</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17</w:t>
            </w:r>
          </w:p>
        </w:tc>
      </w:tr>
      <w:tr w:rsidR="00776566" w:rsidRPr="00F277EF"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F277EF" w:rsidRDefault="00776566" w:rsidP="00776566">
            <w:pPr>
              <w:ind w:firstLine="0"/>
              <w:rPr>
                <w:rFonts w:ascii="Arial" w:eastAsia="Times New Roman" w:hAnsi="Arial" w:cs="Arial"/>
                <w:sz w:val="24"/>
                <w:szCs w:val="24"/>
              </w:rPr>
            </w:pPr>
            <w:r w:rsidRPr="00F277EF">
              <w:rPr>
                <w:rFonts w:ascii="Arial" w:eastAsia="Times New Roman" w:hAnsi="Arial" w:cs="Arial"/>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3</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F277EF" w:rsidRDefault="00776566" w:rsidP="00776566">
            <w:pPr>
              <w:ind w:firstLine="0"/>
              <w:jc w:val="right"/>
              <w:rPr>
                <w:rFonts w:ascii="Arial" w:eastAsia="Times New Roman" w:hAnsi="Arial" w:cs="Arial"/>
                <w:sz w:val="24"/>
                <w:szCs w:val="24"/>
              </w:rPr>
            </w:pPr>
            <w:r w:rsidRPr="00F277EF">
              <w:rPr>
                <w:rFonts w:ascii="Arial" w:eastAsia="Times New Roman" w:hAnsi="Arial" w:cs="Arial"/>
                <w:sz w:val="24"/>
                <w:szCs w:val="24"/>
              </w:rPr>
              <w:t>3</w:t>
            </w:r>
          </w:p>
        </w:tc>
      </w:tr>
      <w:tr w:rsidR="00776566" w:rsidRPr="00D6309A"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11</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10</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11</w:t>
            </w:r>
          </w:p>
        </w:tc>
      </w:tr>
      <w:tr w:rsidR="00776566" w:rsidRPr="00D6309A"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2</w:t>
            </w:r>
          </w:p>
        </w:tc>
      </w:tr>
      <w:tr w:rsidR="00776566" w:rsidRPr="00D6309A"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4</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7</w:t>
            </w:r>
          </w:p>
        </w:tc>
      </w:tr>
      <w:tr w:rsidR="00776566" w:rsidRPr="00D6309A"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0</w:t>
            </w:r>
          </w:p>
        </w:tc>
      </w:tr>
      <w:tr w:rsidR="00776566" w:rsidRPr="00D6309A"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7</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7</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7</w:t>
            </w:r>
          </w:p>
        </w:tc>
      </w:tr>
      <w:tr w:rsidR="00776566" w:rsidRPr="00D6309A"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3</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3</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4</w:t>
            </w:r>
          </w:p>
        </w:tc>
      </w:tr>
      <w:tr w:rsidR="00776566" w:rsidRPr="00D6309A"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sz w:val="24"/>
                <w:szCs w:val="24"/>
              </w:rPr>
            </w:pPr>
            <w:r w:rsidRPr="00D6309A">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30</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29</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28</w:t>
            </w:r>
          </w:p>
        </w:tc>
      </w:tr>
      <w:tr w:rsidR="00776566" w:rsidRPr="00D6309A"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sz w:val="24"/>
                <w:szCs w:val="24"/>
              </w:rPr>
            </w:pPr>
            <w:r w:rsidRPr="00D6309A">
              <w:rPr>
                <w:rFonts w:ascii="Arial" w:eastAsia="Times New Roman" w:hAnsi="Arial" w:cs="Arial"/>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11</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14</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12</w:t>
            </w:r>
          </w:p>
        </w:tc>
      </w:tr>
      <w:tr w:rsidR="00776566" w:rsidRPr="00D6309A" w:rsidTr="00CF5131">
        <w:trPr>
          <w:trHeight w:val="300"/>
        </w:trPr>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108</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111</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113</w:t>
            </w:r>
          </w:p>
        </w:tc>
      </w:tr>
    </w:tbl>
    <w:p w:rsidR="00380DF5" w:rsidRDefault="00380DF5" w:rsidP="00BE2E79">
      <w:pPr>
        <w:ind w:firstLine="0"/>
        <w:rPr>
          <w:rFonts w:ascii="Arial" w:hAnsi="Arial" w:cs="Arial"/>
          <w:color w:val="C00000"/>
          <w:sz w:val="24"/>
          <w:szCs w:val="24"/>
        </w:rPr>
      </w:pPr>
    </w:p>
    <w:p w:rsidR="00492805" w:rsidRPr="00BE2E79" w:rsidRDefault="00492805" w:rsidP="00BE2E79">
      <w:pPr>
        <w:ind w:firstLine="0"/>
        <w:rPr>
          <w:rFonts w:ascii="Arial" w:hAnsi="Arial" w:cs="Arial"/>
          <w:b/>
          <w:sz w:val="24"/>
        </w:rPr>
      </w:pPr>
      <w:r w:rsidRPr="00BE2E79">
        <w:rPr>
          <w:rFonts w:ascii="Arial" w:hAnsi="Arial" w:cs="Arial"/>
          <w:b/>
          <w:sz w:val="24"/>
        </w:rPr>
        <w:lastRenderedPageBreak/>
        <w:t>Number of Hospital Outpatient Departments, including HLHCs</w:t>
      </w:r>
      <w:r w:rsidR="006A6D61" w:rsidRPr="00BE2E79">
        <w:rPr>
          <w:rFonts w:ascii="Arial" w:hAnsi="Arial" w:cs="Arial"/>
          <w:b/>
          <w:sz w:val="24"/>
        </w:rPr>
        <w:t>,</w:t>
      </w:r>
      <w:r w:rsidRPr="00BE2E79">
        <w:rPr>
          <w:rFonts w:ascii="Arial" w:hAnsi="Arial" w:cs="Arial"/>
          <w:b/>
          <w:sz w:val="24"/>
        </w:rPr>
        <w:t xml:space="preserve"> </w:t>
      </w:r>
      <w:r w:rsidR="00CD3AA8">
        <w:rPr>
          <w:rFonts w:ascii="Arial" w:hAnsi="Arial" w:cs="Arial"/>
          <w:b/>
          <w:sz w:val="24"/>
        </w:rPr>
        <w:t>by County</w:t>
      </w:r>
      <w:r w:rsidRPr="00BE2E79">
        <w:rPr>
          <w:rFonts w:ascii="Arial" w:hAnsi="Arial" w:cs="Arial"/>
          <w:b/>
          <w:sz w:val="24"/>
        </w:rPr>
        <w:t xml:space="preserve"> SFY1</w:t>
      </w:r>
      <w:r w:rsidR="002D0CC9" w:rsidRPr="00BE2E79">
        <w:rPr>
          <w:rFonts w:ascii="Arial" w:hAnsi="Arial" w:cs="Arial"/>
          <w:b/>
          <w:sz w:val="24"/>
        </w:rPr>
        <w:t>6</w:t>
      </w:r>
      <w:r w:rsidRPr="00BE2E79">
        <w:rPr>
          <w:rFonts w:ascii="Arial" w:hAnsi="Arial" w:cs="Arial"/>
          <w:b/>
          <w:sz w:val="24"/>
        </w:rPr>
        <w:t>-SFY1</w:t>
      </w:r>
      <w:r w:rsidR="002D0CC9" w:rsidRPr="00BE2E79">
        <w:rPr>
          <w:rFonts w:ascii="Arial" w:hAnsi="Arial" w:cs="Arial"/>
          <w:b/>
          <w:sz w:val="24"/>
        </w:rPr>
        <w:t>8</w:t>
      </w:r>
    </w:p>
    <w:tbl>
      <w:tblPr>
        <w:tblW w:w="5760" w:type="dxa"/>
        <w:tblInd w:w="113" w:type="dxa"/>
        <w:tblLook w:val="04A0" w:firstRow="1" w:lastRow="0" w:firstColumn="1" w:lastColumn="0" w:noHBand="0" w:noVBand="1"/>
      </w:tblPr>
      <w:tblGrid>
        <w:gridCol w:w="1440"/>
        <w:gridCol w:w="1440"/>
        <w:gridCol w:w="1440"/>
        <w:gridCol w:w="1440"/>
      </w:tblGrid>
      <w:tr w:rsidR="00776566" w:rsidRPr="00D6309A" w:rsidTr="00CF5131">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SFY18</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2</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6</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3</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3</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3</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5</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13</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13</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12</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19</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17</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17</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2</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B174D4" w:rsidRDefault="00776566" w:rsidP="00776566">
            <w:pPr>
              <w:ind w:firstLine="0"/>
              <w:rPr>
                <w:rFonts w:ascii="Arial" w:eastAsia="Times New Roman" w:hAnsi="Arial" w:cs="Arial"/>
                <w:color w:val="000000" w:themeColor="text1"/>
                <w:sz w:val="24"/>
                <w:szCs w:val="24"/>
              </w:rPr>
            </w:pPr>
            <w:r w:rsidRPr="00B174D4">
              <w:rPr>
                <w:rFonts w:ascii="Arial" w:eastAsia="Times New Roman" w:hAnsi="Arial" w:cs="Arial"/>
                <w:color w:val="000000" w:themeColor="text1"/>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B174D4" w:rsidRDefault="00776566" w:rsidP="00776566">
            <w:pPr>
              <w:ind w:firstLine="0"/>
              <w:jc w:val="right"/>
              <w:rPr>
                <w:rFonts w:ascii="Arial" w:eastAsia="Times New Roman" w:hAnsi="Arial" w:cs="Arial"/>
                <w:color w:val="000000" w:themeColor="text1"/>
                <w:sz w:val="24"/>
                <w:szCs w:val="24"/>
              </w:rPr>
            </w:pPr>
            <w:r w:rsidRPr="00B174D4">
              <w:rPr>
                <w:rFonts w:ascii="Arial" w:eastAsia="Times New Roman" w:hAnsi="Arial" w:cs="Arial"/>
                <w:color w:val="000000" w:themeColor="text1"/>
                <w:sz w:val="24"/>
                <w:szCs w:val="24"/>
              </w:rPr>
              <w:t>4</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B174D4" w:rsidRDefault="00776566" w:rsidP="00776566">
            <w:pPr>
              <w:ind w:firstLine="0"/>
              <w:jc w:val="right"/>
              <w:rPr>
                <w:rFonts w:ascii="Arial" w:eastAsia="Times New Roman" w:hAnsi="Arial" w:cs="Arial"/>
                <w:color w:val="000000" w:themeColor="text1"/>
                <w:sz w:val="24"/>
                <w:szCs w:val="24"/>
              </w:rPr>
            </w:pPr>
            <w:r w:rsidRPr="00B174D4">
              <w:rPr>
                <w:rFonts w:ascii="Arial" w:eastAsia="Times New Roman" w:hAnsi="Arial" w:cs="Arial"/>
                <w:color w:val="000000" w:themeColor="text1"/>
                <w:sz w:val="24"/>
                <w:szCs w:val="24"/>
              </w:rPr>
              <w:t>4</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B174D4" w:rsidRDefault="00776566" w:rsidP="00776566">
            <w:pPr>
              <w:ind w:firstLine="0"/>
              <w:jc w:val="right"/>
              <w:rPr>
                <w:rFonts w:ascii="Arial" w:eastAsia="Times New Roman" w:hAnsi="Arial" w:cs="Arial"/>
                <w:color w:val="000000" w:themeColor="text1"/>
                <w:sz w:val="24"/>
                <w:szCs w:val="24"/>
              </w:rPr>
            </w:pPr>
            <w:r w:rsidRPr="00B174D4">
              <w:rPr>
                <w:rFonts w:ascii="Arial" w:eastAsia="Times New Roman" w:hAnsi="Arial" w:cs="Arial"/>
                <w:color w:val="000000" w:themeColor="text1"/>
                <w:sz w:val="24"/>
                <w:szCs w:val="24"/>
              </w:rPr>
              <w:t>4</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7</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6</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6</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sz w:val="24"/>
                <w:szCs w:val="24"/>
              </w:rPr>
            </w:pPr>
            <w:r w:rsidRPr="00D6309A">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32</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31</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33</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11</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11</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11</w:t>
            </w:r>
          </w:p>
        </w:tc>
      </w:tr>
      <w:tr w:rsidR="00776566" w:rsidRPr="00D6309A" w:rsidTr="00CF5131">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128</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343</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446</w:t>
            </w:r>
          </w:p>
        </w:tc>
      </w:tr>
    </w:tbl>
    <w:p w:rsidR="00B174D4" w:rsidRDefault="00B174D4" w:rsidP="00BE2E79">
      <w:pPr>
        <w:ind w:firstLine="0"/>
        <w:rPr>
          <w:rFonts w:ascii="Arial" w:hAnsi="Arial" w:cs="Arial"/>
          <w:b/>
          <w:sz w:val="24"/>
        </w:rPr>
      </w:pPr>
    </w:p>
    <w:p w:rsidR="008C703D" w:rsidRPr="00BE2E79" w:rsidRDefault="00232251" w:rsidP="00BE2E79">
      <w:pPr>
        <w:ind w:firstLine="0"/>
        <w:rPr>
          <w:rFonts w:ascii="Arial" w:hAnsi="Arial" w:cs="Arial"/>
          <w:b/>
          <w:sz w:val="24"/>
        </w:rPr>
      </w:pPr>
      <w:r w:rsidRPr="00BE2E79">
        <w:rPr>
          <w:rFonts w:ascii="Arial" w:hAnsi="Arial" w:cs="Arial"/>
          <w:b/>
          <w:sz w:val="24"/>
        </w:rPr>
        <w:t xml:space="preserve">Number of </w:t>
      </w:r>
      <w:r w:rsidR="008C703D" w:rsidRPr="00BE2E79">
        <w:rPr>
          <w:rFonts w:ascii="Arial" w:hAnsi="Arial" w:cs="Arial"/>
          <w:b/>
          <w:sz w:val="24"/>
        </w:rPr>
        <w:t>D</w:t>
      </w:r>
      <w:r w:rsidR="00765F27" w:rsidRPr="00BE2E79">
        <w:rPr>
          <w:rFonts w:ascii="Arial" w:hAnsi="Arial" w:cs="Arial"/>
          <w:b/>
          <w:sz w:val="24"/>
        </w:rPr>
        <w:t>entists</w:t>
      </w:r>
      <w:r w:rsidRPr="00BE2E79">
        <w:rPr>
          <w:rFonts w:ascii="Arial" w:hAnsi="Arial" w:cs="Arial"/>
          <w:b/>
          <w:sz w:val="24"/>
        </w:rPr>
        <w:t xml:space="preserve"> </w:t>
      </w:r>
      <w:r w:rsidR="00CD3AA8">
        <w:rPr>
          <w:rFonts w:ascii="Arial" w:hAnsi="Arial" w:cs="Arial"/>
          <w:b/>
          <w:sz w:val="24"/>
        </w:rPr>
        <w:t>by County</w:t>
      </w:r>
      <w:r w:rsidRPr="00BE2E79">
        <w:rPr>
          <w:rFonts w:ascii="Arial" w:hAnsi="Arial" w:cs="Arial"/>
          <w:b/>
          <w:sz w:val="24"/>
        </w:rPr>
        <w:t xml:space="preserve"> SFY1</w:t>
      </w:r>
      <w:r w:rsidR="002D0CC9" w:rsidRPr="00BE2E79">
        <w:rPr>
          <w:rFonts w:ascii="Arial" w:hAnsi="Arial" w:cs="Arial"/>
          <w:b/>
          <w:sz w:val="24"/>
        </w:rPr>
        <w:t>6</w:t>
      </w:r>
      <w:r w:rsidRPr="00BE2E79">
        <w:rPr>
          <w:rFonts w:ascii="Arial" w:hAnsi="Arial" w:cs="Arial"/>
          <w:b/>
          <w:sz w:val="24"/>
        </w:rPr>
        <w:t>-SFY1</w:t>
      </w:r>
      <w:r w:rsidR="002D0CC9" w:rsidRPr="00BE2E79">
        <w:rPr>
          <w:rFonts w:ascii="Arial" w:hAnsi="Arial" w:cs="Arial"/>
          <w:b/>
          <w:sz w:val="24"/>
        </w:rPr>
        <w:t>8</w:t>
      </w:r>
    </w:p>
    <w:tbl>
      <w:tblPr>
        <w:tblW w:w="4300" w:type="dxa"/>
        <w:tblInd w:w="113" w:type="dxa"/>
        <w:tblLook w:val="04A0" w:firstRow="1" w:lastRow="0" w:firstColumn="1" w:lastColumn="0" w:noHBand="0" w:noVBand="1"/>
      </w:tblPr>
      <w:tblGrid>
        <w:gridCol w:w="1440"/>
        <w:gridCol w:w="1440"/>
        <w:gridCol w:w="1440"/>
        <w:gridCol w:w="1440"/>
      </w:tblGrid>
      <w:tr w:rsidR="00776566" w:rsidRPr="00D6309A" w:rsidTr="002A6152">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 SFY16 </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 SFY17 </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 SFY18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48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46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41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38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36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33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138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141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143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232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235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244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20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19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18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125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137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156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32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31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31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438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455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456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229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234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242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43344B" w:rsidP="00776566">
            <w:pPr>
              <w:ind w:firstLine="0"/>
              <w:rPr>
                <w:rFonts w:ascii="Arial" w:eastAsia="Times New Roman" w:hAnsi="Arial" w:cs="Arial"/>
                <w:color w:val="000000"/>
                <w:sz w:val="24"/>
                <w:szCs w:val="24"/>
              </w:rPr>
            </w:pPr>
            <w:r>
              <w:rPr>
                <w:rFonts w:ascii="Arial" w:eastAsia="Times New Roman" w:hAnsi="Arial" w:cs="Arial"/>
                <w:color w:val="000000"/>
                <w:sz w:val="24"/>
                <w:szCs w:val="24"/>
              </w:rPr>
              <w:t>Out-of-state</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28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27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33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144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152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151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sz w:val="24"/>
                <w:szCs w:val="24"/>
              </w:rPr>
            </w:pPr>
            <w:r w:rsidRPr="00D6309A">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 xml:space="preserve">253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 xml:space="preserve">254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sz w:val="24"/>
                <w:szCs w:val="24"/>
              </w:rPr>
            </w:pPr>
            <w:r w:rsidRPr="00D6309A">
              <w:rPr>
                <w:rFonts w:ascii="Arial" w:eastAsia="Times New Roman" w:hAnsi="Arial" w:cs="Arial"/>
                <w:sz w:val="24"/>
                <w:szCs w:val="24"/>
              </w:rPr>
              <w:t xml:space="preserve">257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309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325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295 </w:t>
            </w:r>
          </w:p>
        </w:tc>
      </w:tr>
      <w:tr w:rsidR="00776566" w:rsidRPr="00D6309A"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76566" w:rsidRPr="00D6309A" w:rsidRDefault="00776566" w:rsidP="00776566">
            <w:pPr>
              <w:ind w:firstLine="0"/>
              <w:rPr>
                <w:rFonts w:ascii="Arial" w:eastAsia="Times New Roman" w:hAnsi="Arial" w:cs="Arial"/>
                <w:color w:val="000000"/>
                <w:sz w:val="24"/>
                <w:szCs w:val="24"/>
              </w:rPr>
            </w:pPr>
            <w:r w:rsidRPr="00D6309A">
              <w:rPr>
                <w:rFonts w:ascii="Arial" w:eastAsia="Times New Roman" w:hAnsi="Arial" w:cs="Arial"/>
                <w:color w:val="000000"/>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2,037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2,096 </w:t>
            </w:r>
          </w:p>
        </w:tc>
        <w:tc>
          <w:tcPr>
            <w:tcW w:w="1440" w:type="dxa"/>
            <w:tcBorders>
              <w:top w:val="nil"/>
              <w:left w:val="nil"/>
              <w:bottom w:val="single" w:sz="4" w:space="0" w:color="auto"/>
              <w:right w:val="single" w:sz="4" w:space="0" w:color="auto"/>
            </w:tcBorders>
            <w:shd w:val="clear" w:color="000000" w:fill="FFFFFF"/>
            <w:noWrap/>
            <w:vAlign w:val="bottom"/>
            <w:hideMark/>
          </w:tcPr>
          <w:p w:rsidR="00776566" w:rsidRPr="00D6309A" w:rsidRDefault="00776566" w:rsidP="00776566">
            <w:pPr>
              <w:ind w:firstLine="0"/>
              <w:jc w:val="right"/>
              <w:rPr>
                <w:rFonts w:ascii="Arial" w:eastAsia="Times New Roman" w:hAnsi="Arial" w:cs="Arial"/>
                <w:color w:val="000000"/>
                <w:sz w:val="24"/>
                <w:szCs w:val="24"/>
              </w:rPr>
            </w:pPr>
            <w:r w:rsidRPr="00D6309A">
              <w:rPr>
                <w:rFonts w:ascii="Arial" w:eastAsia="Times New Roman" w:hAnsi="Arial" w:cs="Arial"/>
                <w:color w:val="000000"/>
                <w:sz w:val="24"/>
                <w:szCs w:val="24"/>
              </w:rPr>
              <w:t xml:space="preserve">2,104 </w:t>
            </w:r>
          </w:p>
        </w:tc>
      </w:tr>
    </w:tbl>
    <w:p w:rsidR="00FF472E" w:rsidRPr="00DA770C" w:rsidRDefault="00FF472E" w:rsidP="00DA770C">
      <w:pPr>
        <w:ind w:left="360" w:firstLine="0"/>
      </w:pPr>
    </w:p>
    <w:p w:rsidR="00FF472E" w:rsidRDefault="00FF472E" w:rsidP="00FF472E">
      <w:pPr>
        <w:rPr>
          <w:rFonts w:eastAsiaTheme="majorEastAsia"/>
        </w:rPr>
      </w:pPr>
      <w:r>
        <w:br w:type="page"/>
      </w:r>
    </w:p>
    <w:p w:rsidR="004948A7" w:rsidRPr="00A945FF" w:rsidRDefault="0066291B" w:rsidP="00A945FF">
      <w:pPr>
        <w:pStyle w:val="Heading2"/>
        <w:rPr>
          <w:rFonts w:ascii="Arial" w:eastAsia="Calibri" w:hAnsi="Arial" w:cs="Arial"/>
          <w:b w:val="0"/>
          <w:bCs w:val="0"/>
          <w:color w:val="auto"/>
          <w:sz w:val="24"/>
          <w:szCs w:val="22"/>
        </w:rPr>
      </w:pPr>
      <w:bookmarkStart w:id="25" w:name="_Toc20296925"/>
      <w:r w:rsidRPr="00A945FF">
        <w:rPr>
          <w:rFonts w:ascii="Arial" w:hAnsi="Arial" w:cs="Arial"/>
          <w:color w:val="auto"/>
          <w:sz w:val="24"/>
          <w:szCs w:val="24"/>
          <w:u w:val="single"/>
        </w:rPr>
        <w:lastRenderedPageBreak/>
        <w:t xml:space="preserve">2. </w:t>
      </w:r>
      <w:r w:rsidR="004948A7" w:rsidRPr="00A945FF">
        <w:rPr>
          <w:rFonts w:ascii="Arial" w:hAnsi="Arial" w:cs="Arial"/>
          <w:color w:val="auto"/>
          <w:sz w:val="24"/>
          <w:szCs w:val="24"/>
          <w:u w:val="single"/>
        </w:rPr>
        <w:t>P</w:t>
      </w:r>
      <w:r w:rsidR="007E305E">
        <w:rPr>
          <w:rFonts w:ascii="Arial" w:hAnsi="Arial" w:cs="Arial"/>
          <w:color w:val="auto"/>
          <w:sz w:val="24"/>
          <w:szCs w:val="24"/>
          <w:u w:val="single"/>
        </w:rPr>
        <w:t xml:space="preserve">rimary </w:t>
      </w:r>
      <w:r w:rsidR="004948A7" w:rsidRPr="00A945FF">
        <w:rPr>
          <w:rFonts w:ascii="Arial" w:hAnsi="Arial" w:cs="Arial"/>
          <w:color w:val="auto"/>
          <w:sz w:val="24"/>
          <w:szCs w:val="24"/>
          <w:u w:val="single"/>
        </w:rPr>
        <w:t>C</w:t>
      </w:r>
      <w:r w:rsidR="007E305E">
        <w:rPr>
          <w:rFonts w:ascii="Arial" w:hAnsi="Arial" w:cs="Arial"/>
          <w:color w:val="auto"/>
          <w:sz w:val="24"/>
          <w:szCs w:val="24"/>
          <w:u w:val="single"/>
        </w:rPr>
        <w:t xml:space="preserve">are </w:t>
      </w:r>
      <w:r w:rsidR="00394F34" w:rsidRPr="00A945FF">
        <w:rPr>
          <w:rFonts w:ascii="Arial" w:hAnsi="Arial" w:cs="Arial"/>
          <w:color w:val="auto"/>
          <w:sz w:val="24"/>
          <w:szCs w:val="24"/>
          <w:u w:val="single"/>
        </w:rPr>
        <w:t>P</w:t>
      </w:r>
      <w:r w:rsidR="00394F34">
        <w:rPr>
          <w:rFonts w:ascii="Arial" w:hAnsi="Arial" w:cs="Arial"/>
          <w:color w:val="auto"/>
          <w:sz w:val="24"/>
          <w:szCs w:val="24"/>
          <w:u w:val="single"/>
        </w:rPr>
        <w:t>hysician</w:t>
      </w:r>
      <w:r w:rsidR="004948A7" w:rsidRPr="00A945FF">
        <w:rPr>
          <w:rFonts w:ascii="Arial" w:hAnsi="Arial" w:cs="Arial"/>
          <w:color w:val="auto"/>
          <w:sz w:val="24"/>
          <w:szCs w:val="24"/>
          <w:u w:val="single"/>
        </w:rPr>
        <w:t xml:space="preserve"> Geographic Access for Members</w:t>
      </w:r>
      <w:bookmarkEnd w:id="25"/>
      <w:r w:rsidR="004948A7" w:rsidRPr="00A945FF" w:rsidDel="001B6054">
        <w:rPr>
          <w:rFonts w:ascii="Arial" w:eastAsia="Calibri" w:hAnsi="Arial" w:cs="Arial"/>
          <w:b w:val="0"/>
          <w:bCs w:val="0"/>
          <w:color w:val="auto"/>
          <w:sz w:val="24"/>
          <w:szCs w:val="22"/>
        </w:rPr>
        <w:t xml:space="preserve"> </w:t>
      </w:r>
    </w:p>
    <w:p w:rsidR="004948A7" w:rsidRPr="004948A7" w:rsidRDefault="004948A7" w:rsidP="004948A7">
      <w:pPr>
        <w:ind w:firstLine="0"/>
        <w:rPr>
          <w:rFonts w:ascii="Arial" w:eastAsia="Calibri" w:hAnsi="Arial" w:cs="Arial"/>
          <w:sz w:val="24"/>
        </w:rPr>
      </w:pPr>
    </w:p>
    <w:p w:rsidR="004948A7" w:rsidRPr="004948A7" w:rsidRDefault="004948A7" w:rsidP="004948A7">
      <w:pPr>
        <w:ind w:firstLine="0"/>
        <w:rPr>
          <w:rFonts w:ascii="Arial" w:eastAsia="Calibri" w:hAnsi="Arial" w:cs="Arial"/>
          <w:sz w:val="24"/>
        </w:rPr>
      </w:pPr>
      <w:r w:rsidRPr="004948A7">
        <w:rPr>
          <w:rFonts w:ascii="Arial" w:eastAsia="Calibri" w:hAnsi="Arial" w:cs="Arial"/>
          <w:sz w:val="24"/>
        </w:rPr>
        <w:t>Data source: MMIS member and provider enrollment data</w:t>
      </w:r>
    </w:p>
    <w:p w:rsidR="004948A7" w:rsidRPr="004948A7" w:rsidRDefault="004948A7" w:rsidP="004948A7">
      <w:pPr>
        <w:ind w:firstLine="0"/>
        <w:rPr>
          <w:rFonts w:ascii="Arial" w:eastAsia="Calibri" w:hAnsi="Arial" w:cs="Arial"/>
          <w:sz w:val="24"/>
        </w:rPr>
      </w:pPr>
    </w:p>
    <w:p w:rsidR="000A7CB3" w:rsidRDefault="004948A7" w:rsidP="004948A7">
      <w:pPr>
        <w:ind w:firstLine="0"/>
        <w:rPr>
          <w:rFonts w:ascii="Arial" w:hAnsi="Arial" w:cs="Arial"/>
          <w:sz w:val="24"/>
        </w:rPr>
      </w:pPr>
      <w:bookmarkStart w:id="26" w:name="_Hlk10720440"/>
      <w:r w:rsidRPr="004948A7">
        <w:rPr>
          <w:rFonts w:ascii="Arial" w:eastAsia="Calibri" w:hAnsi="Arial" w:cs="Arial"/>
          <w:sz w:val="24"/>
        </w:rPr>
        <w:t xml:space="preserve">Methodology: MassHealth used </w:t>
      </w:r>
      <w:r w:rsidRPr="004948A7">
        <w:rPr>
          <w:rFonts w:ascii="Arial" w:hAnsi="Arial" w:cs="Arial"/>
          <w:sz w:val="24"/>
        </w:rPr>
        <w:t xml:space="preserve">Quest Analytics Suite 2019 software to perform </w:t>
      </w:r>
      <w:r w:rsidR="00F35A0C">
        <w:rPr>
          <w:rFonts w:ascii="Arial" w:hAnsi="Arial" w:cs="Arial"/>
          <w:sz w:val="24"/>
        </w:rPr>
        <w:t xml:space="preserve">a geographic </w:t>
      </w:r>
      <w:r w:rsidRPr="004948A7">
        <w:rPr>
          <w:rFonts w:ascii="Arial" w:hAnsi="Arial" w:cs="Arial"/>
          <w:sz w:val="24"/>
        </w:rPr>
        <w:t>access analysis</w:t>
      </w:r>
      <w:r w:rsidR="00F35A0C">
        <w:rPr>
          <w:rFonts w:ascii="Arial" w:hAnsi="Arial" w:cs="Arial"/>
          <w:sz w:val="24"/>
        </w:rPr>
        <w:t xml:space="preserve"> using members’ full residential addresses and providers</w:t>
      </w:r>
      <w:r w:rsidR="003A6312">
        <w:rPr>
          <w:rFonts w:ascii="Arial" w:hAnsi="Arial" w:cs="Arial"/>
          <w:sz w:val="24"/>
        </w:rPr>
        <w:t>’</w:t>
      </w:r>
      <w:r w:rsidR="00F35A0C">
        <w:rPr>
          <w:rFonts w:ascii="Arial" w:hAnsi="Arial" w:cs="Arial"/>
          <w:sz w:val="24"/>
        </w:rPr>
        <w:t xml:space="preserve"> business addresses</w:t>
      </w:r>
      <w:r w:rsidRPr="004948A7">
        <w:rPr>
          <w:rFonts w:ascii="Arial" w:hAnsi="Arial" w:cs="Arial"/>
          <w:sz w:val="24"/>
        </w:rPr>
        <w:t xml:space="preserve">. </w:t>
      </w:r>
      <w:r w:rsidR="00D37236" w:rsidRPr="00D37236">
        <w:rPr>
          <w:rFonts w:ascii="Arial" w:hAnsi="Arial" w:cs="Arial"/>
          <w:sz w:val="24"/>
        </w:rPr>
        <w:t>For purposes of the geographic access analysis, members are defined as PCC Plan, Primary Care ACO and</w:t>
      </w:r>
      <w:r w:rsidR="00D37236" w:rsidRPr="00D37236">
        <w:rPr>
          <w:rFonts w:ascii="Arial" w:eastAsia="Calibri" w:hAnsi="Arial" w:cs="Arial"/>
          <w:sz w:val="24"/>
        </w:rPr>
        <w:t xml:space="preserve"> FFS members with MassHealth as primary coverage (CHIP and state-funded members have been excluded).</w:t>
      </w:r>
      <w:r w:rsidR="00CF5131">
        <w:rPr>
          <w:rFonts w:ascii="Arial" w:eastAsia="Calibri" w:hAnsi="Arial" w:cs="Arial"/>
          <w:sz w:val="24"/>
        </w:rPr>
        <w:t xml:space="preserve"> </w:t>
      </w:r>
      <w:r w:rsidR="005B7CF1">
        <w:rPr>
          <w:rFonts w:ascii="Arial" w:eastAsia="Calibri" w:hAnsi="Arial" w:cs="Arial"/>
          <w:sz w:val="24"/>
        </w:rPr>
        <w:t xml:space="preserve">Primary care </w:t>
      </w:r>
      <w:r w:rsidR="00EE2FD6">
        <w:rPr>
          <w:rFonts w:ascii="Arial" w:eastAsia="Calibri" w:hAnsi="Arial" w:cs="Arial"/>
          <w:sz w:val="24"/>
        </w:rPr>
        <w:t xml:space="preserve">physicians </w:t>
      </w:r>
      <w:r w:rsidR="005B7CF1">
        <w:rPr>
          <w:rFonts w:ascii="Arial" w:eastAsia="Calibri" w:hAnsi="Arial" w:cs="Arial"/>
          <w:sz w:val="24"/>
        </w:rPr>
        <w:t>are defined as p</w:t>
      </w:r>
      <w:r w:rsidR="005B7CF1" w:rsidRPr="007479A1">
        <w:rPr>
          <w:rFonts w:ascii="Arial" w:eastAsia="Calibri" w:hAnsi="Arial" w:cs="Arial"/>
          <w:sz w:val="24"/>
        </w:rPr>
        <w:t>hysicians with a specialty of Internal Medicine, General Medicine or Pediatrics</w:t>
      </w:r>
      <w:r w:rsidR="005B7CF1">
        <w:rPr>
          <w:rFonts w:ascii="Arial" w:eastAsia="Calibri" w:hAnsi="Arial" w:cs="Arial"/>
          <w:sz w:val="24"/>
        </w:rPr>
        <w:t xml:space="preserve">, </w:t>
      </w:r>
      <w:r w:rsidR="005B7CF1" w:rsidRPr="004948A7">
        <w:rPr>
          <w:rFonts w:ascii="Arial" w:eastAsia="Calibri" w:hAnsi="Arial" w:cs="Arial"/>
          <w:sz w:val="24"/>
        </w:rPr>
        <w:t>enrolled</w:t>
      </w:r>
      <w:r w:rsidR="005B7CF1">
        <w:rPr>
          <w:rFonts w:ascii="Arial" w:eastAsia="Calibri" w:hAnsi="Arial" w:cs="Arial"/>
          <w:sz w:val="24"/>
        </w:rPr>
        <w:t xml:space="preserve"> with MassHealth,</w:t>
      </w:r>
      <w:r w:rsidR="005B7CF1" w:rsidRPr="004948A7">
        <w:rPr>
          <w:rFonts w:ascii="Arial" w:eastAsia="Calibri" w:hAnsi="Arial" w:cs="Arial"/>
          <w:sz w:val="24"/>
        </w:rPr>
        <w:t xml:space="preserve"> and in an active pay status</w:t>
      </w:r>
      <w:r w:rsidR="00DE3442">
        <w:rPr>
          <w:rFonts w:ascii="Arial" w:eastAsia="Calibri" w:hAnsi="Arial" w:cs="Arial"/>
          <w:sz w:val="24"/>
        </w:rPr>
        <w:t>.</w:t>
      </w:r>
      <w:r w:rsidR="003A6312">
        <w:rPr>
          <w:rFonts w:ascii="Arial" w:eastAsia="Calibri" w:hAnsi="Arial" w:cs="Arial"/>
          <w:sz w:val="24"/>
        </w:rPr>
        <w:t xml:space="preserve"> </w:t>
      </w:r>
      <w:r w:rsidRPr="004948A7">
        <w:rPr>
          <w:rFonts w:ascii="Arial" w:eastAsia="Calibri" w:hAnsi="Arial" w:cs="Arial"/>
          <w:sz w:val="24"/>
        </w:rPr>
        <w:t xml:space="preserve">For purposes of the geo-mapping, the access standard is defined as two primary care </w:t>
      </w:r>
      <w:r w:rsidR="00CD4CA9" w:rsidRPr="001E1A44">
        <w:rPr>
          <w:rFonts w:ascii="Arial" w:eastAsia="Calibri" w:hAnsi="Arial" w:cs="Arial"/>
          <w:sz w:val="24"/>
        </w:rPr>
        <w:t>physicians</w:t>
      </w:r>
      <w:r w:rsidR="00CD4CA9">
        <w:rPr>
          <w:rFonts w:ascii="Arial" w:eastAsia="Calibri" w:hAnsi="Arial" w:cs="Arial"/>
          <w:sz w:val="24"/>
        </w:rPr>
        <w:t xml:space="preserve"> </w:t>
      </w:r>
      <w:r w:rsidRPr="004948A7">
        <w:rPr>
          <w:rFonts w:ascii="Arial" w:eastAsia="Calibri" w:hAnsi="Arial" w:cs="Arial"/>
          <w:sz w:val="24"/>
        </w:rPr>
        <w:t xml:space="preserve">within 15 miles </w:t>
      </w:r>
      <w:r w:rsidR="007A5457">
        <w:rPr>
          <w:rFonts w:ascii="Arial" w:eastAsia="Calibri" w:hAnsi="Arial" w:cs="Arial"/>
          <w:sz w:val="24"/>
        </w:rPr>
        <w:t xml:space="preserve">(by distance) </w:t>
      </w:r>
      <w:r w:rsidRPr="004948A7">
        <w:rPr>
          <w:rFonts w:ascii="Arial" w:eastAsia="Calibri" w:hAnsi="Arial" w:cs="Arial"/>
          <w:sz w:val="24"/>
        </w:rPr>
        <w:t>or 30 minutes</w:t>
      </w:r>
      <w:r w:rsidR="007A5457">
        <w:rPr>
          <w:rFonts w:ascii="Arial" w:eastAsia="Calibri" w:hAnsi="Arial" w:cs="Arial"/>
          <w:sz w:val="24"/>
        </w:rPr>
        <w:t xml:space="preserve"> (by time)</w:t>
      </w:r>
      <w:r w:rsidRPr="004948A7">
        <w:rPr>
          <w:rFonts w:ascii="Arial" w:hAnsi="Arial" w:cs="Arial"/>
          <w:sz w:val="24"/>
        </w:rPr>
        <w:t>.</w:t>
      </w:r>
      <w:r w:rsidR="007A5457">
        <w:rPr>
          <w:rFonts w:ascii="Arial" w:hAnsi="Arial" w:cs="Arial"/>
          <w:sz w:val="24"/>
        </w:rPr>
        <w:t xml:space="preserve"> Estimated driving d</w:t>
      </w:r>
      <w:r w:rsidRPr="004948A7">
        <w:rPr>
          <w:rFonts w:ascii="Arial" w:hAnsi="Arial" w:cs="Arial"/>
          <w:sz w:val="24"/>
        </w:rPr>
        <w:t xml:space="preserve">istance is used to calculate distance, and estimated drive time is determined by an estimate </w:t>
      </w:r>
      <w:r w:rsidR="007A5457">
        <w:rPr>
          <w:rFonts w:ascii="Arial" w:hAnsi="Arial" w:cs="Arial"/>
          <w:sz w:val="24"/>
        </w:rPr>
        <w:t xml:space="preserve">based </w:t>
      </w:r>
      <w:r w:rsidRPr="004948A7">
        <w:rPr>
          <w:rFonts w:ascii="Arial" w:hAnsi="Arial" w:cs="Arial"/>
          <w:sz w:val="24"/>
        </w:rPr>
        <w:t xml:space="preserve">on average speed </w:t>
      </w:r>
      <w:r w:rsidR="008A5CCE">
        <w:rPr>
          <w:rFonts w:ascii="Arial" w:hAnsi="Arial" w:cs="Arial"/>
          <w:sz w:val="24"/>
        </w:rPr>
        <w:t xml:space="preserve">and </w:t>
      </w:r>
      <w:r w:rsidRPr="004948A7">
        <w:rPr>
          <w:rFonts w:ascii="Arial" w:hAnsi="Arial" w:cs="Arial"/>
          <w:sz w:val="24"/>
        </w:rPr>
        <w:t>distance.</w:t>
      </w:r>
      <w:r w:rsidR="008A5CCE">
        <w:rPr>
          <w:rFonts w:ascii="Arial" w:hAnsi="Arial" w:cs="Arial"/>
          <w:sz w:val="24"/>
        </w:rPr>
        <w:t xml:space="preserve"> </w:t>
      </w:r>
      <w:r w:rsidR="008A5CCE" w:rsidRPr="008A5CCE">
        <w:rPr>
          <w:rFonts w:ascii="Arial" w:hAnsi="Arial" w:cs="Arial"/>
          <w:sz w:val="24"/>
        </w:rPr>
        <w:t>MassHealth used the Quest Analytics default driving speed settings for urban, suburban, and rural areas, which are 30, 45, and 55 miles per hour, respectively.</w:t>
      </w:r>
      <w:bookmarkEnd w:id="26"/>
    </w:p>
    <w:p w:rsidR="000A7CB3" w:rsidRDefault="000A7CB3" w:rsidP="004948A7">
      <w:pPr>
        <w:ind w:firstLine="0"/>
        <w:rPr>
          <w:rFonts w:ascii="Arial" w:hAnsi="Arial" w:cs="Arial"/>
          <w:sz w:val="24"/>
        </w:rPr>
      </w:pPr>
    </w:p>
    <w:p w:rsidR="004948A7" w:rsidRPr="000A7CB3" w:rsidRDefault="004948A7" w:rsidP="004948A7">
      <w:pPr>
        <w:ind w:firstLine="0"/>
        <w:rPr>
          <w:rFonts w:ascii="Arial" w:eastAsia="Times New Roman" w:hAnsi="Arial" w:cs="Arial"/>
          <w:sz w:val="28"/>
          <w:szCs w:val="24"/>
        </w:rPr>
      </w:pPr>
      <w:r w:rsidRPr="004948A7">
        <w:rPr>
          <w:rFonts w:ascii="Arial" w:hAnsi="Arial" w:cs="Arial"/>
          <w:b/>
          <w:sz w:val="24"/>
          <w:szCs w:val="24"/>
        </w:rPr>
        <w:t>Geographic Access</w:t>
      </w:r>
      <w:r w:rsidR="00DD757F">
        <w:rPr>
          <w:rStyle w:val="FootnoteReference"/>
          <w:rFonts w:ascii="Arial" w:hAnsi="Arial" w:cs="Arial"/>
          <w:b/>
          <w:sz w:val="24"/>
          <w:szCs w:val="24"/>
        </w:rPr>
        <w:footnoteReference w:id="5"/>
      </w:r>
      <w:r w:rsidRPr="004948A7">
        <w:rPr>
          <w:rFonts w:ascii="Arial" w:hAnsi="Arial" w:cs="Arial"/>
          <w:b/>
          <w:sz w:val="24"/>
          <w:szCs w:val="24"/>
        </w:rPr>
        <w:t xml:space="preserve"> to P</w:t>
      </w:r>
      <w:r w:rsidR="007E305E">
        <w:rPr>
          <w:rFonts w:ascii="Arial" w:hAnsi="Arial" w:cs="Arial"/>
          <w:b/>
          <w:sz w:val="24"/>
          <w:szCs w:val="24"/>
        </w:rPr>
        <w:t xml:space="preserve">rimary </w:t>
      </w:r>
      <w:r w:rsidRPr="004948A7">
        <w:rPr>
          <w:rFonts w:ascii="Arial" w:hAnsi="Arial" w:cs="Arial"/>
          <w:b/>
          <w:sz w:val="24"/>
          <w:szCs w:val="24"/>
        </w:rPr>
        <w:t>C</w:t>
      </w:r>
      <w:r w:rsidR="007E305E">
        <w:rPr>
          <w:rFonts w:ascii="Arial" w:hAnsi="Arial" w:cs="Arial"/>
          <w:b/>
          <w:sz w:val="24"/>
          <w:szCs w:val="24"/>
        </w:rPr>
        <w:t xml:space="preserve">are </w:t>
      </w:r>
      <w:r w:rsidRPr="004948A7">
        <w:rPr>
          <w:rFonts w:ascii="Arial" w:hAnsi="Arial" w:cs="Arial"/>
          <w:b/>
          <w:sz w:val="24"/>
          <w:szCs w:val="24"/>
        </w:rPr>
        <w:t>P</w:t>
      </w:r>
      <w:r w:rsidR="007E305E">
        <w:rPr>
          <w:rFonts w:ascii="Arial" w:hAnsi="Arial" w:cs="Arial"/>
          <w:b/>
          <w:sz w:val="24"/>
          <w:szCs w:val="24"/>
        </w:rPr>
        <w:t>hysician</w:t>
      </w:r>
      <w:r w:rsidRPr="004948A7">
        <w:rPr>
          <w:rFonts w:ascii="Arial" w:hAnsi="Arial" w:cs="Arial"/>
          <w:b/>
          <w:sz w:val="24"/>
          <w:szCs w:val="24"/>
        </w:rPr>
        <w:t>s for Members</w:t>
      </w:r>
      <w:r w:rsidR="00F35A0C">
        <w:rPr>
          <w:rFonts w:ascii="Arial" w:hAnsi="Arial" w:cs="Arial"/>
          <w:b/>
          <w:sz w:val="24"/>
          <w:szCs w:val="24"/>
        </w:rPr>
        <w:t xml:space="preserve"> </w:t>
      </w:r>
      <w:r w:rsidRPr="004948A7">
        <w:rPr>
          <w:rFonts w:ascii="Arial" w:hAnsi="Arial" w:cs="Arial"/>
          <w:b/>
          <w:sz w:val="24"/>
          <w:szCs w:val="24"/>
        </w:rPr>
        <w:t>for SFY 2018 by County</w:t>
      </w:r>
    </w:p>
    <w:tbl>
      <w:tblPr>
        <w:tblW w:w="6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600"/>
        <w:gridCol w:w="1680"/>
        <w:gridCol w:w="1752"/>
      </w:tblGrid>
      <w:tr w:rsidR="005B7CF1" w:rsidRPr="007A5457" w:rsidTr="005B7CF1">
        <w:trPr>
          <w:trHeight w:val="1020"/>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b/>
                <w:bCs/>
                <w:sz w:val="24"/>
                <w:szCs w:val="24"/>
              </w:rPr>
            </w:pPr>
            <w:r w:rsidRPr="007A5457">
              <w:rPr>
                <w:rFonts w:ascii="Arial" w:eastAsia="Times New Roman" w:hAnsi="Arial" w:cs="Arial"/>
                <w:b/>
                <w:bCs/>
                <w:sz w:val="24"/>
                <w:szCs w:val="24"/>
              </w:rPr>
              <w:t>County</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b/>
                <w:bCs/>
                <w:sz w:val="24"/>
                <w:szCs w:val="24"/>
              </w:rPr>
            </w:pPr>
            <w:r w:rsidRPr="007A5457">
              <w:rPr>
                <w:rFonts w:ascii="Arial" w:eastAsia="Times New Roman" w:hAnsi="Arial" w:cs="Arial"/>
                <w:b/>
                <w:bCs/>
                <w:sz w:val="24"/>
                <w:szCs w:val="24"/>
              </w:rPr>
              <w:t>Total Members</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b/>
                <w:bCs/>
                <w:sz w:val="24"/>
                <w:szCs w:val="24"/>
              </w:rPr>
            </w:pPr>
            <w:r w:rsidRPr="007A5457">
              <w:rPr>
                <w:rFonts w:ascii="Arial" w:eastAsia="Times New Roman" w:hAnsi="Arial" w:cs="Arial"/>
                <w:b/>
                <w:bCs/>
                <w:sz w:val="24"/>
                <w:szCs w:val="24"/>
              </w:rPr>
              <w:t>Total Providers</w:t>
            </w:r>
          </w:p>
        </w:tc>
        <w:tc>
          <w:tcPr>
            <w:tcW w:w="1752" w:type="dxa"/>
            <w:shd w:val="clear" w:color="auto" w:fill="auto"/>
            <w:vAlign w:val="center"/>
            <w:hideMark/>
          </w:tcPr>
          <w:p w:rsidR="005B7CF1" w:rsidRPr="007A5457" w:rsidRDefault="005B7CF1" w:rsidP="007A5457">
            <w:pPr>
              <w:ind w:firstLine="0"/>
              <w:jc w:val="center"/>
              <w:rPr>
                <w:rFonts w:ascii="Arial" w:eastAsia="Times New Roman" w:hAnsi="Arial" w:cs="Arial"/>
                <w:b/>
                <w:bCs/>
                <w:sz w:val="24"/>
                <w:szCs w:val="24"/>
              </w:rPr>
            </w:pPr>
            <w:r w:rsidRPr="007A5457">
              <w:rPr>
                <w:rFonts w:ascii="Arial" w:eastAsia="Times New Roman" w:hAnsi="Arial" w:cs="Arial"/>
                <w:b/>
                <w:bCs/>
                <w:sz w:val="24"/>
                <w:szCs w:val="24"/>
              </w:rPr>
              <w:t xml:space="preserve">Access Standard Met </w:t>
            </w:r>
          </w:p>
          <w:p w:rsidR="005B7CF1" w:rsidRPr="007A5457" w:rsidRDefault="005B7CF1" w:rsidP="007A5457">
            <w:pPr>
              <w:ind w:firstLine="0"/>
              <w:jc w:val="center"/>
              <w:rPr>
                <w:rFonts w:ascii="Arial" w:eastAsia="Times New Roman" w:hAnsi="Arial" w:cs="Arial"/>
                <w:b/>
                <w:bCs/>
                <w:sz w:val="20"/>
                <w:szCs w:val="20"/>
              </w:rPr>
            </w:pPr>
            <w:r w:rsidRPr="007A5457">
              <w:rPr>
                <w:rFonts w:ascii="Arial" w:eastAsia="Times New Roman" w:hAnsi="Arial" w:cs="Arial"/>
                <w:b/>
                <w:bCs/>
                <w:sz w:val="20"/>
                <w:szCs w:val="20"/>
              </w:rPr>
              <w:t>(% of members)</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Barnstable</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21,824</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250</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Berkshire</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4,260</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149</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Bristol</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46,973</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608</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Dukes</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2,362</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6</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Essex</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64,291</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829</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Franklin</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9,398</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70</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Hampden</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32,210</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747</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Hampshire</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9,257</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164</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Middlesex</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44,493</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1,847</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Nantucket</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1,348</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9</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Norfolk</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23,490</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840</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Plymouth</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32,986</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421</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Suffolk</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68,155</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3,889</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r w:rsidR="005B7CF1" w:rsidRPr="007A5457" w:rsidTr="005B7CF1">
        <w:trPr>
          <w:trHeight w:val="315"/>
          <w:jc w:val="center"/>
        </w:trPr>
        <w:tc>
          <w:tcPr>
            <w:tcW w:w="1377"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Worcester</w:t>
            </w:r>
          </w:p>
        </w:tc>
        <w:tc>
          <w:tcPr>
            <w:tcW w:w="160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82,761</w:t>
            </w:r>
          </w:p>
        </w:tc>
        <w:tc>
          <w:tcPr>
            <w:tcW w:w="1680"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1,236</w:t>
            </w:r>
          </w:p>
        </w:tc>
        <w:tc>
          <w:tcPr>
            <w:tcW w:w="1752" w:type="dxa"/>
            <w:shd w:val="clear" w:color="auto" w:fill="auto"/>
            <w:noWrap/>
            <w:vAlign w:val="center"/>
            <w:hideMark/>
          </w:tcPr>
          <w:p w:rsidR="005B7CF1" w:rsidRPr="007A5457" w:rsidRDefault="005B7CF1" w:rsidP="007A5457">
            <w:pPr>
              <w:ind w:firstLine="0"/>
              <w:jc w:val="center"/>
              <w:rPr>
                <w:rFonts w:ascii="Arial" w:eastAsia="Times New Roman" w:hAnsi="Arial" w:cs="Arial"/>
                <w:sz w:val="24"/>
                <w:szCs w:val="24"/>
              </w:rPr>
            </w:pPr>
            <w:r w:rsidRPr="007A5457">
              <w:rPr>
                <w:rFonts w:ascii="Arial" w:eastAsia="Times New Roman" w:hAnsi="Arial" w:cs="Arial"/>
                <w:sz w:val="24"/>
                <w:szCs w:val="24"/>
              </w:rPr>
              <w:t>100</w:t>
            </w:r>
          </w:p>
        </w:tc>
      </w:tr>
    </w:tbl>
    <w:p w:rsidR="007A576C" w:rsidRDefault="007A576C" w:rsidP="00EF5EDF">
      <w:pPr>
        <w:ind w:firstLine="0"/>
        <w:rPr>
          <w:rFonts w:ascii="Arial" w:hAnsi="Arial" w:cs="Arial"/>
          <w:sz w:val="24"/>
          <w:szCs w:val="24"/>
        </w:rPr>
      </w:pPr>
    </w:p>
    <w:p w:rsidR="000B404E" w:rsidRDefault="004948A7" w:rsidP="00EF5EDF">
      <w:pPr>
        <w:ind w:firstLine="0"/>
        <w:rPr>
          <w:rFonts w:ascii="Arial" w:hAnsi="Arial" w:cs="Arial"/>
          <w:sz w:val="24"/>
          <w:szCs w:val="24"/>
        </w:rPr>
      </w:pPr>
      <w:r w:rsidRPr="004948A7">
        <w:rPr>
          <w:rFonts w:ascii="Arial" w:hAnsi="Arial" w:cs="Arial"/>
          <w:sz w:val="24"/>
          <w:szCs w:val="24"/>
        </w:rPr>
        <w:t xml:space="preserve">Results: The geo-mapping of primary care </w:t>
      </w:r>
      <w:r w:rsidR="0093740B">
        <w:rPr>
          <w:rFonts w:ascii="Arial" w:hAnsi="Arial" w:cs="Arial"/>
          <w:sz w:val="24"/>
          <w:szCs w:val="24"/>
        </w:rPr>
        <w:t>physicians</w:t>
      </w:r>
      <w:r w:rsidR="0093740B" w:rsidRPr="004948A7">
        <w:rPr>
          <w:rFonts w:ascii="Arial" w:hAnsi="Arial" w:cs="Arial"/>
          <w:sz w:val="24"/>
          <w:szCs w:val="24"/>
        </w:rPr>
        <w:t xml:space="preserve"> </w:t>
      </w:r>
      <w:r w:rsidR="000B404E">
        <w:rPr>
          <w:rFonts w:ascii="Arial" w:hAnsi="Arial" w:cs="Arial"/>
          <w:sz w:val="24"/>
          <w:szCs w:val="24"/>
        </w:rPr>
        <w:t>indicates</w:t>
      </w:r>
      <w:r w:rsidR="000B404E" w:rsidRPr="004948A7">
        <w:rPr>
          <w:rFonts w:ascii="Arial" w:hAnsi="Arial" w:cs="Arial"/>
          <w:sz w:val="24"/>
          <w:szCs w:val="24"/>
        </w:rPr>
        <w:t xml:space="preserve"> </w:t>
      </w:r>
      <w:r w:rsidRPr="004948A7">
        <w:rPr>
          <w:rFonts w:ascii="Arial" w:hAnsi="Arial" w:cs="Arial"/>
          <w:sz w:val="24"/>
          <w:szCs w:val="24"/>
        </w:rPr>
        <w:t xml:space="preserve">that in all of the 14 counties, 100% of members have </w:t>
      </w:r>
      <w:r w:rsidR="00136D0C">
        <w:rPr>
          <w:rFonts w:ascii="Arial" w:hAnsi="Arial" w:cs="Arial"/>
          <w:sz w:val="24"/>
          <w:szCs w:val="24"/>
        </w:rPr>
        <w:t>two</w:t>
      </w:r>
      <w:r w:rsidR="00776E51">
        <w:rPr>
          <w:rFonts w:ascii="Arial" w:hAnsi="Arial" w:cs="Arial"/>
          <w:sz w:val="24"/>
          <w:szCs w:val="24"/>
        </w:rPr>
        <w:t xml:space="preserve"> p</w:t>
      </w:r>
      <w:r w:rsidR="00DD757F">
        <w:rPr>
          <w:rFonts w:ascii="Arial" w:hAnsi="Arial" w:cs="Arial"/>
          <w:sz w:val="24"/>
          <w:szCs w:val="24"/>
        </w:rPr>
        <w:t xml:space="preserve">rimary </w:t>
      </w:r>
      <w:r w:rsidR="00776E51">
        <w:rPr>
          <w:rFonts w:ascii="Arial" w:hAnsi="Arial" w:cs="Arial"/>
          <w:sz w:val="24"/>
          <w:szCs w:val="24"/>
        </w:rPr>
        <w:t>c</w:t>
      </w:r>
      <w:r w:rsidR="00DD757F">
        <w:rPr>
          <w:rFonts w:ascii="Arial" w:hAnsi="Arial" w:cs="Arial"/>
          <w:sz w:val="24"/>
          <w:szCs w:val="24"/>
        </w:rPr>
        <w:t xml:space="preserve">are </w:t>
      </w:r>
      <w:r w:rsidR="00776E51">
        <w:rPr>
          <w:rFonts w:ascii="Arial" w:hAnsi="Arial" w:cs="Arial"/>
          <w:sz w:val="24"/>
          <w:szCs w:val="24"/>
        </w:rPr>
        <w:t>p</w:t>
      </w:r>
      <w:r w:rsidR="00DD757F">
        <w:rPr>
          <w:rFonts w:ascii="Arial" w:hAnsi="Arial" w:cs="Arial"/>
          <w:sz w:val="24"/>
          <w:szCs w:val="24"/>
        </w:rPr>
        <w:t>hysicians</w:t>
      </w:r>
      <w:r w:rsidR="000B404E">
        <w:rPr>
          <w:rFonts w:ascii="Arial" w:hAnsi="Arial" w:cs="Arial"/>
          <w:sz w:val="24"/>
          <w:szCs w:val="24"/>
        </w:rPr>
        <w:t xml:space="preserve"> within 15 miles or 30-minutes’ drive.</w:t>
      </w:r>
    </w:p>
    <w:p w:rsidR="0092767F" w:rsidRPr="00FD405F" w:rsidRDefault="000B404E" w:rsidP="00EF5EDF">
      <w:pPr>
        <w:ind w:firstLine="0"/>
        <w:rPr>
          <w:rFonts w:ascii="Arial" w:hAnsi="Arial" w:cs="Arial"/>
          <w:b/>
          <w:sz w:val="24"/>
          <w:szCs w:val="24"/>
          <w:u w:val="single"/>
        </w:rPr>
      </w:pPr>
      <w:r w:rsidRPr="004948A7" w:rsidDel="000B404E">
        <w:rPr>
          <w:rFonts w:ascii="Arial" w:hAnsi="Arial" w:cs="Arial"/>
          <w:sz w:val="24"/>
          <w:szCs w:val="24"/>
        </w:rPr>
        <w:lastRenderedPageBreak/>
        <w:t xml:space="preserve"> </w:t>
      </w:r>
    </w:p>
    <w:p w:rsidR="00EF5EDF" w:rsidRPr="0066291B" w:rsidRDefault="0066291B" w:rsidP="0066291B">
      <w:pPr>
        <w:pStyle w:val="Heading2"/>
        <w:rPr>
          <w:rFonts w:ascii="Arial" w:hAnsi="Arial" w:cs="Arial"/>
          <w:color w:val="auto"/>
          <w:sz w:val="24"/>
          <w:szCs w:val="24"/>
          <w:u w:val="single"/>
        </w:rPr>
      </w:pPr>
      <w:bookmarkStart w:id="27" w:name="_Toc20296926"/>
      <w:r>
        <w:rPr>
          <w:rFonts w:ascii="Arial" w:hAnsi="Arial" w:cs="Arial"/>
          <w:color w:val="auto"/>
          <w:sz w:val="24"/>
          <w:szCs w:val="24"/>
          <w:u w:val="single"/>
        </w:rPr>
        <w:t xml:space="preserve">3. </w:t>
      </w:r>
      <w:r w:rsidR="00EF5EDF" w:rsidRPr="0066291B">
        <w:rPr>
          <w:rFonts w:ascii="Arial" w:hAnsi="Arial" w:cs="Arial"/>
          <w:color w:val="auto"/>
          <w:sz w:val="24"/>
          <w:szCs w:val="24"/>
          <w:u w:val="single"/>
        </w:rPr>
        <w:t>Member/</w:t>
      </w:r>
      <w:r w:rsidR="00BB1919">
        <w:rPr>
          <w:rFonts w:ascii="Arial" w:hAnsi="Arial" w:cs="Arial"/>
          <w:color w:val="auto"/>
          <w:sz w:val="24"/>
          <w:szCs w:val="24"/>
          <w:u w:val="single"/>
        </w:rPr>
        <w:t xml:space="preserve">Primary Care </w:t>
      </w:r>
      <w:r w:rsidR="00EF5EDF" w:rsidRPr="0066291B">
        <w:rPr>
          <w:rFonts w:ascii="Arial" w:hAnsi="Arial" w:cs="Arial"/>
          <w:color w:val="auto"/>
          <w:sz w:val="24"/>
          <w:szCs w:val="24"/>
          <w:u w:val="single"/>
        </w:rPr>
        <w:t>Provider Ratios</w:t>
      </w:r>
      <w:bookmarkEnd w:id="27"/>
    </w:p>
    <w:p w:rsidR="00485FD7" w:rsidRPr="00FD405F" w:rsidRDefault="00485FD7" w:rsidP="00485FD7">
      <w:pPr>
        <w:ind w:firstLine="0"/>
        <w:rPr>
          <w:rFonts w:ascii="Arial" w:hAnsi="Arial" w:cs="Arial"/>
          <w:sz w:val="24"/>
          <w:szCs w:val="24"/>
          <w:u w:val="single"/>
        </w:rPr>
      </w:pPr>
    </w:p>
    <w:p w:rsidR="00FC0279" w:rsidRDefault="00FC0279" w:rsidP="00FA7381">
      <w:pPr>
        <w:ind w:firstLine="0"/>
        <w:rPr>
          <w:rFonts w:ascii="Arial" w:hAnsi="Arial" w:cs="Arial"/>
          <w:sz w:val="24"/>
          <w:szCs w:val="24"/>
        </w:rPr>
      </w:pPr>
      <w:r w:rsidRPr="00FC0279">
        <w:rPr>
          <w:rFonts w:ascii="Arial" w:hAnsi="Arial" w:cs="Arial"/>
          <w:sz w:val="24"/>
          <w:szCs w:val="24"/>
        </w:rPr>
        <w:t>The member/provider ratios trended for stability over time in the following section offer context to the provider data tables above.</w:t>
      </w:r>
    </w:p>
    <w:p w:rsidR="00FC0279" w:rsidRDefault="00FC0279" w:rsidP="00FA7381">
      <w:pPr>
        <w:ind w:firstLine="0"/>
        <w:rPr>
          <w:rFonts w:ascii="Arial" w:hAnsi="Arial" w:cs="Arial"/>
          <w:sz w:val="24"/>
          <w:szCs w:val="24"/>
        </w:rPr>
      </w:pPr>
    </w:p>
    <w:p w:rsidR="00FA7381" w:rsidRPr="00FD405F" w:rsidRDefault="00934CB2" w:rsidP="00FA7381">
      <w:pPr>
        <w:ind w:firstLine="0"/>
        <w:rPr>
          <w:rFonts w:ascii="Arial" w:hAnsi="Arial" w:cs="Arial"/>
          <w:sz w:val="24"/>
          <w:szCs w:val="24"/>
        </w:rPr>
      </w:pPr>
      <w:r w:rsidRPr="00FD405F">
        <w:rPr>
          <w:rFonts w:ascii="Arial" w:hAnsi="Arial" w:cs="Arial"/>
          <w:sz w:val="24"/>
          <w:szCs w:val="24"/>
        </w:rPr>
        <w:t>D</w:t>
      </w:r>
      <w:r w:rsidR="00FA7381" w:rsidRPr="00FD405F">
        <w:rPr>
          <w:rFonts w:ascii="Arial" w:hAnsi="Arial" w:cs="Arial"/>
          <w:sz w:val="24"/>
          <w:szCs w:val="24"/>
        </w:rPr>
        <w:t>ata source</w:t>
      </w:r>
      <w:r w:rsidRPr="00FD405F">
        <w:rPr>
          <w:rFonts w:ascii="Arial" w:hAnsi="Arial" w:cs="Arial"/>
          <w:sz w:val="24"/>
          <w:szCs w:val="24"/>
        </w:rPr>
        <w:t>:</w:t>
      </w:r>
      <w:r w:rsidR="00FA7381" w:rsidRPr="00FD405F">
        <w:rPr>
          <w:rFonts w:ascii="Arial" w:hAnsi="Arial" w:cs="Arial"/>
          <w:sz w:val="24"/>
          <w:szCs w:val="24"/>
        </w:rPr>
        <w:t xml:space="preserve"> MMIS </w:t>
      </w:r>
      <w:r w:rsidRPr="00FD405F">
        <w:rPr>
          <w:rFonts w:ascii="Arial" w:hAnsi="Arial" w:cs="Arial"/>
          <w:sz w:val="24"/>
          <w:szCs w:val="24"/>
        </w:rPr>
        <w:t xml:space="preserve">member and provider </w:t>
      </w:r>
      <w:r w:rsidR="00FA7381" w:rsidRPr="00FD405F">
        <w:rPr>
          <w:rFonts w:ascii="Arial" w:hAnsi="Arial" w:cs="Arial"/>
          <w:sz w:val="24"/>
          <w:szCs w:val="24"/>
        </w:rPr>
        <w:t>enrollment data</w:t>
      </w:r>
    </w:p>
    <w:p w:rsidR="00BB2FF5" w:rsidRPr="00FD405F" w:rsidRDefault="00BB2FF5" w:rsidP="008B5606">
      <w:pPr>
        <w:ind w:firstLine="0"/>
        <w:rPr>
          <w:rFonts w:ascii="Arial" w:hAnsi="Arial" w:cs="Arial"/>
          <w:sz w:val="24"/>
          <w:szCs w:val="24"/>
        </w:rPr>
      </w:pPr>
    </w:p>
    <w:p w:rsidR="0039584E" w:rsidRPr="00FD405F" w:rsidRDefault="00934CB2" w:rsidP="00CF6BDC">
      <w:pPr>
        <w:ind w:firstLine="0"/>
        <w:rPr>
          <w:rFonts w:ascii="Arial" w:hAnsi="Arial" w:cs="Arial"/>
          <w:sz w:val="24"/>
          <w:szCs w:val="24"/>
        </w:rPr>
      </w:pPr>
      <w:r w:rsidRPr="00FD405F">
        <w:rPr>
          <w:rFonts w:ascii="Arial" w:hAnsi="Arial" w:cs="Arial"/>
          <w:sz w:val="24"/>
          <w:szCs w:val="24"/>
        </w:rPr>
        <w:t>M</w:t>
      </w:r>
      <w:r w:rsidR="00FA7381" w:rsidRPr="00FD405F">
        <w:rPr>
          <w:rFonts w:ascii="Arial" w:hAnsi="Arial" w:cs="Arial"/>
          <w:sz w:val="24"/>
          <w:szCs w:val="24"/>
        </w:rPr>
        <w:t>ethodology</w:t>
      </w:r>
      <w:r w:rsidR="00BB0491" w:rsidRPr="00FD405F">
        <w:rPr>
          <w:rFonts w:ascii="Arial" w:hAnsi="Arial" w:cs="Arial"/>
          <w:sz w:val="24"/>
          <w:szCs w:val="24"/>
        </w:rPr>
        <w:t>:</w:t>
      </w:r>
      <w:r w:rsidR="00FA7381" w:rsidRPr="00FD405F">
        <w:rPr>
          <w:rFonts w:ascii="Arial" w:hAnsi="Arial" w:cs="Arial"/>
          <w:sz w:val="24"/>
          <w:szCs w:val="24"/>
        </w:rPr>
        <w:t xml:space="preserve"> </w:t>
      </w:r>
      <w:r w:rsidRPr="00FD405F">
        <w:rPr>
          <w:rFonts w:ascii="Arial" w:hAnsi="Arial" w:cs="Arial"/>
          <w:sz w:val="24"/>
          <w:szCs w:val="24"/>
        </w:rPr>
        <w:t xml:space="preserve">Divided the number of enrolled Medicaid members in each county by the number of active, enrolled </w:t>
      </w:r>
      <w:r w:rsidR="000B404E">
        <w:rPr>
          <w:rFonts w:ascii="Arial" w:hAnsi="Arial" w:cs="Arial"/>
          <w:sz w:val="24"/>
          <w:szCs w:val="24"/>
        </w:rPr>
        <w:t xml:space="preserve">primary care </w:t>
      </w:r>
      <w:r w:rsidRPr="00FD405F">
        <w:rPr>
          <w:rFonts w:ascii="Arial" w:hAnsi="Arial" w:cs="Arial"/>
          <w:sz w:val="24"/>
          <w:szCs w:val="24"/>
        </w:rPr>
        <w:t>providers</w:t>
      </w:r>
      <w:r w:rsidR="00E51CE5" w:rsidRPr="00FD405F">
        <w:rPr>
          <w:rFonts w:ascii="Arial" w:hAnsi="Arial" w:cs="Arial"/>
          <w:sz w:val="24"/>
          <w:szCs w:val="24"/>
        </w:rPr>
        <w:t xml:space="preserve"> in that county</w:t>
      </w:r>
      <w:r w:rsidRPr="00FD405F">
        <w:rPr>
          <w:rFonts w:ascii="Arial" w:hAnsi="Arial" w:cs="Arial"/>
          <w:sz w:val="24"/>
          <w:szCs w:val="24"/>
        </w:rPr>
        <w:t xml:space="preserve">. </w:t>
      </w:r>
      <w:r w:rsidR="00CF6BDC" w:rsidRPr="00FD405F">
        <w:rPr>
          <w:rFonts w:ascii="Arial" w:hAnsi="Arial" w:cs="Arial"/>
          <w:sz w:val="24"/>
          <w:szCs w:val="24"/>
        </w:rPr>
        <w:t>Members are defined as PCC plan members</w:t>
      </w:r>
      <w:r w:rsidR="008A7122" w:rsidRPr="00FD405F">
        <w:rPr>
          <w:rFonts w:ascii="Arial" w:hAnsi="Arial" w:cs="Arial"/>
          <w:sz w:val="24"/>
          <w:szCs w:val="24"/>
        </w:rPr>
        <w:t xml:space="preserve">, members enrolled in a </w:t>
      </w:r>
      <w:r w:rsidR="00E758E9" w:rsidRPr="00FD405F">
        <w:rPr>
          <w:rFonts w:ascii="Arial" w:hAnsi="Arial" w:cs="Arial"/>
          <w:sz w:val="24"/>
          <w:szCs w:val="24"/>
        </w:rPr>
        <w:t>Primary Care ACO</w:t>
      </w:r>
      <w:r w:rsidR="00CF6BDC" w:rsidRPr="00FD405F">
        <w:rPr>
          <w:rFonts w:ascii="Arial" w:hAnsi="Arial" w:cs="Arial"/>
          <w:sz w:val="24"/>
          <w:szCs w:val="24"/>
        </w:rPr>
        <w:t xml:space="preserve"> and FFS members with MassHealth as primary coverage</w:t>
      </w:r>
      <w:r w:rsidR="00BB2FF5" w:rsidRPr="00FD405F">
        <w:rPr>
          <w:rFonts w:ascii="Arial" w:hAnsi="Arial" w:cs="Arial"/>
          <w:sz w:val="24"/>
          <w:szCs w:val="24"/>
        </w:rPr>
        <w:t>.</w:t>
      </w:r>
    </w:p>
    <w:p w:rsidR="00180698" w:rsidRPr="00FD405F" w:rsidRDefault="00180698" w:rsidP="00CF6BDC">
      <w:pPr>
        <w:ind w:firstLine="0"/>
        <w:rPr>
          <w:rFonts w:ascii="Arial" w:hAnsi="Arial" w:cs="Arial"/>
          <w:sz w:val="24"/>
          <w:szCs w:val="24"/>
        </w:rPr>
      </w:pPr>
    </w:p>
    <w:p w:rsidR="00A70475" w:rsidRPr="00FD405F" w:rsidRDefault="001F7310" w:rsidP="00A70475">
      <w:pPr>
        <w:ind w:firstLine="0"/>
        <w:rPr>
          <w:rFonts w:ascii="Arial" w:hAnsi="Arial" w:cs="Arial"/>
          <w:sz w:val="24"/>
          <w:szCs w:val="24"/>
        </w:rPr>
      </w:pPr>
      <w:r w:rsidRPr="00FD405F">
        <w:rPr>
          <w:rFonts w:ascii="Arial" w:hAnsi="Arial" w:cs="Arial"/>
          <w:noProof/>
          <w:sz w:val="24"/>
          <w:szCs w:val="24"/>
        </w:rPr>
        <mc:AlternateContent>
          <mc:Choice Requires="wps">
            <w:drawing>
              <wp:inline distT="0" distB="0" distL="0" distR="0" wp14:anchorId="51C81486" wp14:editId="03C83286">
                <wp:extent cx="1828800" cy="1828800"/>
                <wp:effectExtent l="0" t="0" r="19050" b="9525"/>
                <wp:docPr id="4" name="Text Box 4" descr="This key provides the abbreviations for acronymns used for providers listed below: &#10;PCP is Primary Care Physicians (Physicians with a specialty of Internal Medicine, General Medicine or Pediatrics), NP is Nurse Practitioner, CHC is Community Health Center, HOD is Hospital Outpatient Department and HLHC is Hospital Licensed Health Center.&#10;" title="Acronymn Key for Providers Listed Below"/>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E9301C" w:rsidRPr="00FD405F" w:rsidRDefault="00E9301C" w:rsidP="00A70475">
                            <w:pPr>
                              <w:ind w:firstLine="0"/>
                              <w:rPr>
                                <w:rFonts w:ascii="Arial" w:hAnsi="Arial" w:cs="Arial"/>
                                <w:b/>
                                <w:sz w:val="24"/>
                                <w:szCs w:val="24"/>
                              </w:rPr>
                            </w:pPr>
                            <w:r w:rsidRPr="00FD405F">
                              <w:rPr>
                                <w:rFonts w:ascii="Arial" w:hAnsi="Arial" w:cs="Arial"/>
                                <w:b/>
                                <w:sz w:val="24"/>
                                <w:szCs w:val="24"/>
                                <w:u w:val="single"/>
                              </w:rPr>
                              <w:t xml:space="preserve">Key for acronyms used for </w:t>
                            </w:r>
                            <w:r>
                              <w:rPr>
                                <w:rFonts w:ascii="Arial" w:hAnsi="Arial" w:cs="Arial"/>
                                <w:b/>
                                <w:sz w:val="24"/>
                                <w:szCs w:val="24"/>
                                <w:u w:val="single"/>
                              </w:rPr>
                              <w:t xml:space="preserve">primary care </w:t>
                            </w:r>
                            <w:r w:rsidRPr="00FD405F">
                              <w:rPr>
                                <w:rFonts w:ascii="Arial" w:hAnsi="Arial" w:cs="Arial"/>
                                <w:b/>
                                <w:sz w:val="24"/>
                                <w:szCs w:val="24"/>
                                <w:u w:val="single"/>
                              </w:rPr>
                              <w:t>provider</w:t>
                            </w:r>
                            <w:r>
                              <w:rPr>
                                <w:rFonts w:ascii="Arial" w:hAnsi="Arial" w:cs="Arial"/>
                                <w:b/>
                                <w:sz w:val="24"/>
                                <w:szCs w:val="24"/>
                                <w:u w:val="single"/>
                              </w:rPr>
                              <w:t xml:space="preserve"> type</w:t>
                            </w:r>
                            <w:r w:rsidRPr="00FD405F">
                              <w:rPr>
                                <w:rFonts w:ascii="Arial" w:hAnsi="Arial" w:cs="Arial"/>
                                <w:b/>
                                <w:sz w:val="24"/>
                                <w:szCs w:val="24"/>
                                <w:u w:val="single"/>
                              </w:rPr>
                              <w:t>s listed below</w:t>
                            </w:r>
                            <w:r w:rsidRPr="00FD405F">
                              <w:rPr>
                                <w:rFonts w:ascii="Arial" w:hAnsi="Arial" w:cs="Arial"/>
                                <w:b/>
                                <w:sz w:val="24"/>
                                <w:szCs w:val="24"/>
                              </w:rPr>
                              <w:t>:</w:t>
                            </w:r>
                          </w:p>
                          <w:p w:rsidR="00E9301C" w:rsidRPr="00FD405F" w:rsidRDefault="00E9301C" w:rsidP="002615D1">
                            <w:pPr>
                              <w:ind w:firstLine="0"/>
                              <w:rPr>
                                <w:rFonts w:ascii="Arial" w:hAnsi="Arial" w:cs="Arial"/>
                                <w:sz w:val="24"/>
                                <w:szCs w:val="24"/>
                              </w:rPr>
                            </w:pPr>
                            <w:r w:rsidRPr="00FD405F">
                              <w:rPr>
                                <w:rFonts w:ascii="Arial" w:hAnsi="Arial" w:cs="Arial"/>
                                <w:sz w:val="24"/>
                                <w:szCs w:val="24"/>
                              </w:rPr>
                              <w:t>PCP –Primary Care Physicians (Physicians with a specialty of Internal Medicine, General Medicine or Pediatrics)</w:t>
                            </w:r>
                            <w:r w:rsidRPr="00FD405F">
                              <w:rPr>
                                <w:rFonts w:ascii="Arial" w:hAnsi="Arial" w:cs="Arial"/>
                                <w:sz w:val="24"/>
                                <w:szCs w:val="24"/>
                              </w:rPr>
                              <w:br/>
                              <w:t>NP – Nurse Practitioner</w:t>
                            </w:r>
                            <w:r w:rsidRPr="00FD405F">
                              <w:rPr>
                                <w:rFonts w:ascii="Arial" w:hAnsi="Arial" w:cs="Arial"/>
                                <w:sz w:val="24"/>
                                <w:szCs w:val="24"/>
                              </w:rPr>
                              <w:br/>
                              <w:t>CHC – Community Health Center</w:t>
                            </w:r>
                            <w:r w:rsidRPr="00FD405F">
                              <w:rPr>
                                <w:rFonts w:ascii="Arial" w:hAnsi="Arial" w:cs="Arial"/>
                                <w:sz w:val="24"/>
                                <w:szCs w:val="24"/>
                              </w:rPr>
                              <w:br/>
                              <w:t>HOD – Hospital Outpatient Department</w:t>
                            </w:r>
                            <w:r w:rsidRPr="00FD405F">
                              <w:rPr>
                                <w:rFonts w:ascii="Arial" w:hAnsi="Arial" w:cs="Arial"/>
                                <w:sz w:val="24"/>
                                <w:szCs w:val="24"/>
                              </w:rPr>
                              <w:br/>
                              <w:t>HLHC – Hospital Licensed Health Center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alt="Title: Acronymn Key for Providers Listed Below - Description: This key provides the abbreviations for acronymns used for providers listed below: &#10;PCP is Primary Care Physicians (Physicians with a specialty of Internal Medicine, General Medicine or Pediatrics), NP is Nurse Practitioner, CHC is Community Health Center, HOD is Hospital Outpatient Department and HLHC is Hospital Licensed Health Center.&#10;"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OibpjItAwAAGwYA&#10;AA4AAAAAAAAAAAAAAAAALgIAAGRycy9lMm9Eb2MueG1sUEsBAi0AFAAGAAgAAAAhALcMAwjXAAAA&#10;BQEAAA8AAAAAAAAAAAAAAAAAhwUAAGRycy9kb3ducmV2LnhtbFBLBQYAAAAABAAEAPMAAACLBgAA&#10;AAA=&#10;" filled="f" strokeweight=".5pt">
                <v:textbox style="mso-fit-shape-to-text:t">
                  <w:txbxContent>
                    <w:p w:rsidR="00E9301C" w:rsidRPr="00FD405F" w:rsidRDefault="00E9301C" w:rsidP="00A70475">
                      <w:pPr>
                        <w:ind w:firstLine="0"/>
                        <w:rPr>
                          <w:rFonts w:ascii="Arial" w:hAnsi="Arial" w:cs="Arial"/>
                          <w:b/>
                          <w:sz w:val="24"/>
                          <w:szCs w:val="24"/>
                        </w:rPr>
                      </w:pPr>
                      <w:r w:rsidRPr="00FD405F">
                        <w:rPr>
                          <w:rFonts w:ascii="Arial" w:hAnsi="Arial" w:cs="Arial"/>
                          <w:b/>
                          <w:sz w:val="24"/>
                          <w:szCs w:val="24"/>
                          <w:u w:val="single"/>
                        </w:rPr>
                        <w:t xml:space="preserve">Key for acronyms used for </w:t>
                      </w:r>
                      <w:r>
                        <w:rPr>
                          <w:rFonts w:ascii="Arial" w:hAnsi="Arial" w:cs="Arial"/>
                          <w:b/>
                          <w:sz w:val="24"/>
                          <w:szCs w:val="24"/>
                          <w:u w:val="single"/>
                        </w:rPr>
                        <w:t xml:space="preserve">primary care </w:t>
                      </w:r>
                      <w:r w:rsidRPr="00FD405F">
                        <w:rPr>
                          <w:rFonts w:ascii="Arial" w:hAnsi="Arial" w:cs="Arial"/>
                          <w:b/>
                          <w:sz w:val="24"/>
                          <w:szCs w:val="24"/>
                          <w:u w:val="single"/>
                        </w:rPr>
                        <w:t>provider</w:t>
                      </w:r>
                      <w:r>
                        <w:rPr>
                          <w:rFonts w:ascii="Arial" w:hAnsi="Arial" w:cs="Arial"/>
                          <w:b/>
                          <w:sz w:val="24"/>
                          <w:szCs w:val="24"/>
                          <w:u w:val="single"/>
                        </w:rPr>
                        <w:t xml:space="preserve"> type</w:t>
                      </w:r>
                      <w:r w:rsidRPr="00FD405F">
                        <w:rPr>
                          <w:rFonts w:ascii="Arial" w:hAnsi="Arial" w:cs="Arial"/>
                          <w:b/>
                          <w:sz w:val="24"/>
                          <w:szCs w:val="24"/>
                          <w:u w:val="single"/>
                        </w:rPr>
                        <w:t>s listed below</w:t>
                      </w:r>
                      <w:r w:rsidRPr="00FD405F">
                        <w:rPr>
                          <w:rFonts w:ascii="Arial" w:hAnsi="Arial" w:cs="Arial"/>
                          <w:b/>
                          <w:sz w:val="24"/>
                          <w:szCs w:val="24"/>
                        </w:rPr>
                        <w:t>:</w:t>
                      </w:r>
                    </w:p>
                    <w:p w:rsidR="00E9301C" w:rsidRPr="00FD405F" w:rsidRDefault="00E9301C" w:rsidP="002615D1">
                      <w:pPr>
                        <w:ind w:firstLine="0"/>
                        <w:rPr>
                          <w:rFonts w:ascii="Arial" w:hAnsi="Arial" w:cs="Arial"/>
                          <w:sz w:val="24"/>
                          <w:szCs w:val="24"/>
                        </w:rPr>
                      </w:pPr>
                      <w:r w:rsidRPr="00FD405F">
                        <w:rPr>
                          <w:rFonts w:ascii="Arial" w:hAnsi="Arial" w:cs="Arial"/>
                          <w:sz w:val="24"/>
                          <w:szCs w:val="24"/>
                        </w:rPr>
                        <w:t>PCP –Primary Care Physicians (Physicians with a specialty of Internal Medicine, General Medicine or Pediatrics)</w:t>
                      </w:r>
                      <w:r w:rsidRPr="00FD405F">
                        <w:rPr>
                          <w:rFonts w:ascii="Arial" w:hAnsi="Arial" w:cs="Arial"/>
                          <w:sz w:val="24"/>
                          <w:szCs w:val="24"/>
                        </w:rPr>
                        <w:br/>
                        <w:t>NP – Nurse Practitioner</w:t>
                      </w:r>
                      <w:r w:rsidRPr="00FD405F">
                        <w:rPr>
                          <w:rFonts w:ascii="Arial" w:hAnsi="Arial" w:cs="Arial"/>
                          <w:sz w:val="24"/>
                          <w:szCs w:val="24"/>
                        </w:rPr>
                        <w:br/>
                        <w:t>CHC – Community Health Center</w:t>
                      </w:r>
                      <w:r w:rsidRPr="00FD405F">
                        <w:rPr>
                          <w:rFonts w:ascii="Arial" w:hAnsi="Arial" w:cs="Arial"/>
                          <w:sz w:val="24"/>
                          <w:szCs w:val="24"/>
                        </w:rPr>
                        <w:br/>
                        <w:t>HOD – Hospital Outpatient Department</w:t>
                      </w:r>
                      <w:r w:rsidRPr="00FD405F">
                        <w:rPr>
                          <w:rFonts w:ascii="Arial" w:hAnsi="Arial" w:cs="Arial"/>
                          <w:sz w:val="24"/>
                          <w:szCs w:val="24"/>
                        </w:rPr>
                        <w:br/>
                        <w:t>HLHC – Hospital Licensed Health Center</w:t>
                      </w:r>
                    </w:p>
                  </w:txbxContent>
                </v:textbox>
                <w10:anchorlock/>
              </v:shape>
            </w:pict>
          </mc:Fallback>
        </mc:AlternateContent>
      </w:r>
    </w:p>
    <w:p w:rsidR="006121AA" w:rsidRPr="00FD405F" w:rsidRDefault="006121AA" w:rsidP="00CF6BDC">
      <w:pPr>
        <w:ind w:firstLine="0"/>
        <w:rPr>
          <w:rFonts w:ascii="Arial" w:hAnsi="Arial" w:cs="Arial"/>
          <w:sz w:val="24"/>
          <w:szCs w:val="24"/>
        </w:rPr>
      </w:pPr>
    </w:p>
    <w:p w:rsidR="00FF385A" w:rsidRPr="00FD405F" w:rsidRDefault="00FF385A" w:rsidP="00CF6BDC">
      <w:pPr>
        <w:ind w:firstLine="0"/>
        <w:rPr>
          <w:rFonts w:ascii="Arial" w:hAnsi="Arial" w:cs="Arial"/>
          <w:sz w:val="24"/>
          <w:szCs w:val="24"/>
        </w:rPr>
      </w:pPr>
      <w:r w:rsidRPr="00FD405F">
        <w:rPr>
          <w:rFonts w:ascii="Arial" w:hAnsi="Arial" w:cs="Arial"/>
          <w:sz w:val="24"/>
          <w:szCs w:val="24"/>
        </w:rPr>
        <w:t xml:space="preserve">N/A </w:t>
      </w:r>
      <w:r w:rsidR="00934CB2" w:rsidRPr="00FD405F">
        <w:rPr>
          <w:rFonts w:ascii="Arial" w:hAnsi="Arial" w:cs="Arial"/>
          <w:sz w:val="24"/>
          <w:szCs w:val="24"/>
        </w:rPr>
        <w:t>indicates</w:t>
      </w:r>
      <w:r w:rsidR="009E6BE4">
        <w:rPr>
          <w:rFonts w:ascii="Arial" w:hAnsi="Arial" w:cs="Arial"/>
          <w:sz w:val="24"/>
          <w:szCs w:val="24"/>
        </w:rPr>
        <w:t xml:space="preserve"> a ratio could not be computed because</w:t>
      </w:r>
      <w:r w:rsidR="00934CB2" w:rsidRPr="00FD405F">
        <w:rPr>
          <w:rFonts w:ascii="Arial" w:hAnsi="Arial" w:cs="Arial"/>
          <w:sz w:val="24"/>
          <w:szCs w:val="24"/>
        </w:rPr>
        <w:t xml:space="preserve"> there are no such </w:t>
      </w:r>
      <w:r w:rsidRPr="00FD405F">
        <w:rPr>
          <w:rFonts w:ascii="Arial" w:hAnsi="Arial" w:cs="Arial"/>
          <w:sz w:val="24"/>
          <w:szCs w:val="24"/>
        </w:rPr>
        <w:t>provider</w:t>
      </w:r>
      <w:r w:rsidR="00934CB2" w:rsidRPr="00FD405F">
        <w:rPr>
          <w:rFonts w:ascii="Arial" w:hAnsi="Arial" w:cs="Arial"/>
          <w:sz w:val="24"/>
          <w:szCs w:val="24"/>
        </w:rPr>
        <w:t>s</w:t>
      </w:r>
      <w:r w:rsidR="00BB1919">
        <w:rPr>
          <w:rFonts w:ascii="Arial" w:hAnsi="Arial" w:cs="Arial"/>
          <w:sz w:val="24"/>
          <w:szCs w:val="24"/>
        </w:rPr>
        <w:t xml:space="preserve"> of that provider type</w:t>
      </w:r>
      <w:r w:rsidRPr="00FD405F">
        <w:rPr>
          <w:rFonts w:ascii="Arial" w:hAnsi="Arial" w:cs="Arial"/>
          <w:sz w:val="24"/>
          <w:szCs w:val="24"/>
        </w:rPr>
        <w:t xml:space="preserve"> in that county</w:t>
      </w:r>
      <w:r w:rsidR="008A7122" w:rsidRPr="00FD405F">
        <w:rPr>
          <w:rFonts w:ascii="Arial" w:hAnsi="Arial" w:cs="Arial"/>
          <w:sz w:val="24"/>
          <w:szCs w:val="24"/>
        </w:rPr>
        <w:t>.</w:t>
      </w:r>
    </w:p>
    <w:p w:rsidR="00FF385A" w:rsidRPr="00FD405F" w:rsidRDefault="00FF385A" w:rsidP="00CF6BDC">
      <w:pPr>
        <w:ind w:firstLine="0"/>
        <w:rPr>
          <w:rFonts w:ascii="Arial" w:hAnsi="Arial" w:cs="Arial"/>
          <w:sz w:val="24"/>
          <w:szCs w:val="24"/>
        </w:rPr>
      </w:pPr>
    </w:p>
    <w:p w:rsidR="00D159CE" w:rsidRPr="00FD405F" w:rsidRDefault="00D159CE" w:rsidP="00D159CE">
      <w:pPr>
        <w:ind w:firstLine="0"/>
        <w:rPr>
          <w:rFonts w:ascii="Arial" w:hAnsi="Arial" w:cs="Arial"/>
          <w:sz w:val="24"/>
          <w:szCs w:val="24"/>
        </w:rPr>
      </w:pPr>
      <w:r w:rsidRPr="00FD405F">
        <w:rPr>
          <w:rFonts w:ascii="Arial" w:hAnsi="Arial" w:cs="Arial"/>
          <w:sz w:val="24"/>
          <w:szCs w:val="24"/>
        </w:rPr>
        <w:t xml:space="preserve">Note that </w:t>
      </w:r>
      <w:r w:rsidR="00DA6677" w:rsidRPr="00FD405F">
        <w:rPr>
          <w:rFonts w:ascii="Arial" w:hAnsi="Arial" w:cs="Arial"/>
          <w:sz w:val="24"/>
          <w:szCs w:val="24"/>
        </w:rPr>
        <w:t xml:space="preserve">the ratios below are based on the residence of the members and the provider counts for </w:t>
      </w:r>
      <w:r w:rsidR="00AE3568" w:rsidRPr="00FD405F">
        <w:rPr>
          <w:rFonts w:ascii="Arial" w:hAnsi="Arial" w:cs="Arial"/>
          <w:sz w:val="24"/>
          <w:szCs w:val="24"/>
        </w:rPr>
        <w:t>members’</w:t>
      </w:r>
      <w:r w:rsidR="00DA6677" w:rsidRPr="00FD405F">
        <w:rPr>
          <w:rFonts w:ascii="Arial" w:hAnsi="Arial" w:cs="Arial"/>
          <w:sz w:val="24"/>
          <w:szCs w:val="24"/>
        </w:rPr>
        <w:t xml:space="preserve"> counties of residence. </w:t>
      </w:r>
      <w:r w:rsidR="00CB764A" w:rsidRPr="00FD405F">
        <w:rPr>
          <w:rFonts w:ascii="Arial" w:hAnsi="Arial" w:cs="Arial"/>
          <w:sz w:val="24"/>
          <w:szCs w:val="24"/>
        </w:rPr>
        <w:t>Therefore,</w:t>
      </w:r>
      <w:r w:rsidR="00DA6677" w:rsidRPr="00FD405F">
        <w:rPr>
          <w:rFonts w:ascii="Arial" w:hAnsi="Arial" w:cs="Arial"/>
          <w:sz w:val="24"/>
          <w:szCs w:val="24"/>
        </w:rPr>
        <w:t xml:space="preserve"> </w:t>
      </w:r>
      <w:r w:rsidRPr="00FD405F">
        <w:rPr>
          <w:rFonts w:ascii="Arial" w:hAnsi="Arial" w:cs="Arial"/>
          <w:sz w:val="24"/>
          <w:szCs w:val="24"/>
        </w:rPr>
        <w:t>out</w:t>
      </w:r>
      <w:r w:rsidR="004016BD" w:rsidRPr="00FD405F">
        <w:rPr>
          <w:rFonts w:ascii="Arial" w:hAnsi="Arial" w:cs="Arial"/>
          <w:sz w:val="24"/>
          <w:szCs w:val="24"/>
        </w:rPr>
        <w:t>-</w:t>
      </w:r>
      <w:r w:rsidRPr="00FD405F">
        <w:rPr>
          <w:rFonts w:ascii="Arial" w:hAnsi="Arial" w:cs="Arial"/>
          <w:sz w:val="24"/>
          <w:szCs w:val="24"/>
        </w:rPr>
        <w:t>of</w:t>
      </w:r>
      <w:r w:rsidR="004016BD" w:rsidRPr="00FD405F">
        <w:rPr>
          <w:rFonts w:ascii="Arial" w:hAnsi="Arial" w:cs="Arial"/>
          <w:sz w:val="24"/>
          <w:szCs w:val="24"/>
        </w:rPr>
        <w:t>-</w:t>
      </w:r>
      <w:r w:rsidRPr="00FD405F">
        <w:rPr>
          <w:rFonts w:ascii="Arial" w:hAnsi="Arial" w:cs="Arial"/>
          <w:sz w:val="24"/>
          <w:szCs w:val="24"/>
        </w:rPr>
        <w:t xml:space="preserve">state providers are not included in determining the member per </w:t>
      </w:r>
      <w:r w:rsidR="00BB1919">
        <w:rPr>
          <w:rFonts w:ascii="Arial" w:hAnsi="Arial" w:cs="Arial"/>
          <w:sz w:val="24"/>
          <w:szCs w:val="24"/>
        </w:rPr>
        <w:t xml:space="preserve">primary care </w:t>
      </w:r>
      <w:r w:rsidRPr="00FD405F">
        <w:rPr>
          <w:rFonts w:ascii="Arial" w:hAnsi="Arial" w:cs="Arial"/>
          <w:sz w:val="24"/>
          <w:szCs w:val="24"/>
        </w:rPr>
        <w:t>provider ratios</w:t>
      </w:r>
      <w:r w:rsidR="00DA6677" w:rsidRPr="00FD405F">
        <w:rPr>
          <w:rFonts w:ascii="Arial" w:hAnsi="Arial" w:cs="Arial"/>
          <w:sz w:val="24"/>
          <w:szCs w:val="24"/>
        </w:rPr>
        <w:t>.</w:t>
      </w:r>
      <w:r w:rsidRPr="00FD405F">
        <w:rPr>
          <w:rFonts w:ascii="Arial" w:hAnsi="Arial" w:cs="Arial"/>
          <w:sz w:val="24"/>
          <w:szCs w:val="24"/>
        </w:rPr>
        <w:t xml:space="preserve"> </w:t>
      </w:r>
    </w:p>
    <w:p w:rsidR="00D159CE" w:rsidRPr="00FD405F" w:rsidRDefault="00D159CE" w:rsidP="00FF385A">
      <w:pPr>
        <w:ind w:firstLine="0"/>
        <w:rPr>
          <w:rFonts w:ascii="Arial" w:hAnsi="Arial" w:cs="Arial"/>
          <w:sz w:val="24"/>
          <w:szCs w:val="24"/>
        </w:rPr>
      </w:pPr>
    </w:p>
    <w:p w:rsidR="004A47BD" w:rsidRDefault="00C477B7" w:rsidP="00FF385A">
      <w:pPr>
        <w:ind w:firstLine="0"/>
        <w:rPr>
          <w:rFonts w:ascii="Arial" w:hAnsi="Arial" w:cs="Arial"/>
          <w:sz w:val="24"/>
          <w:szCs w:val="24"/>
        </w:rPr>
      </w:pPr>
      <w:r w:rsidRPr="00C477B7">
        <w:rPr>
          <w:rFonts w:ascii="Arial" w:hAnsi="Arial" w:cs="Arial"/>
          <w:sz w:val="24"/>
          <w:szCs w:val="24"/>
        </w:rPr>
        <w:t xml:space="preserve">Note </w:t>
      </w:r>
      <w:r w:rsidR="00FA28D6">
        <w:rPr>
          <w:rFonts w:ascii="Arial" w:hAnsi="Arial" w:cs="Arial"/>
          <w:sz w:val="24"/>
          <w:szCs w:val="24"/>
        </w:rPr>
        <w:t xml:space="preserve">also </w:t>
      </w:r>
      <w:r w:rsidRPr="00C477B7">
        <w:rPr>
          <w:rFonts w:ascii="Arial" w:hAnsi="Arial" w:cs="Arial"/>
          <w:sz w:val="24"/>
          <w:szCs w:val="24"/>
        </w:rPr>
        <w:t xml:space="preserve">that many primary care providers may be </w:t>
      </w:r>
      <w:r w:rsidR="00F2329F">
        <w:rPr>
          <w:rFonts w:ascii="Arial" w:hAnsi="Arial" w:cs="Arial"/>
          <w:sz w:val="24"/>
          <w:szCs w:val="24"/>
        </w:rPr>
        <w:t>facility</w:t>
      </w:r>
      <w:r w:rsidR="00A62CA4">
        <w:rPr>
          <w:rFonts w:ascii="Arial" w:hAnsi="Arial" w:cs="Arial"/>
          <w:sz w:val="24"/>
          <w:szCs w:val="24"/>
        </w:rPr>
        <w:t>-</w:t>
      </w:r>
      <w:r w:rsidRPr="00C477B7">
        <w:rPr>
          <w:rFonts w:ascii="Arial" w:hAnsi="Arial" w:cs="Arial"/>
          <w:sz w:val="24"/>
          <w:szCs w:val="24"/>
        </w:rPr>
        <w:t>based providers who do not practice independently and may only be affiliated with a hospital</w:t>
      </w:r>
      <w:r w:rsidR="00D25716">
        <w:rPr>
          <w:rFonts w:ascii="Arial" w:hAnsi="Arial" w:cs="Arial"/>
          <w:sz w:val="24"/>
          <w:szCs w:val="24"/>
        </w:rPr>
        <w:t xml:space="preserve"> or </w:t>
      </w:r>
      <w:r w:rsidR="001E1A44">
        <w:rPr>
          <w:rFonts w:ascii="Arial" w:hAnsi="Arial" w:cs="Arial"/>
          <w:sz w:val="24"/>
          <w:szCs w:val="24"/>
        </w:rPr>
        <w:t>CHC</w:t>
      </w:r>
      <w:r w:rsidRPr="00C477B7">
        <w:rPr>
          <w:rFonts w:ascii="Arial" w:hAnsi="Arial" w:cs="Arial"/>
          <w:sz w:val="24"/>
          <w:szCs w:val="24"/>
        </w:rPr>
        <w:t xml:space="preserve">. Therefore, because they are not all individually enrolled as billing providers with MassHealth, they are not reflected in the data below and, as a result, the provider counts </w:t>
      </w:r>
      <w:r w:rsidR="00F2329F">
        <w:rPr>
          <w:rFonts w:ascii="Arial" w:hAnsi="Arial" w:cs="Arial"/>
          <w:sz w:val="24"/>
          <w:szCs w:val="24"/>
        </w:rPr>
        <w:t xml:space="preserve">may underestimate the number of </w:t>
      </w:r>
      <w:r w:rsidR="007029F5">
        <w:rPr>
          <w:rFonts w:ascii="Arial" w:hAnsi="Arial" w:cs="Arial"/>
          <w:sz w:val="24"/>
          <w:szCs w:val="24"/>
        </w:rPr>
        <w:t xml:space="preserve">actual </w:t>
      </w:r>
      <w:r w:rsidR="00F2329F">
        <w:rPr>
          <w:rFonts w:ascii="Arial" w:hAnsi="Arial" w:cs="Arial"/>
          <w:sz w:val="24"/>
          <w:szCs w:val="24"/>
        </w:rPr>
        <w:t>clinicians providing services</w:t>
      </w:r>
      <w:r w:rsidRPr="00C477B7">
        <w:rPr>
          <w:rFonts w:ascii="Arial" w:hAnsi="Arial" w:cs="Arial"/>
          <w:sz w:val="24"/>
          <w:szCs w:val="24"/>
        </w:rPr>
        <w:t>.</w:t>
      </w:r>
      <w:r>
        <w:rPr>
          <w:rFonts w:ascii="Arial" w:hAnsi="Arial" w:cs="Arial"/>
          <w:sz w:val="24"/>
          <w:szCs w:val="24"/>
        </w:rPr>
        <w:t xml:space="preserve"> </w:t>
      </w:r>
      <w:r w:rsidR="008C6776" w:rsidRPr="009E6BE4">
        <w:rPr>
          <w:rFonts w:ascii="Arial" w:hAnsi="Arial" w:cs="Arial"/>
          <w:sz w:val="24"/>
          <w:szCs w:val="24"/>
        </w:rPr>
        <w:t xml:space="preserve">This is especially true for HODs and HLHCs, where the number of physicians or other </w:t>
      </w:r>
      <w:r w:rsidR="00BB1919">
        <w:rPr>
          <w:rFonts w:ascii="Arial" w:hAnsi="Arial" w:cs="Arial"/>
          <w:sz w:val="24"/>
          <w:szCs w:val="24"/>
        </w:rPr>
        <w:t xml:space="preserve">primary care </w:t>
      </w:r>
      <w:r w:rsidR="008C6776" w:rsidRPr="009E6BE4">
        <w:rPr>
          <w:rFonts w:ascii="Arial" w:hAnsi="Arial" w:cs="Arial"/>
          <w:sz w:val="24"/>
          <w:szCs w:val="24"/>
        </w:rPr>
        <w:t xml:space="preserve">clinicians varies substantially from one HOD or HLHC to another, making comparisons of ratios across counties, for example, </w:t>
      </w:r>
      <w:r w:rsidR="00E506E4" w:rsidRPr="009E6BE4">
        <w:rPr>
          <w:rFonts w:ascii="Arial" w:hAnsi="Arial" w:cs="Arial"/>
          <w:sz w:val="24"/>
          <w:szCs w:val="24"/>
        </w:rPr>
        <w:t>challenging</w:t>
      </w:r>
      <w:r w:rsidR="008C6776" w:rsidRPr="009E6BE4">
        <w:rPr>
          <w:rFonts w:ascii="Arial" w:hAnsi="Arial" w:cs="Arial"/>
          <w:sz w:val="24"/>
          <w:szCs w:val="24"/>
        </w:rPr>
        <w:t>.</w:t>
      </w:r>
      <w:r w:rsidR="00FB397A">
        <w:rPr>
          <w:rFonts w:ascii="Arial" w:hAnsi="Arial" w:cs="Arial"/>
          <w:sz w:val="24"/>
          <w:szCs w:val="24"/>
        </w:rPr>
        <w:t xml:space="preserve"> </w:t>
      </w:r>
    </w:p>
    <w:p w:rsidR="00FB397A" w:rsidRPr="00741EA6" w:rsidRDefault="00FB397A" w:rsidP="00FF385A">
      <w:pPr>
        <w:ind w:firstLine="0"/>
        <w:rPr>
          <w:sz w:val="24"/>
          <w:szCs w:val="24"/>
        </w:rPr>
      </w:pPr>
    </w:p>
    <w:p w:rsidR="00FA0381" w:rsidRPr="00FD405F" w:rsidRDefault="00FA0381" w:rsidP="00FA0381">
      <w:pPr>
        <w:ind w:firstLine="0"/>
        <w:rPr>
          <w:rFonts w:ascii="Arial" w:eastAsia="Calibri" w:hAnsi="Arial" w:cs="Arial"/>
          <w:sz w:val="24"/>
          <w:szCs w:val="24"/>
        </w:rPr>
      </w:pPr>
      <w:r w:rsidRPr="00FD405F">
        <w:rPr>
          <w:rFonts w:ascii="Arial" w:eastAsia="Calibri" w:hAnsi="Arial" w:cs="Arial"/>
          <w:sz w:val="24"/>
          <w:szCs w:val="24"/>
        </w:rPr>
        <w:t xml:space="preserve">Please note that total provider counts for </w:t>
      </w:r>
      <w:r w:rsidR="008A6BD3" w:rsidRPr="00FD405F">
        <w:rPr>
          <w:rFonts w:ascii="Arial" w:eastAsia="Calibri" w:hAnsi="Arial" w:cs="Arial"/>
          <w:sz w:val="24"/>
          <w:szCs w:val="24"/>
        </w:rPr>
        <w:t>HOD</w:t>
      </w:r>
      <w:r w:rsidRPr="00FD405F">
        <w:rPr>
          <w:rFonts w:ascii="Arial" w:eastAsia="Calibri" w:hAnsi="Arial" w:cs="Arial"/>
          <w:sz w:val="24"/>
          <w:szCs w:val="24"/>
        </w:rPr>
        <w:t xml:space="preserve">s and HLHCs are combined as they are both </w:t>
      </w:r>
      <w:r w:rsidR="00BB1919">
        <w:rPr>
          <w:rFonts w:ascii="Arial" w:eastAsia="Calibri" w:hAnsi="Arial" w:cs="Arial"/>
          <w:sz w:val="24"/>
          <w:szCs w:val="24"/>
        </w:rPr>
        <w:t xml:space="preserve">types of </w:t>
      </w:r>
      <w:r w:rsidRPr="00FD405F">
        <w:rPr>
          <w:rFonts w:ascii="Arial" w:eastAsia="Calibri" w:hAnsi="Arial" w:cs="Arial"/>
          <w:sz w:val="24"/>
          <w:szCs w:val="24"/>
        </w:rPr>
        <w:t>hospital satellite locations providing outpatient primary care services.</w:t>
      </w:r>
      <w:r w:rsidR="008A6BD3" w:rsidRPr="00FD405F">
        <w:rPr>
          <w:rFonts w:ascii="Arial" w:eastAsia="Calibri" w:hAnsi="Arial" w:cs="Arial"/>
          <w:sz w:val="24"/>
          <w:szCs w:val="24"/>
        </w:rPr>
        <w:t xml:space="preserve"> </w:t>
      </w:r>
    </w:p>
    <w:p w:rsidR="00C241B6" w:rsidRDefault="00C241B6" w:rsidP="00BE2E79">
      <w:pPr>
        <w:ind w:firstLine="0"/>
        <w:rPr>
          <w:rFonts w:ascii="Arial" w:hAnsi="Arial" w:cs="Arial"/>
          <w:b/>
          <w:sz w:val="24"/>
          <w:szCs w:val="24"/>
        </w:rPr>
      </w:pPr>
    </w:p>
    <w:p w:rsidR="000B1A47" w:rsidRPr="00556130" w:rsidRDefault="005A045D" w:rsidP="00BE2E79">
      <w:pPr>
        <w:ind w:firstLine="0"/>
        <w:rPr>
          <w:rFonts w:ascii="Arial" w:hAnsi="Arial" w:cs="Arial"/>
          <w:sz w:val="24"/>
          <w:szCs w:val="24"/>
        </w:rPr>
      </w:pPr>
      <w:r w:rsidRPr="00BE2E79">
        <w:rPr>
          <w:rFonts w:ascii="Arial" w:hAnsi="Arial" w:cs="Arial"/>
          <w:b/>
          <w:sz w:val="24"/>
          <w:szCs w:val="24"/>
        </w:rPr>
        <w:t xml:space="preserve">Number of </w:t>
      </w:r>
      <w:r w:rsidR="00BB2FF5" w:rsidRPr="00BE2E79">
        <w:rPr>
          <w:rFonts w:ascii="Arial" w:hAnsi="Arial" w:cs="Arial"/>
          <w:b/>
          <w:sz w:val="24"/>
          <w:szCs w:val="24"/>
        </w:rPr>
        <w:t>M</w:t>
      </w:r>
      <w:r w:rsidRPr="00BE2E79">
        <w:rPr>
          <w:rFonts w:ascii="Arial" w:hAnsi="Arial" w:cs="Arial"/>
          <w:b/>
          <w:sz w:val="24"/>
          <w:szCs w:val="24"/>
        </w:rPr>
        <w:t>embers per PCP</w:t>
      </w:r>
      <w:r w:rsidR="0040087E" w:rsidRPr="00BE2E79">
        <w:rPr>
          <w:rFonts w:ascii="Arial" w:hAnsi="Arial" w:cs="Arial"/>
          <w:b/>
          <w:sz w:val="24"/>
          <w:szCs w:val="24"/>
        </w:rPr>
        <w:t xml:space="preserve"> (Physician with a </w:t>
      </w:r>
      <w:r w:rsidR="0050311A">
        <w:rPr>
          <w:rFonts w:ascii="Arial" w:hAnsi="Arial" w:cs="Arial"/>
          <w:b/>
          <w:sz w:val="24"/>
          <w:szCs w:val="24"/>
        </w:rPr>
        <w:t>S</w:t>
      </w:r>
      <w:r w:rsidR="0040087E" w:rsidRPr="00BE2E79">
        <w:rPr>
          <w:rFonts w:ascii="Arial" w:hAnsi="Arial" w:cs="Arial"/>
          <w:b/>
          <w:sz w:val="24"/>
          <w:szCs w:val="24"/>
        </w:rPr>
        <w:t xml:space="preserve">pecialty of Internal Medicine, General Medicine or Pediatrics) </w:t>
      </w:r>
      <w:r w:rsidR="00CD3AA8">
        <w:rPr>
          <w:rFonts w:ascii="Arial" w:eastAsiaTheme="minorHAnsi" w:hAnsi="Arial" w:cs="Arial"/>
          <w:b/>
          <w:sz w:val="24"/>
          <w:szCs w:val="24"/>
        </w:rPr>
        <w:t>by County</w:t>
      </w:r>
      <w:r w:rsidR="00AF3D59" w:rsidRPr="00BE2E79">
        <w:rPr>
          <w:rFonts w:ascii="Arial" w:eastAsiaTheme="minorHAnsi" w:hAnsi="Arial" w:cs="Arial"/>
          <w:b/>
          <w:sz w:val="24"/>
          <w:szCs w:val="24"/>
        </w:rPr>
        <w:t xml:space="preserve"> SFY1</w:t>
      </w:r>
      <w:r w:rsidR="002D0CC9" w:rsidRPr="00BE2E79">
        <w:rPr>
          <w:rFonts w:ascii="Arial" w:eastAsiaTheme="minorHAnsi" w:hAnsi="Arial" w:cs="Arial"/>
          <w:b/>
          <w:sz w:val="24"/>
          <w:szCs w:val="24"/>
        </w:rPr>
        <w:t>6</w:t>
      </w:r>
      <w:r w:rsidR="00AF3D59" w:rsidRPr="00BE2E79">
        <w:rPr>
          <w:rFonts w:ascii="Arial" w:eastAsiaTheme="minorHAnsi" w:hAnsi="Arial" w:cs="Arial"/>
          <w:b/>
          <w:sz w:val="24"/>
          <w:szCs w:val="24"/>
        </w:rPr>
        <w:t>-SFY1</w:t>
      </w:r>
      <w:r w:rsidR="002D0CC9" w:rsidRPr="00BE2E79">
        <w:rPr>
          <w:rFonts w:ascii="Arial" w:eastAsiaTheme="minorHAnsi" w:hAnsi="Arial" w:cs="Arial"/>
          <w:b/>
          <w:sz w:val="24"/>
          <w:szCs w:val="24"/>
        </w:rPr>
        <w:t>8</w:t>
      </w:r>
    </w:p>
    <w:tbl>
      <w:tblPr>
        <w:tblW w:w="4340" w:type="dxa"/>
        <w:tblInd w:w="113" w:type="dxa"/>
        <w:tblLook w:val="04A0" w:firstRow="1" w:lastRow="0" w:firstColumn="1" w:lastColumn="0" w:noHBand="0" w:noVBand="1"/>
      </w:tblPr>
      <w:tblGrid>
        <w:gridCol w:w="1440"/>
        <w:gridCol w:w="1440"/>
        <w:gridCol w:w="1440"/>
        <w:gridCol w:w="1440"/>
      </w:tblGrid>
      <w:tr w:rsidR="000B1A47" w:rsidRPr="00FD405F" w:rsidTr="002A6152">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SFY17</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SFY18</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44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42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88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53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48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29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lastRenderedPageBreak/>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60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58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77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62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156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395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59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60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77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79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73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134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55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56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43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34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36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57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31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31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24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113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71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150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33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32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29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61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63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77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17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16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17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41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43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67 </w:t>
            </w:r>
          </w:p>
        </w:tc>
      </w:tr>
    </w:tbl>
    <w:p w:rsidR="000B1A47" w:rsidRPr="00007A27" w:rsidRDefault="000B1A47" w:rsidP="00007A27">
      <w:pPr>
        <w:rPr>
          <w:rFonts w:ascii="Arial" w:hAnsi="Arial" w:cs="Arial"/>
          <w:sz w:val="24"/>
          <w:szCs w:val="24"/>
        </w:rPr>
      </w:pPr>
    </w:p>
    <w:p w:rsidR="009F43FE" w:rsidRPr="009F43FE" w:rsidRDefault="009F43FE" w:rsidP="009F43FE">
      <w:pPr>
        <w:ind w:firstLine="0"/>
        <w:rPr>
          <w:rFonts w:ascii="Arial" w:hAnsi="Arial" w:cs="Arial"/>
          <w:sz w:val="24"/>
          <w:szCs w:val="24"/>
        </w:rPr>
      </w:pPr>
      <w:r w:rsidRPr="009F43FE">
        <w:rPr>
          <w:rFonts w:ascii="Arial" w:hAnsi="Arial" w:cs="Arial"/>
          <w:b/>
          <w:sz w:val="24"/>
          <w:szCs w:val="24"/>
        </w:rPr>
        <w:t xml:space="preserve">Number of Members per PCP by Age Group </w:t>
      </w:r>
      <w:r w:rsidR="00CD3AA8">
        <w:rPr>
          <w:rFonts w:ascii="Arial" w:eastAsiaTheme="minorHAnsi" w:hAnsi="Arial" w:cs="Arial"/>
          <w:b/>
          <w:sz w:val="24"/>
          <w:szCs w:val="24"/>
        </w:rPr>
        <w:t>by County</w:t>
      </w:r>
      <w:r w:rsidRPr="009F43FE">
        <w:rPr>
          <w:rFonts w:ascii="Arial" w:eastAsiaTheme="minorHAnsi" w:hAnsi="Arial" w:cs="Arial"/>
          <w:b/>
          <w:sz w:val="24"/>
          <w:szCs w:val="24"/>
        </w:rPr>
        <w:t xml:space="preserve"> SFY16-SFY18</w:t>
      </w:r>
    </w:p>
    <w:tbl>
      <w:tblPr>
        <w:tblW w:w="4464" w:type="dxa"/>
        <w:tblInd w:w="113" w:type="dxa"/>
        <w:tblLook w:val="04A0" w:firstRow="1" w:lastRow="0" w:firstColumn="1" w:lastColumn="0" w:noHBand="0" w:noVBand="1"/>
      </w:tblPr>
      <w:tblGrid>
        <w:gridCol w:w="1440"/>
        <w:gridCol w:w="1440"/>
        <w:gridCol w:w="1440"/>
        <w:gridCol w:w="1440"/>
        <w:gridCol w:w="1440"/>
      </w:tblGrid>
      <w:tr w:rsidR="009F43FE" w:rsidRPr="009F43FE" w:rsidTr="00130F4C">
        <w:trPr>
          <w:trHeight w:val="300"/>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43FE" w:rsidRPr="009F43FE" w:rsidRDefault="00E4343A" w:rsidP="009F43FE">
            <w:pPr>
              <w:ind w:firstLine="0"/>
              <w:rPr>
                <w:rFonts w:ascii="Arial" w:eastAsia="Times New Roman" w:hAnsi="Arial" w:cs="Arial"/>
                <w:color w:val="000000"/>
                <w:sz w:val="24"/>
                <w:szCs w:val="24"/>
              </w:rPr>
            </w:pPr>
            <w:r>
              <w:rPr>
                <w:rFonts w:ascii="Arial" w:eastAsia="Times New Roman" w:hAnsi="Arial" w:cs="Arial"/>
                <w:color w:val="000000"/>
                <w:sz w:val="24"/>
                <w:szCs w:val="24"/>
              </w:rPr>
              <w:t>Population Group</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SFY18</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Average</w:t>
            </w:r>
          </w:p>
        </w:tc>
      </w:tr>
      <w:tr w:rsidR="009F43FE" w:rsidRPr="009F43FE" w:rsidTr="00130F4C">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F43FE" w:rsidRPr="009F43FE" w:rsidRDefault="009F43FE" w:rsidP="009F43FE">
            <w:pPr>
              <w:ind w:firstLine="0"/>
              <w:rPr>
                <w:rFonts w:ascii="Arial" w:eastAsia="Times New Roman" w:hAnsi="Arial" w:cs="Arial"/>
                <w:color w:val="000000"/>
                <w:sz w:val="24"/>
                <w:szCs w:val="24"/>
              </w:rPr>
            </w:pPr>
            <w:r w:rsidRPr="009F43FE">
              <w:rPr>
                <w:rFonts w:ascii="Arial" w:eastAsia="Times New Roman" w:hAnsi="Arial" w:cs="Arial"/>
                <w:color w:val="000000"/>
                <w:sz w:val="24"/>
                <w:szCs w:val="24"/>
              </w:rPr>
              <w:t>All Members</w:t>
            </w:r>
          </w:p>
        </w:tc>
        <w:tc>
          <w:tcPr>
            <w:tcW w:w="1440" w:type="dxa"/>
            <w:tcBorders>
              <w:top w:val="nil"/>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53</w:t>
            </w:r>
          </w:p>
        </w:tc>
        <w:tc>
          <w:tcPr>
            <w:tcW w:w="1440" w:type="dxa"/>
            <w:tcBorders>
              <w:top w:val="nil"/>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56</w:t>
            </w:r>
          </w:p>
        </w:tc>
        <w:tc>
          <w:tcPr>
            <w:tcW w:w="1440" w:type="dxa"/>
            <w:tcBorders>
              <w:top w:val="nil"/>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90</w:t>
            </w:r>
          </w:p>
        </w:tc>
        <w:tc>
          <w:tcPr>
            <w:tcW w:w="1440" w:type="dxa"/>
            <w:tcBorders>
              <w:top w:val="nil"/>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66</w:t>
            </w:r>
          </w:p>
        </w:tc>
      </w:tr>
      <w:tr w:rsidR="009F43FE" w:rsidRPr="009F43FE" w:rsidTr="00130F4C">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F43FE" w:rsidRPr="009F43FE" w:rsidRDefault="009F43FE" w:rsidP="009F43FE">
            <w:pPr>
              <w:ind w:firstLine="0"/>
              <w:rPr>
                <w:rFonts w:ascii="Arial" w:eastAsia="Times New Roman" w:hAnsi="Arial" w:cs="Arial"/>
                <w:color w:val="000000"/>
                <w:sz w:val="24"/>
                <w:szCs w:val="24"/>
              </w:rPr>
            </w:pPr>
            <w:r w:rsidRPr="009F43FE">
              <w:rPr>
                <w:rFonts w:ascii="Arial" w:eastAsia="Times New Roman" w:hAnsi="Arial" w:cs="Arial"/>
                <w:color w:val="000000"/>
                <w:sz w:val="24"/>
                <w:szCs w:val="24"/>
              </w:rPr>
              <w:t>Children Members</w:t>
            </w:r>
          </w:p>
        </w:tc>
        <w:tc>
          <w:tcPr>
            <w:tcW w:w="1440" w:type="dxa"/>
            <w:tcBorders>
              <w:top w:val="nil"/>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25</w:t>
            </w:r>
          </w:p>
        </w:tc>
        <w:tc>
          <w:tcPr>
            <w:tcW w:w="1440" w:type="dxa"/>
            <w:tcBorders>
              <w:top w:val="nil"/>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26</w:t>
            </w:r>
          </w:p>
        </w:tc>
        <w:tc>
          <w:tcPr>
            <w:tcW w:w="1440" w:type="dxa"/>
            <w:tcBorders>
              <w:top w:val="nil"/>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34</w:t>
            </w:r>
          </w:p>
        </w:tc>
        <w:tc>
          <w:tcPr>
            <w:tcW w:w="1440" w:type="dxa"/>
            <w:tcBorders>
              <w:top w:val="nil"/>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28</w:t>
            </w:r>
          </w:p>
        </w:tc>
      </w:tr>
      <w:tr w:rsidR="009F43FE" w:rsidRPr="009F43FE" w:rsidTr="00130F4C">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F43FE" w:rsidRPr="009F43FE" w:rsidRDefault="009F43FE" w:rsidP="009F43FE">
            <w:pPr>
              <w:ind w:firstLine="0"/>
              <w:rPr>
                <w:rFonts w:ascii="Arial" w:eastAsia="Times New Roman" w:hAnsi="Arial" w:cs="Arial"/>
                <w:color w:val="000000"/>
                <w:sz w:val="24"/>
                <w:szCs w:val="24"/>
              </w:rPr>
            </w:pPr>
            <w:r w:rsidRPr="009F43FE">
              <w:rPr>
                <w:rFonts w:ascii="Arial" w:eastAsia="Times New Roman" w:hAnsi="Arial" w:cs="Arial"/>
                <w:color w:val="000000"/>
                <w:sz w:val="24"/>
                <w:szCs w:val="24"/>
              </w:rPr>
              <w:t>Adult Members</w:t>
            </w:r>
          </w:p>
        </w:tc>
        <w:tc>
          <w:tcPr>
            <w:tcW w:w="1440" w:type="dxa"/>
            <w:tcBorders>
              <w:top w:val="nil"/>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28</w:t>
            </w:r>
          </w:p>
        </w:tc>
        <w:tc>
          <w:tcPr>
            <w:tcW w:w="1440" w:type="dxa"/>
            <w:tcBorders>
              <w:top w:val="nil"/>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30</w:t>
            </w:r>
          </w:p>
        </w:tc>
        <w:tc>
          <w:tcPr>
            <w:tcW w:w="1440" w:type="dxa"/>
            <w:tcBorders>
              <w:top w:val="nil"/>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56</w:t>
            </w:r>
          </w:p>
        </w:tc>
        <w:tc>
          <w:tcPr>
            <w:tcW w:w="1440" w:type="dxa"/>
            <w:tcBorders>
              <w:top w:val="nil"/>
              <w:left w:val="nil"/>
              <w:bottom w:val="single" w:sz="4" w:space="0" w:color="auto"/>
              <w:right w:val="single" w:sz="4" w:space="0" w:color="auto"/>
            </w:tcBorders>
            <w:shd w:val="clear" w:color="000000" w:fill="FFFFFF"/>
            <w:noWrap/>
            <w:vAlign w:val="bottom"/>
            <w:hideMark/>
          </w:tcPr>
          <w:p w:rsidR="009F43FE" w:rsidRPr="009F43FE" w:rsidRDefault="009F43FE" w:rsidP="009F43FE">
            <w:pPr>
              <w:ind w:firstLine="0"/>
              <w:jc w:val="right"/>
              <w:rPr>
                <w:rFonts w:ascii="Arial" w:eastAsia="Times New Roman" w:hAnsi="Arial" w:cs="Arial"/>
                <w:color w:val="000000"/>
                <w:sz w:val="24"/>
                <w:szCs w:val="24"/>
              </w:rPr>
            </w:pPr>
            <w:r w:rsidRPr="009F43FE">
              <w:rPr>
                <w:rFonts w:ascii="Arial" w:eastAsia="Times New Roman" w:hAnsi="Arial" w:cs="Arial"/>
                <w:color w:val="000000"/>
                <w:sz w:val="24"/>
                <w:szCs w:val="24"/>
              </w:rPr>
              <w:t>38</w:t>
            </w:r>
          </w:p>
        </w:tc>
      </w:tr>
    </w:tbl>
    <w:p w:rsidR="009F43FE" w:rsidRPr="009F43FE" w:rsidRDefault="009F43FE" w:rsidP="009F43FE">
      <w:pPr>
        <w:ind w:firstLine="0"/>
        <w:rPr>
          <w:rFonts w:ascii="Arial" w:hAnsi="Arial" w:cs="Arial"/>
          <w:sz w:val="24"/>
          <w:szCs w:val="24"/>
        </w:rPr>
      </w:pPr>
    </w:p>
    <w:p w:rsidR="009F43FE" w:rsidRPr="009F43FE" w:rsidRDefault="009F43FE" w:rsidP="009F43FE">
      <w:pPr>
        <w:ind w:firstLine="0"/>
        <w:rPr>
          <w:rFonts w:ascii="Arial" w:hAnsi="Arial" w:cs="Arial"/>
          <w:sz w:val="24"/>
          <w:szCs w:val="24"/>
        </w:rPr>
      </w:pPr>
      <w:r w:rsidRPr="009F43FE">
        <w:rPr>
          <w:rFonts w:ascii="Arial" w:hAnsi="Arial" w:cs="Arial"/>
          <w:sz w:val="24"/>
          <w:szCs w:val="24"/>
        </w:rPr>
        <w:t xml:space="preserve">Overall, the average number of members per primary care physician is 66 </w:t>
      </w:r>
      <w:r w:rsidR="00AD41D1">
        <w:rPr>
          <w:rFonts w:ascii="Arial" w:hAnsi="Arial" w:cs="Arial"/>
          <w:sz w:val="24"/>
          <w:szCs w:val="24"/>
        </w:rPr>
        <w:t>over the three years</w:t>
      </w:r>
      <w:r w:rsidRPr="009F43FE">
        <w:rPr>
          <w:rFonts w:ascii="Arial" w:hAnsi="Arial" w:cs="Arial"/>
          <w:sz w:val="24"/>
          <w:szCs w:val="24"/>
        </w:rPr>
        <w:t>. For children and adult members, the average ratios of members to primary care physicians are 28 and 38, respectively</w:t>
      </w:r>
      <w:r w:rsidR="00AD41D1">
        <w:rPr>
          <w:rFonts w:ascii="Arial" w:hAnsi="Arial" w:cs="Arial"/>
          <w:sz w:val="24"/>
          <w:szCs w:val="24"/>
        </w:rPr>
        <w:t xml:space="preserve"> over the three years</w:t>
      </w:r>
      <w:r w:rsidRPr="009F43FE">
        <w:rPr>
          <w:rFonts w:ascii="Arial" w:hAnsi="Arial" w:cs="Arial"/>
          <w:sz w:val="24"/>
          <w:szCs w:val="24"/>
        </w:rPr>
        <w:t>.</w:t>
      </w:r>
    </w:p>
    <w:p w:rsidR="00790C44" w:rsidRPr="00007A27" w:rsidRDefault="00790C44" w:rsidP="00007A27">
      <w:pPr>
        <w:rPr>
          <w:rFonts w:ascii="Arial" w:hAnsi="Arial" w:cs="Arial"/>
          <w:sz w:val="24"/>
          <w:szCs w:val="24"/>
        </w:rPr>
      </w:pPr>
    </w:p>
    <w:p w:rsidR="00987A4E" w:rsidRPr="00007A27" w:rsidRDefault="00987A4E" w:rsidP="00007A27">
      <w:pPr>
        <w:ind w:firstLine="0"/>
        <w:rPr>
          <w:rFonts w:ascii="Arial" w:hAnsi="Arial" w:cs="Arial"/>
          <w:b/>
          <w:sz w:val="24"/>
          <w:szCs w:val="24"/>
        </w:rPr>
      </w:pPr>
      <w:r w:rsidRPr="00007A27">
        <w:rPr>
          <w:rFonts w:ascii="Arial" w:hAnsi="Arial" w:cs="Arial"/>
          <w:b/>
          <w:sz w:val="24"/>
          <w:szCs w:val="24"/>
        </w:rPr>
        <w:t xml:space="preserve">Number of </w:t>
      </w:r>
      <w:r w:rsidR="00BB2FF5" w:rsidRPr="00007A27">
        <w:rPr>
          <w:rFonts w:ascii="Arial" w:hAnsi="Arial" w:cs="Arial"/>
          <w:b/>
          <w:sz w:val="24"/>
          <w:szCs w:val="24"/>
        </w:rPr>
        <w:t>M</w:t>
      </w:r>
      <w:r w:rsidRPr="00007A27">
        <w:rPr>
          <w:rFonts w:ascii="Arial" w:hAnsi="Arial" w:cs="Arial"/>
          <w:b/>
          <w:sz w:val="24"/>
          <w:szCs w:val="24"/>
        </w:rPr>
        <w:t>embers per NP</w:t>
      </w:r>
      <w:r w:rsidR="00AF3D59" w:rsidRPr="00007A27">
        <w:rPr>
          <w:rFonts w:ascii="Arial" w:hAnsi="Arial" w:cs="Arial"/>
          <w:b/>
          <w:sz w:val="24"/>
          <w:szCs w:val="24"/>
        </w:rPr>
        <w:t xml:space="preserve"> </w:t>
      </w:r>
      <w:r w:rsidR="00CD3AA8">
        <w:rPr>
          <w:rFonts w:ascii="Arial" w:hAnsi="Arial" w:cs="Arial"/>
          <w:b/>
          <w:sz w:val="24"/>
          <w:szCs w:val="24"/>
        </w:rPr>
        <w:t>by County</w:t>
      </w:r>
      <w:r w:rsidR="00AF3D59" w:rsidRPr="00007A27">
        <w:rPr>
          <w:rFonts w:ascii="Arial" w:hAnsi="Arial" w:cs="Arial"/>
          <w:b/>
          <w:sz w:val="24"/>
          <w:szCs w:val="24"/>
        </w:rPr>
        <w:t xml:space="preserve"> SFY1</w:t>
      </w:r>
      <w:r w:rsidR="00577CEB" w:rsidRPr="00007A27">
        <w:rPr>
          <w:rFonts w:ascii="Arial" w:hAnsi="Arial" w:cs="Arial"/>
          <w:b/>
          <w:sz w:val="24"/>
          <w:szCs w:val="24"/>
        </w:rPr>
        <w:t>6</w:t>
      </w:r>
      <w:r w:rsidR="00AF3D59" w:rsidRPr="00007A27">
        <w:rPr>
          <w:rFonts w:ascii="Arial" w:hAnsi="Arial" w:cs="Arial"/>
          <w:b/>
          <w:sz w:val="24"/>
          <w:szCs w:val="24"/>
        </w:rPr>
        <w:t>-SFY1</w:t>
      </w:r>
      <w:r w:rsidR="00577CEB" w:rsidRPr="00007A27">
        <w:rPr>
          <w:rFonts w:ascii="Arial" w:hAnsi="Arial" w:cs="Arial"/>
          <w:b/>
          <w:sz w:val="24"/>
          <w:szCs w:val="24"/>
        </w:rPr>
        <w:t>8</w:t>
      </w:r>
    </w:p>
    <w:tbl>
      <w:tblPr>
        <w:tblW w:w="4420" w:type="dxa"/>
        <w:tblInd w:w="113" w:type="dxa"/>
        <w:tblLook w:val="04A0" w:firstRow="1" w:lastRow="0" w:firstColumn="1" w:lastColumn="0" w:noHBand="0" w:noVBand="1"/>
      </w:tblPr>
      <w:tblGrid>
        <w:gridCol w:w="1440"/>
        <w:gridCol w:w="1440"/>
        <w:gridCol w:w="1440"/>
        <w:gridCol w:w="1440"/>
      </w:tblGrid>
      <w:tr w:rsidR="000B1A47" w:rsidRPr="00FD405F" w:rsidTr="001C0E2A">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0B1A47" w:rsidRPr="00FD405F" w:rsidRDefault="000B1A47" w:rsidP="001C0E2A">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0B1A47" w:rsidRPr="00FD405F" w:rsidRDefault="000B1A47" w:rsidP="001C0E2A">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hideMark/>
          </w:tcPr>
          <w:p w:rsidR="000B1A47" w:rsidRPr="00FD405F" w:rsidRDefault="000B1A47" w:rsidP="001C0E2A">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SFY18</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372</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187</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189</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235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165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84</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130</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111</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125</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sz w:val="24"/>
                <w:szCs w:val="24"/>
              </w:rPr>
            </w:pPr>
            <w:r w:rsidRPr="00FD405F">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403</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1</w:t>
            </w:r>
            <w:r w:rsidR="005F564C" w:rsidRPr="00FD405F">
              <w:rPr>
                <w:rFonts w:ascii="Arial" w:eastAsia="Times New Roman" w:hAnsi="Arial" w:cs="Arial"/>
                <w:sz w:val="24"/>
                <w:szCs w:val="24"/>
              </w:rPr>
              <w:t>,</w:t>
            </w:r>
            <w:r w:rsidRPr="00FD405F">
              <w:rPr>
                <w:rFonts w:ascii="Arial" w:eastAsia="Times New Roman" w:hAnsi="Arial" w:cs="Arial"/>
                <w:sz w:val="24"/>
                <w:szCs w:val="24"/>
              </w:rPr>
              <w:t>092</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N/A</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199</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180</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175</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sz w:val="24"/>
                <w:szCs w:val="24"/>
              </w:rPr>
            </w:pPr>
            <w:r w:rsidRPr="00FD405F">
              <w:rPr>
                <w:rFonts w:ascii="Arial" w:eastAsia="Times New Roman" w:hAnsi="Arial" w:cs="Arial"/>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326</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251</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519</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201</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189</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129</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sz w:val="24"/>
                <w:szCs w:val="24"/>
              </w:rPr>
            </w:pPr>
            <w:r w:rsidRPr="00FD405F">
              <w:rPr>
                <w:rFonts w:ascii="Arial" w:eastAsia="Times New Roman" w:hAnsi="Arial" w:cs="Arial"/>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90</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85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129</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sz w:val="24"/>
                <w:szCs w:val="24"/>
              </w:rPr>
            </w:pPr>
            <w:r w:rsidRPr="00FD405F">
              <w:rPr>
                <w:rFonts w:ascii="Arial" w:eastAsia="Times New Roman" w:hAnsi="Arial" w:cs="Arial"/>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140</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115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77</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226</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318</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674</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108</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97</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82</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159</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127</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146</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sz w:val="24"/>
                <w:szCs w:val="24"/>
              </w:rPr>
            </w:pPr>
            <w:r w:rsidRPr="00FD405F">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86</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75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68</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lastRenderedPageBreak/>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127</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115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157</w:t>
            </w:r>
          </w:p>
        </w:tc>
      </w:tr>
    </w:tbl>
    <w:p w:rsidR="000B1A47" w:rsidRPr="00FD405F" w:rsidRDefault="000B1A47" w:rsidP="00952A0A">
      <w:pPr>
        <w:rPr>
          <w:rFonts w:ascii="Arial" w:hAnsi="Arial" w:cs="Arial"/>
          <w:sz w:val="24"/>
          <w:szCs w:val="24"/>
        </w:rPr>
      </w:pPr>
    </w:p>
    <w:p w:rsidR="00987A4E" w:rsidRPr="00007A27" w:rsidRDefault="00987A4E" w:rsidP="00007A27">
      <w:pPr>
        <w:ind w:firstLine="0"/>
        <w:rPr>
          <w:rFonts w:ascii="Arial" w:eastAsiaTheme="minorHAnsi" w:hAnsi="Arial" w:cs="Arial"/>
          <w:b/>
          <w:sz w:val="24"/>
        </w:rPr>
      </w:pPr>
      <w:r w:rsidRPr="00007A27">
        <w:rPr>
          <w:rFonts w:ascii="Arial" w:hAnsi="Arial" w:cs="Arial"/>
          <w:b/>
          <w:sz w:val="24"/>
        </w:rPr>
        <w:t xml:space="preserve">Number of </w:t>
      </w:r>
      <w:r w:rsidR="00BB2FF5" w:rsidRPr="00007A27">
        <w:rPr>
          <w:rFonts w:ascii="Arial" w:hAnsi="Arial" w:cs="Arial"/>
          <w:b/>
          <w:sz w:val="24"/>
        </w:rPr>
        <w:t>M</w:t>
      </w:r>
      <w:r w:rsidRPr="00007A27">
        <w:rPr>
          <w:rFonts w:ascii="Arial" w:hAnsi="Arial" w:cs="Arial"/>
          <w:b/>
          <w:sz w:val="24"/>
        </w:rPr>
        <w:t>embers per CHC</w:t>
      </w:r>
      <w:r w:rsidR="00AF3D59" w:rsidRPr="00007A27">
        <w:rPr>
          <w:rFonts w:ascii="Arial" w:hAnsi="Arial" w:cs="Arial"/>
          <w:b/>
          <w:sz w:val="24"/>
        </w:rPr>
        <w:t xml:space="preserve"> </w:t>
      </w:r>
      <w:r w:rsidR="00CD3AA8">
        <w:rPr>
          <w:rFonts w:ascii="Arial" w:hAnsi="Arial" w:cs="Arial"/>
          <w:b/>
          <w:sz w:val="24"/>
        </w:rPr>
        <w:t>by County</w:t>
      </w:r>
      <w:r w:rsidR="00AF3D59" w:rsidRPr="00007A27">
        <w:rPr>
          <w:rFonts w:ascii="Arial" w:eastAsiaTheme="minorHAnsi" w:hAnsi="Arial" w:cs="Arial"/>
          <w:b/>
          <w:sz w:val="24"/>
        </w:rPr>
        <w:t xml:space="preserve"> SFY1</w:t>
      </w:r>
      <w:r w:rsidR="00577CEB" w:rsidRPr="00007A27">
        <w:rPr>
          <w:rFonts w:ascii="Arial" w:eastAsiaTheme="minorHAnsi" w:hAnsi="Arial" w:cs="Arial"/>
          <w:b/>
          <w:sz w:val="24"/>
        </w:rPr>
        <w:t>6</w:t>
      </w:r>
      <w:r w:rsidR="00AF3D59" w:rsidRPr="00007A27">
        <w:rPr>
          <w:rFonts w:ascii="Arial" w:eastAsiaTheme="minorHAnsi" w:hAnsi="Arial" w:cs="Arial"/>
          <w:b/>
          <w:sz w:val="24"/>
        </w:rPr>
        <w:t>-SFY1</w:t>
      </w:r>
      <w:r w:rsidR="00577CEB" w:rsidRPr="00007A27">
        <w:rPr>
          <w:rFonts w:ascii="Arial" w:eastAsiaTheme="minorHAnsi" w:hAnsi="Arial" w:cs="Arial"/>
          <w:b/>
          <w:sz w:val="24"/>
        </w:rPr>
        <w:t>8</w:t>
      </w:r>
    </w:p>
    <w:tbl>
      <w:tblPr>
        <w:tblW w:w="4780" w:type="dxa"/>
        <w:tblInd w:w="113" w:type="dxa"/>
        <w:tblLook w:val="04A0" w:firstRow="1" w:lastRow="0" w:firstColumn="1" w:lastColumn="0" w:noHBand="0" w:noVBand="1"/>
      </w:tblPr>
      <w:tblGrid>
        <w:gridCol w:w="1440"/>
        <w:gridCol w:w="1440"/>
        <w:gridCol w:w="1440"/>
        <w:gridCol w:w="1440"/>
      </w:tblGrid>
      <w:tr w:rsidR="000B1A47" w:rsidRPr="00FD405F" w:rsidTr="002A6152">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SFY18</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1,042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1,103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2,436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612A49" w:rsidRDefault="000B1A47" w:rsidP="000B1A47">
            <w:pPr>
              <w:ind w:firstLine="0"/>
              <w:rPr>
                <w:rFonts w:ascii="Arial" w:eastAsia="Times New Roman" w:hAnsi="Arial" w:cs="Arial"/>
                <w:sz w:val="24"/>
                <w:szCs w:val="24"/>
              </w:rPr>
            </w:pPr>
            <w:r w:rsidRPr="00612A49">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 xml:space="preserve">1,408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 xml:space="preserve">1,081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 xml:space="preserve">716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7,365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7,102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9,393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805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1,092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2,367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3,457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3,450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3,781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2,610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1,672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3,115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3,810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4,156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2,926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3,012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3,047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4,695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14,523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11,566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6,347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N/A</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3,638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3,661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3,381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9,303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9,084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8,133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sz w:val="24"/>
                <w:szCs w:val="24"/>
              </w:rPr>
            </w:pPr>
            <w:r w:rsidRPr="00FD405F">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 xml:space="preserve">2,218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 xml:space="preserve">2,234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 xml:space="preserve">2,445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0B1A47" w:rsidRPr="00612A49" w:rsidRDefault="000B1A47" w:rsidP="000B1A47">
            <w:pPr>
              <w:ind w:firstLine="0"/>
              <w:rPr>
                <w:rFonts w:ascii="Arial" w:eastAsia="Times New Roman" w:hAnsi="Arial" w:cs="Arial"/>
                <w:sz w:val="24"/>
                <w:szCs w:val="24"/>
              </w:rPr>
            </w:pPr>
            <w:r w:rsidRPr="00612A49">
              <w:rPr>
                <w:rFonts w:ascii="Arial" w:eastAsia="Times New Roman" w:hAnsi="Arial" w:cs="Arial"/>
                <w:sz w:val="24"/>
                <w:szCs w:val="24"/>
              </w:rPr>
              <w:t>Worcester</w:t>
            </w:r>
          </w:p>
        </w:tc>
        <w:tc>
          <w:tcPr>
            <w:tcW w:w="1440" w:type="dxa"/>
            <w:tcBorders>
              <w:top w:val="nil"/>
              <w:left w:val="nil"/>
              <w:bottom w:val="single" w:sz="4" w:space="0" w:color="auto"/>
              <w:right w:val="single" w:sz="4" w:space="0" w:color="auto"/>
            </w:tcBorders>
            <w:shd w:val="clear" w:color="auto" w:fill="auto"/>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 xml:space="preserve">4,774 </w:t>
            </w:r>
          </w:p>
        </w:tc>
        <w:tc>
          <w:tcPr>
            <w:tcW w:w="1440" w:type="dxa"/>
            <w:tcBorders>
              <w:top w:val="nil"/>
              <w:left w:val="nil"/>
              <w:bottom w:val="single" w:sz="4" w:space="0" w:color="auto"/>
              <w:right w:val="single" w:sz="4" w:space="0" w:color="auto"/>
            </w:tcBorders>
            <w:shd w:val="clear" w:color="auto" w:fill="auto"/>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 xml:space="preserve">3,847 </w:t>
            </w:r>
          </w:p>
        </w:tc>
        <w:tc>
          <w:tcPr>
            <w:tcW w:w="1440" w:type="dxa"/>
            <w:tcBorders>
              <w:top w:val="nil"/>
              <w:left w:val="nil"/>
              <w:bottom w:val="single" w:sz="4" w:space="0" w:color="auto"/>
              <w:right w:val="single" w:sz="4" w:space="0" w:color="auto"/>
            </w:tcBorders>
            <w:shd w:val="clear" w:color="auto" w:fill="auto"/>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 xml:space="preserve">6,884 </w:t>
            </w:r>
          </w:p>
        </w:tc>
      </w:tr>
    </w:tbl>
    <w:p w:rsidR="000B1A47" w:rsidRPr="00FD405F" w:rsidRDefault="000B1A47" w:rsidP="00952A0A">
      <w:pPr>
        <w:rPr>
          <w:rFonts w:ascii="Arial" w:hAnsi="Arial" w:cs="Arial"/>
          <w:sz w:val="24"/>
          <w:szCs w:val="24"/>
        </w:rPr>
      </w:pPr>
    </w:p>
    <w:p w:rsidR="00987A4E" w:rsidRPr="00007A27" w:rsidRDefault="00987A4E" w:rsidP="00007A27">
      <w:pPr>
        <w:ind w:firstLine="0"/>
        <w:rPr>
          <w:rFonts w:ascii="Arial" w:eastAsiaTheme="minorHAnsi" w:hAnsi="Arial" w:cs="Arial"/>
          <w:b/>
          <w:sz w:val="24"/>
        </w:rPr>
      </w:pPr>
      <w:r w:rsidRPr="00007A27">
        <w:rPr>
          <w:rFonts w:ascii="Arial" w:hAnsi="Arial" w:cs="Arial"/>
          <w:b/>
          <w:sz w:val="24"/>
        </w:rPr>
        <w:t xml:space="preserve">Number of </w:t>
      </w:r>
      <w:r w:rsidR="00BB2FF5" w:rsidRPr="00007A27">
        <w:rPr>
          <w:rFonts w:ascii="Arial" w:hAnsi="Arial" w:cs="Arial"/>
          <w:b/>
          <w:sz w:val="24"/>
        </w:rPr>
        <w:t>M</w:t>
      </w:r>
      <w:r w:rsidRPr="00007A27">
        <w:rPr>
          <w:rFonts w:ascii="Arial" w:hAnsi="Arial" w:cs="Arial"/>
          <w:b/>
          <w:sz w:val="24"/>
        </w:rPr>
        <w:t>embers per HOD/HLHC</w:t>
      </w:r>
      <w:r w:rsidR="00AF3D59" w:rsidRPr="00007A27">
        <w:rPr>
          <w:rFonts w:ascii="Arial" w:hAnsi="Arial" w:cs="Arial"/>
          <w:b/>
          <w:sz w:val="24"/>
        </w:rPr>
        <w:t xml:space="preserve"> </w:t>
      </w:r>
      <w:r w:rsidR="00CD3AA8">
        <w:rPr>
          <w:rFonts w:ascii="Arial" w:hAnsi="Arial" w:cs="Arial"/>
          <w:b/>
          <w:sz w:val="24"/>
        </w:rPr>
        <w:t>by County</w:t>
      </w:r>
      <w:r w:rsidR="00AF3D59" w:rsidRPr="00007A27">
        <w:rPr>
          <w:rFonts w:ascii="Arial" w:eastAsiaTheme="minorHAnsi" w:hAnsi="Arial" w:cs="Arial"/>
          <w:b/>
          <w:sz w:val="24"/>
        </w:rPr>
        <w:t xml:space="preserve"> SFY1</w:t>
      </w:r>
      <w:r w:rsidR="00577CEB" w:rsidRPr="00007A27">
        <w:rPr>
          <w:rFonts w:ascii="Arial" w:eastAsiaTheme="minorHAnsi" w:hAnsi="Arial" w:cs="Arial"/>
          <w:b/>
          <w:sz w:val="24"/>
        </w:rPr>
        <w:t>6</w:t>
      </w:r>
      <w:r w:rsidR="00AF3D59" w:rsidRPr="00007A27">
        <w:rPr>
          <w:rFonts w:ascii="Arial" w:eastAsiaTheme="minorHAnsi" w:hAnsi="Arial" w:cs="Arial"/>
          <w:b/>
          <w:sz w:val="24"/>
        </w:rPr>
        <w:t>-SFY1</w:t>
      </w:r>
      <w:r w:rsidR="00577CEB" w:rsidRPr="00007A27">
        <w:rPr>
          <w:rFonts w:ascii="Arial" w:eastAsiaTheme="minorHAnsi" w:hAnsi="Arial" w:cs="Arial"/>
          <w:b/>
          <w:sz w:val="24"/>
        </w:rPr>
        <w:t>8</w:t>
      </w:r>
    </w:p>
    <w:tbl>
      <w:tblPr>
        <w:tblW w:w="4660" w:type="dxa"/>
        <w:tblInd w:w="113" w:type="dxa"/>
        <w:tblLook w:val="04A0" w:firstRow="1" w:lastRow="0" w:firstColumn="1" w:lastColumn="0" w:noHBand="0" w:noVBand="1"/>
      </w:tblPr>
      <w:tblGrid>
        <w:gridCol w:w="1440"/>
        <w:gridCol w:w="1440"/>
        <w:gridCol w:w="1440"/>
        <w:gridCol w:w="1440"/>
      </w:tblGrid>
      <w:tr w:rsidR="000B1A47" w:rsidRPr="00FD405F" w:rsidTr="002A6152">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SFY18</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5,211</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4,965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10,963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612A49" w:rsidRDefault="000B1A47" w:rsidP="000B1A47">
            <w:pPr>
              <w:ind w:firstLine="0"/>
              <w:rPr>
                <w:rFonts w:ascii="Arial" w:eastAsia="Times New Roman" w:hAnsi="Arial" w:cs="Arial"/>
                <w:sz w:val="24"/>
                <w:szCs w:val="24"/>
              </w:rPr>
            </w:pPr>
            <w:r w:rsidRPr="00612A49">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1,690</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 xml:space="preserve">1,514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 xml:space="preserve">716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12,275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11,836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15,655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805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1,092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2,367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10,372</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10,351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12,856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5,219</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5,017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9,345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3,224</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3,197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2,682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3,012</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3,047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9,389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3,057</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3,402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2,613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226</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318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674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6,366</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6,407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5,917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3,987</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4,542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5,422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sz w:val="24"/>
                <w:szCs w:val="24"/>
              </w:rPr>
            </w:pPr>
            <w:r w:rsidRPr="00FD405F">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2,079</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 xml:space="preserve">2,090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 xml:space="preserve">2,074 </w:t>
            </w:r>
          </w:p>
        </w:tc>
      </w:tr>
      <w:tr w:rsidR="000B1A47" w:rsidRPr="00FD405F" w:rsidTr="002A6152">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4,774</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4,896 </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7,510 </w:t>
            </w:r>
          </w:p>
        </w:tc>
      </w:tr>
    </w:tbl>
    <w:p w:rsidR="000B1A47" w:rsidRPr="00FD405F" w:rsidRDefault="000B1A47" w:rsidP="00952A0A">
      <w:pPr>
        <w:rPr>
          <w:rFonts w:ascii="Arial" w:hAnsi="Arial" w:cs="Arial"/>
          <w:sz w:val="24"/>
          <w:szCs w:val="24"/>
        </w:rPr>
      </w:pPr>
    </w:p>
    <w:p w:rsidR="00DA6677" w:rsidRPr="00007A27" w:rsidRDefault="007F00A0" w:rsidP="00007A27">
      <w:pPr>
        <w:ind w:firstLine="0"/>
        <w:rPr>
          <w:rFonts w:ascii="Arial" w:eastAsiaTheme="minorHAnsi" w:hAnsi="Arial" w:cs="Arial"/>
          <w:b/>
          <w:sz w:val="24"/>
          <w:szCs w:val="24"/>
        </w:rPr>
      </w:pPr>
      <w:r w:rsidRPr="00007A27">
        <w:rPr>
          <w:rFonts w:ascii="Arial" w:hAnsi="Arial" w:cs="Arial"/>
          <w:b/>
          <w:sz w:val="24"/>
          <w:szCs w:val="24"/>
        </w:rPr>
        <w:t xml:space="preserve">Number of </w:t>
      </w:r>
      <w:r w:rsidR="00DA6677" w:rsidRPr="00007A27">
        <w:rPr>
          <w:rFonts w:ascii="Arial" w:hAnsi="Arial" w:cs="Arial"/>
          <w:b/>
          <w:sz w:val="24"/>
          <w:szCs w:val="24"/>
        </w:rPr>
        <w:t xml:space="preserve">Members per all </w:t>
      </w:r>
      <w:r w:rsidR="00C17134" w:rsidRPr="00007A27">
        <w:rPr>
          <w:rFonts w:ascii="Arial" w:hAnsi="Arial" w:cs="Arial"/>
          <w:b/>
          <w:sz w:val="24"/>
          <w:szCs w:val="24"/>
        </w:rPr>
        <w:t>N</w:t>
      </w:r>
      <w:r w:rsidR="00DA6677" w:rsidRPr="00007A27">
        <w:rPr>
          <w:rFonts w:ascii="Arial" w:hAnsi="Arial" w:cs="Arial"/>
          <w:b/>
          <w:sz w:val="24"/>
          <w:szCs w:val="24"/>
        </w:rPr>
        <w:t>on-</w:t>
      </w:r>
      <w:r w:rsidR="00C17134" w:rsidRPr="00007A27">
        <w:rPr>
          <w:rFonts w:ascii="Arial" w:hAnsi="Arial" w:cs="Arial"/>
          <w:b/>
          <w:sz w:val="24"/>
          <w:szCs w:val="24"/>
        </w:rPr>
        <w:t>D</w:t>
      </w:r>
      <w:r w:rsidR="00DA6677" w:rsidRPr="00007A27">
        <w:rPr>
          <w:rFonts w:ascii="Arial" w:hAnsi="Arial" w:cs="Arial"/>
          <w:b/>
          <w:sz w:val="24"/>
          <w:szCs w:val="24"/>
        </w:rPr>
        <w:t>ental Primary Care Providers</w:t>
      </w:r>
      <w:r w:rsidR="00C17134" w:rsidRPr="00007A27">
        <w:rPr>
          <w:rFonts w:ascii="Arial" w:hAnsi="Arial" w:cs="Arial"/>
          <w:b/>
          <w:sz w:val="24"/>
          <w:szCs w:val="24"/>
        </w:rPr>
        <w:t xml:space="preserve"> (Physicians with </w:t>
      </w:r>
      <w:r w:rsidR="00783CD2" w:rsidRPr="00007A27">
        <w:rPr>
          <w:rFonts w:ascii="Arial" w:hAnsi="Arial" w:cs="Arial"/>
          <w:b/>
          <w:sz w:val="24"/>
          <w:szCs w:val="24"/>
        </w:rPr>
        <w:t>a Specialty of Internal</w:t>
      </w:r>
      <w:r w:rsidR="00C17134" w:rsidRPr="00007A27">
        <w:rPr>
          <w:rFonts w:ascii="Arial" w:hAnsi="Arial" w:cs="Arial"/>
          <w:b/>
          <w:sz w:val="24"/>
          <w:szCs w:val="24"/>
        </w:rPr>
        <w:t xml:space="preserve"> Medicine, Pediatrics</w:t>
      </w:r>
      <w:r w:rsidR="00783CD2" w:rsidRPr="00007A27">
        <w:rPr>
          <w:rFonts w:ascii="Arial" w:hAnsi="Arial" w:cs="Arial"/>
          <w:b/>
          <w:sz w:val="24"/>
          <w:szCs w:val="24"/>
        </w:rPr>
        <w:t>)</w:t>
      </w:r>
      <w:r w:rsidR="00C17134" w:rsidRPr="00007A27">
        <w:rPr>
          <w:rFonts w:ascii="Arial" w:hAnsi="Arial" w:cs="Arial"/>
          <w:b/>
          <w:sz w:val="24"/>
          <w:szCs w:val="24"/>
        </w:rPr>
        <w:t>, Nurse Practitioners, CHCs, HODs/HLHCs)</w:t>
      </w:r>
      <w:r w:rsidR="00FC5C52" w:rsidRPr="00007A27">
        <w:rPr>
          <w:rFonts w:ascii="Arial" w:hAnsi="Arial" w:cs="Arial"/>
          <w:b/>
          <w:sz w:val="24"/>
          <w:szCs w:val="24"/>
        </w:rPr>
        <w:t xml:space="preserve"> </w:t>
      </w:r>
      <w:r w:rsidR="00CD3AA8">
        <w:rPr>
          <w:rFonts w:ascii="Arial" w:hAnsi="Arial" w:cs="Arial"/>
          <w:b/>
          <w:sz w:val="24"/>
          <w:szCs w:val="24"/>
        </w:rPr>
        <w:t>by County</w:t>
      </w:r>
      <w:r w:rsidR="00FC5C52" w:rsidRPr="00007A27">
        <w:rPr>
          <w:rFonts w:ascii="Arial" w:eastAsiaTheme="minorHAnsi" w:hAnsi="Arial" w:cs="Arial"/>
          <w:b/>
          <w:sz w:val="24"/>
          <w:szCs w:val="24"/>
        </w:rPr>
        <w:t xml:space="preserve"> SFY1</w:t>
      </w:r>
      <w:r w:rsidR="00577CEB" w:rsidRPr="00007A27">
        <w:rPr>
          <w:rFonts w:ascii="Arial" w:eastAsiaTheme="minorHAnsi" w:hAnsi="Arial" w:cs="Arial"/>
          <w:b/>
          <w:sz w:val="24"/>
          <w:szCs w:val="24"/>
        </w:rPr>
        <w:t>6</w:t>
      </w:r>
      <w:r w:rsidR="00FC5C52" w:rsidRPr="00007A27">
        <w:rPr>
          <w:rFonts w:ascii="Arial" w:eastAsiaTheme="minorHAnsi" w:hAnsi="Arial" w:cs="Arial"/>
          <w:b/>
          <w:sz w:val="24"/>
          <w:szCs w:val="24"/>
        </w:rPr>
        <w:t>-SFY1</w:t>
      </w:r>
      <w:r w:rsidR="00577CEB" w:rsidRPr="00007A27">
        <w:rPr>
          <w:rFonts w:ascii="Arial" w:eastAsiaTheme="minorHAnsi" w:hAnsi="Arial" w:cs="Arial"/>
          <w:b/>
          <w:sz w:val="24"/>
          <w:szCs w:val="24"/>
        </w:rPr>
        <w:t>8</w:t>
      </w:r>
    </w:p>
    <w:tbl>
      <w:tblPr>
        <w:tblW w:w="4385" w:type="dxa"/>
        <w:tblInd w:w="113" w:type="dxa"/>
        <w:tblLook w:val="04A0" w:firstRow="1" w:lastRow="0" w:firstColumn="1" w:lastColumn="0" w:noHBand="0" w:noVBand="1"/>
      </w:tblPr>
      <w:tblGrid>
        <w:gridCol w:w="1440"/>
        <w:gridCol w:w="1440"/>
        <w:gridCol w:w="1440"/>
        <w:gridCol w:w="1440"/>
      </w:tblGrid>
      <w:tr w:rsidR="000B1A47" w:rsidRPr="00FD405F" w:rsidTr="00B84D88">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SFY6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sz w:val="24"/>
                <w:szCs w:val="24"/>
              </w:rPr>
            </w:pPr>
            <w:r w:rsidRPr="00FD405F">
              <w:rPr>
                <w:rFonts w:ascii="Arial" w:eastAsia="Times New Roman" w:hAnsi="Arial" w:cs="Arial"/>
                <w:sz w:val="24"/>
                <w:szCs w:val="24"/>
              </w:rPr>
              <w:t>SFY18</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37</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33</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58</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lastRenderedPageBreak/>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41</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20</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41</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38</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47</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612A49" w:rsidRDefault="000B1A47" w:rsidP="000B1A47">
            <w:pPr>
              <w:ind w:firstLine="0"/>
              <w:rPr>
                <w:rFonts w:ascii="Arial" w:eastAsia="Times New Roman" w:hAnsi="Arial" w:cs="Arial"/>
                <w:sz w:val="24"/>
                <w:szCs w:val="24"/>
              </w:rPr>
            </w:pPr>
            <w:r w:rsidRPr="00612A49">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47</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109</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296</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612A49" w:rsidRDefault="000B1A47" w:rsidP="000B1A47">
            <w:pPr>
              <w:ind w:firstLine="0"/>
              <w:rPr>
                <w:rFonts w:ascii="Arial" w:eastAsia="Times New Roman" w:hAnsi="Arial" w:cs="Arial"/>
                <w:sz w:val="24"/>
                <w:szCs w:val="24"/>
              </w:rPr>
            </w:pPr>
            <w:r w:rsidRPr="00612A49">
              <w:rPr>
                <w:rFonts w:ascii="Arial" w:eastAsia="Times New Roman" w:hAnsi="Arial" w:cs="Arial"/>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45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44</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612A49" w:rsidRDefault="000B1A47" w:rsidP="000B1A47">
            <w:pPr>
              <w:ind w:firstLine="0"/>
              <w:jc w:val="right"/>
              <w:rPr>
                <w:rFonts w:ascii="Arial" w:eastAsia="Times New Roman" w:hAnsi="Arial" w:cs="Arial"/>
                <w:sz w:val="24"/>
                <w:szCs w:val="24"/>
              </w:rPr>
            </w:pPr>
            <w:r w:rsidRPr="00612A49">
              <w:rPr>
                <w:rFonts w:ascii="Arial" w:eastAsia="Times New Roman" w:hAnsi="Arial" w:cs="Arial"/>
                <w:sz w:val="24"/>
                <w:szCs w:val="24"/>
              </w:rPr>
              <w:t>53</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61</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54</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102</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42</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42</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32</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24</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39</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24</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18</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57</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49</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104</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25</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24</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21</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44</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41</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50</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14</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13</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14</w:t>
            </w:r>
          </w:p>
        </w:tc>
      </w:tr>
      <w:tr w:rsidR="000B1A47"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0B1A47" w:rsidRPr="00FD405F" w:rsidRDefault="000B1A47" w:rsidP="000B1A47">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31</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31</w:t>
            </w:r>
          </w:p>
        </w:tc>
        <w:tc>
          <w:tcPr>
            <w:tcW w:w="1440" w:type="dxa"/>
            <w:tcBorders>
              <w:top w:val="nil"/>
              <w:left w:val="nil"/>
              <w:bottom w:val="single" w:sz="4" w:space="0" w:color="auto"/>
              <w:right w:val="single" w:sz="4" w:space="0" w:color="auto"/>
            </w:tcBorders>
            <w:shd w:val="clear" w:color="000000" w:fill="FFFFFF"/>
            <w:noWrap/>
            <w:vAlign w:val="bottom"/>
            <w:hideMark/>
          </w:tcPr>
          <w:p w:rsidR="000B1A47" w:rsidRPr="00FD405F" w:rsidRDefault="000B1A47" w:rsidP="000B1A47">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46</w:t>
            </w:r>
          </w:p>
        </w:tc>
      </w:tr>
    </w:tbl>
    <w:p w:rsidR="002615D1" w:rsidRDefault="002615D1" w:rsidP="00750784">
      <w:pPr>
        <w:ind w:firstLine="0"/>
        <w:rPr>
          <w:rFonts w:ascii="Arial" w:eastAsia="Times New Roman" w:hAnsi="Arial" w:cs="Arial"/>
          <w:sz w:val="24"/>
          <w:szCs w:val="24"/>
        </w:rPr>
      </w:pPr>
    </w:p>
    <w:p w:rsidR="00F57D44" w:rsidRDefault="00F57D44" w:rsidP="00F57D44">
      <w:pPr>
        <w:ind w:firstLine="0"/>
        <w:rPr>
          <w:rFonts w:ascii="Arial" w:hAnsi="Arial" w:cs="Arial"/>
          <w:sz w:val="24"/>
          <w:szCs w:val="24"/>
        </w:rPr>
      </w:pPr>
      <w:r w:rsidRPr="00FD405F">
        <w:rPr>
          <w:rFonts w:ascii="Arial" w:hAnsi="Arial" w:cs="Arial"/>
          <w:sz w:val="24"/>
          <w:szCs w:val="24"/>
        </w:rPr>
        <w:t xml:space="preserve">The growth trend in the number of members per </w:t>
      </w:r>
      <w:r>
        <w:rPr>
          <w:rFonts w:ascii="Arial" w:hAnsi="Arial" w:cs="Arial"/>
          <w:sz w:val="24"/>
          <w:szCs w:val="24"/>
        </w:rPr>
        <w:t xml:space="preserve">primary care </w:t>
      </w:r>
      <w:r w:rsidRPr="00FD405F">
        <w:rPr>
          <w:rFonts w:ascii="Arial" w:hAnsi="Arial" w:cs="Arial"/>
          <w:sz w:val="24"/>
          <w:szCs w:val="24"/>
        </w:rPr>
        <w:t xml:space="preserve">provider type varies by provider type and, within each </w:t>
      </w:r>
      <w:r>
        <w:rPr>
          <w:rFonts w:ascii="Arial" w:hAnsi="Arial" w:cs="Arial"/>
          <w:sz w:val="24"/>
          <w:szCs w:val="24"/>
        </w:rPr>
        <w:t xml:space="preserve">primary care </w:t>
      </w:r>
      <w:r w:rsidRPr="00FD405F">
        <w:rPr>
          <w:rFonts w:ascii="Arial" w:hAnsi="Arial" w:cs="Arial"/>
          <w:sz w:val="24"/>
          <w:szCs w:val="24"/>
        </w:rPr>
        <w:t xml:space="preserve">provider type, by county. Many combinations of </w:t>
      </w:r>
      <w:r>
        <w:rPr>
          <w:rFonts w:ascii="Arial" w:hAnsi="Arial" w:cs="Arial"/>
          <w:sz w:val="24"/>
          <w:szCs w:val="24"/>
        </w:rPr>
        <w:t xml:space="preserve">primary care </w:t>
      </w:r>
      <w:r w:rsidRPr="00FD405F">
        <w:rPr>
          <w:rFonts w:ascii="Arial" w:hAnsi="Arial" w:cs="Arial"/>
          <w:sz w:val="24"/>
          <w:szCs w:val="24"/>
        </w:rPr>
        <w:t>provider type</w:t>
      </w:r>
      <w:r>
        <w:rPr>
          <w:rFonts w:ascii="Arial" w:hAnsi="Arial" w:cs="Arial"/>
          <w:sz w:val="24"/>
          <w:szCs w:val="24"/>
        </w:rPr>
        <w:t>s</w:t>
      </w:r>
      <w:r w:rsidRPr="00FD405F">
        <w:rPr>
          <w:rFonts w:ascii="Arial" w:hAnsi="Arial" w:cs="Arial"/>
          <w:sz w:val="24"/>
          <w:szCs w:val="24"/>
        </w:rPr>
        <w:t xml:space="preserve"> and count</w:t>
      </w:r>
      <w:r>
        <w:rPr>
          <w:rFonts w:ascii="Arial" w:hAnsi="Arial" w:cs="Arial"/>
          <w:sz w:val="24"/>
          <w:szCs w:val="24"/>
        </w:rPr>
        <w:t>ies</w:t>
      </w:r>
      <w:r w:rsidRPr="00FD405F">
        <w:rPr>
          <w:rFonts w:ascii="Arial" w:hAnsi="Arial" w:cs="Arial"/>
          <w:sz w:val="24"/>
          <w:szCs w:val="24"/>
        </w:rPr>
        <w:t xml:space="preserve"> indicate stable ratios. In some cases (e.g., Worcester) there is an increase in the ratio, and it is the result of large increases in enrollment.  In other cases (e.g., Barnstable), there is an increase for </w:t>
      </w:r>
      <w:r w:rsidR="00886E5E">
        <w:rPr>
          <w:rFonts w:ascii="Arial" w:hAnsi="Arial" w:cs="Arial"/>
          <w:sz w:val="24"/>
          <w:szCs w:val="24"/>
        </w:rPr>
        <w:t xml:space="preserve">overall </w:t>
      </w:r>
      <w:r>
        <w:rPr>
          <w:rFonts w:ascii="Arial" w:hAnsi="Arial" w:cs="Arial"/>
          <w:sz w:val="24"/>
          <w:szCs w:val="24"/>
        </w:rPr>
        <w:t>primary care provider type</w:t>
      </w:r>
      <w:r w:rsidR="00886E5E">
        <w:rPr>
          <w:rFonts w:ascii="Arial" w:hAnsi="Arial" w:cs="Arial"/>
          <w:sz w:val="24"/>
          <w:szCs w:val="24"/>
        </w:rPr>
        <w:t>s</w:t>
      </w:r>
      <w:r w:rsidRPr="00FD405F">
        <w:rPr>
          <w:rFonts w:ascii="Arial" w:hAnsi="Arial" w:cs="Arial"/>
          <w:sz w:val="24"/>
          <w:szCs w:val="24"/>
        </w:rPr>
        <w:t xml:space="preserve"> but a decrease in NP, suggesting a change in the overall mix of </w:t>
      </w:r>
      <w:r>
        <w:rPr>
          <w:rFonts w:ascii="Arial" w:hAnsi="Arial" w:cs="Arial"/>
          <w:sz w:val="24"/>
          <w:szCs w:val="24"/>
        </w:rPr>
        <w:t xml:space="preserve">primary care </w:t>
      </w:r>
      <w:r w:rsidRPr="00FD405F">
        <w:rPr>
          <w:rFonts w:ascii="Arial" w:hAnsi="Arial" w:cs="Arial"/>
          <w:sz w:val="24"/>
          <w:szCs w:val="24"/>
        </w:rPr>
        <w:t>provider type</w:t>
      </w:r>
      <w:r w:rsidR="00825D8B">
        <w:rPr>
          <w:rFonts w:ascii="Arial" w:hAnsi="Arial" w:cs="Arial"/>
          <w:sz w:val="24"/>
          <w:szCs w:val="24"/>
        </w:rPr>
        <w:t>s</w:t>
      </w:r>
      <w:r w:rsidRPr="00FD405F">
        <w:rPr>
          <w:rFonts w:ascii="Arial" w:hAnsi="Arial" w:cs="Arial"/>
          <w:sz w:val="24"/>
          <w:szCs w:val="24"/>
        </w:rPr>
        <w:t xml:space="preserve"> that may reflect industry trends in the area. A different trend is evidenced by CHCs in Berkshire County, where a decrease in the ratio is due in part to the decrease in enrollment</w:t>
      </w:r>
      <w:r>
        <w:rPr>
          <w:rFonts w:ascii="Arial" w:hAnsi="Arial" w:cs="Arial"/>
          <w:sz w:val="24"/>
          <w:szCs w:val="24"/>
        </w:rPr>
        <w:t>.</w:t>
      </w:r>
    </w:p>
    <w:p w:rsidR="00F57D44" w:rsidRDefault="00F57D44" w:rsidP="00750784">
      <w:pPr>
        <w:ind w:firstLine="0"/>
        <w:rPr>
          <w:rFonts w:ascii="Arial" w:eastAsia="Times New Roman" w:hAnsi="Arial" w:cs="Arial"/>
          <w:sz w:val="24"/>
          <w:szCs w:val="24"/>
        </w:rPr>
      </w:pPr>
    </w:p>
    <w:p w:rsidR="00731EC4" w:rsidRPr="00007A27" w:rsidRDefault="00987A4E" w:rsidP="00007A27">
      <w:pPr>
        <w:ind w:firstLine="0"/>
        <w:rPr>
          <w:rFonts w:ascii="Arial" w:eastAsiaTheme="minorHAnsi" w:hAnsi="Arial" w:cs="Arial"/>
          <w:b/>
          <w:sz w:val="24"/>
        </w:rPr>
      </w:pPr>
      <w:r w:rsidRPr="00007A27">
        <w:rPr>
          <w:rFonts w:ascii="Arial" w:hAnsi="Arial" w:cs="Arial"/>
          <w:b/>
          <w:sz w:val="24"/>
        </w:rPr>
        <w:t xml:space="preserve">Number of </w:t>
      </w:r>
      <w:r w:rsidR="00FC5C52" w:rsidRPr="00007A27">
        <w:rPr>
          <w:rFonts w:ascii="Arial" w:hAnsi="Arial" w:cs="Arial"/>
          <w:b/>
          <w:sz w:val="24"/>
        </w:rPr>
        <w:t>M</w:t>
      </w:r>
      <w:r w:rsidRPr="00007A27">
        <w:rPr>
          <w:rFonts w:ascii="Arial" w:hAnsi="Arial" w:cs="Arial"/>
          <w:b/>
          <w:sz w:val="24"/>
        </w:rPr>
        <w:t xml:space="preserve">embers per </w:t>
      </w:r>
      <w:r w:rsidR="00AD24BC" w:rsidRPr="00007A27">
        <w:rPr>
          <w:rFonts w:ascii="Arial" w:hAnsi="Arial" w:cs="Arial"/>
          <w:b/>
          <w:sz w:val="24"/>
        </w:rPr>
        <w:t>D</w:t>
      </w:r>
      <w:r w:rsidRPr="00007A27">
        <w:rPr>
          <w:rFonts w:ascii="Arial" w:hAnsi="Arial" w:cs="Arial"/>
          <w:b/>
          <w:sz w:val="24"/>
        </w:rPr>
        <w:t>entist</w:t>
      </w:r>
      <w:r w:rsidR="00AF3D59" w:rsidRPr="00007A27">
        <w:rPr>
          <w:rFonts w:ascii="Arial" w:hAnsi="Arial" w:cs="Arial"/>
          <w:b/>
          <w:sz w:val="24"/>
        </w:rPr>
        <w:t xml:space="preserve"> </w:t>
      </w:r>
      <w:r w:rsidR="00CD3AA8">
        <w:rPr>
          <w:rFonts w:ascii="Arial" w:eastAsiaTheme="minorHAnsi" w:hAnsi="Arial" w:cs="Arial"/>
          <w:b/>
          <w:sz w:val="24"/>
        </w:rPr>
        <w:t>by County</w:t>
      </w:r>
      <w:r w:rsidR="00AF3D59" w:rsidRPr="00007A27">
        <w:rPr>
          <w:rFonts w:ascii="Arial" w:eastAsiaTheme="minorHAnsi" w:hAnsi="Arial" w:cs="Arial"/>
          <w:b/>
          <w:sz w:val="24"/>
        </w:rPr>
        <w:t xml:space="preserve"> SFY1</w:t>
      </w:r>
      <w:r w:rsidR="00577CEB" w:rsidRPr="00007A27">
        <w:rPr>
          <w:rFonts w:ascii="Arial" w:eastAsiaTheme="minorHAnsi" w:hAnsi="Arial" w:cs="Arial"/>
          <w:b/>
          <w:sz w:val="24"/>
        </w:rPr>
        <w:t>6</w:t>
      </w:r>
      <w:r w:rsidR="00AF3D59" w:rsidRPr="00007A27">
        <w:rPr>
          <w:rFonts w:ascii="Arial" w:eastAsiaTheme="minorHAnsi" w:hAnsi="Arial" w:cs="Arial"/>
          <w:b/>
          <w:sz w:val="24"/>
        </w:rPr>
        <w:t>-SFY1</w:t>
      </w:r>
      <w:r w:rsidR="00577CEB" w:rsidRPr="00007A27">
        <w:rPr>
          <w:rFonts w:ascii="Arial" w:eastAsiaTheme="minorHAnsi" w:hAnsi="Arial" w:cs="Arial"/>
          <w:b/>
          <w:sz w:val="24"/>
        </w:rPr>
        <w:t>8</w:t>
      </w:r>
    </w:p>
    <w:tbl>
      <w:tblPr>
        <w:tblW w:w="4400" w:type="dxa"/>
        <w:tblInd w:w="113" w:type="dxa"/>
        <w:tblLook w:val="04A0" w:firstRow="1" w:lastRow="0" w:firstColumn="1" w:lastColumn="0" w:noHBand="0" w:noVBand="1"/>
      </w:tblPr>
      <w:tblGrid>
        <w:gridCol w:w="1440"/>
        <w:gridCol w:w="1440"/>
        <w:gridCol w:w="1440"/>
        <w:gridCol w:w="1440"/>
      </w:tblGrid>
      <w:tr w:rsidR="00A108D1" w:rsidRPr="00FD405F" w:rsidTr="00B84D88">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SFY18</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217</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216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535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222</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210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130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267</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252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328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1A524A" w:rsidRDefault="00A108D1" w:rsidP="00A108D1">
            <w:pPr>
              <w:ind w:firstLine="0"/>
              <w:rPr>
                <w:rFonts w:ascii="Arial" w:eastAsia="Times New Roman" w:hAnsi="Arial" w:cs="Arial"/>
                <w:sz w:val="24"/>
                <w:szCs w:val="24"/>
              </w:rPr>
            </w:pPr>
            <w:r w:rsidRPr="001A524A">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1A524A" w:rsidRDefault="00A108D1" w:rsidP="00A108D1">
            <w:pPr>
              <w:ind w:firstLine="0"/>
              <w:jc w:val="right"/>
              <w:rPr>
                <w:rFonts w:ascii="Arial" w:eastAsia="Times New Roman" w:hAnsi="Arial" w:cs="Arial"/>
                <w:sz w:val="24"/>
                <w:szCs w:val="24"/>
              </w:rPr>
            </w:pPr>
            <w:r w:rsidRPr="001A524A">
              <w:rPr>
                <w:rFonts w:ascii="Arial" w:eastAsia="Times New Roman" w:hAnsi="Arial" w:cs="Arial"/>
                <w:sz w:val="24"/>
                <w:szCs w:val="24"/>
              </w:rPr>
              <w:t>805</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1A524A" w:rsidRDefault="00A108D1" w:rsidP="00A108D1">
            <w:pPr>
              <w:ind w:firstLine="0"/>
              <w:jc w:val="right"/>
              <w:rPr>
                <w:rFonts w:ascii="Arial" w:eastAsia="Times New Roman" w:hAnsi="Arial" w:cs="Arial"/>
                <w:sz w:val="24"/>
                <w:szCs w:val="24"/>
              </w:rPr>
            </w:pPr>
            <w:r w:rsidRPr="001A524A">
              <w:rPr>
                <w:rFonts w:ascii="Arial" w:eastAsia="Times New Roman" w:hAnsi="Arial" w:cs="Arial"/>
                <w:sz w:val="24"/>
                <w:szCs w:val="24"/>
              </w:rPr>
              <w:t xml:space="preserve">1,092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1A524A" w:rsidRDefault="00A108D1" w:rsidP="00A108D1">
            <w:pPr>
              <w:ind w:firstLine="0"/>
              <w:jc w:val="right"/>
              <w:rPr>
                <w:rFonts w:ascii="Arial" w:eastAsia="Times New Roman" w:hAnsi="Arial" w:cs="Arial"/>
                <w:sz w:val="24"/>
                <w:szCs w:val="24"/>
              </w:rPr>
            </w:pPr>
            <w:r w:rsidRPr="001A524A">
              <w:rPr>
                <w:rFonts w:ascii="Arial" w:eastAsia="Times New Roman" w:hAnsi="Arial" w:cs="Arial"/>
                <w:sz w:val="24"/>
                <w:szCs w:val="24"/>
              </w:rPr>
              <w:t xml:space="preserve">2,367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224</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220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263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261</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264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519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335</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303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206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188</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197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303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133</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127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97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226</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212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449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111</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110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98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194</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179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215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sz w:val="24"/>
                <w:szCs w:val="24"/>
              </w:rPr>
            </w:pPr>
            <w:r w:rsidRPr="00FD405F">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sz w:val="24"/>
                <w:szCs w:val="24"/>
              </w:rPr>
            </w:pPr>
            <w:r w:rsidRPr="00FD405F">
              <w:rPr>
                <w:rFonts w:ascii="Arial" w:eastAsia="Times New Roman" w:hAnsi="Arial" w:cs="Arial"/>
                <w:sz w:val="24"/>
                <w:szCs w:val="24"/>
              </w:rPr>
              <w:t>263</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sz w:val="24"/>
                <w:szCs w:val="24"/>
              </w:rPr>
            </w:pPr>
            <w:r w:rsidRPr="00FD405F">
              <w:rPr>
                <w:rFonts w:ascii="Arial" w:eastAsia="Times New Roman" w:hAnsi="Arial" w:cs="Arial"/>
                <w:sz w:val="24"/>
                <w:szCs w:val="24"/>
              </w:rPr>
              <w:t xml:space="preserve">255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sz w:val="24"/>
                <w:szCs w:val="24"/>
              </w:rPr>
            </w:pPr>
            <w:r w:rsidRPr="00FD405F">
              <w:rPr>
                <w:rFonts w:ascii="Arial" w:eastAsia="Times New Roman" w:hAnsi="Arial" w:cs="Arial"/>
                <w:sz w:val="24"/>
                <w:szCs w:val="24"/>
              </w:rPr>
              <w:t xml:space="preserve">266 </w:t>
            </w:r>
          </w:p>
        </w:tc>
      </w:tr>
      <w:tr w:rsidR="00A108D1" w:rsidRPr="00FD405F" w:rsidTr="00B84D8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108D1" w:rsidRPr="00FD405F" w:rsidRDefault="00A108D1" w:rsidP="00A108D1">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170</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166 </w:t>
            </w:r>
          </w:p>
        </w:tc>
        <w:tc>
          <w:tcPr>
            <w:tcW w:w="1440" w:type="dxa"/>
            <w:tcBorders>
              <w:top w:val="nil"/>
              <w:left w:val="nil"/>
              <w:bottom w:val="single" w:sz="4" w:space="0" w:color="auto"/>
              <w:right w:val="single" w:sz="4" w:space="0" w:color="auto"/>
            </w:tcBorders>
            <w:shd w:val="clear" w:color="000000" w:fill="FFFFFF"/>
            <w:noWrap/>
            <w:vAlign w:val="bottom"/>
            <w:hideMark/>
          </w:tcPr>
          <w:p w:rsidR="00A108D1" w:rsidRPr="00FD405F" w:rsidRDefault="00A108D1" w:rsidP="00A108D1">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280 </w:t>
            </w:r>
          </w:p>
        </w:tc>
      </w:tr>
    </w:tbl>
    <w:p w:rsidR="00F57D44" w:rsidRDefault="00F57D44" w:rsidP="00007A27">
      <w:pPr>
        <w:ind w:firstLine="0"/>
        <w:rPr>
          <w:rFonts w:ascii="Arial" w:hAnsi="Arial" w:cs="Arial"/>
          <w:sz w:val="24"/>
          <w:szCs w:val="24"/>
        </w:rPr>
      </w:pPr>
    </w:p>
    <w:p w:rsidR="00750784" w:rsidRPr="00FD405F" w:rsidRDefault="00F57D44" w:rsidP="00007A27">
      <w:pPr>
        <w:ind w:firstLine="0"/>
        <w:rPr>
          <w:rFonts w:ascii="Arial" w:hAnsi="Arial" w:cs="Arial"/>
          <w:sz w:val="24"/>
          <w:szCs w:val="24"/>
        </w:rPr>
      </w:pPr>
      <w:r>
        <w:rPr>
          <w:rFonts w:ascii="Arial" w:hAnsi="Arial" w:cs="Arial"/>
          <w:sz w:val="24"/>
          <w:szCs w:val="24"/>
        </w:rPr>
        <w:lastRenderedPageBreak/>
        <w:t>For purposes of the AMRP, MassHealth analyzed t</w:t>
      </w:r>
      <w:r w:rsidR="00750784" w:rsidRPr="00FD405F">
        <w:rPr>
          <w:rFonts w:ascii="Arial" w:eastAsia="Times New Roman" w:hAnsi="Arial" w:cs="Arial"/>
          <w:sz w:val="24"/>
          <w:szCs w:val="24"/>
        </w:rPr>
        <w:t xml:space="preserve">he number of members per dentist </w:t>
      </w:r>
      <w:r w:rsidR="00CD3AA8">
        <w:rPr>
          <w:rFonts w:ascii="Arial" w:eastAsia="Times New Roman" w:hAnsi="Arial" w:cs="Arial"/>
          <w:sz w:val="24"/>
          <w:szCs w:val="24"/>
        </w:rPr>
        <w:t>by</w:t>
      </w:r>
      <w:r w:rsidR="00886E5E">
        <w:rPr>
          <w:rFonts w:ascii="Arial" w:eastAsia="Times New Roman" w:hAnsi="Arial" w:cs="Arial"/>
          <w:sz w:val="24"/>
          <w:szCs w:val="24"/>
        </w:rPr>
        <w:t xml:space="preserve"> c</w:t>
      </w:r>
      <w:r w:rsidR="00CD3AA8">
        <w:rPr>
          <w:rFonts w:ascii="Arial" w:eastAsia="Times New Roman" w:hAnsi="Arial" w:cs="Arial"/>
          <w:sz w:val="24"/>
          <w:szCs w:val="24"/>
        </w:rPr>
        <w:t>ounty</w:t>
      </w:r>
      <w:r w:rsidR="00750784" w:rsidRPr="00FD405F">
        <w:rPr>
          <w:rFonts w:ascii="Arial" w:eastAsia="Times New Roman" w:hAnsi="Arial" w:cs="Arial"/>
          <w:sz w:val="24"/>
          <w:szCs w:val="24"/>
        </w:rPr>
        <w:t>. The American Dental Association (ADA) does not have an access standard, stating</w:t>
      </w:r>
      <w:r w:rsidR="00711FF7">
        <w:rPr>
          <w:rFonts w:ascii="Arial" w:eastAsia="Times New Roman" w:hAnsi="Arial" w:cs="Arial"/>
          <w:sz w:val="24"/>
          <w:szCs w:val="24"/>
        </w:rPr>
        <w:t xml:space="preserve"> in their Health Policy FAQ</w:t>
      </w:r>
      <w:r w:rsidR="00750784" w:rsidRPr="00FD405F">
        <w:rPr>
          <w:rFonts w:ascii="Arial" w:eastAsia="Times New Roman" w:hAnsi="Arial" w:cs="Arial"/>
          <w:sz w:val="24"/>
          <w:szCs w:val="24"/>
        </w:rPr>
        <w:t>, “It is the ADA’s view that a simple dentist-to-patient ratio cannot take into account the differing economic environments from region to region, state to state, or urban to rural.”</w:t>
      </w:r>
      <w:r w:rsidR="00711FF7">
        <w:rPr>
          <w:rStyle w:val="FootnoteReference"/>
          <w:rFonts w:ascii="Arial" w:eastAsia="Times New Roman" w:hAnsi="Arial" w:cs="Arial"/>
          <w:sz w:val="24"/>
          <w:szCs w:val="24"/>
        </w:rPr>
        <w:footnoteReference w:id="6"/>
      </w:r>
      <w:r w:rsidR="00750784" w:rsidRPr="00FD405F">
        <w:rPr>
          <w:rFonts w:ascii="Arial" w:eastAsia="Times New Roman" w:hAnsi="Arial" w:cs="Arial"/>
          <w:sz w:val="24"/>
          <w:szCs w:val="24"/>
        </w:rPr>
        <w:t xml:space="preserve"> </w:t>
      </w:r>
    </w:p>
    <w:p w:rsidR="00A108D1" w:rsidRPr="00FD405F" w:rsidRDefault="00A108D1" w:rsidP="008A7122">
      <w:pPr>
        <w:rPr>
          <w:rFonts w:ascii="Arial" w:hAnsi="Arial" w:cs="Arial"/>
          <w:sz w:val="24"/>
          <w:szCs w:val="24"/>
        </w:rPr>
      </w:pPr>
    </w:p>
    <w:p w:rsidR="0075698B" w:rsidRPr="00A945FF" w:rsidRDefault="0066291B" w:rsidP="00A945FF">
      <w:pPr>
        <w:pStyle w:val="Heading2"/>
        <w:rPr>
          <w:rFonts w:ascii="Arial" w:hAnsi="Arial" w:cs="Arial"/>
          <w:color w:val="auto"/>
          <w:sz w:val="24"/>
          <w:u w:val="single"/>
        </w:rPr>
      </w:pPr>
      <w:bookmarkStart w:id="28" w:name="_Toc10810576"/>
      <w:bookmarkStart w:id="29" w:name="_Toc20296927"/>
      <w:r w:rsidRPr="00A945FF">
        <w:rPr>
          <w:rFonts w:ascii="Arial" w:hAnsi="Arial" w:cs="Arial"/>
          <w:color w:val="auto"/>
          <w:sz w:val="24"/>
          <w:u w:val="single"/>
        </w:rPr>
        <w:t>4</w:t>
      </w:r>
      <w:r w:rsidR="007A502F" w:rsidRPr="00A945FF">
        <w:rPr>
          <w:rFonts w:ascii="Arial" w:hAnsi="Arial" w:cs="Arial"/>
          <w:color w:val="auto"/>
          <w:sz w:val="24"/>
          <w:u w:val="single"/>
        </w:rPr>
        <w:t>.</w:t>
      </w:r>
      <w:r w:rsidR="0075698B" w:rsidRPr="00A945FF">
        <w:rPr>
          <w:rFonts w:ascii="Arial" w:hAnsi="Arial" w:cs="Arial"/>
          <w:color w:val="auto"/>
          <w:sz w:val="24"/>
          <w:u w:val="single"/>
        </w:rPr>
        <w:t xml:space="preserve"> Utilization </w:t>
      </w:r>
      <w:r w:rsidR="00415600" w:rsidRPr="00A945FF">
        <w:rPr>
          <w:rFonts w:ascii="Arial" w:hAnsi="Arial" w:cs="Arial"/>
          <w:color w:val="auto"/>
          <w:sz w:val="24"/>
          <w:u w:val="single"/>
        </w:rPr>
        <w:t>of Primary Care Services</w:t>
      </w:r>
      <w:bookmarkEnd w:id="28"/>
      <w:bookmarkEnd w:id="29"/>
    </w:p>
    <w:p w:rsidR="003916D7" w:rsidRPr="00FD405F" w:rsidRDefault="003916D7" w:rsidP="00B26CE4">
      <w:pPr>
        <w:ind w:firstLine="0"/>
        <w:rPr>
          <w:rFonts w:ascii="Arial" w:hAnsi="Arial" w:cs="Arial"/>
          <w:sz w:val="24"/>
          <w:szCs w:val="24"/>
        </w:rPr>
      </w:pPr>
    </w:p>
    <w:p w:rsidR="001029EA" w:rsidRPr="00FD405F" w:rsidRDefault="001029EA" w:rsidP="00B26CE4">
      <w:pPr>
        <w:ind w:firstLine="0"/>
        <w:rPr>
          <w:rFonts w:ascii="Arial" w:hAnsi="Arial" w:cs="Arial"/>
          <w:sz w:val="24"/>
          <w:szCs w:val="24"/>
        </w:rPr>
      </w:pPr>
      <w:r w:rsidRPr="00FD405F">
        <w:rPr>
          <w:rFonts w:ascii="Arial" w:hAnsi="Arial" w:cs="Arial"/>
          <w:sz w:val="24"/>
          <w:szCs w:val="24"/>
        </w:rPr>
        <w:t>Data source: MMIS member enrollment data and MMIS claims data</w:t>
      </w:r>
    </w:p>
    <w:p w:rsidR="00FC5C52" w:rsidRPr="00FD405F" w:rsidRDefault="00FC5C52" w:rsidP="00B26CE4">
      <w:pPr>
        <w:ind w:firstLine="0"/>
        <w:rPr>
          <w:rFonts w:ascii="Arial" w:hAnsi="Arial" w:cs="Arial"/>
          <w:sz w:val="24"/>
          <w:szCs w:val="24"/>
        </w:rPr>
      </w:pPr>
    </w:p>
    <w:p w:rsidR="003916D7" w:rsidRPr="00FD405F" w:rsidRDefault="001029EA" w:rsidP="003916D7">
      <w:pPr>
        <w:ind w:firstLine="0"/>
        <w:rPr>
          <w:rFonts w:ascii="Arial" w:hAnsi="Arial" w:cs="Arial"/>
          <w:sz w:val="24"/>
          <w:szCs w:val="24"/>
        </w:rPr>
      </w:pPr>
      <w:r w:rsidRPr="00FD405F">
        <w:rPr>
          <w:rFonts w:ascii="Arial" w:hAnsi="Arial" w:cs="Arial"/>
          <w:sz w:val="24"/>
          <w:szCs w:val="24"/>
        </w:rPr>
        <w:t>Methodology:</w:t>
      </w:r>
      <w:r w:rsidR="00CC1C46" w:rsidRPr="00FD405F">
        <w:rPr>
          <w:rFonts w:ascii="Arial" w:hAnsi="Arial" w:cs="Arial"/>
          <w:sz w:val="24"/>
          <w:szCs w:val="24"/>
        </w:rPr>
        <w:t xml:space="preserve"> </w:t>
      </w:r>
      <w:r w:rsidRPr="00FD405F">
        <w:rPr>
          <w:rFonts w:ascii="Arial" w:hAnsi="Arial" w:cs="Arial"/>
          <w:sz w:val="24"/>
          <w:szCs w:val="24"/>
        </w:rPr>
        <w:t xml:space="preserve">Number of members </w:t>
      </w:r>
      <w:r w:rsidR="00AB3663" w:rsidRPr="00FD405F">
        <w:rPr>
          <w:rFonts w:ascii="Arial" w:hAnsi="Arial" w:cs="Arial"/>
          <w:sz w:val="24"/>
          <w:szCs w:val="24"/>
        </w:rPr>
        <w:t xml:space="preserve">residing in a county </w:t>
      </w:r>
      <w:r w:rsidRPr="00FD405F">
        <w:rPr>
          <w:rFonts w:ascii="Arial" w:hAnsi="Arial" w:cs="Arial"/>
          <w:sz w:val="24"/>
          <w:szCs w:val="24"/>
        </w:rPr>
        <w:t>divided by episodes of care</w:t>
      </w:r>
      <w:r w:rsidR="00AB3663" w:rsidRPr="00FD405F">
        <w:rPr>
          <w:rFonts w:ascii="Arial" w:hAnsi="Arial" w:cs="Arial"/>
          <w:sz w:val="24"/>
          <w:szCs w:val="24"/>
        </w:rPr>
        <w:t xml:space="preserve"> provided by providers in that county</w:t>
      </w:r>
      <w:r w:rsidRPr="00FD405F">
        <w:rPr>
          <w:rFonts w:ascii="Arial" w:hAnsi="Arial" w:cs="Arial"/>
          <w:sz w:val="24"/>
          <w:szCs w:val="24"/>
        </w:rPr>
        <w:t>, multiplied by 1,000</w:t>
      </w:r>
      <w:r w:rsidR="00FC5C52" w:rsidRPr="00FD405F">
        <w:rPr>
          <w:rFonts w:ascii="Arial" w:hAnsi="Arial" w:cs="Arial"/>
          <w:sz w:val="24"/>
          <w:szCs w:val="24"/>
        </w:rPr>
        <w:t xml:space="preserve">. </w:t>
      </w:r>
      <w:r w:rsidR="00850E98">
        <w:rPr>
          <w:rFonts w:ascii="Arial" w:hAnsi="Arial" w:cs="Arial"/>
          <w:sz w:val="24"/>
          <w:szCs w:val="24"/>
        </w:rPr>
        <w:t xml:space="preserve">MMIS data was used to determine </w:t>
      </w:r>
      <w:r w:rsidR="003916D7" w:rsidRPr="00FD405F">
        <w:rPr>
          <w:rFonts w:ascii="Arial" w:hAnsi="Arial" w:cs="Arial"/>
          <w:sz w:val="24"/>
          <w:szCs w:val="24"/>
        </w:rPr>
        <w:t>the number of episodes of care</w:t>
      </w:r>
      <w:r w:rsidR="00FA7381" w:rsidRPr="00FD405F">
        <w:rPr>
          <w:rFonts w:ascii="Arial" w:hAnsi="Arial" w:cs="Arial"/>
          <w:sz w:val="24"/>
          <w:szCs w:val="24"/>
        </w:rPr>
        <w:t xml:space="preserve">, </w:t>
      </w:r>
      <w:r w:rsidR="003916D7" w:rsidRPr="00FD405F">
        <w:rPr>
          <w:rFonts w:ascii="Arial" w:hAnsi="Arial" w:cs="Arial"/>
          <w:sz w:val="24"/>
          <w:szCs w:val="24"/>
        </w:rPr>
        <w:t xml:space="preserve">defined as the number of times that the same member, under any circumstance, </w:t>
      </w:r>
      <w:r w:rsidR="00FA7381" w:rsidRPr="00FD405F">
        <w:rPr>
          <w:rFonts w:ascii="Arial" w:hAnsi="Arial" w:cs="Arial"/>
          <w:sz w:val="24"/>
          <w:szCs w:val="24"/>
        </w:rPr>
        <w:t>visits</w:t>
      </w:r>
      <w:r w:rsidR="00074467" w:rsidRPr="00FD405F">
        <w:rPr>
          <w:rFonts w:ascii="Arial" w:hAnsi="Arial" w:cs="Arial"/>
          <w:sz w:val="24"/>
          <w:szCs w:val="24"/>
        </w:rPr>
        <w:t xml:space="preserve"> the same provider i</w:t>
      </w:r>
      <w:r w:rsidR="003916D7" w:rsidRPr="00FD405F">
        <w:rPr>
          <w:rFonts w:ascii="Arial" w:hAnsi="Arial" w:cs="Arial"/>
          <w:sz w:val="24"/>
          <w:szCs w:val="24"/>
        </w:rPr>
        <w:t xml:space="preserve">n the same </w:t>
      </w:r>
      <w:r w:rsidR="00074467" w:rsidRPr="00FD405F">
        <w:rPr>
          <w:rFonts w:ascii="Arial" w:hAnsi="Arial" w:cs="Arial"/>
          <w:sz w:val="24"/>
          <w:szCs w:val="24"/>
        </w:rPr>
        <w:t>year</w:t>
      </w:r>
      <w:r w:rsidR="00FA7381" w:rsidRPr="00FD405F">
        <w:rPr>
          <w:rFonts w:ascii="Arial" w:hAnsi="Arial" w:cs="Arial"/>
          <w:sz w:val="24"/>
          <w:szCs w:val="24"/>
        </w:rPr>
        <w:t xml:space="preserve">. </w:t>
      </w:r>
      <w:r w:rsidR="005543AA" w:rsidRPr="00FD405F">
        <w:rPr>
          <w:rFonts w:ascii="Arial" w:hAnsi="Arial" w:cs="Arial"/>
          <w:sz w:val="24"/>
          <w:szCs w:val="24"/>
        </w:rPr>
        <w:t xml:space="preserve">We converted the measure to be per 1,000 (multiplied by 1,000) so all data </w:t>
      </w:r>
      <w:r w:rsidR="00850E98">
        <w:rPr>
          <w:rFonts w:ascii="Arial" w:hAnsi="Arial" w:cs="Arial"/>
          <w:sz w:val="24"/>
          <w:szCs w:val="24"/>
        </w:rPr>
        <w:t>can be presented</w:t>
      </w:r>
      <w:r w:rsidR="005543AA" w:rsidRPr="00FD405F">
        <w:rPr>
          <w:rFonts w:ascii="Arial" w:hAnsi="Arial" w:cs="Arial"/>
          <w:sz w:val="24"/>
          <w:szCs w:val="24"/>
        </w:rPr>
        <w:t xml:space="preserve"> on the same scale and therefore </w:t>
      </w:r>
      <w:r w:rsidR="00850E98">
        <w:rPr>
          <w:rFonts w:ascii="Arial" w:hAnsi="Arial" w:cs="Arial"/>
          <w:sz w:val="24"/>
          <w:szCs w:val="24"/>
        </w:rPr>
        <w:t xml:space="preserve">be </w:t>
      </w:r>
      <w:r w:rsidR="005543AA" w:rsidRPr="00FD405F">
        <w:rPr>
          <w:rFonts w:ascii="Arial" w:hAnsi="Arial" w:cs="Arial"/>
          <w:sz w:val="24"/>
          <w:szCs w:val="24"/>
        </w:rPr>
        <w:t xml:space="preserve">comparable. </w:t>
      </w:r>
      <w:r w:rsidR="00DB2D5B">
        <w:rPr>
          <w:rFonts w:ascii="Arial" w:hAnsi="Arial" w:cs="Arial"/>
          <w:sz w:val="24"/>
          <w:szCs w:val="24"/>
        </w:rPr>
        <w:t>Members are defined as PCC P</w:t>
      </w:r>
      <w:r w:rsidR="00097B19" w:rsidRPr="00FD405F">
        <w:rPr>
          <w:rFonts w:ascii="Arial" w:hAnsi="Arial" w:cs="Arial"/>
          <w:sz w:val="24"/>
          <w:szCs w:val="24"/>
        </w:rPr>
        <w:t>lan members</w:t>
      </w:r>
      <w:r w:rsidR="006A2863" w:rsidRPr="00FD405F">
        <w:rPr>
          <w:rFonts w:ascii="Arial" w:hAnsi="Arial" w:cs="Arial"/>
          <w:sz w:val="24"/>
          <w:szCs w:val="24"/>
        </w:rPr>
        <w:t>,</w:t>
      </w:r>
      <w:r w:rsidR="00097B19" w:rsidRPr="00FD405F">
        <w:rPr>
          <w:rFonts w:ascii="Arial" w:hAnsi="Arial" w:cs="Arial"/>
          <w:sz w:val="24"/>
          <w:szCs w:val="24"/>
        </w:rPr>
        <w:t xml:space="preserve"> FFS members with MassHealth as primary coverage</w:t>
      </w:r>
      <w:r w:rsidR="006A2863" w:rsidRPr="00FD405F">
        <w:rPr>
          <w:rFonts w:ascii="Arial" w:hAnsi="Arial" w:cs="Arial"/>
          <w:sz w:val="24"/>
          <w:szCs w:val="24"/>
        </w:rPr>
        <w:t xml:space="preserve"> and members enrolled in a </w:t>
      </w:r>
      <w:r w:rsidR="00DF3786" w:rsidRPr="00FD405F">
        <w:rPr>
          <w:rFonts w:ascii="Arial" w:hAnsi="Arial" w:cs="Arial"/>
          <w:sz w:val="24"/>
          <w:szCs w:val="24"/>
        </w:rPr>
        <w:t>Primary Care ACO</w:t>
      </w:r>
      <w:r w:rsidR="00097B19" w:rsidRPr="00FD405F">
        <w:rPr>
          <w:rFonts w:ascii="Arial" w:hAnsi="Arial" w:cs="Arial"/>
          <w:sz w:val="24"/>
          <w:szCs w:val="24"/>
        </w:rPr>
        <w:t>.</w:t>
      </w:r>
      <w:r w:rsidR="00DF3786" w:rsidRPr="00FD405F">
        <w:rPr>
          <w:rFonts w:ascii="Arial" w:hAnsi="Arial" w:cs="Arial"/>
          <w:sz w:val="24"/>
          <w:szCs w:val="24"/>
        </w:rPr>
        <w:t xml:space="preserve"> Additional considerations:</w:t>
      </w:r>
    </w:p>
    <w:p w:rsidR="0081769B" w:rsidRPr="00FD405F" w:rsidRDefault="0081769B" w:rsidP="003916D7">
      <w:pPr>
        <w:ind w:firstLine="0"/>
        <w:rPr>
          <w:rFonts w:ascii="Arial" w:hAnsi="Arial" w:cs="Arial"/>
          <w:sz w:val="24"/>
          <w:szCs w:val="24"/>
        </w:rPr>
      </w:pPr>
    </w:p>
    <w:p w:rsidR="00200FE0" w:rsidRPr="00FD405F" w:rsidRDefault="00200FE0" w:rsidP="005675A1">
      <w:pPr>
        <w:pStyle w:val="ListParagraph"/>
        <w:numPr>
          <w:ilvl w:val="0"/>
          <w:numId w:val="28"/>
        </w:numPr>
        <w:rPr>
          <w:rFonts w:ascii="Arial" w:hAnsi="Arial" w:cs="Arial"/>
          <w:sz w:val="24"/>
          <w:szCs w:val="24"/>
        </w:rPr>
      </w:pPr>
      <w:r w:rsidRPr="00FD405F">
        <w:rPr>
          <w:rFonts w:ascii="Arial" w:hAnsi="Arial" w:cs="Arial"/>
          <w:sz w:val="24"/>
          <w:szCs w:val="24"/>
        </w:rPr>
        <w:t>The episode of care data in th</w:t>
      </w:r>
      <w:r w:rsidR="00850E98">
        <w:rPr>
          <w:rFonts w:ascii="Arial" w:hAnsi="Arial" w:cs="Arial"/>
          <w:sz w:val="24"/>
          <w:szCs w:val="24"/>
        </w:rPr>
        <w:t>is section on</w:t>
      </w:r>
      <w:r w:rsidRPr="00FD405F">
        <w:rPr>
          <w:rFonts w:ascii="Arial" w:hAnsi="Arial" w:cs="Arial"/>
          <w:sz w:val="24"/>
          <w:szCs w:val="24"/>
        </w:rPr>
        <w:t xml:space="preserve"> utilization was calculated based on the location of the provider</w:t>
      </w:r>
      <w:r w:rsidR="00850E98">
        <w:rPr>
          <w:rFonts w:ascii="Arial" w:hAnsi="Arial" w:cs="Arial"/>
          <w:sz w:val="24"/>
          <w:szCs w:val="24"/>
        </w:rPr>
        <w:t>. As noted earlier,</w:t>
      </w:r>
      <w:r w:rsidRPr="00FD405F">
        <w:rPr>
          <w:rFonts w:ascii="Arial" w:hAnsi="Arial" w:cs="Arial"/>
          <w:sz w:val="24"/>
          <w:szCs w:val="24"/>
        </w:rPr>
        <w:t xml:space="preserve"> members can seek care in counties</w:t>
      </w:r>
      <w:r w:rsidR="00D33BD2" w:rsidRPr="00FD405F">
        <w:rPr>
          <w:rFonts w:ascii="Arial" w:hAnsi="Arial" w:cs="Arial"/>
          <w:sz w:val="24"/>
          <w:szCs w:val="24"/>
        </w:rPr>
        <w:t xml:space="preserve"> outside their county of residence</w:t>
      </w:r>
      <w:r w:rsidRPr="00FD405F">
        <w:rPr>
          <w:rFonts w:ascii="Arial" w:hAnsi="Arial" w:cs="Arial"/>
          <w:sz w:val="24"/>
          <w:szCs w:val="24"/>
        </w:rPr>
        <w:t>.</w:t>
      </w:r>
    </w:p>
    <w:p w:rsidR="005543AA" w:rsidRPr="00FD405F" w:rsidRDefault="005543AA" w:rsidP="00B16D62">
      <w:pPr>
        <w:ind w:firstLine="0"/>
        <w:rPr>
          <w:rFonts w:ascii="Arial" w:hAnsi="Arial" w:cs="Arial"/>
          <w:sz w:val="24"/>
          <w:szCs w:val="24"/>
        </w:rPr>
      </w:pPr>
    </w:p>
    <w:p w:rsidR="00B16D62" w:rsidRPr="00FD405F" w:rsidRDefault="00926C65" w:rsidP="005675A1">
      <w:pPr>
        <w:pStyle w:val="ListParagraph"/>
        <w:numPr>
          <w:ilvl w:val="0"/>
          <w:numId w:val="28"/>
        </w:numPr>
        <w:rPr>
          <w:rFonts w:ascii="Arial" w:hAnsi="Arial" w:cs="Arial"/>
          <w:sz w:val="24"/>
          <w:szCs w:val="24"/>
        </w:rPr>
      </w:pPr>
      <w:r w:rsidRPr="00FD405F">
        <w:rPr>
          <w:rFonts w:ascii="Arial" w:hAnsi="Arial" w:cs="Arial"/>
          <w:sz w:val="24"/>
          <w:szCs w:val="24"/>
        </w:rPr>
        <w:t>O</w:t>
      </w:r>
      <w:r w:rsidR="00B16D62" w:rsidRPr="00FD405F">
        <w:rPr>
          <w:rFonts w:ascii="Arial" w:hAnsi="Arial" w:cs="Arial"/>
          <w:sz w:val="24"/>
          <w:szCs w:val="24"/>
        </w:rPr>
        <w:t>ut</w:t>
      </w:r>
      <w:r w:rsidR="004016BD" w:rsidRPr="00FD405F">
        <w:rPr>
          <w:rFonts w:ascii="Arial" w:hAnsi="Arial" w:cs="Arial"/>
          <w:sz w:val="24"/>
          <w:szCs w:val="24"/>
        </w:rPr>
        <w:t>-</w:t>
      </w:r>
      <w:r w:rsidR="00B16D62" w:rsidRPr="00FD405F">
        <w:rPr>
          <w:rFonts w:ascii="Arial" w:hAnsi="Arial" w:cs="Arial"/>
          <w:sz w:val="24"/>
          <w:szCs w:val="24"/>
        </w:rPr>
        <w:t>of</w:t>
      </w:r>
      <w:r w:rsidR="004016BD" w:rsidRPr="00FD405F">
        <w:rPr>
          <w:rFonts w:ascii="Arial" w:hAnsi="Arial" w:cs="Arial"/>
          <w:sz w:val="24"/>
          <w:szCs w:val="24"/>
        </w:rPr>
        <w:t>-</w:t>
      </w:r>
      <w:r w:rsidR="00B16D62" w:rsidRPr="00FD405F">
        <w:rPr>
          <w:rFonts w:ascii="Arial" w:hAnsi="Arial" w:cs="Arial"/>
          <w:sz w:val="24"/>
          <w:szCs w:val="24"/>
        </w:rPr>
        <w:t xml:space="preserve">state </w:t>
      </w:r>
      <w:r w:rsidR="00200FE0" w:rsidRPr="00FD405F">
        <w:rPr>
          <w:rFonts w:ascii="Arial" w:hAnsi="Arial" w:cs="Arial"/>
          <w:sz w:val="24"/>
          <w:szCs w:val="24"/>
        </w:rPr>
        <w:t>utilization data is exc</w:t>
      </w:r>
      <w:r w:rsidR="006F4E3C">
        <w:rPr>
          <w:rFonts w:ascii="Arial" w:hAnsi="Arial" w:cs="Arial"/>
          <w:sz w:val="24"/>
          <w:szCs w:val="24"/>
        </w:rPr>
        <w:t xml:space="preserve">luded because </w:t>
      </w:r>
      <w:r w:rsidR="00D33BD2" w:rsidRPr="00FD405F">
        <w:rPr>
          <w:rFonts w:ascii="Arial" w:hAnsi="Arial" w:cs="Arial"/>
          <w:sz w:val="24"/>
          <w:szCs w:val="24"/>
        </w:rPr>
        <w:t>there is not a consistent or statistically appropriate way to calculate a ratio of MassHealth members to out-of-state providers</w:t>
      </w:r>
      <w:r w:rsidR="0022638C" w:rsidRPr="00FD405F">
        <w:rPr>
          <w:rFonts w:ascii="Arial" w:hAnsi="Arial" w:cs="Arial"/>
          <w:sz w:val="24"/>
          <w:szCs w:val="24"/>
        </w:rPr>
        <w:t>.</w:t>
      </w:r>
    </w:p>
    <w:p w:rsidR="00B16D62" w:rsidRPr="00FD405F" w:rsidRDefault="00B16D62" w:rsidP="003916D7">
      <w:pPr>
        <w:ind w:firstLine="0"/>
        <w:rPr>
          <w:rFonts w:ascii="Arial" w:hAnsi="Arial" w:cs="Arial"/>
          <w:sz w:val="24"/>
          <w:szCs w:val="24"/>
        </w:rPr>
      </w:pPr>
    </w:p>
    <w:p w:rsidR="003916D7" w:rsidRPr="00FD405F" w:rsidRDefault="00AC4CFA" w:rsidP="005675A1">
      <w:pPr>
        <w:pStyle w:val="ListParagraph"/>
        <w:numPr>
          <w:ilvl w:val="0"/>
          <w:numId w:val="28"/>
        </w:numPr>
        <w:rPr>
          <w:rFonts w:ascii="Arial" w:hAnsi="Arial" w:cs="Arial"/>
          <w:sz w:val="24"/>
          <w:szCs w:val="24"/>
        </w:rPr>
      </w:pPr>
      <w:r w:rsidRPr="00FD405F">
        <w:rPr>
          <w:rFonts w:ascii="Arial" w:hAnsi="Arial" w:cs="Arial"/>
          <w:sz w:val="24"/>
          <w:szCs w:val="24"/>
        </w:rPr>
        <w:t xml:space="preserve">Note that, </w:t>
      </w:r>
      <w:r w:rsidR="00CF7E60" w:rsidRPr="00FD405F">
        <w:rPr>
          <w:rFonts w:ascii="Arial" w:hAnsi="Arial" w:cs="Arial"/>
          <w:sz w:val="24"/>
          <w:szCs w:val="24"/>
        </w:rPr>
        <w:t xml:space="preserve">for </w:t>
      </w:r>
      <w:r w:rsidR="000E08C2" w:rsidRPr="00FD405F">
        <w:rPr>
          <w:rFonts w:ascii="Arial" w:hAnsi="Arial" w:cs="Arial"/>
          <w:sz w:val="24"/>
          <w:szCs w:val="24"/>
        </w:rPr>
        <w:t xml:space="preserve">providers in this </w:t>
      </w:r>
      <w:r w:rsidR="000E08C2" w:rsidRPr="001E1A44">
        <w:rPr>
          <w:rFonts w:ascii="Arial" w:hAnsi="Arial" w:cs="Arial"/>
          <w:sz w:val="24"/>
          <w:szCs w:val="24"/>
        </w:rPr>
        <w:t>section</w:t>
      </w:r>
      <w:r w:rsidR="00CD4CA9" w:rsidRPr="001E1A44">
        <w:rPr>
          <w:rFonts w:ascii="Arial" w:hAnsi="Arial" w:cs="Arial"/>
          <w:sz w:val="24"/>
          <w:szCs w:val="24"/>
        </w:rPr>
        <w:t>,</w:t>
      </w:r>
      <w:r w:rsidR="00CF7E60" w:rsidRPr="001E1A44">
        <w:rPr>
          <w:rFonts w:ascii="Arial" w:hAnsi="Arial" w:cs="Arial"/>
          <w:sz w:val="24"/>
          <w:szCs w:val="24"/>
        </w:rPr>
        <w:t xml:space="preserve"> </w:t>
      </w:r>
      <w:r w:rsidR="00914B8B" w:rsidRPr="001E1A44">
        <w:rPr>
          <w:rFonts w:ascii="Arial" w:hAnsi="Arial" w:cs="Arial"/>
          <w:sz w:val="24"/>
          <w:szCs w:val="24"/>
        </w:rPr>
        <w:t xml:space="preserve">we </w:t>
      </w:r>
      <w:r w:rsidRPr="001E1A44">
        <w:rPr>
          <w:rFonts w:ascii="Arial" w:hAnsi="Arial" w:cs="Arial"/>
          <w:sz w:val="24"/>
          <w:szCs w:val="24"/>
        </w:rPr>
        <w:t>attributed</w:t>
      </w:r>
      <w:r w:rsidR="003916D7" w:rsidRPr="00FD405F">
        <w:rPr>
          <w:rFonts w:ascii="Arial" w:hAnsi="Arial" w:cs="Arial"/>
          <w:sz w:val="24"/>
          <w:szCs w:val="24"/>
        </w:rPr>
        <w:t xml:space="preserve"> all billing done </w:t>
      </w:r>
      <w:r w:rsidRPr="00FD405F">
        <w:rPr>
          <w:rFonts w:ascii="Arial" w:hAnsi="Arial" w:cs="Arial"/>
          <w:sz w:val="24"/>
          <w:szCs w:val="24"/>
        </w:rPr>
        <w:t xml:space="preserve">by a particular </w:t>
      </w:r>
      <w:r w:rsidR="00850E98">
        <w:rPr>
          <w:rFonts w:ascii="Arial" w:hAnsi="Arial" w:cs="Arial"/>
          <w:sz w:val="24"/>
          <w:szCs w:val="24"/>
        </w:rPr>
        <w:t xml:space="preserve">primary care </w:t>
      </w:r>
      <w:r w:rsidRPr="00FD405F">
        <w:rPr>
          <w:rFonts w:ascii="Arial" w:hAnsi="Arial" w:cs="Arial"/>
          <w:sz w:val="24"/>
          <w:szCs w:val="24"/>
        </w:rPr>
        <w:t xml:space="preserve">provider type </w:t>
      </w:r>
      <w:r w:rsidR="003916D7" w:rsidRPr="00FD405F">
        <w:rPr>
          <w:rFonts w:ascii="Arial" w:hAnsi="Arial" w:cs="Arial"/>
          <w:sz w:val="24"/>
          <w:szCs w:val="24"/>
        </w:rPr>
        <w:t>to the category of care of the billing provider.</w:t>
      </w:r>
    </w:p>
    <w:p w:rsidR="003916D7" w:rsidRPr="00FD405F" w:rsidRDefault="003916D7" w:rsidP="00B26CE4">
      <w:pPr>
        <w:ind w:firstLine="0"/>
        <w:rPr>
          <w:rFonts w:ascii="Arial" w:hAnsi="Arial" w:cs="Arial"/>
          <w:sz w:val="24"/>
          <w:szCs w:val="24"/>
        </w:rPr>
      </w:pPr>
    </w:p>
    <w:p w:rsidR="00AC4CFA" w:rsidRPr="00FD405F" w:rsidRDefault="00AC4CFA" w:rsidP="005675A1">
      <w:pPr>
        <w:pStyle w:val="ListParagraph"/>
        <w:numPr>
          <w:ilvl w:val="0"/>
          <w:numId w:val="28"/>
        </w:numPr>
        <w:rPr>
          <w:rFonts w:ascii="Arial" w:eastAsiaTheme="minorHAnsi" w:hAnsi="Arial" w:cs="Arial"/>
          <w:sz w:val="24"/>
          <w:szCs w:val="24"/>
        </w:rPr>
      </w:pPr>
      <w:r w:rsidRPr="00FD405F">
        <w:rPr>
          <w:rFonts w:ascii="Arial" w:eastAsiaTheme="minorHAnsi" w:hAnsi="Arial" w:cs="Arial"/>
          <w:sz w:val="24"/>
          <w:szCs w:val="24"/>
        </w:rPr>
        <w:t>While primary care is delivered at HLHCs and H</w:t>
      </w:r>
      <w:r w:rsidR="00A614B8" w:rsidRPr="00FD405F">
        <w:rPr>
          <w:rFonts w:ascii="Arial" w:eastAsiaTheme="minorHAnsi" w:hAnsi="Arial" w:cs="Arial"/>
          <w:sz w:val="24"/>
          <w:szCs w:val="24"/>
        </w:rPr>
        <w:t>ODs</w:t>
      </w:r>
      <w:r w:rsidR="00271DF1" w:rsidRPr="00FD405F">
        <w:rPr>
          <w:rFonts w:ascii="Arial" w:eastAsiaTheme="minorHAnsi" w:hAnsi="Arial" w:cs="Arial"/>
          <w:sz w:val="24"/>
          <w:szCs w:val="24"/>
        </w:rPr>
        <w:t>,</w:t>
      </w:r>
      <w:r w:rsidRPr="00FD405F">
        <w:rPr>
          <w:rFonts w:ascii="Arial" w:eastAsiaTheme="minorHAnsi" w:hAnsi="Arial" w:cs="Arial"/>
          <w:sz w:val="24"/>
          <w:szCs w:val="24"/>
        </w:rPr>
        <w:t xml:space="preserve"> we do not include them in the utilization report as we are unable to split out the primary care vs. non</w:t>
      </w:r>
      <w:r w:rsidR="00813D52">
        <w:rPr>
          <w:rFonts w:ascii="Arial" w:eastAsiaTheme="minorHAnsi" w:hAnsi="Arial" w:cs="Arial"/>
          <w:sz w:val="24"/>
          <w:szCs w:val="24"/>
        </w:rPr>
        <w:t>-</w:t>
      </w:r>
      <w:r w:rsidRPr="00FD405F">
        <w:rPr>
          <w:rFonts w:ascii="Arial" w:eastAsiaTheme="minorHAnsi" w:hAnsi="Arial" w:cs="Arial"/>
          <w:sz w:val="24"/>
          <w:szCs w:val="24"/>
        </w:rPr>
        <w:t xml:space="preserve"> primary care claims</w:t>
      </w:r>
      <w:r w:rsidR="00A614B8" w:rsidRPr="00FD405F">
        <w:rPr>
          <w:rFonts w:ascii="Arial" w:eastAsiaTheme="minorHAnsi" w:hAnsi="Arial" w:cs="Arial"/>
          <w:sz w:val="24"/>
          <w:szCs w:val="24"/>
        </w:rPr>
        <w:t xml:space="preserve"> for these providers</w:t>
      </w:r>
      <w:r w:rsidR="0022638C" w:rsidRPr="00FD405F">
        <w:rPr>
          <w:rFonts w:ascii="Arial" w:eastAsiaTheme="minorHAnsi" w:hAnsi="Arial" w:cs="Arial"/>
          <w:sz w:val="24"/>
          <w:szCs w:val="24"/>
        </w:rPr>
        <w:t>.</w:t>
      </w:r>
    </w:p>
    <w:p w:rsidR="00AC4CFA" w:rsidRPr="00FD405F" w:rsidRDefault="00AC4CFA" w:rsidP="00B26CE4">
      <w:pPr>
        <w:ind w:firstLine="0"/>
        <w:rPr>
          <w:rFonts w:ascii="Arial" w:hAnsi="Arial" w:cs="Arial"/>
          <w:sz w:val="24"/>
          <w:szCs w:val="24"/>
        </w:rPr>
      </w:pPr>
    </w:p>
    <w:p w:rsidR="000A308F" w:rsidRPr="00CA0D57" w:rsidRDefault="000A308F" w:rsidP="000A308F">
      <w:pPr>
        <w:ind w:firstLine="0"/>
        <w:rPr>
          <w:rFonts w:ascii="Arial" w:eastAsia="Times New Roman" w:hAnsi="Arial" w:cs="Arial"/>
          <w:sz w:val="24"/>
          <w:szCs w:val="24"/>
        </w:rPr>
      </w:pPr>
      <w:r w:rsidRPr="00CA0D57">
        <w:rPr>
          <w:rFonts w:ascii="Arial" w:eastAsia="Times New Roman" w:hAnsi="Arial" w:cs="Arial"/>
          <w:sz w:val="24"/>
          <w:szCs w:val="24"/>
          <w:shd w:val="clear" w:color="auto" w:fill="FFFFFF"/>
        </w:rPr>
        <w:t>Non-dental pri</w:t>
      </w:r>
      <w:r w:rsidR="0086413A" w:rsidRPr="00CA0D57">
        <w:rPr>
          <w:rFonts w:ascii="Arial" w:eastAsia="Times New Roman" w:hAnsi="Arial" w:cs="Arial"/>
          <w:sz w:val="24"/>
          <w:szCs w:val="24"/>
          <w:shd w:val="clear" w:color="auto" w:fill="FFFFFF"/>
        </w:rPr>
        <w:t>mary care providers (PCP, NP and CHC</w:t>
      </w:r>
      <w:r w:rsidRPr="00CA0D57">
        <w:rPr>
          <w:rFonts w:ascii="Arial" w:eastAsia="Times New Roman" w:hAnsi="Arial" w:cs="Arial"/>
          <w:sz w:val="24"/>
          <w:szCs w:val="24"/>
          <w:shd w:val="clear" w:color="auto" w:fill="FFFFFF"/>
        </w:rPr>
        <w:t>) provided</w:t>
      </w:r>
      <w:r w:rsidR="0093740B" w:rsidRPr="00CA0D57">
        <w:rPr>
          <w:rFonts w:ascii="Arial" w:eastAsia="Times New Roman" w:hAnsi="Arial" w:cs="Arial"/>
          <w:sz w:val="24"/>
          <w:szCs w:val="24"/>
          <w:shd w:val="clear" w:color="auto" w:fill="FFFFFF"/>
        </w:rPr>
        <w:t>,</w:t>
      </w:r>
      <w:r w:rsidRPr="00CA0D57">
        <w:rPr>
          <w:rFonts w:ascii="Arial" w:eastAsia="Times New Roman" w:hAnsi="Arial" w:cs="Arial"/>
          <w:sz w:val="24"/>
          <w:szCs w:val="24"/>
          <w:shd w:val="clear" w:color="auto" w:fill="FFFFFF"/>
        </w:rPr>
        <w:t xml:space="preserve"> on average, 3,747 episodes of care per 1,000 members in SFY 16. </w:t>
      </w:r>
      <w:r w:rsidR="009D6EDD" w:rsidRPr="00CA0D57">
        <w:rPr>
          <w:rFonts w:ascii="Arial" w:eastAsia="Times New Roman" w:hAnsi="Arial" w:cs="Arial"/>
          <w:sz w:val="24"/>
          <w:szCs w:val="24"/>
          <w:shd w:val="clear" w:color="auto" w:fill="FFFFFF"/>
        </w:rPr>
        <w:t>T</w:t>
      </w:r>
      <w:r w:rsidRPr="00CA0D57">
        <w:rPr>
          <w:rFonts w:ascii="Arial" w:eastAsia="Times New Roman" w:hAnsi="Arial" w:cs="Arial"/>
          <w:sz w:val="24"/>
          <w:szCs w:val="24"/>
          <w:shd w:val="clear" w:color="auto" w:fill="FFFFFF"/>
        </w:rPr>
        <w:t xml:space="preserve">he number of episodes of care per 1,000 members increased slightly to an average of 3,900 per 1,000 members in SFY17 and SFY18. The numbers show that across Massachusetts, those receiving MassHealth services were seen by primary care providers an average of 3.8 times in the three fiscal years represented, supporting </w:t>
      </w:r>
      <w:proofErr w:type="spellStart"/>
      <w:r w:rsidRPr="00CA0D57">
        <w:rPr>
          <w:rFonts w:ascii="Arial" w:eastAsia="Times New Roman" w:hAnsi="Arial" w:cs="Arial"/>
          <w:sz w:val="24"/>
          <w:szCs w:val="24"/>
          <w:shd w:val="clear" w:color="auto" w:fill="FFFFFF"/>
        </w:rPr>
        <w:t>MassHealth’s</w:t>
      </w:r>
      <w:proofErr w:type="spellEnd"/>
      <w:r w:rsidRPr="00CA0D57">
        <w:rPr>
          <w:rFonts w:ascii="Arial" w:eastAsia="Times New Roman" w:hAnsi="Arial" w:cs="Arial"/>
          <w:sz w:val="24"/>
          <w:szCs w:val="24"/>
          <w:shd w:val="clear" w:color="auto" w:fill="FFFFFF"/>
        </w:rPr>
        <w:t xml:space="preserve"> commitment to access and continuity of care for its members.</w:t>
      </w:r>
    </w:p>
    <w:p w:rsidR="00E92704" w:rsidRPr="00FD405F" w:rsidRDefault="00E92704" w:rsidP="00B26CE4">
      <w:pPr>
        <w:ind w:firstLine="0"/>
        <w:rPr>
          <w:rFonts w:ascii="Arial" w:hAnsi="Arial" w:cs="Arial"/>
          <w:sz w:val="24"/>
          <w:szCs w:val="24"/>
        </w:rPr>
      </w:pPr>
    </w:p>
    <w:p w:rsidR="00731EC4" w:rsidRPr="00007A27" w:rsidRDefault="00097B19" w:rsidP="00007A27">
      <w:pPr>
        <w:ind w:firstLine="0"/>
        <w:rPr>
          <w:rFonts w:ascii="Arial" w:eastAsiaTheme="minorHAnsi" w:hAnsi="Arial" w:cs="Arial"/>
          <w:b/>
          <w:sz w:val="24"/>
        </w:rPr>
      </w:pPr>
      <w:r w:rsidRPr="00007A27">
        <w:rPr>
          <w:rFonts w:ascii="Arial" w:hAnsi="Arial" w:cs="Arial"/>
          <w:b/>
          <w:sz w:val="24"/>
        </w:rPr>
        <w:lastRenderedPageBreak/>
        <w:t>Episodes of C</w:t>
      </w:r>
      <w:r w:rsidR="00CF6BDC" w:rsidRPr="00007A27">
        <w:rPr>
          <w:rFonts w:ascii="Arial" w:hAnsi="Arial" w:cs="Arial"/>
          <w:b/>
          <w:sz w:val="24"/>
        </w:rPr>
        <w:t xml:space="preserve">are </w:t>
      </w:r>
      <w:r w:rsidRPr="00007A27">
        <w:rPr>
          <w:rFonts w:ascii="Arial" w:hAnsi="Arial" w:cs="Arial"/>
          <w:b/>
          <w:sz w:val="24"/>
        </w:rPr>
        <w:t>for Non-D</w:t>
      </w:r>
      <w:r w:rsidR="00E6460E" w:rsidRPr="00007A27">
        <w:rPr>
          <w:rFonts w:ascii="Arial" w:hAnsi="Arial" w:cs="Arial"/>
          <w:b/>
          <w:sz w:val="24"/>
        </w:rPr>
        <w:t xml:space="preserve">ental </w:t>
      </w:r>
      <w:r w:rsidRPr="00007A27">
        <w:rPr>
          <w:rFonts w:ascii="Arial" w:hAnsi="Arial" w:cs="Arial"/>
          <w:b/>
          <w:sz w:val="24"/>
        </w:rPr>
        <w:t>P</w:t>
      </w:r>
      <w:r w:rsidR="00E6460E" w:rsidRPr="00007A27">
        <w:rPr>
          <w:rFonts w:ascii="Arial" w:hAnsi="Arial" w:cs="Arial"/>
          <w:b/>
          <w:sz w:val="24"/>
        </w:rPr>
        <w:t xml:space="preserve">rimary </w:t>
      </w:r>
      <w:r w:rsidRPr="00007A27">
        <w:rPr>
          <w:rFonts w:ascii="Arial" w:hAnsi="Arial" w:cs="Arial"/>
          <w:b/>
          <w:sz w:val="24"/>
        </w:rPr>
        <w:t>C</w:t>
      </w:r>
      <w:r w:rsidR="00E6460E" w:rsidRPr="00007A27">
        <w:rPr>
          <w:rFonts w:ascii="Arial" w:hAnsi="Arial" w:cs="Arial"/>
          <w:b/>
          <w:sz w:val="24"/>
        </w:rPr>
        <w:t xml:space="preserve">are </w:t>
      </w:r>
      <w:r w:rsidRPr="00007A27">
        <w:rPr>
          <w:rFonts w:ascii="Arial" w:hAnsi="Arial" w:cs="Arial"/>
          <w:b/>
          <w:sz w:val="24"/>
        </w:rPr>
        <w:t>P</w:t>
      </w:r>
      <w:r w:rsidR="00E6460E" w:rsidRPr="00007A27">
        <w:rPr>
          <w:rFonts w:ascii="Arial" w:hAnsi="Arial" w:cs="Arial"/>
          <w:b/>
          <w:sz w:val="24"/>
        </w:rPr>
        <w:t>roviders (PCP, NP</w:t>
      </w:r>
      <w:r w:rsidR="00837412" w:rsidRPr="00007A27">
        <w:rPr>
          <w:rFonts w:ascii="Arial" w:hAnsi="Arial" w:cs="Arial"/>
          <w:b/>
          <w:sz w:val="24"/>
        </w:rPr>
        <w:t xml:space="preserve"> and </w:t>
      </w:r>
      <w:r w:rsidR="00E6460E" w:rsidRPr="00007A27">
        <w:rPr>
          <w:rFonts w:ascii="Arial" w:hAnsi="Arial" w:cs="Arial"/>
          <w:b/>
          <w:sz w:val="24"/>
        </w:rPr>
        <w:t xml:space="preserve">CHC) </w:t>
      </w:r>
      <w:r w:rsidR="00CF6BDC" w:rsidRPr="00007A27">
        <w:rPr>
          <w:rFonts w:ascii="Arial" w:hAnsi="Arial" w:cs="Arial"/>
          <w:b/>
          <w:sz w:val="24"/>
        </w:rPr>
        <w:t xml:space="preserve">per 1,000 </w:t>
      </w:r>
      <w:r w:rsidR="00E11971" w:rsidRPr="00007A27">
        <w:rPr>
          <w:rFonts w:ascii="Arial" w:hAnsi="Arial" w:cs="Arial"/>
          <w:b/>
          <w:sz w:val="24"/>
        </w:rPr>
        <w:t>M</w:t>
      </w:r>
      <w:r w:rsidR="00CF6BDC" w:rsidRPr="00007A27">
        <w:rPr>
          <w:rFonts w:ascii="Arial" w:hAnsi="Arial" w:cs="Arial"/>
          <w:b/>
          <w:sz w:val="24"/>
        </w:rPr>
        <w:t>embers</w:t>
      </w:r>
      <w:r w:rsidR="00AF3D59" w:rsidRPr="00007A27">
        <w:rPr>
          <w:rFonts w:ascii="Arial" w:hAnsi="Arial" w:cs="Arial"/>
          <w:b/>
          <w:sz w:val="24"/>
        </w:rPr>
        <w:t xml:space="preserve"> </w:t>
      </w:r>
      <w:r w:rsidR="00CD3AA8">
        <w:rPr>
          <w:rFonts w:ascii="Arial" w:eastAsiaTheme="minorHAnsi" w:hAnsi="Arial" w:cs="Arial"/>
          <w:b/>
          <w:sz w:val="24"/>
        </w:rPr>
        <w:t>by County</w:t>
      </w:r>
      <w:r w:rsidR="00AF3D59" w:rsidRPr="00007A27">
        <w:rPr>
          <w:rFonts w:ascii="Arial" w:eastAsiaTheme="minorHAnsi" w:hAnsi="Arial" w:cs="Arial"/>
          <w:b/>
          <w:sz w:val="24"/>
        </w:rPr>
        <w:t xml:space="preserve"> SFY1</w:t>
      </w:r>
      <w:r w:rsidR="00577CEB" w:rsidRPr="00007A27">
        <w:rPr>
          <w:rFonts w:ascii="Arial" w:eastAsiaTheme="minorHAnsi" w:hAnsi="Arial" w:cs="Arial"/>
          <w:b/>
          <w:sz w:val="24"/>
        </w:rPr>
        <w:t>6</w:t>
      </w:r>
      <w:r w:rsidR="00AF3D59" w:rsidRPr="00007A27">
        <w:rPr>
          <w:rFonts w:ascii="Arial" w:eastAsiaTheme="minorHAnsi" w:hAnsi="Arial" w:cs="Arial"/>
          <w:b/>
          <w:sz w:val="24"/>
        </w:rPr>
        <w:t>-SFY1</w:t>
      </w:r>
      <w:r w:rsidR="00577CEB" w:rsidRPr="00007A27">
        <w:rPr>
          <w:rFonts w:ascii="Arial" w:eastAsiaTheme="minorHAnsi" w:hAnsi="Arial" w:cs="Arial"/>
          <w:b/>
          <w:sz w:val="24"/>
        </w:rPr>
        <w:t>8</w:t>
      </w:r>
    </w:p>
    <w:tbl>
      <w:tblPr>
        <w:tblW w:w="5760" w:type="dxa"/>
        <w:tblInd w:w="-5" w:type="dxa"/>
        <w:tblLook w:val="04A0" w:firstRow="1" w:lastRow="0" w:firstColumn="1" w:lastColumn="0" w:noHBand="0" w:noVBand="1"/>
      </w:tblPr>
      <w:tblGrid>
        <w:gridCol w:w="1440"/>
        <w:gridCol w:w="1440"/>
        <w:gridCol w:w="1440"/>
        <w:gridCol w:w="1440"/>
      </w:tblGrid>
      <w:tr w:rsidR="00134E96" w:rsidRPr="00FD405F" w:rsidTr="00376B75">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SFY18</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5,602</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5,687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3,540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3,711</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4,282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7,045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4,516</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4,296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3,372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565</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519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482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4,853</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4,913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4,598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3,418</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4,021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2,946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5,545</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6,045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8,152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3,098</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3,688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2,531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2,921</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3,022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3,712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1A524A" w:rsidRDefault="00134E96" w:rsidP="00134E96">
            <w:pPr>
              <w:ind w:firstLine="0"/>
              <w:rPr>
                <w:rFonts w:ascii="Arial" w:eastAsia="Times New Roman" w:hAnsi="Arial" w:cs="Arial"/>
                <w:sz w:val="24"/>
                <w:szCs w:val="24"/>
              </w:rPr>
            </w:pPr>
            <w:r w:rsidRPr="001A524A">
              <w:rPr>
                <w:rFonts w:ascii="Arial" w:eastAsia="Times New Roman" w:hAnsi="Arial" w:cs="Arial"/>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1A524A" w:rsidRDefault="00134E96" w:rsidP="00134E96">
            <w:pPr>
              <w:ind w:firstLine="0"/>
              <w:jc w:val="right"/>
              <w:rPr>
                <w:rFonts w:ascii="Arial" w:eastAsia="Times New Roman" w:hAnsi="Arial" w:cs="Arial"/>
                <w:sz w:val="24"/>
                <w:szCs w:val="24"/>
              </w:rPr>
            </w:pPr>
            <w:r w:rsidRPr="001A524A">
              <w:rPr>
                <w:rFonts w:ascii="Arial" w:eastAsia="Times New Roman" w:hAnsi="Arial" w:cs="Arial"/>
                <w:sz w:val="24"/>
                <w:szCs w:val="24"/>
              </w:rPr>
              <w:t>467</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1A524A" w:rsidRDefault="00134E96" w:rsidP="00134E96">
            <w:pPr>
              <w:ind w:firstLine="0"/>
              <w:jc w:val="right"/>
              <w:rPr>
                <w:rFonts w:ascii="Arial" w:eastAsia="Times New Roman" w:hAnsi="Arial" w:cs="Arial"/>
                <w:sz w:val="24"/>
                <w:szCs w:val="24"/>
              </w:rPr>
            </w:pPr>
            <w:r w:rsidRPr="001A524A">
              <w:rPr>
                <w:rFonts w:ascii="Arial" w:eastAsia="Times New Roman" w:hAnsi="Arial" w:cs="Arial"/>
                <w:sz w:val="24"/>
                <w:szCs w:val="24"/>
              </w:rPr>
              <w:t xml:space="preserve">281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1A524A" w:rsidRDefault="00134E96" w:rsidP="00134E96">
            <w:pPr>
              <w:ind w:firstLine="0"/>
              <w:jc w:val="right"/>
              <w:rPr>
                <w:rFonts w:ascii="Arial" w:eastAsia="Times New Roman" w:hAnsi="Arial" w:cs="Arial"/>
                <w:sz w:val="24"/>
                <w:szCs w:val="24"/>
              </w:rPr>
            </w:pPr>
            <w:r w:rsidRPr="001A524A">
              <w:rPr>
                <w:rFonts w:ascii="Arial" w:eastAsia="Times New Roman" w:hAnsi="Arial" w:cs="Arial"/>
                <w:sz w:val="24"/>
                <w:szCs w:val="24"/>
              </w:rPr>
              <w:t xml:space="preserve">720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3,509</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3,585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3,715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5,020</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5,210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4,771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6,751</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7,241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7,453 </w:t>
            </w:r>
          </w:p>
        </w:tc>
      </w:tr>
      <w:tr w:rsidR="00134E96" w:rsidRPr="00FD405F" w:rsidTr="00376B75">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134E96" w:rsidRPr="00FD405F" w:rsidRDefault="00134E96" w:rsidP="00134E96">
            <w:pPr>
              <w:ind w:firstLine="0"/>
              <w:rPr>
                <w:rFonts w:ascii="Arial" w:eastAsia="Times New Roman" w:hAnsi="Arial" w:cs="Arial"/>
                <w:color w:val="000000"/>
                <w:sz w:val="24"/>
                <w:szCs w:val="24"/>
              </w:rPr>
            </w:pPr>
            <w:r w:rsidRPr="00FD405F">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5,093</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4,932 </w:t>
            </w:r>
          </w:p>
        </w:tc>
        <w:tc>
          <w:tcPr>
            <w:tcW w:w="1440" w:type="dxa"/>
            <w:tcBorders>
              <w:top w:val="nil"/>
              <w:left w:val="nil"/>
              <w:bottom w:val="single" w:sz="4" w:space="0" w:color="auto"/>
              <w:right w:val="single" w:sz="4" w:space="0" w:color="auto"/>
            </w:tcBorders>
            <w:shd w:val="clear" w:color="000000" w:fill="FFFFFF"/>
            <w:noWrap/>
            <w:vAlign w:val="bottom"/>
            <w:hideMark/>
          </w:tcPr>
          <w:p w:rsidR="00134E96" w:rsidRPr="00FD405F" w:rsidRDefault="00134E96" w:rsidP="00134E96">
            <w:pPr>
              <w:ind w:firstLine="0"/>
              <w:jc w:val="right"/>
              <w:rPr>
                <w:rFonts w:ascii="Arial" w:eastAsia="Times New Roman" w:hAnsi="Arial" w:cs="Arial"/>
                <w:color w:val="000000"/>
                <w:sz w:val="24"/>
                <w:szCs w:val="24"/>
              </w:rPr>
            </w:pPr>
            <w:r w:rsidRPr="00FD405F">
              <w:rPr>
                <w:rFonts w:ascii="Arial" w:eastAsia="Times New Roman" w:hAnsi="Arial" w:cs="Arial"/>
                <w:color w:val="000000"/>
                <w:sz w:val="24"/>
                <w:szCs w:val="24"/>
              </w:rPr>
              <w:t xml:space="preserve">3,635 </w:t>
            </w:r>
          </w:p>
        </w:tc>
      </w:tr>
    </w:tbl>
    <w:p w:rsidR="00376B75" w:rsidRDefault="00376B75" w:rsidP="00376B75">
      <w:pPr>
        <w:ind w:firstLine="0"/>
        <w:rPr>
          <w:rFonts w:ascii="Arial" w:hAnsi="Arial" w:cs="Arial"/>
          <w:sz w:val="24"/>
          <w:szCs w:val="24"/>
        </w:rPr>
      </w:pPr>
    </w:p>
    <w:p w:rsidR="00376B75" w:rsidRDefault="00DD757F" w:rsidP="00376B75">
      <w:pPr>
        <w:ind w:firstLine="0"/>
        <w:rPr>
          <w:rFonts w:ascii="Arial" w:hAnsi="Arial" w:cs="Arial"/>
          <w:sz w:val="24"/>
          <w:szCs w:val="24"/>
        </w:rPr>
      </w:pPr>
      <w:r>
        <w:rPr>
          <w:rFonts w:ascii="Arial" w:hAnsi="Arial" w:cs="Arial"/>
          <w:sz w:val="24"/>
          <w:szCs w:val="24"/>
        </w:rPr>
        <w:t xml:space="preserve">With regard to dental services, </w:t>
      </w:r>
      <w:r w:rsidR="00376B75" w:rsidRPr="001B12FB">
        <w:rPr>
          <w:rFonts w:ascii="Arial" w:hAnsi="Arial" w:cs="Arial"/>
          <w:sz w:val="24"/>
          <w:szCs w:val="24"/>
        </w:rPr>
        <w:t>the American Dental Association (ADA) indicate</w:t>
      </w:r>
      <w:r>
        <w:rPr>
          <w:rFonts w:ascii="Arial" w:hAnsi="Arial" w:cs="Arial"/>
          <w:sz w:val="24"/>
          <w:szCs w:val="24"/>
        </w:rPr>
        <w:t xml:space="preserve">s that </w:t>
      </w:r>
      <w:r w:rsidR="00376B75" w:rsidRPr="001B12FB">
        <w:rPr>
          <w:rFonts w:ascii="Arial" w:eastAsiaTheme="minorHAnsi" w:hAnsi="Arial" w:cs="Arial"/>
          <w:sz w:val="24"/>
          <w:szCs w:val="24"/>
        </w:rPr>
        <w:t>it is important to analyze dental data not only for network adequacy, but also for episodes of care</w:t>
      </w:r>
      <w:r>
        <w:rPr>
          <w:rFonts w:ascii="Arial" w:eastAsiaTheme="minorHAnsi" w:hAnsi="Arial" w:cs="Arial"/>
          <w:sz w:val="24"/>
          <w:szCs w:val="24"/>
        </w:rPr>
        <w:t xml:space="preserve">. The ADA currently recommends two </w:t>
      </w:r>
      <w:r w:rsidR="009E6464">
        <w:rPr>
          <w:rFonts w:ascii="Arial" w:eastAsiaTheme="minorHAnsi" w:hAnsi="Arial" w:cs="Arial"/>
          <w:sz w:val="24"/>
          <w:szCs w:val="24"/>
        </w:rPr>
        <w:t xml:space="preserve">preventive </w:t>
      </w:r>
      <w:r w:rsidR="00376B75" w:rsidRPr="001B12FB">
        <w:rPr>
          <w:rFonts w:ascii="Arial" w:eastAsiaTheme="minorHAnsi" w:hAnsi="Arial" w:cs="Arial"/>
          <w:sz w:val="24"/>
          <w:szCs w:val="24"/>
        </w:rPr>
        <w:t>dental visits a year</w:t>
      </w:r>
      <w:r>
        <w:rPr>
          <w:rStyle w:val="FootnoteReference"/>
          <w:rFonts w:ascii="Arial" w:eastAsiaTheme="minorHAnsi" w:hAnsi="Arial" w:cs="Arial"/>
          <w:sz w:val="24"/>
          <w:szCs w:val="24"/>
        </w:rPr>
        <w:footnoteReference w:id="7"/>
      </w:r>
      <w:r w:rsidR="00376B75" w:rsidRPr="001B12FB">
        <w:rPr>
          <w:rFonts w:ascii="Arial" w:eastAsiaTheme="minorHAnsi" w:hAnsi="Arial" w:cs="Arial"/>
          <w:sz w:val="24"/>
          <w:szCs w:val="24"/>
        </w:rPr>
        <w:t xml:space="preserve">. </w:t>
      </w:r>
      <w:r w:rsidR="00376B75" w:rsidRPr="001B12FB">
        <w:rPr>
          <w:rFonts w:ascii="Arial" w:hAnsi="Arial" w:cs="Arial"/>
          <w:sz w:val="24"/>
          <w:szCs w:val="24"/>
        </w:rPr>
        <w:t xml:space="preserve">MassHealth data demonstrates that the state’s Medicaid population is seen </w:t>
      </w:r>
      <w:r w:rsidR="00AB4F20">
        <w:rPr>
          <w:rFonts w:ascii="Arial" w:hAnsi="Arial" w:cs="Arial"/>
          <w:sz w:val="24"/>
          <w:szCs w:val="24"/>
        </w:rPr>
        <w:t>a</w:t>
      </w:r>
      <w:r w:rsidR="00376B75" w:rsidRPr="001B12FB">
        <w:rPr>
          <w:rFonts w:ascii="Arial" w:hAnsi="Arial" w:cs="Arial"/>
          <w:sz w:val="24"/>
          <w:szCs w:val="24"/>
        </w:rPr>
        <w:t xml:space="preserve">n average of twice a year by dental providers, meeting the current recommendations </w:t>
      </w:r>
      <w:r>
        <w:rPr>
          <w:rFonts w:ascii="Arial" w:hAnsi="Arial" w:cs="Arial"/>
          <w:sz w:val="24"/>
          <w:szCs w:val="24"/>
        </w:rPr>
        <w:t xml:space="preserve">of one or more visits per year based on risk as </w:t>
      </w:r>
      <w:r w:rsidR="00376B75" w:rsidRPr="001B12FB">
        <w:rPr>
          <w:rFonts w:ascii="Arial" w:hAnsi="Arial" w:cs="Arial"/>
          <w:sz w:val="24"/>
          <w:szCs w:val="24"/>
        </w:rPr>
        <w:t>established by the ADA in 2013</w:t>
      </w:r>
      <w:r>
        <w:rPr>
          <w:rStyle w:val="FootnoteReference"/>
          <w:rFonts w:ascii="Arial" w:hAnsi="Arial" w:cs="Arial"/>
          <w:sz w:val="24"/>
          <w:szCs w:val="24"/>
        </w:rPr>
        <w:footnoteReference w:id="8"/>
      </w:r>
      <w:r w:rsidR="00376B75" w:rsidRPr="001B12FB">
        <w:rPr>
          <w:rFonts w:ascii="Arial" w:hAnsi="Arial" w:cs="Arial"/>
          <w:sz w:val="24"/>
          <w:szCs w:val="24"/>
        </w:rPr>
        <w:t>.</w:t>
      </w:r>
    </w:p>
    <w:p w:rsidR="00E92704" w:rsidRPr="001B12FB" w:rsidRDefault="00667E57" w:rsidP="00E92704">
      <w:pPr>
        <w:ind w:firstLine="0"/>
        <w:rPr>
          <w:rFonts w:ascii="Arial" w:hAnsi="Arial" w:cs="Arial"/>
          <w:sz w:val="24"/>
          <w:szCs w:val="24"/>
        </w:rPr>
      </w:pPr>
      <w:r w:rsidRPr="001B12FB">
        <w:rPr>
          <w:rFonts w:ascii="Arial" w:hAnsi="Arial" w:cs="Arial"/>
          <w:sz w:val="24"/>
          <w:szCs w:val="24"/>
        </w:rPr>
        <w:t xml:space="preserve"> </w:t>
      </w:r>
    </w:p>
    <w:p w:rsidR="00003250" w:rsidRPr="007A576C" w:rsidRDefault="00003250" w:rsidP="00007A27">
      <w:pPr>
        <w:ind w:firstLine="0"/>
        <w:rPr>
          <w:rFonts w:ascii="Arial" w:hAnsi="Arial" w:cs="Arial"/>
          <w:b/>
          <w:sz w:val="24"/>
        </w:rPr>
      </w:pPr>
      <w:r w:rsidRPr="00007A27">
        <w:rPr>
          <w:rFonts w:ascii="Arial" w:hAnsi="Arial" w:cs="Arial"/>
          <w:b/>
          <w:sz w:val="24"/>
        </w:rPr>
        <w:t>Episodes of</w:t>
      </w:r>
      <w:r w:rsidR="00A83A17">
        <w:rPr>
          <w:rFonts w:ascii="Arial" w:hAnsi="Arial" w:cs="Arial"/>
          <w:b/>
          <w:sz w:val="24"/>
        </w:rPr>
        <w:t xml:space="preserve"> </w:t>
      </w:r>
      <w:r w:rsidR="00097B19" w:rsidRPr="00007A27">
        <w:rPr>
          <w:rFonts w:ascii="Arial" w:hAnsi="Arial" w:cs="Arial"/>
          <w:b/>
          <w:sz w:val="24"/>
        </w:rPr>
        <w:t>C</w:t>
      </w:r>
      <w:r w:rsidRPr="00007A27">
        <w:rPr>
          <w:rFonts w:ascii="Arial" w:hAnsi="Arial" w:cs="Arial"/>
          <w:b/>
          <w:sz w:val="24"/>
        </w:rPr>
        <w:t xml:space="preserve">are for </w:t>
      </w:r>
      <w:r w:rsidR="00A83A17">
        <w:rPr>
          <w:rFonts w:ascii="Arial" w:hAnsi="Arial" w:cs="Arial"/>
          <w:b/>
          <w:sz w:val="24"/>
        </w:rPr>
        <w:t>Dentists</w:t>
      </w:r>
      <w:r w:rsidRPr="00007A27">
        <w:rPr>
          <w:rFonts w:ascii="Arial" w:hAnsi="Arial" w:cs="Arial"/>
          <w:b/>
          <w:sz w:val="24"/>
        </w:rPr>
        <w:t xml:space="preserve"> per 1,000 </w:t>
      </w:r>
      <w:r w:rsidR="00E11971" w:rsidRPr="00007A27">
        <w:rPr>
          <w:rFonts w:ascii="Arial" w:hAnsi="Arial" w:cs="Arial"/>
          <w:b/>
          <w:sz w:val="24"/>
        </w:rPr>
        <w:t>M</w:t>
      </w:r>
      <w:r w:rsidRPr="00007A27">
        <w:rPr>
          <w:rFonts w:ascii="Arial" w:hAnsi="Arial" w:cs="Arial"/>
          <w:b/>
          <w:sz w:val="24"/>
        </w:rPr>
        <w:t>embers</w:t>
      </w:r>
      <w:r w:rsidR="00AF3D59" w:rsidRPr="00007A27">
        <w:rPr>
          <w:rFonts w:ascii="Arial" w:hAnsi="Arial" w:cs="Arial"/>
          <w:b/>
          <w:sz w:val="24"/>
        </w:rPr>
        <w:t xml:space="preserve"> </w:t>
      </w:r>
      <w:r w:rsidR="00CD3AA8">
        <w:rPr>
          <w:rFonts w:ascii="Arial" w:hAnsi="Arial" w:cs="Arial"/>
          <w:b/>
          <w:sz w:val="24"/>
        </w:rPr>
        <w:t>by County</w:t>
      </w:r>
      <w:r w:rsidR="00AF3D59" w:rsidRPr="00007A27">
        <w:rPr>
          <w:rFonts w:ascii="Arial" w:eastAsiaTheme="minorHAnsi" w:hAnsi="Arial" w:cs="Arial"/>
          <w:b/>
          <w:sz w:val="24"/>
        </w:rPr>
        <w:t xml:space="preserve"> SFY1</w:t>
      </w:r>
      <w:r w:rsidR="0073663E" w:rsidRPr="00007A27">
        <w:rPr>
          <w:rFonts w:ascii="Arial" w:eastAsiaTheme="minorHAnsi" w:hAnsi="Arial" w:cs="Arial"/>
          <w:b/>
          <w:sz w:val="24"/>
        </w:rPr>
        <w:t>6</w:t>
      </w:r>
      <w:r w:rsidR="00AF3D59" w:rsidRPr="00007A27">
        <w:rPr>
          <w:rFonts w:ascii="Arial" w:eastAsiaTheme="minorHAnsi" w:hAnsi="Arial" w:cs="Arial"/>
          <w:b/>
          <w:sz w:val="24"/>
        </w:rPr>
        <w:t>-SFY1</w:t>
      </w:r>
      <w:r w:rsidR="0073663E" w:rsidRPr="00007A27">
        <w:rPr>
          <w:rFonts w:ascii="Arial" w:eastAsiaTheme="minorHAnsi" w:hAnsi="Arial" w:cs="Arial"/>
          <w:b/>
          <w:sz w:val="24"/>
        </w:rPr>
        <w:t>8</w:t>
      </w:r>
    </w:p>
    <w:tbl>
      <w:tblPr>
        <w:tblW w:w="4700" w:type="dxa"/>
        <w:tblInd w:w="-5" w:type="dxa"/>
        <w:tblLook w:val="04A0" w:firstRow="1" w:lastRow="0" w:firstColumn="1" w:lastColumn="0" w:noHBand="0" w:noVBand="1"/>
      </w:tblPr>
      <w:tblGrid>
        <w:gridCol w:w="1440"/>
        <w:gridCol w:w="1440"/>
        <w:gridCol w:w="1440"/>
        <w:gridCol w:w="1440"/>
      </w:tblGrid>
      <w:tr w:rsidR="00361ADE" w:rsidRPr="00361ADE" w:rsidTr="00361ADE">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C56FA" w:rsidRPr="00361ADE" w:rsidRDefault="002C56FA" w:rsidP="002C56FA">
            <w:pPr>
              <w:ind w:firstLine="0"/>
              <w:rPr>
                <w:rFonts w:ascii="Arial" w:eastAsia="Times New Roman" w:hAnsi="Arial" w:cs="Arial"/>
                <w:sz w:val="24"/>
                <w:szCs w:val="24"/>
              </w:rPr>
            </w:pPr>
            <w:r w:rsidRPr="00361ADE">
              <w:rPr>
                <w:rFonts w:ascii="Arial" w:eastAsia="Times New Roman" w:hAnsi="Arial" w:cs="Arial"/>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SFY18</w:t>
            </w:r>
          </w:p>
        </w:tc>
      </w:tr>
      <w:tr w:rsidR="00361ADE" w:rsidRPr="00361ADE"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361ADE" w:rsidRDefault="002C56FA" w:rsidP="002C56FA">
            <w:pPr>
              <w:ind w:firstLine="0"/>
              <w:rPr>
                <w:rFonts w:ascii="Arial" w:eastAsia="Times New Roman" w:hAnsi="Arial" w:cs="Arial"/>
                <w:sz w:val="24"/>
                <w:szCs w:val="24"/>
              </w:rPr>
            </w:pPr>
            <w:r w:rsidRPr="00361ADE">
              <w:rPr>
                <w:rFonts w:ascii="Arial" w:eastAsia="Times New Roman" w:hAnsi="Arial" w:cs="Arial"/>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2,216</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2,209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872 </w:t>
            </w:r>
          </w:p>
        </w:tc>
      </w:tr>
      <w:tr w:rsidR="00361ADE" w:rsidRPr="00361ADE"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361ADE" w:rsidRDefault="002C56FA" w:rsidP="002C56FA">
            <w:pPr>
              <w:ind w:firstLine="0"/>
              <w:rPr>
                <w:rFonts w:ascii="Arial" w:eastAsia="Times New Roman" w:hAnsi="Arial" w:cs="Arial"/>
                <w:sz w:val="24"/>
                <w:szCs w:val="24"/>
              </w:rPr>
            </w:pPr>
            <w:r w:rsidRPr="00361ADE">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2,944</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3,283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5,517 </w:t>
            </w:r>
          </w:p>
        </w:tc>
      </w:tr>
      <w:tr w:rsidR="00361ADE" w:rsidRPr="00361ADE"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361ADE" w:rsidRDefault="002C56FA" w:rsidP="002C56FA">
            <w:pPr>
              <w:ind w:firstLine="0"/>
              <w:rPr>
                <w:rFonts w:ascii="Arial" w:eastAsia="Times New Roman" w:hAnsi="Arial" w:cs="Arial"/>
                <w:sz w:val="24"/>
                <w:szCs w:val="24"/>
              </w:rPr>
            </w:pPr>
            <w:r w:rsidRPr="00361ADE">
              <w:rPr>
                <w:rFonts w:ascii="Arial" w:eastAsia="Times New Roman" w:hAnsi="Arial" w:cs="Arial"/>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2,930</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2,978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2,205 </w:t>
            </w:r>
          </w:p>
        </w:tc>
      </w:tr>
      <w:tr w:rsidR="00361ADE" w:rsidRPr="00361ADE"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361ADE" w:rsidRDefault="002C56FA" w:rsidP="002C56FA">
            <w:pPr>
              <w:ind w:firstLine="0"/>
              <w:rPr>
                <w:rFonts w:ascii="Arial" w:eastAsia="Times New Roman" w:hAnsi="Arial" w:cs="Arial"/>
                <w:sz w:val="24"/>
                <w:szCs w:val="24"/>
              </w:rPr>
            </w:pPr>
            <w:r w:rsidRPr="00361ADE">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602</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377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158 </w:t>
            </w:r>
          </w:p>
        </w:tc>
      </w:tr>
      <w:tr w:rsidR="00361ADE" w:rsidRPr="00361ADE"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361ADE" w:rsidRDefault="002C56FA" w:rsidP="002C56FA">
            <w:pPr>
              <w:ind w:firstLine="0"/>
              <w:rPr>
                <w:rFonts w:ascii="Arial" w:eastAsia="Times New Roman" w:hAnsi="Arial" w:cs="Arial"/>
                <w:sz w:val="24"/>
                <w:szCs w:val="24"/>
              </w:rPr>
            </w:pPr>
            <w:r w:rsidRPr="00361ADE">
              <w:rPr>
                <w:rFonts w:ascii="Arial" w:eastAsia="Times New Roman" w:hAnsi="Arial" w:cs="Arial"/>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3,257</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3,333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2,611 </w:t>
            </w:r>
          </w:p>
        </w:tc>
      </w:tr>
      <w:tr w:rsidR="00361ADE" w:rsidRPr="00361ADE"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361ADE" w:rsidRDefault="002C56FA" w:rsidP="002C56FA">
            <w:pPr>
              <w:ind w:firstLine="0"/>
              <w:rPr>
                <w:rFonts w:ascii="Arial" w:eastAsia="Times New Roman" w:hAnsi="Arial" w:cs="Arial"/>
                <w:sz w:val="24"/>
                <w:szCs w:val="24"/>
              </w:rPr>
            </w:pPr>
            <w:r w:rsidRPr="00361ADE">
              <w:rPr>
                <w:rFonts w:ascii="Arial" w:eastAsia="Times New Roman" w:hAnsi="Arial" w:cs="Arial"/>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1,460</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1,496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762 </w:t>
            </w:r>
          </w:p>
        </w:tc>
      </w:tr>
      <w:tr w:rsidR="00361ADE" w:rsidRPr="00361ADE"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361ADE" w:rsidRDefault="002C56FA" w:rsidP="002C56FA">
            <w:pPr>
              <w:ind w:firstLine="0"/>
              <w:rPr>
                <w:rFonts w:ascii="Arial" w:eastAsia="Times New Roman" w:hAnsi="Arial" w:cs="Arial"/>
                <w:sz w:val="24"/>
                <w:szCs w:val="24"/>
              </w:rPr>
            </w:pPr>
            <w:r w:rsidRPr="00361ADE">
              <w:rPr>
                <w:rFonts w:ascii="Arial" w:eastAsia="Times New Roman" w:hAnsi="Arial" w:cs="Arial"/>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3,217</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3,383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4,229 </w:t>
            </w:r>
          </w:p>
        </w:tc>
      </w:tr>
      <w:tr w:rsidR="00361ADE" w:rsidRPr="00361ADE"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361ADE" w:rsidRDefault="002C56FA" w:rsidP="002C56FA">
            <w:pPr>
              <w:ind w:firstLine="0"/>
              <w:rPr>
                <w:rFonts w:ascii="Arial" w:eastAsia="Times New Roman" w:hAnsi="Arial" w:cs="Arial"/>
                <w:sz w:val="24"/>
                <w:szCs w:val="24"/>
              </w:rPr>
            </w:pPr>
            <w:r w:rsidRPr="00361ADE">
              <w:rPr>
                <w:rFonts w:ascii="Arial" w:eastAsia="Times New Roman" w:hAnsi="Arial" w:cs="Arial"/>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1,661</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1,802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1,020 </w:t>
            </w:r>
          </w:p>
        </w:tc>
      </w:tr>
      <w:tr w:rsidR="00361ADE" w:rsidRPr="00361ADE"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361ADE" w:rsidRDefault="002C56FA" w:rsidP="002C56FA">
            <w:pPr>
              <w:ind w:firstLine="0"/>
              <w:rPr>
                <w:rFonts w:ascii="Arial" w:eastAsia="Times New Roman" w:hAnsi="Arial" w:cs="Arial"/>
                <w:sz w:val="24"/>
                <w:szCs w:val="24"/>
              </w:rPr>
            </w:pPr>
            <w:r w:rsidRPr="00361ADE">
              <w:rPr>
                <w:rFonts w:ascii="Arial" w:eastAsia="Times New Roman" w:hAnsi="Arial" w:cs="Arial"/>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3,217</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3,198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4,113 </w:t>
            </w:r>
          </w:p>
        </w:tc>
      </w:tr>
      <w:tr w:rsidR="00361ADE" w:rsidRPr="00361ADE"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361ADE" w:rsidRDefault="002C56FA" w:rsidP="002C56FA">
            <w:pPr>
              <w:ind w:firstLine="0"/>
              <w:rPr>
                <w:rFonts w:ascii="Arial" w:eastAsia="Times New Roman" w:hAnsi="Arial" w:cs="Arial"/>
                <w:sz w:val="24"/>
                <w:szCs w:val="24"/>
              </w:rPr>
            </w:pPr>
            <w:r w:rsidRPr="00361ADE">
              <w:rPr>
                <w:rFonts w:ascii="Arial" w:eastAsia="Times New Roman" w:hAnsi="Arial" w:cs="Arial"/>
                <w:sz w:val="24"/>
                <w:szCs w:val="24"/>
              </w:rPr>
              <w:lastRenderedPageBreak/>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1,482</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1,381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483 </w:t>
            </w:r>
          </w:p>
        </w:tc>
      </w:tr>
      <w:tr w:rsidR="00361ADE" w:rsidRPr="00361ADE"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361ADE" w:rsidRDefault="002C56FA" w:rsidP="002C56FA">
            <w:pPr>
              <w:ind w:firstLine="0"/>
              <w:rPr>
                <w:rFonts w:ascii="Arial" w:eastAsia="Times New Roman" w:hAnsi="Arial" w:cs="Arial"/>
                <w:sz w:val="24"/>
                <w:szCs w:val="24"/>
              </w:rPr>
            </w:pPr>
            <w:r w:rsidRPr="00361ADE">
              <w:rPr>
                <w:rFonts w:ascii="Arial" w:eastAsia="Times New Roman" w:hAnsi="Arial" w:cs="Arial"/>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2,983</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2,891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361ADE" w:rsidRDefault="002C56FA" w:rsidP="002C56FA">
            <w:pPr>
              <w:ind w:firstLine="0"/>
              <w:jc w:val="right"/>
              <w:rPr>
                <w:rFonts w:ascii="Arial" w:eastAsia="Times New Roman" w:hAnsi="Arial" w:cs="Arial"/>
                <w:sz w:val="24"/>
                <w:szCs w:val="24"/>
              </w:rPr>
            </w:pPr>
            <w:r w:rsidRPr="00361ADE">
              <w:rPr>
                <w:rFonts w:ascii="Arial" w:eastAsia="Times New Roman" w:hAnsi="Arial" w:cs="Arial"/>
                <w:sz w:val="24"/>
                <w:szCs w:val="24"/>
              </w:rPr>
              <w:t xml:space="preserve">3,043 </w:t>
            </w:r>
          </w:p>
        </w:tc>
      </w:tr>
      <w:tr w:rsidR="002C56FA" w:rsidRPr="001B12FB"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1B12FB" w:rsidRDefault="002C56FA" w:rsidP="002C56FA">
            <w:pPr>
              <w:ind w:firstLine="0"/>
              <w:rPr>
                <w:rFonts w:ascii="Arial" w:eastAsia="Times New Roman" w:hAnsi="Arial" w:cs="Arial"/>
                <w:color w:val="000000"/>
                <w:sz w:val="24"/>
                <w:szCs w:val="24"/>
              </w:rPr>
            </w:pPr>
            <w:r w:rsidRPr="001B12FB">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1B12FB" w:rsidRDefault="002C56FA" w:rsidP="002C56FA">
            <w:pPr>
              <w:ind w:firstLine="0"/>
              <w:jc w:val="right"/>
              <w:rPr>
                <w:rFonts w:ascii="Arial" w:eastAsia="Times New Roman" w:hAnsi="Arial" w:cs="Arial"/>
                <w:color w:val="000000"/>
                <w:sz w:val="24"/>
                <w:szCs w:val="24"/>
              </w:rPr>
            </w:pPr>
            <w:r w:rsidRPr="001B12FB">
              <w:rPr>
                <w:rFonts w:ascii="Arial" w:eastAsia="Times New Roman" w:hAnsi="Arial" w:cs="Arial"/>
                <w:color w:val="000000"/>
                <w:sz w:val="24"/>
                <w:szCs w:val="24"/>
              </w:rPr>
              <w:t>3,254</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1B12FB" w:rsidRDefault="002C56FA" w:rsidP="002C56FA">
            <w:pPr>
              <w:ind w:firstLine="0"/>
              <w:jc w:val="right"/>
              <w:rPr>
                <w:rFonts w:ascii="Arial" w:eastAsia="Times New Roman" w:hAnsi="Arial" w:cs="Arial"/>
                <w:color w:val="000000"/>
                <w:sz w:val="24"/>
                <w:szCs w:val="24"/>
              </w:rPr>
            </w:pPr>
            <w:r w:rsidRPr="001B12FB">
              <w:rPr>
                <w:rFonts w:ascii="Arial" w:eastAsia="Times New Roman" w:hAnsi="Arial" w:cs="Arial"/>
                <w:color w:val="000000"/>
                <w:sz w:val="24"/>
                <w:szCs w:val="24"/>
              </w:rPr>
              <w:t xml:space="preserve">3,285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1B12FB" w:rsidRDefault="002C56FA" w:rsidP="002C56FA">
            <w:pPr>
              <w:ind w:firstLine="0"/>
              <w:jc w:val="right"/>
              <w:rPr>
                <w:rFonts w:ascii="Arial" w:eastAsia="Times New Roman" w:hAnsi="Arial" w:cs="Arial"/>
                <w:color w:val="000000"/>
                <w:sz w:val="24"/>
                <w:szCs w:val="24"/>
              </w:rPr>
            </w:pPr>
            <w:r w:rsidRPr="001B12FB">
              <w:rPr>
                <w:rFonts w:ascii="Arial" w:eastAsia="Times New Roman" w:hAnsi="Arial" w:cs="Arial"/>
                <w:color w:val="000000"/>
                <w:sz w:val="24"/>
                <w:szCs w:val="24"/>
              </w:rPr>
              <w:t xml:space="preserve">2,582 </w:t>
            </w:r>
          </w:p>
        </w:tc>
      </w:tr>
      <w:tr w:rsidR="002C56FA" w:rsidRPr="001B12FB"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1B12FB" w:rsidRDefault="002C56FA" w:rsidP="002C56FA">
            <w:pPr>
              <w:ind w:firstLine="0"/>
              <w:rPr>
                <w:rFonts w:ascii="Arial" w:eastAsia="Times New Roman" w:hAnsi="Arial" w:cs="Arial"/>
                <w:color w:val="000000"/>
                <w:sz w:val="24"/>
                <w:szCs w:val="24"/>
              </w:rPr>
            </w:pPr>
            <w:r w:rsidRPr="001B12FB">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1B12FB" w:rsidRDefault="002C56FA" w:rsidP="002C56FA">
            <w:pPr>
              <w:ind w:firstLine="0"/>
              <w:jc w:val="right"/>
              <w:rPr>
                <w:rFonts w:ascii="Arial" w:eastAsia="Times New Roman" w:hAnsi="Arial" w:cs="Arial"/>
                <w:color w:val="000000"/>
                <w:sz w:val="24"/>
                <w:szCs w:val="24"/>
              </w:rPr>
            </w:pPr>
            <w:r w:rsidRPr="001B12FB">
              <w:rPr>
                <w:rFonts w:ascii="Arial" w:eastAsia="Times New Roman" w:hAnsi="Arial" w:cs="Arial"/>
                <w:color w:val="000000"/>
                <w:sz w:val="24"/>
                <w:szCs w:val="24"/>
              </w:rPr>
              <w:t>2,165</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1B12FB" w:rsidRDefault="002C56FA" w:rsidP="002C56FA">
            <w:pPr>
              <w:ind w:firstLine="0"/>
              <w:jc w:val="right"/>
              <w:rPr>
                <w:rFonts w:ascii="Arial" w:eastAsia="Times New Roman" w:hAnsi="Arial" w:cs="Arial"/>
                <w:color w:val="000000"/>
                <w:sz w:val="24"/>
                <w:szCs w:val="24"/>
              </w:rPr>
            </w:pPr>
            <w:r w:rsidRPr="001B12FB">
              <w:rPr>
                <w:rFonts w:ascii="Arial" w:eastAsia="Times New Roman" w:hAnsi="Arial" w:cs="Arial"/>
                <w:color w:val="000000"/>
                <w:sz w:val="24"/>
                <w:szCs w:val="24"/>
              </w:rPr>
              <w:t xml:space="preserve">2,179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1B12FB" w:rsidRDefault="002C56FA" w:rsidP="002C56FA">
            <w:pPr>
              <w:ind w:firstLine="0"/>
              <w:jc w:val="right"/>
              <w:rPr>
                <w:rFonts w:ascii="Arial" w:eastAsia="Times New Roman" w:hAnsi="Arial" w:cs="Arial"/>
                <w:color w:val="000000"/>
                <w:sz w:val="24"/>
                <w:szCs w:val="24"/>
              </w:rPr>
            </w:pPr>
            <w:r w:rsidRPr="001B12FB">
              <w:rPr>
                <w:rFonts w:ascii="Arial" w:eastAsia="Times New Roman" w:hAnsi="Arial" w:cs="Arial"/>
                <w:color w:val="000000"/>
                <w:sz w:val="24"/>
                <w:szCs w:val="24"/>
              </w:rPr>
              <w:t xml:space="preserve">1,973 </w:t>
            </w:r>
          </w:p>
        </w:tc>
      </w:tr>
      <w:tr w:rsidR="002C56FA" w:rsidRPr="001B12FB" w:rsidTr="00361ADE">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C56FA" w:rsidRPr="001B12FB" w:rsidRDefault="002C56FA" w:rsidP="002C56FA">
            <w:pPr>
              <w:ind w:firstLine="0"/>
              <w:rPr>
                <w:rFonts w:ascii="Arial" w:eastAsia="Times New Roman" w:hAnsi="Arial" w:cs="Arial"/>
                <w:color w:val="000000"/>
                <w:sz w:val="24"/>
                <w:szCs w:val="24"/>
              </w:rPr>
            </w:pPr>
            <w:r w:rsidRPr="001B12FB">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1B12FB" w:rsidRDefault="002C56FA" w:rsidP="002C56FA">
            <w:pPr>
              <w:ind w:firstLine="0"/>
              <w:jc w:val="right"/>
              <w:rPr>
                <w:rFonts w:ascii="Arial" w:eastAsia="Times New Roman" w:hAnsi="Arial" w:cs="Arial"/>
                <w:color w:val="000000"/>
                <w:sz w:val="24"/>
                <w:szCs w:val="24"/>
              </w:rPr>
            </w:pPr>
            <w:r w:rsidRPr="001B12FB">
              <w:rPr>
                <w:rFonts w:ascii="Arial" w:eastAsia="Times New Roman" w:hAnsi="Arial" w:cs="Arial"/>
                <w:color w:val="000000"/>
                <w:sz w:val="24"/>
                <w:szCs w:val="24"/>
              </w:rPr>
              <w:t>2,759</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1B12FB" w:rsidRDefault="002C56FA" w:rsidP="002C56FA">
            <w:pPr>
              <w:ind w:firstLine="0"/>
              <w:jc w:val="right"/>
              <w:rPr>
                <w:rFonts w:ascii="Arial" w:eastAsia="Times New Roman" w:hAnsi="Arial" w:cs="Arial"/>
                <w:color w:val="000000"/>
                <w:sz w:val="24"/>
                <w:szCs w:val="24"/>
              </w:rPr>
            </w:pPr>
            <w:r w:rsidRPr="001B12FB">
              <w:rPr>
                <w:rFonts w:ascii="Arial" w:eastAsia="Times New Roman" w:hAnsi="Arial" w:cs="Arial"/>
                <w:color w:val="000000"/>
                <w:sz w:val="24"/>
                <w:szCs w:val="24"/>
              </w:rPr>
              <w:t xml:space="preserve">2,730 </w:t>
            </w:r>
          </w:p>
        </w:tc>
        <w:tc>
          <w:tcPr>
            <w:tcW w:w="1440" w:type="dxa"/>
            <w:tcBorders>
              <w:top w:val="nil"/>
              <w:left w:val="nil"/>
              <w:bottom w:val="single" w:sz="4" w:space="0" w:color="auto"/>
              <w:right w:val="single" w:sz="4" w:space="0" w:color="auto"/>
            </w:tcBorders>
            <w:shd w:val="clear" w:color="000000" w:fill="FFFFFF"/>
            <w:noWrap/>
            <w:vAlign w:val="bottom"/>
            <w:hideMark/>
          </w:tcPr>
          <w:p w:rsidR="002C56FA" w:rsidRPr="001B12FB" w:rsidRDefault="002C56FA" w:rsidP="002C56FA">
            <w:pPr>
              <w:ind w:firstLine="0"/>
              <w:jc w:val="right"/>
              <w:rPr>
                <w:rFonts w:ascii="Arial" w:eastAsia="Times New Roman" w:hAnsi="Arial" w:cs="Arial"/>
                <w:color w:val="000000"/>
                <w:sz w:val="24"/>
                <w:szCs w:val="24"/>
              </w:rPr>
            </w:pPr>
            <w:r w:rsidRPr="001B12FB">
              <w:rPr>
                <w:rFonts w:ascii="Arial" w:eastAsia="Times New Roman" w:hAnsi="Arial" w:cs="Arial"/>
                <w:color w:val="000000"/>
                <w:sz w:val="24"/>
                <w:szCs w:val="24"/>
              </w:rPr>
              <w:t xml:space="preserve">1,746 </w:t>
            </w:r>
          </w:p>
        </w:tc>
      </w:tr>
    </w:tbl>
    <w:p w:rsidR="0073663E" w:rsidRPr="001B12FB" w:rsidRDefault="0073663E" w:rsidP="00375219">
      <w:pPr>
        <w:rPr>
          <w:rFonts w:ascii="Arial" w:hAnsi="Arial" w:cs="Arial"/>
          <w:sz w:val="24"/>
          <w:szCs w:val="24"/>
        </w:rPr>
      </w:pPr>
    </w:p>
    <w:p w:rsidR="00ED4B63" w:rsidRPr="00A945FF" w:rsidRDefault="0066291B" w:rsidP="00A945FF">
      <w:pPr>
        <w:pStyle w:val="Heading2"/>
        <w:rPr>
          <w:rFonts w:ascii="Arial" w:hAnsi="Arial" w:cs="Arial"/>
          <w:color w:val="auto"/>
          <w:sz w:val="24"/>
          <w:u w:val="single"/>
        </w:rPr>
      </w:pPr>
      <w:bookmarkStart w:id="30" w:name="_Toc20296928"/>
      <w:r w:rsidRPr="00A945FF">
        <w:rPr>
          <w:rFonts w:ascii="Arial" w:hAnsi="Arial" w:cs="Arial"/>
          <w:color w:val="auto"/>
          <w:sz w:val="24"/>
          <w:u w:val="single"/>
        </w:rPr>
        <w:t xml:space="preserve">5. </w:t>
      </w:r>
      <w:r w:rsidR="00ED4B63" w:rsidRPr="00A945FF">
        <w:rPr>
          <w:rFonts w:ascii="Arial" w:hAnsi="Arial" w:cs="Arial"/>
          <w:color w:val="auto"/>
          <w:sz w:val="24"/>
          <w:u w:val="single"/>
        </w:rPr>
        <w:t>Healthcare Effectiveness Data and Information Set (HEDIS)</w:t>
      </w:r>
      <w:bookmarkEnd w:id="30"/>
    </w:p>
    <w:p w:rsidR="00ED4B63" w:rsidRDefault="00ED4B63" w:rsidP="000A6D64">
      <w:pPr>
        <w:pStyle w:val="NoSpacing"/>
        <w:ind w:firstLine="0"/>
        <w:rPr>
          <w:rFonts w:ascii="Arial" w:hAnsi="Arial" w:cs="Arial"/>
          <w:color w:val="212121"/>
          <w:sz w:val="24"/>
          <w:szCs w:val="24"/>
        </w:rPr>
      </w:pPr>
    </w:p>
    <w:p w:rsidR="00ED4B63" w:rsidRPr="000A6D64" w:rsidRDefault="00ED4B63" w:rsidP="000A6D64">
      <w:pPr>
        <w:ind w:firstLine="0"/>
        <w:rPr>
          <w:rFonts w:ascii="Arial" w:hAnsi="Arial" w:cs="Arial"/>
          <w:sz w:val="24"/>
          <w:szCs w:val="24"/>
        </w:rPr>
      </w:pPr>
      <w:r w:rsidRPr="000A6D64">
        <w:rPr>
          <w:rFonts w:ascii="Arial" w:hAnsi="Arial" w:cs="Arial"/>
          <w:sz w:val="24"/>
          <w:szCs w:val="24"/>
        </w:rPr>
        <w:t xml:space="preserve">MassHealth conducts annual assessments of our </w:t>
      </w:r>
      <w:r w:rsidR="00D739E7">
        <w:rPr>
          <w:rFonts w:ascii="Arial" w:hAnsi="Arial" w:cs="Arial"/>
          <w:sz w:val="24"/>
          <w:szCs w:val="24"/>
        </w:rPr>
        <w:t>MCOs</w:t>
      </w:r>
      <w:r w:rsidRPr="000A6D64">
        <w:rPr>
          <w:rFonts w:ascii="Arial" w:hAnsi="Arial" w:cs="Arial"/>
          <w:sz w:val="24"/>
          <w:szCs w:val="24"/>
        </w:rPr>
        <w:t xml:space="preserve"> and the quality data presented in the annual assessment reports are a subset of the Healthcare Effectiveness Data and Information Set (HEDIS) measures. The data presented in the MassHealth Managed Care HEDIS Reports (HEDIS cycles 2010-2017) includes information on the quality of care provided by the </w:t>
      </w:r>
      <w:r w:rsidR="00D739E7">
        <w:rPr>
          <w:rFonts w:ascii="Arial" w:hAnsi="Arial" w:cs="Arial"/>
          <w:sz w:val="24"/>
          <w:szCs w:val="24"/>
        </w:rPr>
        <w:t>six MCOs</w:t>
      </w:r>
      <w:r w:rsidRPr="000A6D64">
        <w:rPr>
          <w:rFonts w:ascii="Arial" w:hAnsi="Arial" w:cs="Arial"/>
          <w:sz w:val="24"/>
          <w:szCs w:val="24"/>
        </w:rPr>
        <w:t xml:space="preserve"> serving MassHealth Medicaid and CHIP members during the reporting period, as well as the PCC Plan. HEDIS was developed by the National Committee for Quality Assurance (NCQA) and is the most widely used set of standardized performance measures to evaluate and report on the quality of care delivered by </w:t>
      </w:r>
      <w:r w:rsidR="00291981">
        <w:rPr>
          <w:rFonts w:ascii="Arial" w:hAnsi="Arial" w:cs="Arial"/>
          <w:sz w:val="24"/>
          <w:szCs w:val="24"/>
        </w:rPr>
        <w:t xml:space="preserve">managed care </w:t>
      </w:r>
      <w:r w:rsidRPr="000A6D64">
        <w:rPr>
          <w:rFonts w:ascii="Arial" w:hAnsi="Arial" w:cs="Arial"/>
          <w:sz w:val="24"/>
          <w:szCs w:val="24"/>
        </w:rPr>
        <w:t>health care organizations. Many states require managed care plans to report measures according to HEDIS specifications. States can adapt the HEDIS specifications to create custom measures. HEDIS standards allow for comparisons across various types of plans. MassHealth collects HEDIS measures from annual assessments of all MCOs serving Medicaid and CHIP members.</w:t>
      </w:r>
      <w:r w:rsidR="00527171">
        <w:rPr>
          <w:rFonts w:ascii="Arial" w:hAnsi="Arial" w:cs="Arial"/>
          <w:sz w:val="24"/>
          <w:szCs w:val="24"/>
        </w:rPr>
        <w:t xml:space="preserve"> </w:t>
      </w:r>
      <w:r w:rsidRPr="000A6D64">
        <w:rPr>
          <w:rFonts w:ascii="Arial" w:hAnsi="Arial" w:cs="Arial"/>
          <w:sz w:val="24"/>
          <w:szCs w:val="24"/>
        </w:rPr>
        <w:t xml:space="preserve">The MassHealth HEDIS Reports can be accessed at: </w:t>
      </w:r>
      <w:hyperlink r:id="rId18" w:tooltip="Click link to view the MassHealth HEDIS Reports." w:history="1">
        <w:r w:rsidRPr="000A6D64">
          <w:rPr>
            <w:rStyle w:val="Hyperlink"/>
            <w:rFonts w:ascii="Arial" w:eastAsia="Calibri" w:hAnsi="Arial" w:cs="Arial"/>
            <w:sz w:val="24"/>
            <w:szCs w:val="24"/>
          </w:rPr>
          <w:t>http://www.mass.gov/eohhs/researcher/insurance/masshealth-reports/masshealth-managed-care-mco-reports.html.</w:t>
        </w:r>
      </w:hyperlink>
    </w:p>
    <w:p w:rsidR="00ED4B63" w:rsidRPr="000A6D64" w:rsidRDefault="00ED4B63" w:rsidP="000A6D64">
      <w:pPr>
        <w:rPr>
          <w:rFonts w:ascii="Arial" w:hAnsi="Arial" w:cs="Arial"/>
          <w:sz w:val="24"/>
          <w:szCs w:val="24"/>
        </w:rPr>
      </w:pPr>
    </w:p>
    <w:p w:rsidR="002C37D2" w:rsidRDefault="00ED4B63">
      <w:pPr>
        <w:ind w:firstLine="0"/>
        <w:rPr>
          <w:rFonts w:ascii="Arial" w:hAnsi="Arial" w:cs="Arial"/>
          <w:sz w:val="24"/>
          <w:szCs w:val="24"/>
        </w:rPr>
      </w:pPr>
      <w:r w:rsidRPr="000A6D64">
        <w:rPr>
          <w:rFonts w:ascii="Arial" w:hAnsi="Arial" w:cs="Arial"/>
          <w:sz w:val="24"/>
          <w:szCs w:val="24"/>
        </w:rPr>
        <w:t xml:space="preserve">The data immediately below </w:t>
      </w:r>
      <w:r w:rsidRPr="00B84D88">
        <w:rPr>
          <w:rFonts w:ascii="Arial" w:hAnsi="Arial" w:cs="Arial"/>
          <w:sz w:val="24"/>
          <w:szCs w:val="24"/>
        </w:rPr>
        <w:t>in Figure #</w:t>
      </w:r>
      <w:r w:rsidR="00722705">
        <w:rPr>
          <w:rFonts w:ascii="Arial" w:hAnsi="Arial" w:cs="Arial"/>
          <w:sz w:val="24"/>
          <w:szCs w:val="24"/>
        </w:rPr>
        <w:t>8</w:t>
      </w:r>
      <w:r w:rsidRPr="00B84D88">
        <w:rPr>
          <w:rFonts w:ascii="Arial" w:hAnsi="Arial" w:cs="Arial"/>
          <w:sz w:val="24"/>
          <w:szCs w:val="24"/>
        </w:rPr>
        <w:t xml:space="preserve"> were custom run for the FFS members for whom MassHealth is the primary payer (excluding CHIP and state-funded) using HEDIS specifications for a comparison to HEDIS data. The data in Figure #</w:t>
      </w:r>
      <w:r w:rsidR="00EC2E47">
        <w:rPr>
          <w:rFonts w:ascii="Arial" w:hAnsi="Arial" w:cs="Arial"/>
          <w:sz w:val="24"/>
          <w:szCs w:val="24"/>
        </w:rPr>
        <w:t>8</w:t>
      </w:r>
      <w:r w:rsidR="00127BB5">
        <w:rPr>
          <w:rFonts w:ascii="Arial" w:hAnsi="Arial" w:cs="Arial"/>
          <w:sz w:val="24"/>
          <w:szCs w:val="24"/>
        </w:rPr>
        <w:t xml:space="preserve"> </w:t>
      </w:r>
      <w:r w:rsidRPr="00B84D88">
        <w:rPr>
          <w:rFonts w:ascii="Arial" w:hAnsi="Arial" w:cs="Arial"/>
          <w:sz w:val="24"/>
          <w:szCs w:val="24"/>
        </w:rPr>
        <w:t xml:space="preserve">excludes members enrolled </w:t>
      </w:r>
      <w:r w:rsidR="00D739E7">
        <w:rPr>
          <w:rFonts w:ascii="Arial" w:hAnsi="Arial" w:cs="Arial"/>
          <w:sz w:val="24"/>
          <w:szCs w:val="24"/>
        </w:rPr>
        <w:t xml:space="preserve">during the reporting period </w:t>
      </w:r>
      <w:r w:rsidRPr="00B84D88">
        <w:rPr>
          <w:rFonts w:ascii="Arial" w:hAnsi="Arial" w:cs="Arial"/>
          <w:sz w:val="24"/>
          <w:szCs w:val="24"/>
        </w:rPr>
        <w:t xml:space="preserve">in </w:t>
      </w:r>
      <w:r w:rsidR="00D739E7">
        <w:rPr>
          <w:rFonts w:ascii="Arial" w:hAnsi="Arial" w:cs="Arial"/>
          <w:sz w:val="24"/>
          <w:szCs w:val="24"/>
        </w:rPr>
        <w:t>one of the six</w:t>
      </w:r>
      <w:r w:rsidR="00D739E7" w:rsidRPr="00B84D88">
        <w:rPr>
          <w:rFonts w:ascii="Arial" w:hAnsi="Arial" w:cs="Arial"/>
          <w:sz w:val="24"/>
          <w:szCs w:val="24"/>
        </w:rPr>
        <w:t xml:space="preserve"> </w:t>
      </w:r>
      <w:r w:rsidRPr="00B84D88">
        <w:rPr>
          <w:rFonts w:ascii="Arial" w:hAnsi="Arial" w:cs="Arial"/>
          <w:sz w:val="24"/>
          <w:szCs w:val="24"/>
        </w:rPr>
        <w:t>MassHealth MCO</w:t>
      </w:r>
      <w:r w:rsidR="00D739E7">
        <w:rPr>
          <w:rFonts w:ascii="Arial" w:hAnsi="Arial" w:cs="Arial"/>
          <w:sz w:val="24"/>
          <w:szCs w:val="24"/>
        </w:rPr>
        <w:t>s</w:t>
      </w:r>
      <w:r w:rsidRPr="00B84D88">
        <w:rPr>
          <w:rFonts w:ascii="Arial" w:hAnsi="Arial" w:cs="Arial"/>
          <w:sz w:val="24"/>
          <w:szCs w:val="24"/>
        </w:rPr>
        <w:t>. Note that members must meet continuous enrollment criteria for enrollment for at least one year in order to be counted in the data. FFS data are presented for three Calendar Years (CYs), January 1</w:t>
      </w:r>
      <w:r w:rsidRPr="00B84D88">
        <w:rPr>
          <w:rFonts w:ascii="Arial" w:hAnsi="Arial" w:cs="Arial"/>
          <w:sz w:val="24"/>
          <w:szCs w:val="24"/>
          <w:vertAlign w:val="superscript"/>
        </w:rPr>
        <w:t>st</w:t>
      </w:r>
      <w:r w:rsidRPr="00B84D88">
        <w:rPr>
          <w:rFonts w:ascii="Arial" w:hAnsi="Arial" w:cs="Arial"/>
          <w:sz w:val="24"/>
          <w:szCs w:val="24"/>
        </w:rPr>
        <w:t xml:space="preserve"> through December 31</w:t>
      </w:r>
      <w:r w:rsidRPr="00B84D88">
        <w:rPr>
          <w:rFonts w:ascii="Arial" w:hAnsi="Arial" w:cs="Arial"/>
          <w:sz w:val="24"/>
          <w:szCs w:val="24"/>
          <w:vertAlign w:val="superscript"/>
        </w:rPr>
        <w:t>st</w:t>
      </w:r>
      <w:r w:rsidR="002B27F3" w:rsidRPr="00B84D88">
        <w:rPr>
          <w:rFonts w:ascii="Arial" w:hAnsi="Arial" w:cs="Arial"/>
          <w:sz w:val="24"/>
          <w:szCs w:val="24"/>
        </w:rPr>
        <w:t>, 2015</w:t>
      </w:r>
      <w:r w:rsidRPr="00B84D88">
        <w:rPr>
          <w:rFonts w:ascii="Arial" w:hAnsi="Arial" w:cs="Arial"/>
          <w:sz w:val="24"/>
          <w:szCs w:val="24"/>
        </w:rPr>
        <w:t>, 2016, and 2017. In addition, Figure #</w:t>
      </w:r>
      <w:r w:rsidR="00EC2E47">
        <w:rPr>
          <w:rFonts w:ascii="Arial" w:hAnsi="Arial" w:cs="Arial"/>
          <w:sz w:val="24"/>
          <w:szCs w:val="24"/>
        </w:rPr>
        <w:t>8</w:t>
      </w:r>
      <w:r w:rsidRPr="00B84D88">
        <w:rPr>
          <w:rFonts w:ascii="Arial" w:hAnsi="Arial" w:cs="Arial"/>
          <w:sz w:val="24"/>
          <w:szCs w:val="24"/>
        </w:rPr>
        <w:t xml:space="preserve"> also</w:t>
      </w:r>
      <w:r w:rsidRPr="000A6D64">
        <w:rPr>
          <w:rFonts w:ascii="Arial" w:hAnsi="Arial" w:cs="Arial"/>
          <w:sz w:val="24"/>
          <w:szCs w:val="24"/>
        </w:rPr>
        <w:t xml:space="preserve"> includes the MassHealth Weighted Mean (MHWM) for CY17 which indicates the overall combined performance of the PCC Plan and </w:t>
      </w:r>
      <w:r w:rsidR="00D739E7">
        <w:rPr>
          <w:rFonts w:ascii="Arial" w:hAnsi="Arial" w:cs="Arial"/>
          <w:sz w:val="24"/>
          <w:szCs w:val="24"/>
        </w:rPr>
        <w:t>the six</w:t>
      </w:r>
      <w:r w:rsidR="00D739E7" w:rsidRPr="000A6D64">
        <w:rPr>
          <w:rFonts w:ascii="Arial" w:hAnsi="Arial" w:cs="Arial"/>
          <w:sz w:val="24"/>
          <w:szCs w:val="24"/>
        </w:rPr>
        <w:t xml:space="preserve"> </w:t>
      </w:r>
      <w:r w:rsidRPr="000A6D64">
        <w:rPr>
          <w:rFonts w:ascii="Arial" w:hAnsi="Arial" w:cs="Arial"/>
          <w:sz w:val="24"/>
          <w:szCs w:val="24"/>
        </w:rPr>
        <w:t>MassHealth</w:t>
      </w:r>
      <w:r w:rsidR="00D739E7">
        <w:rPr>
          <w:rFonts w:ascii="Arial" w:hAnsi="Arial" w:cs="Arial"/>
          <w:sz w:val="24"/>
          <w:szCs w:val="24"/>
        </w:rPr>
        <w:t xml:space="preserve"> MCOs</w:t>
      </w:r>
      <w:r w:rsidR="00114A26">
        <w:rPr>
          <w:rFonts w:ascii="Arial" w:hAnsi="Arial" w:cs="Arial"/>
          <w:sz w:val="24"/>
          <w:szCs w:val="24"/>
        </w:rPr>
        <w:t xml:space="preserve"> </w:t>
      </w:r>
      <w:r w:rsidR="00114A26" w:rsidRPr="000A6D64">
        <w:rPr>
          <w:rFonts w:ascii="Arial" w:hAnsi="Arial" w:cs="Arial"/>
          <w:sz w:val="24"/>
          <w:szCs w:val="24"/>
        </w:rPr>
        <w:t>as well as a comparison of the FFS CY17 rate to the HEDIS 2018 national Medicaid 75th and 90th percentiles.</w:t>
      </w:r>
    </w:p>
    <w:p w:rsidR="003879A4" w:rsidRDefault="003879A4">
      <w:pPr>
        <w:ind w:firstLine="0"/>
        <w:rPr>
          <w:rFonts w:ascii="Arial" w:hAnsi="Arial" w:cs="Arial"/>
          <w:sz w:val="24"/>
          <w:szCs w:val="24"/>
        </w:rPr>
      </w:pPr>
      <w:r>
        <w:rPr>
          <w:rFonts w:ascii="Arial" w:hAnsi="Arial" w:cs="Arial"/>
          <w:sz w:val="24"/>
          <w:szCs w:val="24"/>
        </w:rPr>
        <w:br w:type="page"/>
      </w:r>
    </w:p>
    <w:p w:rsidR="0069596E" w:rsidRPr="008A0DF8" w:rsidRDefault="00C119C4" w:rsidP="009E6BE4">
      <w:pPr>
        <w:ind w:firstLine="0"/>
        <w:rPr>
          <w:rFonts w:ascii="Arial" w:hAnsi="Arial" w:cs="Arial"/>
          <w:b/>
          <w:sz w:val="24"/>
          <w:szCs w:val="24"/>
        </w:rPr>
      </w:pPr>
      <w:r w:rsidRPr="00A779BD">
        <w:rPr>
          <w:rFonts w:ascii="Arial" w:hAnsi="Arial" w:cs="Arial"/>
          <w:b/>
          <w:sz w:val="24"/>
          <w:szCs w:val="24"/>
        </w:rPr>
        <w:lastRenderedPageBreak/>
        <w:t>Figu</w:t>
      </w:r>
      <w:r w:rsidR="00052ADA">
        <w:rPr>
          <w:rFonts w:ascii="Arial" w:hAnsi="Arial" w:cs="Arial"/>
          <w:b/>
          <w:sz w:val="24"/>
          <w:szCs w:val="24"/>
        </w:rPr>
        <w:t>re #8: Score on Selected HEDIS M</w:t>
      </w:r>
      <w:r w:rsidRPr="00A779BD">
        <w:rPr>
          <w:rFonts w:ascii="Arial" w:hAnsi="Arial" w:cs="Arial"/>
          <w:b/>
          <w:sz w:val="24"/>
          <w:szCs w:val="24"/>
        </w:rPr>
        <w:t>easures for FFS Population</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053"/>
        <w:gridCol w:w="1053"/>
        <w:gridCol w:w="1053"/>
        <w:gridCol w:w="1121"/>
        <w:gridCol w:w="1543"/>
        <w:gridCol w:w="1543"/>
      </w:tblGrid>
      <w:tr w:rsidR="00C119C4" w:rsidRPr="00B84D88" w:rsidTr="00BE6F2E">
        <w:trPr>
          <w:trHeight w:val="1265"/>
          <w:tblHeader/>
        </w:trPr>
        <w:tc>
          <w:tcPr>
            <w:tcW w:w="1728" w:type="dxa"/>
            <w:shd w:val="clear" w:color="auto" w:fill="auto"/>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eastAsia="Times New Roman" w:hAnsi="Arial" w:cs="Arial"/>
                <w:color w:val="000000"/>
                <w:sz w:val="24"/>
                <w:szCs w:val="24"/>
              </w:rPr>
              <w:t> Measure</w:t>
            </w:r>
          </w:p>
        </w:tc>
        <w:tc>
          <w:tcPr>
            <w:tcW w:w="1008" w:type="dxa"/>
            <w:shd w:val="clear" w:color="auto" w:fill="auto"/>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eastAsia="Times New Roman" w:hAnsi="Arial" w:cs="Arial"/>
                <w:color w:val="000000"/>
                <w:sz w:val="24"/>
                <w:szCs w:val="24"/>
              </w:rPr>
              <w:t>CY15 FFS Rate</w:t>
            </w:r>
          </w:p>
        </w:tc>
        <w:tc>
          <w:tcPr>
            <w:tcW w:w="1008" w:type="dxa"/>
            <w:shd w:val="clear" w:color="auto" w:fill="auto"/>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eastAsia="Times New Roman" w:hAnsi="Arial" w:cs="Arial"/>
                <w:color w:val="000000"/>
                <w:sz w:val="24"/>
                <w:szCs w:val="24"/>
              </w:rPr>
              <w:t>CY16 FFS Rate</w:t>
            </w:r>
          </w:p>
        </w:tc>
        <w:tc>
          <w:tcPr>
            <w:tcW w:w="1008" w:type="dxa"/>
            <w:shd w:val="clear" w:color="auto" w:fill="auto"/>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eastAsia="Times New Roman" w:hAnsi="Arial" w:cs="Arial"/>
                <w:color w:val="000000"/>
                <w:sz w:val="24"/>
                <w:szCs w:val="24"/>
              </w:rPr>
              <w:t>CY17 FFS Rate</w:t>
            </w:r>
          </w:p>
        </w:tc>
        <w:tc>
          <w:tcPr>
            <w:tcW w:w="1008" w:type="dxa"/>
            <w:shd w:val="clear" w:color="auto" w:fill="auto"/>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eastAsia="Times New Roman" w:hAnsi="Arial" w:cs="Arial"/>
                <w:color w:val="000000"/>
                <w:sz w:val="24"/>
                <w:szCs w:val="24"/>
              </w:rPr>
              <w:t> </w:t>
            </w:r>
            <w:r w:rsidRPr="00B84D88">
              <w:rPr>
                <w:rFonts w:ascii="Arial" w:hAnsi="Arial" w:cs="Arial"/>
                <w:sz w:val="24"/>
                <w:szCs w:val="24"/>
              </w:rPr>
              <w:t>CY 17 MHWM</w:t>
            </w:r>
          </w:p>
        </w:tc>
        <w:tc>
          <w:tcPr>
            <w:tcW w:w="1008" w:type="dxa"/>
            <w:shd w:val="clear" w:color="auto" w:fill="auto"/>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eastAsia="Times New Roman" w:hAnsi="Arial" w:cs="Arial"/>
                <w:color w:val="000000"/>
                <w:sz w:val="24"/>
                <w:szCs w:val="24"/>
              </w:rPr>
              <w:t>CY17 FFS Rate Comparison to NCQA National Medicaid 75th Percentile (CY 17)</w:t>
            </w:r>
          </w:p>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eastAsia="Times New Roman" w:hAnsi="Arial" w:cs="Arial"/>
                <w:color w:val="000000"/>
                <w:sz w:val="24"/>
                <w:szCs w:val="24"/>
              </w:rPr>
              <w:t>Benchmark</w:t>
            </w:r>
          </w:p>
        </w:tc>
        <w:tc>
          <w:tcPr>
            <w:tcW w:w="1008" w:type="dxa"/>
            <w:shd w:val="clear" w:color="auto" w:fill="auto"/>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eastAsia="Times New Roman" w:hAnsi="Arial" w:cs="Arial"/>
                <w:color w:val="000000"/>
                <w:sz w:val="24"/>
                <w:szCs w:val="24"/>
              </w:rPr>
              <w:t>CY17 FFS Rate Comparison to NCQA National Medicaid 90th Percentile (CY 17)</w:t>
            </w:r>
          </w:p>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eastAsia="Times New Roman" w:hAnsi="Arial" w:cs="Arial"/>
                <w:color w:val="000000"/>
                <w:sz w:val="24"/>
                <w:szCs w:val="24"/>
              </w:rPr>
              <w:t>Benchmark</w:t>
            </w:r>
          </w:p>
        </w:tc>
      </w:tr>
      <w:tr w:rsidR="00C119C4" w:rsidRPr="00B84D88" w:rsidTr="00BE6F2E">
        <w:trPr>
          <w:trHeight w:val="256"/>
          <w:tblHeader/>
        </w:trPr>
        <w:tc>
          <w:tcPr>
            <w:tcW w:w="1728" w:type="dxa"/>
            <w:shd w:val="clear" w:color="auto" w:fill="auto"/>
            <w:noWrap/>
            <w:vAlign w:val="bottom"/>
          </w:tcPr>
          <w:p w:rsidR="00C119C4" w:rsidRPr="00B84D88" w:rsidRDefault="00C119C4" w:rsidP="00BE6F2E">
            <w:pPr>
              <w:spacing w:after="240"/>
              <w:ind w:firstLine="0"/>
              <w:rPr>
                <w:rFonts w:ascii="Arial" w:eastAsia="Times New Roman" w:hAnsi="Arial" w:cs="Arial"/>
                <w:color w:val="000000"/>
                <w:sz w:val="24"/>
                <w:szCs w:val="24"/>
              </w:rPr>
            </w:pPr>
            <w:r w:rsidRPr="00B84D88">
              <w:rPr>
                <w:rFonts w:ascii="Arial" w:eastAsia="Times New Roman" w:hAnsi="Arial" w:cs="Arial"/>
                <w:color w:val="000000"/>
                <w:sz w:val="24"/>
                <w:szCs w:val="24"/>
              </w:rPr>
              <w:t xml:space="preserve">Annual Dental Visit </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63.67%</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64.95%</w:t>
            </w:r>
            <w:r w:rsidRPr="00B84D88">
              <w:rPr>
                <w:rFonts w:ascii="Arial" w:eastAsia="Times New Roman" w:hAnsi="Arial" w:cs="Arial"/>
                <w:vanish/>
                <w:color w:val="000000"/>
                <w:sz w:val="24"/>
                <w:szCs w:val="24"/>
              </w:rPr>
              <w:t xml:space="preserve"> </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hAnsi="Arial" w:cs="Arial"/>
                <w:sz w:val="24"/>
                <w:szCs w:val="24"/>
              </w:rPr>
              <w:t>69.61%</w:t>
            </w:r>
          </w:p>
        </w:tc>
        <w:tc>
          <w:tcPr>
            <w:tcW w:w="1008" w:type="dxa"/>
            <w:shd w:val="clear" w:color="auto" w:fill="auto"/>
            <w:noWrap/>
            <w:vAlign w:val="bottom"/>
          </w:tcPr>
          <w:p w:rsidR="00C119C4" w:rsidRPr="00B84D88" w:rsidRDefault="00C119C4" w:rsidP="00BE6F2E">
            <w:pPr>
              <w:spacing w:after="240"/>
              <w:ind w:firstLine="0"/>
              <w:rPr>
                <w:rFonts w:ascii="Arial" w:eastAsia="Times New Roman" w:hAnsi="Arial" w:cs="Arial"/>
                <w:color w:val="000000"/>
                <w:sz w:val="24"/>
                <w:szCs w:val="24"/>
              </w:rPr>
            </w:pPr>
            <w:r w:rsidRPr="00B84D88">
              <w:rPr>
                <w:rFonts w:ascii="Arial" w:eastAsia="Times New Roman" w:hAnsi="Arial" w:cs="Arial"/>
                <w:color w:val="000000"/>
                <w:sz w:val="24"/>
                <w:szCs w:val="24"/>
              </w:rPr>
              <w:t> N/A**</w:t>
            </w:r>
          </w:p>
        </w:tc>
        <w:tc>
          <w:tcPr>
            <w:tcW w:w="1008" w:type="dxa"/>
            <w:shd w:val="clear" w:color="auto" w:fill="auto"/>
            <w:noWrap/>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hAnsi="Arial" w:cs="Arial"/>
                <w:color w:val="212121"/>
                <w:sz w:val="24"/>
                <w:szCs w:val="24"/>
              </w:rPr>
              <w:t>↑</w:t>
            </w:r>
          </w:p>
        </w:tc>
        <w:tc>
          <w:tcPr>
            <w:tcW w:w="1008" w:type="dxa"/>
            <w:shd w:val="clear" w:color="auto" w:fill="auto"/>
            <w:noWrap/>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hAnsi="Arial" w:cs="Arial"/>
                <w:color w:val="212121"/>
                <w:sz w:val="24"/>
                <w:szCs w:val="24"/>
              </w:rPr>
              <w:t>↑</w:t>
            </w:r>
          </w:p>
        </w:tc>
      </w:tr>
      <w:tr w:rsidR="00C119C4" w:rsidRPr="00B84D88" w:rsidTr="00BE6F2E">
        <w:trPr>
          <w:trHeight w:val="783"/>
          <w:tblHeader/>
        </w:trPr>
        <w:tc>
          <w:tcPr>
            <w:tcW w:w="1728" w:type="dxa"/>
            <w:shd w:val="clear" w:color="auto" w:fill="auto"/>
            <w:vAlign w:val="bottom"/>
          </w:tcPr>
          <w:p w:rsidR="00C119C4" w:rsidRPr="00B84D88" w:rsidRDefault="00C119C4" w:rsidP="00BE6F2E">
            <w:pPr>
              <w:spacing w:after="240"/>
              <w:ind w:firstLine="0"/>
              <w:rPr>
                <w:rFonts w:ascii="Arial" w:eastAsia="Times New Roman" w:hAnsi="Arial" w:cs="Arial"/>
                <w:color w:val="000000"/>
                <w:sz w:val="24"/>
                <w:szCs w:val="24"/>
              </w:rPr>
            </w:pPr>
            <w:r w:rsidRPr="00B84D88">
              <w:rPr>
                <w:rFonts w:ascii="Arial" w:eastAsia="Times New Roman" w:hAnsi="Arial" w:cs="Arial"/>
                <w:color w:val="000000"/>
                <w:sz w:val="24"/>
                <w:szCs w:val="24"/>
              </w:rPr>
              <w:t xml:space="preserve">Adults' Access to Preventive/Ambulatory Health Services </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83.45%</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81.94%</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82.37%</w:t>
            </w:r>
          </w:p>
        </w:tc>
        <w:tc>
          <w:tcPr>
            <w:tcW w:w="1008" w:type="dxa"/>
            <w:shd w:val="clear" w:color="auto" w:fill="auto"/>
            <w:noWrap/>
            <w:vAlign w:val="bottom"/>
          </w:tcPr>
          <w:p w:rsidR="00C119C4" w:rsidRPr="00B84D88" w:rsidRDefault="00C119C4" w:rsidP="00BE6F2E">
            <w:pPr>
              <w:spacing w:after="240"/>
              <w:ind w:firstLine="0"/>
              <w:rPr>
                <w:rFonts w:ascii="Arial" w:eastAsia="Times New Roman" w:hAnsi="Arial" w:cs="Arial"/>
                <w:color w:val="000000"/>
                <w:sz w:val="24"/>
                <w:szCs w:val="24"/>
              </w:rPr>
            </w:pPr>
            <w:r w:rsidRPr="00B84D88">
              <w:rPr>
                <w:rFonts w:ascii="Arial" w:eastAsia="Times New Roman" w:hAnsi="Arial" w:cs="Arial"/>
                <w:color w:val="000000"/>
                <w:sz w:val="24"/>
                <w:szCs w:val="24"/>
              </w:rPr>
              <w:t> 83.25%</w:t>
            </w:r>
          </w:p>
        </w:tc>
        <w:tc>
          <w:tcPr>
            <w:tcW w:w="1008" w:type="dxa"/>
            <w:shd w:val="clear" w:color="auto" w:fill="auto"/>
            <w:noWrap/>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hAnsi="Arial" w:cs="Arial"/>
                <w:color w:val="212121"/>
                <w:sz w:val="24"/>
                <w:szCs w:val="24"/>
              </w:rPr>
              <w:t>↓</w:t>
            </w:r>
          </w:p>
        </w:tc>
        <w:tc>
          <w:tcPr>
            <w:tcW w:w="1008" w:type="dxa"/>
            <w:shd w:val="clear" w:color="auto" w:fill="auto"/>
            <w:noWrap/>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hAnsi="Arial" w:cs="Arial"/>
                <w:color w:val="212121"/>
                <w:sz w:val="24"/>
                <w:szCs w:val="24"/>
              </w:rPr>
              <w:t>↓</w:t>
            </w:r>
          </w:p>
        </w:tc>
      </w:tr>
      <w:tr w:rsidR="00C119C4" w:rsidRPr="00B84D88" w:rsidTr="00BE6F2E">
        <w:trPr>
          <w:trHeight w:val="256"/>
          <w:tblHeader/>
        </w:trPr>
        <w:tc>
          <w:tcPr>
            <w:tcW w:w="1728" w:type="dxa"/>
            <w:shd w:val="clear" w:color="auto" w:fill="auto"/>
            <w:noWrap/>
            <w:vAlign w:val="bottom"/>
          </w:tcPr>
          <w:p w:rsidR="00C119C4" w:rsidRPr="00B84D88" w:rsidRDefault="00C119C4" w:rsidP="00BE6F2E">
            <w:pPr>
              <w:spacing w:after="240"/>
              <w:ind w:firstLine="0"/>
              <w:rPr>
                <w:rFonts w:ascii="Arial" w:eastAsia="Times New Roman" w:hAnsi="Arial" w:cs="Arial"/>
                <w:color w:val="000000"/>
                <w:sz w:val="24"/>
                <w:szCs w:val="24"/>
              </w:rPr>
            </w:pPr>
            <w:r w:rsidRPr="00B84D88">
              <w:rPr>
                <w:rFonts w:ascii="Arial" w:eastAsia="Times New Roman" w:hAnsi="Arial" w:cs="Arial"/>
                <w:color w:val="000000"/>
                <w:sz w:val="24"/>
                <w:szCs w:val="24"/>
              </w:rPr>
              <w:t>CAP Ages 12-24 Months</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94.66%</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92.02%</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91.38%</w:t>
            </w:r>
          </w:p>
        </w:tc>
        <w:tc>
          <w:tcPr>
            <w:tcW w:w="1008" w:type="dxa"/>
            <w:shd w:val="clear" w:color="auto" w:fill="auto"/>
            <w:noWrap/>
            <w:vAlign w:val="bottom"/>
          </w:tcPr>
          <w:p w:rsidR="00C119C4" w:rsidRPr="00B84D88" w:rsidRDefault="00C119C4" w:rsidP="00BE6F2E">
            <w:pPr>
              <w:spacing w:after="240"/>
              <w:ind w:firstLine="0"/>
              <w:rPr>
                <w:rFonts w:ascii="Arial" w:eastAsia="Times New Roman" w:hAnsi="Arial" w:cs="Arial"/>
                <w:color w:val="000000"/>
                <w:sz w:val="24"/>
                <w:szCs w:val="24"/>
              </w:rPr>
            </w:pPr>
            <w:r w:rsidRPr="00B84D88">
              <w:rPr>
                <w:rFonts w:ascii="Arial" w:eastAsia="Times New Roman" w:hAnsi="Arial" w:cs="Arial"/>
                <w:color w:val="000000"/>
                <w:sz w:val="24"/>
                <w:szCs w:val="24"/>
              </w:rPr>
              <w:t> 95.64%</w:t>
            </w:r>
          </w:p>
        </w:tc>
        <w:tc>
          <w:tcPr>
            <w:tcW w:w="1008" w:type="dxa"/>
            <w:shd w:val="clear" w:color="auto" w:fill="auto"/>
            <w:noWrap/>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hAnsi="Arial" w:cs="Arial"/>
                <w:color w:val="212121"/>
                <w:sz w:val="24"/>
                <w:szCs w:val="24"/>
              </w:rPr>
              <w:t>↓</w:t>
            </w:r>
          </w:p>
        </w:tc>
        <w:tc>
          <w:tcPr>
            <w:tcW w:w="1008" w:type="dxa"/>
            <w:shd w:val="clear" w:color="auto" w:fill="auto"/>
            <w:noWrap/>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hAnsi="Arial" w:cs="Arial"/>
                <w:color w:val="212121"/>
                <w:sz w:val="24"/>
                <w:szCs w:val="24"/>
              </w:rPr>
              <w:t>↓</w:t>
            </w:r>
          </w:p>
        </w:tc>
      </w:tr>
      <w:tr w:rsidR="00C119C4" w:rsidRPr="00B84D88" w:rsidTr="00BE6F2E">
        <w:trPr>
          <w:trHeight w:val="256"/>
          <w:tblHeader/>
        </w:trPr>
        <w:tc>
          <w:tcPr>
            <w:tcW w:w="1728" w:type="dxa"/>
            <w:shd w:val="clear" w:color="auto" w:fill="auto"/>
            <w:noWrap/>
            <w:vAlign w:val="bottom"/>
          </w:tcPr>
          <w:p w:rsidR="00C119C4" w:rsidRPr="00B84D88" w:rsidRDefault="00C119C4" w:rsidP="00BE6F2E">
            <w:pPr>
              <w:spacing w:after="240"/>
              <w:ind w:firstLine="0"/>
              <w:rPr>
                <w:rFonts w:ascii="Arial" w:eastAsia="Times New Roman" w:hAnsi="Arial" w:cs="Arial"/>
                <w:color w:val="000000"/>
                <w:sz w:val="24"/>
                <w:szCs w:val="24"/>
              </w:rPr>
            </w:pPr>
            <w:r w:rsidRPr="00B84D88">
              <w:rPr>
                <w:rFonts w:ascii="Arial" w:eastAsia="Times New Roman" w:hAnsi="Arial" w:cs="Arial"/>
                <w:color w:val="000000"/>
                <w:sz w:val="24"/>
                <w:szCs w:val="24"/>
              </w:rPr>
              <w:t xml:space="preserve">CAP Ages 2 - 6 years </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90.90%</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90.95%</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91.16%</w:t>
            </w:r>
          </w:p>
        </w:tc>
        <w:tc>
          <w:tcPr>
            <w:tcW w:w="1008" w:type="dxa"/>
            <w:shd w:val="clear" w:color="auto" w:fill="auto"/>
            <w:noWrap/>
            <w:vAlign w:val="bottom"/>
          </w:tcPr>
          <w:p w:rsidR="00C119C4" w:rsidRPr="00B84D88" w:rsidRDefault="00C119C4" w:rsidP="00BE6F2E">
            <w:pPr>
              <w:spacing w:after="240"/>
              <w:ind w:firstLine="0"/>
              <w:rPr>
                <w:rFonts w:ascii="Arial" w:eastAsia="Times New Roman" w:hAnsi="Arial" w:cs="Arial"/>
                <w:color w:val="000000"/>
                <w:sz w:val="24"/>
                <w:szCs w:val="24"/>
              </w:rPr>
            </w:pPr>
            <w:r w:rsidRPr="00B84D88">
              <w:rPr>
                <w:rFonts w:ascii="Arial" w:eastAsia="Times New Roman" w:hAnsi="Arial" w:cs="Arial"/>
                <w:color w:val="000000"/>
                <w:sz w:val="24"/>
                <w:szCs w:val="24"/>
              </w:rPr>
              <w:t> 92.31%</w:t>
            </w:r>
          </w:p>
        </w:tc>
        <w:tc>
          <w:tcPr>
            <w:tcW w:w="1008" w:type="dxa"/>
            <w:shd w:val="clear" w:color="auto" w:fill="auto"/>
            <w:noWrap/>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hAnsi="Arial" w:cs="Arial"/>
                <w:color w:val="212121"/>
                <w:sz w:val="24"/>
                <w:szCs w:val="24"/>
              </w:rPr>
              <w:t>↓</w:t>
            </w:r>
          </w:p>
        </w:tc>
        <w:tc>
          <w:tcPr>
            <w:tcW w:w="1008" w:type="dxa"/>
            <w:shd w:val="clear" w:color="auto" w:fill="auto"/>
            <w:noWrap/>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hAnsi="Arial" w:cs="Arial"/>
                <w:color w:val="212121"/>
                <w:sz w:val="24"/>
                <w:szCs w:val="24"/>
              </w:rPr>
              <w:t>↓</w:t>
            </w:r>
          </w:p>
        </w:tc>
      </w:tr>
      <w:tr w:rsidR="00C119C4" w:rsidRPr="00B84D88" w:rsidTr="00BE6F2E">
        <w:trPr>
          <w:trHeight w:val="256"/>
          <w:tblHeader/>
        </w:trPr>
        <w:tc>
          <w:tcPr>
            <w:tcW w:w="1728" w:type="dxa"/>
            <w:shd w:val="clear" w:color="auto" w:fill="auto"/>
            <w:noWrap/>
            <w:vAlign w:val="bottom"/>
          </w:tcPr>
          <w:p w:rsidR="00C119C4" w:rsidRPr="00B84D88" w:rsidRDefault="00C119C4" w:rsidP="00BE6F2E">
            <w:pPr>
              <w:spacing w:after="240"/>
              <w:ind w:firstLine="0"/>
              <w:rPr>
                <w:rFonts w:ascii="Arial" w:eastAsia="Times New Roman" w:hAnsi="Arial" w:cs="Arial"/>
                <w:color w:val="000000"/>
                <w:sz w:val="24"/>
                <w:szCs w:val="24"/>
              </w:rPr>
            </w:pPr>
            <w:r w:rsidRPr="00B84D88">
              <w:rPr>
                <w:rFonts w:ascii="Arial" w:eastAsia="Times New Roman" w:hAnsi="Arial" w:cs="Arial"/>
                <w:color w:val="000000"/>
                <w:sz w:val="24"/>
                <w:szCs w:val="24"/>
              </w:rPr>
              <w:t>CAP Ages 7 - 11 years</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95.55%</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95.13%</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94.38%</w:t>
            </w:r>
          </w:p>
        </w:tc>
        <w:tc>
          <w:tcPr>
            <w:tcW w:w="1008" w:type="dxa"/>
            <w:shd w:val="clear" w:color="auto" w:fill="auto"/>
            <w:noWrap/>
            <w:vAlign w:val="bottom"/>
          </w:tcPr>
          <w:p w:rsidR="00C119C4" w:rsidRPr="00B84D88" w:rsidRDefault="00C119C4" w:rsidP="00BE6F2E">
            <w:pPr>
              <w:spacing w:after="240"/>
              <w:ind w:firstLine="0"/>
              <w:rPr>
                <w:rFonts w:ascii="Arial" w:eastAsia="Times New Roman" w:hAnsi="Arial" w:cs="Arial"/>
                <w:color w:val="000000"/>
                <w:sz w:val="24"/>
                <w:szCs w:val="24"/>
              </w:rPr>
            </w:pPr>
            <w:r w:rsidRPr="00B84D88">
              <w:rPr>
                <w:rFonts w:ascii="Arial" w:eastAsia="Times New Roman" w:hAnsi="Arial" w:cs="Arial"/>
                <w:color w:val="000000"/>
                <w:sz w:val="24"/>
                <w:szCs w:val="24"/>
              </w:rPr>
              <w:t> 96.47%</w:t>
            </w:r>
          </w:p>
        </w:tc>
        <w:tc>
          <w:tcPr>
            <w:tcW w:w="1008" w:type="dxa"/>
            <w:shd w:val="clear" w:color="auto" w:fill="auto"/>
            <w:noWrap/>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hAnsi="Arial" w:cs="Arial"/>
                <w:color w:val="212121"/>
                <w:sz w:val="24"/>
                <w:szCs w:val="24"/>
              </w:rPr>
              <w:t>↑</w:t>
            </w:r>
          </w:p>
        </w:tc>
        <w:tc>
          <w:tcPr>
            <w:tcW w:w="1008" w:type="dxa"/>
            <w:shd w:val="clear" w:color="auto" w:fill="auto"/>
            <w:noWrap/>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hAnsi="Arial" w:cs="Arial"/>
                <w:color w:val="212121"/>
                <w:sz w:val="24"/>
                <w:szCs w:val="24"/>
              </w:rPr>
              <w:t>↑</w:t>
            </w:r>
          </w:p>
        </w:tc>
      </w:tr>
      <w:tr w:rsidR="00C119C4" w:rsidRPr="00B84D88" w:rsidTr="00BE6F2E">
        <w:trPr>
          <w:trHeight w:val="256"/>
          <w:tblHeader/>
        </w:trPr>
        <w:tc>
          <w:tcPr>
            <w:tcW w:w="1728" w:type="dxa"/>
            <w:shd w:val="clear" w:color="auto" w:fill="auto"/>
            <w:noWrap/>
            <w:vAlign w:val="bottom"/>
          </w:tcPr>
          <w:p w:rsidR="00C119C4" w:rsidRPr="00B84D88" w:rsidRDefault="00C119C4" w:rsidP="00BE6F2E">
            <w:pPr>
              <w:spacing w:after="240"/>
              <w:ind w:firstLine="0"/>
              <w:rPr>
                <w:rFonts w:ascii="Arial" w:eastAsia="Times New Roman" w:hAnsi="Arial" w:cs="Arial"/>
                <w:color w:val="000000"/>
                <w:sz w:val="24"/>
                <w:szCs w:val="24"/>
              </w:rPr>
            </w:pPr>
            <w:r w:rsidRPr="00B84D88">
              <w:rPr>
                <w:rFonts w:ascii="Arial" w:eastAsia="Times New Roman" w:hAnsi="Arial" w:cs="Arial"/>
                <w:color w:val="000000"/>
                <w:sz w:val="24"/>
                <w:szCs w:val="24"/>
              </w:rPr>
              <w:t>CAP Ages 12 - 19 years</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94.45%</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94.18%</w:t>
            </w:r>
          </w:p>
        </w:tc>
        <w:tc>
          <w:tcPr>
            <w:tcW w:w="1008" w:type="dxa"/>
            <w:shd w:val="clear" w:color="auto" w:fill="auto"/>
            <w:noWrap/>
            <w:vAlign w:val="bottom"/>
          </w:tcPr>
          <w:p w:rsidR="00C119C4" w:rsidRPr="00B84D88" w:rsidRDefault="00C119C4" w:rsidP="00BE6F2E">
            <w:pPr>
              <w:spacing w:after="240"/>
              <w:ind w:firstLine="0"/>
              <w:jc w:val="right"/>
              <w:rPr>
                <w:rFonts w:ascii="Arial" w:eastAsia="Times New Roman" w:hAnsi="Arial" w:cs="Arial"/>
                <w:color w:val="000000"/>
                <w:sz w:val="24"/>
                <w:szCs w:val="24"/>
              </w:rPr>
            </w:pPr>
            <w:r w:rsidRPr="00B84D88">
              <w:rPr>
                <w:rFonts w:ascii="Arial" w:eastAsia="Times New Roman" w:hAnsi="Arial" w:cs="Arial"/>
                <w:color w:val="000000"/>
                <w:sz w:val="24"/>
                <w:szCs w:val="24"/>
              </w:rPr>
              <w:t>93.26%</w:t>
            </w:r>
          </w:p>
        </w:tc>
        <w:tc>
          <w:tcPr>
            <w:tcW w:w="1008" w:type="dxa"/>
            <w:shd w:val="clear" w:color="auto" w:fill="auto"/>
            <w:noWrap/>
            <w:vAlign w:val="bottom"/>
          </w:tcPr>
          <w:p w:rsidR="00C119C4" w:rsidRPr="00B84D88" w:rsidRDefault="00C119C4" w:rsidP="00BE6F2E">
            <w:pPr>
              <w:spacing w:after="240"/>
              <w:ind w:firstLine="0"/>
              <w:rPr>
                <w:rFonts w:ascii="Arial" w:eastAsia="Times New Roman" w:hAnsi="Arial" w:cs="Arial"/>
                <w:color w:val="000000"/>
                <w:sz w:val="24"/>
                <w:szCs w:val="24"/>
              </w:rPr>
            </w:pPr>
            <w:r w:rsidRPr="00B84D88">
              <w:rPr>
                <w:rFonts w:ascii="Arial" w:eastAsia="Times New Roman" w:hAnsi="Arial" w:cs="Arial"/>
                <w:color w:val="000000"/>
                <w:sz w:val="24"/>
                <w:szCs w:val="24"/>
              </w:rPr>
              <w:t> 95.12%</w:t>
            </w:r>
          </w:p>
        </w:tc>
        <w:tc>
          <w:tcPr>
            <w:tcW w:w="1008" w:type="dxa"/>
            <w:shd w:val="clear" w:color="auto" w:fill="auto"/>
            <w:noWrap/>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hAnsi="Arial" w:cs="Arial"/>
                <w:color w:val="212121"/>
                <w:sz w:val="24"/>
                <w:szCs w:val="24"/>
              </w:rPr>
              <w:t>↑</w:t>
            </w:r>
          </w:p>
        </w:tc>
        <w:tc>
          <w:tcPr>
            <w:tcW w:w="1008" w:type="dxa"/>
            <w:shd w:val="clear" w:color="auto" w:fill="auto"/>
            <w:noWrap/>
            <w:vAlign w:val="bottom"/>
          </w:tcPr>
          <w:p w:rsidR="00C119C4" w:rsidRPr="00B84D88" w:rsidRDefault="00C119C4" w:rsidP="00BE6F2E">
            <w:pPr>
              <w:spacing w:after="240"/>
              <w:ind w:firstLine="0"/>
              <w:jc w:val="center"/>
              <w:rPr>
                <w:rFonts w:ascii="Arial" w:eastAsia="Times New Roman" w:hAnsi="Arial" w:cs="Arial"/>
                <w:color w:val="000000"/>
                <w:sz w:val="24"/>
                <w:szCs w:val="24"/>
              </w:rPr>
            </w:pPr>
            <w:r w:rsidRPr="00B84D88">
              <w:rPr>
                <w:rFonts w:ascii="Arial" w:hAnsi="Arial" w:cs="Arial"/>
                <w:color w:val="212121"/>
                <w:sz w:val="24"/>
                <w:szCs w:val="24"/>
              </w:rPr>
              <w:t>↓</w:t>
            </w:r>
          </w:p>
        </w:tc>
      </w:tr>
    </w:tbl>
    <w:p w:rsidR="00C119C4" w:rsidRDefault="00C119C4" w:rsidP="009E6BE4">
      <w:pPr>
        <w:ind w:firstLine="0"/>
        <w:rPr>
          <w:rFonts w:ascii="Arial" w:hAnsi="Arial" w:cs="Arial"/>
          <w:sz w:val="24"/>
          <w:szCs w:val="24"/>
        </w:rPr>
      </w:pPr>
    </w:p>
    <w:p w:rsidR="00ED4B63" w:rsidRPr="00266B4C" w:rsidRDefault="00ED4B63" w:rsidP="009E6BE4">
      <w:pPr>
        <w:ind w:firstLine="0"/>
        <w:rPr>
          <w:rFonts w:ascii="Arial" w:hAnsi="Arial" w:cs="Arial"/>
          <w:sz w:val="24"/>
          <w:szCs w:val="24"/>
        </w:rPr>
      </w:pPr>
      <w:r w:rsidRPr="00266B4C">
        <w:rPr>
          <w:rFonts w:ascii="Arial" w:hAnsi="Arial" w:cs="Arial"/>
          <w:sz w:val="24"/>
          <w:szCs w:val="24"/>
        </w:rPr>
        <w:t xml:space="preserve">*(CAP) Children and Adolescents’ Access to PCP </w:t>
      </w:r>
    </w:p>
    <w:p w:rsidR="009E6BE4" w:rsidRDefault="00266B4C" w:rsidP="00D71A32">
      <w:pPr>
        <w:ind w:firstLine="0"/>
        <w:rPr>
          <w:rFonts w:ascii="Arial" w:hAnsi="Arial" w:cs="Arial"/>
          <w:sz w:val="24"/>
          <w:szCs w:val="24"/>
        </w:rPr>
      </w:pPr>
      <w:r w:rsidRPr="00266B4C">
        <w:rPr>
          <w:rFonts w:ascii="Arial" w:hAnsi="Arial" w:cs="Arial"/>
          <w:sz w:val="24"/>
          <w:szCs w:val="24"/>
        </w:rPr>
        <w:t>**</w:t>
      </w:r>
      <w:r w:rsidR="00E00F24">
        <w:rPr>
          <w:rFonts w:ascii="Arial" w:hAnsi="Arial" w:cs="Arial"/>
          <w:sz w:val="24"/>
          <w:szCs w:val="24"/>
        </w:rPr>
        <w:t xml:space="preserve">All </w:t>
      </w:r>
      <w:r w:rsidRPr="00266B4C">
        <w:rPr>
          <w:rFonts w:ascii="Arial" w:hAnsi="Arial" w:cs="Arial"/>
          <w:sz w:val="24"/>
          <w:szCs w:val="24"/>
        </w:rPr>
        <w:t>MassHealth members receive dental benefit</w:t>
      </w:r>
      <w:r w:rsidR="00722705">
        <w:rPr>
          <w:rFonts w:ascii="Arial" w:hAnsi="Arial" w:cs="Arial"/>
          <w:sz w:val="24"/>
          <w:szCs w:val="24"/>
        </w:rPr>
        <w:t xml:space="preserve">s </w:t>
      </w:r>
      <w:r w:rsidRPr="00266B4C">
        <w:rPr>
          <w:rFonts w:ascii="Arial" w:hAnsi="Arial" w:cs="Arial"/>
          <w:sz w:val="24"/>
          <w:szCs w:val="24"/>
        </w:rPr>
        <w:t xml:space="preserve">through </w:t>
      </w:r>
      <w:r w:rsidR="00E00F24">
        <w:rPr>
          <w:rFonts w:ascii="Arial" w:hAnsi="Arial" w:cs="Arial"/>
          <w:sz w:val="24"/>
          <w:szCs w:val="24"/>
        </w:rPr>
        <w:t>FFS (carved out of managed care)</w:t>
      </w:r>
      <w:r w:rsidRPr="00266B4C">
        <w:rPr>
          <w:rFonts w:ascii="Arial" w:hAnsi="Arial" w:cs="Arial"/>
          <w:sz w:val="24"/>
          <w:szCs w:val="24"/>
        </w:rPr>
        <w:t>, so MCOs do not have data to report.</w:t>
      </w:r>
    </w:p>
    <w:p w:rsidR="00D71A32" w:rsidRPr="00ED4B63" w:rsidRDefault="00D71A32" w:rsidP="00D71A32">
      <w:pPr>
        <w:ind w:firstLine="0"/>
      </w:pPr>
    </w:p>
    <w:p w:rsidR="00BD745D" w:rsidRPr="001B12FB" w:rsidRDefault="00722705" w:rsidP="00BD745D">
      <w:pPr>
        <w:ind w:firstLine="0"/>
        <w:rPr>
          <w:rFonts w:ascii="Arial" w:hAnsi="Arial" w:cs="Arial"/>
          <w:sz w:val="24"/>
        </w:rPr>
      </w:pPr>
      <w:r>
        <w:rPr>
          <w:rFonts w:ascii="Arial" w:hAnsi="Arial" w:cs="Arial"/>
          <w:sz w:val="24"/>
        </w:rPr>
        <w:t xml:space="preserve">Overall, </w:t>
      </w:r>
      <w:r w:rsidR="00BD745D" w:rsidRPr="001B12FB">
        <w:rPr>
          <w:rFonts w:ascii="Arial" w:hAnsi="Arial" w:cs="Arial"/>
          <w:sz w:val="24"/>
        </w:rPr>
        <w:t>MassHealth performs well on the access quality</w:t>
      </w:r>
      <w:r w:rsidR="00956E0D">
        <w:rPr>
          <w:rFonts w:ascii="Arial" w:hAnsi="Arial" w:cs="Arial"/>
          <w:sz w:val="24"/>
        </w:rPr>
        <w:t xml:space="preserve"> measures presented in Figure #</w:t>
      </w:r>
      <w:r w:rsidR="00ED37AA">
        <w:rPr>
          <w:rFonts w:ascii="Arial" w:hAnsi="Arial" w:cs="Arial"/>
          <w:sz w:val="24"/>
        </w:rPr>
        <w:t>8</w:t>
      </w:r>
      <w:r w:rsidR="00BD745D" w:rsidRPr="001B12FB">
        <w:rPr>
          <w:rFonts w:ascii="Arial" w:hAnsi="Arial" w:cs="Arial"/>
          <w:sz w:val="24"/>
        </w:rPr>
        <w:t>.</w:t>
      </w:r>
      <w:r w:rsidR="00DF3786" w:rsidRPr="001B12FB">
        <w:rPr>
          <w:rFonts w:ascii="Arial" w:hAnsi="Arial" w:cs="Arial"/>
          <w:sz w:val="24"/>
        </w:rPr>
        <w:t xml:space="preserve"> However, MassHealth has adopted stretch goals for the </w:t>
      </w:r>
      <w:r>
        <w:rPr>
          <w:rFonts w:ascii="Arial" w:hAnsi="Arial" w:cs="Arial"/>
          <w:sz w:val="24"/>
        </w:rPr>
        <w:t xml:space="preserve">HEDIS </w:t>
      </w:r>
      <w:r w:rsidR="00DF3786" w:rsidRPr="001B12FB">
        <w:rPr>
          <w:rFonts w:ascii="Arial" w:hAnsi="Arial" w:cs="Arial"/>
          <w:sz w:val="24"/>
        </w:rPr>
        <w:t>quality program, with the goal of performance above the national Medicaid 75</w:t>
      </w:r>
      <w:r w:rsidR="00DF3786" w:rsidRPr="001B12FB">
        <w:rPr>
          <w:rFonts w:ascii="Arial" w:hAnsi="Arial" w:cs="Arial"/>
          <w:sz w:val="24"/>
          <w:vertAlign w:val="superscript"/>
        </w:rPr>
        <w:t>th</w:t>
      </w:r>
      <w:r w:rsidR="00DF3786" w:rsidRPr="001B12FB">
        <w:rPr>
          <w:rFonts w:ascii="Arial" w:hAnsi="Arial" w:cs="Arial"/>
          <w:sz w:val="24"/>
        </w:rPr>
        <w:t xml:space="preserve"> percentile, which was achieved in half of the measures presented.</w:t>
      </w:r>
      <w:r w:rsidR="00BD745D" w:rsidRPr="001B12FB">
        <w:rPr>
          <w:rFonts w:ascii="Arial" w:hAnsi="Arial" w:cs="Arial"/>
          <w:sz w:val="24"/>
        </w:rPr>
        <w:t xml:space="preserve">  </w:t>
      </w:r>
    </w:p>
    <w:p w:rsidR="00BD745D" w:rsidRPr="001B12FB" w:rsidRDefault="00BD745D" w:rsidP="00BD745D">
      <w:pPr>
        <w:pStyle w:val="ListParagraph"/>
        <w:numPr>
          <w:ilvl w:val="0"/>
          <w:numId w:val="23"/>
        </w:numPr>
        <w:rPr>
          <w:rFonts w:ascii="Arial" w:hAnsi="Arial" w:cs="Arial"/>
          <w:sz w:val="24"/>
        </w:rPr>
      </w:pPr>
      <w:r w:rsidRPr="001B12FB">
        <w:rPr>
          <w:rFonts w:ascii="Arial" w:hAnsi="Arial" w:cs="Arial"/>
          <w:sz w:val="24"/>
        </w:rPr>
        <w:t>Annual Dental Visit rates for the FFS population increased each year from CY 15 through CY 17, and the CY 17 rate was above the Medicaid 90</w:t>
      </w:r>
      <w:r w:rsidRPr="001B12FB">
        <w:rPr>
          <w:rFonts w:ascii="Arial" w:hAnsi="Arial" w:cs="Arial"/>
          <w:sz w:val="24"/>
          <w:vertAlign w:val="superscript"/>
        </w:rPr>
        <w:t>th</w:t>
      </w:r>
      <w:r w:rsidRPr="001B12FB">
        <w:rPr>
          <w:rFonts w:ascii="Arial" w:hAnsi="Arial" w:cs="Arial"/>
          <w:sz w:val="24"/>
        </w:rPr>
        <w:t xml:space="preserve"> percentile benchmark. </w:t>
      </w:r>
    </w:p>
    <w:p w:rsidR="00BD745D" w:rsidRPr="001B12FB" w:rsidRDefault="00BD745D" w:rsidP="00BD745D">
      <w:pPr>
        <w:pStyle w:val="ListParagraph"/>
        <w:numPr>
          <w:ilvl w:val="0"/>
          <w:numId w:val="23"/>
        </w:numPr>
        <w:rPr>
          <w:rFonts w:ascii="Arial" w:hAnsi="Arial" w:cs="Arial"/>
          <w:sz w:val="24"/>
        </w:rPr>
      </w:pPr>
      <w:r w:rsidRPr="001B12FB">
        <w:rPr>
          <w:rFonts w:ascii="Arial" w:hAnsi="Arial" w:cs="Arial"/>
          <w:sz w:val="24"/>
        </w:rPr>
        <w:t>Adults’ Access to Preventative/ Ambulatory Health Services CY 17 rate fell below the 75</w:t>
      </w:r>
      <w:r w:rsidRPr="001B12FB">
        <w:rPr>
          <w:rFonts w:ascii="Arial" w:hAnsi="Arial" w:cs="Arial"/>
          <w:sz w:val="24"/>
          <w:vertAlign w:val="superscript"/>
        </w:rPr>
        <w:t>th</w:t>
      </w:r>
      <w:r w:rsidRPr="001B12FB">
        <w:rPr>
          <w:rFonts w:ascii="Arial" w:hAnsi="Arial" w:cs="Arial"/>
          <w:sz w:val="24"/>
        </w:rPr>
        <w:t xml:space="preserve"> Medicaid percentile.</w:t>
      </w:r>
    </w:p>
    <w:p w:rsidR="00BD745D" w:rsidRPr="001B12FB" w:rsidRDefault="00A56BA8" w:rsidP="00021BE2">
      <w:pPr>
        <w:pStyle w:val="ListParagraph"/>
        <w:numPr>
          <w:ilvl w:val="0"/>
          <w:numId w:val="23"/>
        </w:numPr>
        <w:rPr>
          <w:rFonts w:ascii="Arial" w:hAnsi="Arial" w:cs="Arial"/>
          <w:sz w:val="24"/>
          <w:szCs w:val="24"/>
        </w:rPr>
      </w:pPr>
      <w:r w:rsidRPr="001B12FB">
        <w:rPr>
          <w:rFonts w:ascii="Arial" w:hAnsi="Arial" w:cs="Arial"/>
          <w:sz w:val="24"/>
          <w:szCs w:val="24"/>
        </w:rPr>
        <w:t>CAP CY17 measure rates for the FFS population were below the Medicaid 75</w:t>
      </w:r>
      <w:r w:rsidRPr="001B12FB">
        <w:rPr>
          <w:rFonts w:ascii="Arial" w:hAnsi="Arial" w:cs="Arial"/>
          <w:sz w:val="24"/>
          <w:szCs w:val="24"/>
          <w:vertAlign w:val="superscript"/>
        </w:rPr>
        <w:t>th</w:t>
      </w:r>
      <w:r w:rsidRPr="001B12FB">
        <w:rPr>
          <w:rFonts w:ascii="Arial" w:hAnsi="Arial" w:cs="Arial"/>
          <w:sz w:val="24"/>
          <w:szCs w:val="24"/>
        </w:rPr>
        <w:t xml:space="preserve"> percentile for two cohorts (12-24 months as 25 months-6 years), but above th</w:t>
      </w:r>
      <w:r w:rsidR="001B12FB">
        <w:rPr>
          <w:rFonts w:ascii="Arial" w:hAnsi="Arial" w:cs="Arial"/>
          <w:sz w:val="24"/>
          <w:szCs w:val="24"/>
        </w:rPr>
        <w:t xml:space="preserve">at benchmark for the other two. </w:t>
      </w:r>
      <w:r w:rsidRPr="001B12FB">
        <w:rPr>
          <w:rFonts w:ascii="Arial" w:hAnsi="Arial" w:cs="Arial"/>
          <w:sz w:val="24"/>
          <w:szCs w:val="24"/>
        </w:rPr>
        <w:t xml:space="preserve">In addition, the FFS rate for the </w:t>
      </w:r>
      <w:r w:rsidR="003A4099" w:rsidRPr="001B12FB">
        <w:rPr>
          <w:rFonts w:ascii="Arial" w:hAnsi="Arial" w:cs="Arial"/>
          <w:sz w:val="24"/>
          <w:szCs w:val="24"/>
        </w:rPr>
        <w:t>7-11-year</w:t>
      </w:r>
      <w:r w:rsidRPr="001B12FB">
        <w:rPr>
          <w:rFonts w:ascii="Arial" w:hAnsi="Arial" w:cs="Arial"/>
          <w:sz w:val="24"/>
          <w:szCs w:val="24"/>
        </w:rPr>
        <w:t xml:space="preserve"> cohort was above the Medicaid 90</w:t>
      </w:r>
      <w:r w:rsidRPr="001B12FB">
        <w:rPr>
          <w:rFonts w:ascii="Arial" w:hAnsi="Arial" w:cs="Arial"/>
          <w:sz w:val="24"/>
          <w:szCs w:val="24"/>
          <w:vertAlign w:val="superscript"/>
        </w:rPr>
        <w:t>th</w:t>
      </w:r>
      <w:r w:rsidRPr="001B12FB">
        <w:rPr>
          <w:rFonts w:ascii="Arial" w:hAnsi="Arial" w:cs="Arial"/>
          <w:sz w:val="24"/>
          <w:szCs w:val="24"/>
        </w:rPr>
        <w:t xml:space="preserve"> percentile.”</w:t>
      </w:r>
    </w:p>
    <w:p w:rsidR="006F049F" w:rsidRPr="001B12FB" w:rsidRDefault="006F049F" w:rsidP="006F049F">
      <w:pPr>
        <w:ind w:firstLine="0"/>
        <w:rPr>
          <w:rFonts w:ascii="Arial" w:hAnsi="Arial" w:cs="Arial"/>
          <w:sz w:val="24"/>
        </w:rPr>
      </w:pPr>
    </w:p>
    <w:p w:rsidR="000C1D55" w:rsidRDefault="007236B1" w:rsidP="006F049F">
      <w:pPr>
        <w:ind w:firstLine="0"/>
        <w:rPr>
          <w:rFonts w:ascii="Arial" w:hAnsi="Arial" w:cs="Arial"/>
          <w:sz w:val="24"/>
        </w:rPr>
      </w:pPr>
      <w:r w:rsidRPr="001B12FB">
        <w:rPr>
          <w:rFonts w:ascii="Arial" w:hAnsi="Arial" w:cs="Arial"/>
          <w:sz w:val="24"/>
        </w:rPr>
        <w:t>Three-year trends in performance showed stability across all measures, with</w:t>
      </w:r>
      <w:r w:rsidR="006E02AB" w:rsidRPr="001B12FB">
        <w:rPr>
          <w:rFonts w:ascii="Arial" w:hAnsi="Arial" w:cs="Arial"/>
          <w:sz w:val="24"/>
        </w:rPr>
        <w:t xml:space="preserve"> three of the </w:t>
      </w:r>
      <w:r w:rsidRPr="001B12FB">
        <w:rPr>
          <w:rFonts w:ascii="Arial" w:hAnsi="Arial" w:cs="Arial"/>
          <w:sz w:val="24"/>
        </w:rPr>
        <w:t>measures performing above the 75</w:t>
      </w:r>
      <w:r w:rsidRPr="001B12FB">
        <w:rPr>
          <w:rFonts w:ascii="Arial" w:hAnsi="Arial" w:cs="Arial"/>
          <w:sz w:val="24"/>
          <w:vertAlign w:val="superscript"/>
        </w:rPr>
        <w:t>th</w:t>
      </w:r>
      <w:r w:rsidRPr="001B12FB">
        <w:rPr>
          <w:rFonts w:ascii="Arial" w:hAnsi="Arial" w:cs="Arial"/>
          <w:sz w:val="24"/>
        </w:rPr>
        <w:t xml:space="preserve"> Medicaid Percentile</w:t>
      </w:r>
      <w:r w:rsidR="006E02AB" w:rsidRPr="001B12FB">
        <w:rPr>
          <w:rFonts w:ascii="Arial" w:hAnsi="Arial" w:cs="Arial"/>
          <w:sz w:val="24"/>
        </w:rPr>
        <w:t xml:space="preserve"> and two of </w:t>
      </w:r>
      <w:r w:rsidR="00F46505" w:rsidRPr="001B12FB">
        <w:rPr>
          <w:rFonts w:ascii="Arial" w:hAnsi="Arial" w:cs="Arial"/>
          <w:sz w:val="24"/>
        </w:rPr>
        <w:t>those perform</w:t>
      </w:r>
      <w:r w:rsidR="00722705">
        <w:rPr>
          <w:rFonts w:ascii="Arial" w:hAnsi="Arial" w:cs="Arial"/>
          <w:sz w:val="24"/>
        </w:rPr>
        <w:t>ing</w:t>
      </w:r>
      <w:r w:rsidR="00F46505" w:rsidRPr="001B12FB">
        <w:rPr>
          <w:rFonts w:ascii="Arial" w:hAnsi="Arial" w:cs="Arial"/>
          <w:sz w:val="24"/>
        </w:rPr>
        <w:t xml:space="preserve"> above the Medicaid 90th</w:t>
      </w:r>
      <w:r w:rsidRPr="001B12FB">
        <w:rPr>
          <w:rFonts w:ascii="Arial" w:hAnsi="Arial" w:cs="Arial"/>
          <w:sz w:val="24"/>
        </w:rPr>
        <w:t xml:space="preserve">. </w:t>
      </w:r>
      <w:r w:rsidR="00647FAE" w:rsidRPr="001B12FB">
        <w:rPr>
          <w:rFonts w:ascii="Arial" w:hAnsi="Arial" w:cs="Arial"/>
          <w:sz w:val="24"/>
        </w:rPr>
        <w:t>Additionally</w:t>
      </w:r>
      <w:r w:rsidRPr="001B12FB">
        <w:rPr>
          <w:rFonts w:ascii="Arial" w:hAnsi="Arial" w:cs="Arial"/>
          <w:sz w:val="24"/>
        </w:rPr>
        <w:t>, the Annual Dental Visit measure showe</w:t>
      </w:r>
      <w:r w:rsidR="006F4F76" w:rsidRPr="001B12FB">
        <w:rPr>
          <w:rFonts w:ascii="Arial" w:hAnsi="Arial" w:cs="Arial"/>
          <w:sz w:val="24"/>
        </w:rPr>
        <w:t xml:space="preserve">d </w:t>
      </w:r>
      <w:r w:rsidRPr="001B12FB">
        <w:rPr>
          <w:rFonts w:ascii="Arial" w:hAnsi="Arial" w:cs="Arial"/>
          <w:sz w:val="24"/>
        </w:rPr>
        <w:t xml:space="preserve">rate </w:t>
      </w:r>
      <w:r w:rsidR="00F46505" w:rsidRPr="001B12FB">
        <w:rPr>
          <w:rFonts w:ascii="Arial" w:hAnsi="Arial" w:cs="Arial"/>
          <w:sz w:val="24"/>
        </w:rPr>
        <w:t xml:space="preserve">increases each year between CY15 and </w:t>
      </w:r>
      <w:r w:rsidR="00647FAE" w:rsidRPr="001B12FB">
        <w:rPr>
          <w:rFonts w:ascii="Arial" w:hAnsi="Arial" w:cs="Arial"/>
          <w:sz w:val="24"/>
        </w:rPr>
        <w:t>CY17.</w:t>
      </w:r>
      <w:r w:rsidRPr="001B12FB">
        <w:rPr>
          <w:rFonts w:ascii="Arial" w:hAnsi="Arial" w:cs="Arial"/>
          <w:sz w:val="24"/>
        </w:rPr>
        <w:t xml:space="preserve"> Although </w:t>
      </w:r>
      <w:r w:rsidR="00CB78F6" w:rsidRPr="001B12FB">
        <w:rPr>
          <w:rFonts w:ascii="Arial" w:hAnsi="Arial" w:cs="Arial"/>
          <w:sz w:val="24"/>
        </w:rPr>
        <w:t xml:space="preserve">three CY17 </w:t>
      </w:r>
      <w:r w:rsidRPr="001B12FB">
        <w:rPr>
          <w:rFonts w:ascii="Arial" w:hAnsi="Arial" w:cs="Arial"/>
          <w:sz w:val="24"/>
        </w:rPr>
        <w:t xml:space="preserve">measure rates (Adults’ Access to Preventive/Ambulatory Health Services and </w:t>
      </w:r>
      <w:r w:rsidR="00CB78F6" w:rsidRPr="001B12FB">
        <w:rPr>
          <w:rFonts w:ascii="Arial" w:hAnsi="Arial" w:cs="Arial"/>
          <w:sz w:val="24"/>
        </w:rPr>
        <w:t xml:space="preserve">two cohorts for </w:t>
      </w:r>
      <w:r w:rsidRPr="001B12FB">
        <w:rPr>
          <w:rFonts w:ascii="Arial" w:hAnsi="Arial" w:cs="Arial"/>
          <w:sz w:val="24"/>
        </w:rPr>
        <w:t xml:space="preserve">the Children’s and Adolescents’ Access to PCP) </w:t>
      </w:r>
      <w:r w:rsidR="00722705">
        <w:rPr>
          <w:rFonts w:ascii="Arial" w:hAnsi="Arial" w:cs="Arial"/>
          <w:sz w:val="24"/>
        </w:rPr>
        <w:t>are</w:t>
      </w:r>
      <w:r w:rsidRPr="001B12FB">
        <w:rPr>
          <w:rFonts w:ascii="Arial" w:hAnsi="Arial" w:cs="Arial"/>
          <w:sz w:val="24"/>
        </w:rPr>
        <w:t xml:space="preserve"> below the 75</w:t>
      </w:r>
      <w:r w:rsidRPr="001B12FB">
        <w:rPr>
          <w:rFonts w:ascii="Arial" w:hAnsi="Arial" w:cs="Arial"/>
          <w:sz w:val="24"/>
          <w:vertAlign w:val="superscript"/>
        </w:rPr>
        <w:t>th</w:t>
      </w:r>
      <w:r w:rsidRPr="001B12FB">
        <w:rPr>
          <w:rFonts w:ascii="Arial" w:hAnsi="Arial" w:cs="Arial"/>
          <w:sz w:val="24"/>
        </w:rPr>
        <w:t xml:space="preserve"> Medicaid Percentile, these rates remained </w:t>
      </w:r>
      <w:r w:rsidR="00CB78F6" w:rsidRPr="001B12FB">
        <w:rPr>
          <w:rFonts w:ascii="Arial" w:hAnsi="Arial" w:cs="Arial"/>
          <w:sz w:val="24"/>
        </w:rPr>
        <w:t>stable</w:t>
      </w:r>
      <w:r w:rsidRPr="001B12FB">
        <w:rPr>
          <w:rFonts w:ascii="Arial" w:hAnsi="Arial" w:cs="Arial"/>
          <w:sz w:val="24"/>
        </w:rPr>
        <w:t xml:space="preserve"> year over year.</w:t>
      </w:r>
      <w:r w:rsidR="001B12FB">
        <w:rPr>
          <w:rFonts w:ascii="Arial" w:hAnsi="Arial" w:cs="Arial"/>
          <w:sz w:val="24"/>
        </w:rPr>
        <w:t xml:space="preserve"> </w:t>
      </w:r>
      <w:r w:rsidR="004A5A44">
        <w:rPr>
          <w:rFonts w:ascii="Arial" w:hAnsi="Arial" w:cs="Arial"/>
          <w:sz w:val="24"/>
        </w:rPr>
        <w:t>T</w:t>
      </w:r>
      <w:r w:rsidRPr="001B12FB">
        <w:rPr>
          <w:rFonts w:ascii="Arial" w:hAnsi="Arial" w:cs="Arial"/>
          <w:sz w:val="24"/>
        </w:rPr>
        <w:t>he MassHealth Quality Committee</w:t>
      </w:r>
      <w:r w:rsidR="004A5A44">
        <w:rPr>
          <w:rFonts w:ascii="Arial" w:hAnsi="Arial" w:cs="Arial"/>
          <w:sz w:val="24"/>
        </w:rPr>
        <w:t xml:space="preserve"> will review the data and determine any actions that should be taken</w:t>
      </w:r>
      <w:r w:rsidRPr="001B12FB">
        <w:rPr>
          <w:rFonts w:ascii="Arial" w:hAnsi="Arial" w:cs="Arial"/>
          <w:sz w:val="24"/>
        </w:rPr>
        <w:t>.</w:t>
      </w:r>
    </w:p>
    <w:p w:rsidR="0066291B" w:rsidRPr="001B12FB" w:rsidRDefault="0066291B" w:rsidP="006F049F">
      <w:pPr>
        <w:ind w:firstLine="0"/>
        <w:rPr>
          <w:rFonts w:ascii="Arial" w:hAnsi="Arial" w:cs="Arial"/>
          <w:sz w:val="24"/>
        </w:rPr>
      </w:pPr>
    </w:p>
    <w:p w:rsidR="0075698B" w:rsidRPr="0066291B" w:rsidRDefault="00C05EB2" w:rsidP="0066291B">
      <w:pPr>
        <w:pStyle w:val="Heading2"/>
        <w:rPr>
          <w:rFonts w:ascii="Arial" w:hAnsi="Arial" w:cs="Arial"/>
          <w:color w:val="auto"/>
          <w:sz w:val="24"/>
          <w:szCs w:val="24"/>
          <w:u w:val="single"/>
        </w:rPr>
      </w:pPr>
      <w:bookmarkStart w:id="31" w:name="_Toc10810577"/>
      <w:bookmarkStart w:id="32" w:name="_Toc20296929"/>
      <w:r>
        <w:rPr>
          <w:rFonts w:ascii="Arial" w:hAnsi="Arial" w:cs="Arial"/>
          <w:color w:val="auto"/>
          <w:sz w:val="24"/>
          <w:szCs w:val="24"/>
          <w:u w:val="single"/>
        </w:rPr>
        <w:t>6</w:t>
      </w:r>
      <w:r w:rsidR="0075698B" w:rsidRPr="0066291B">
        <w:rPr>
          <w:rFonts w:ascii="Arial" w:hAnsi="Arial" w:cs="Arial"/>
          <w:color w:val="auto"/>
          <w:sz w:val="24"/>
          <w:szCs w:val="24"/>
          <w:u w:val="single"/>
        </w:rPr>
        <w:t xml:space="preserve">. Comparison </w:t>
      </w:r>
      <w:r w:rsidR="00415600" w:rsidRPr="0066291B">
        <w:rPr>
          <w:rFonts w:ascii="Arial" w:hAnsi="Arial" w:cs="Arial"/>
          <w:color w:val="auto"/>
          <w:sz w:val="24"/>
          <w:szCs w:val="24"/>
          <w:u w:val="single"/>
        </w:rPr>
        <w:t>A</w:t>
      </w:r>
      <w:r w:rsidR="0075698B" w:rsidRPr="0066291B">
        <w:rPr>
          <w:rFonts w:ascii="Arial" w:hAnsi="Arial" w:cs="Arial"/>
          <w:color w:val="auto"/>
          <w:sz w:val="24"/>
          <w:szCs w:val="24"/>
          <w:u w:val="single"/>
        </w:rPr>
        <w:t xml:space="preserve">nalysis of Medicaid </w:t>
      </w:r>
      <w:r w:rsidR="00415600" w:rsidRPr="0066291B">
        <w:rPr>
          <w:rFonts w:ascii="Arial" w:hAnsi="Arial" w:cs="Arial"/>
          <w:color w:val="auto"/>
          <w:sz w:val="24"/>
          <w:szCs w:val="24"/>
          <w:u w:val="single"/>
        </w:rPr>
        <w:t>P</w:t>
      </w:r>
      <w:r w:rsidR="0075698B" w:rsidRPr="0066291B">
        <w:rPr>
          <w:rFonts w:ascii="Arial" w:hAnsi="Arial" w:cs="Arial"/>
          <w:color w:val="auto"/>
          <w:sz w:val="24"/>
          <w:szCs w:val="24"/>
          <w:u w:val="single"/>
        </w:rPr>
        <w:t xml:space="preserve">ayment </w:t>
      </w:r>
      <w:r w:rsidR="00415600" w:rsidRPr="0066291B">
        <w:rPr>
          <w:rFonts w:ascii="Arial" w:hAnsi="Arial" w:cs="Arial"/>
          <w:color w:val="auto"/>
          <w:sz w:val="24"/>
          <w:szCs w:val="24"/>
          <w:u w:val="single"/>
        </w:rPr>
        <w:t>R</w:t>
      </w:r>
      <w:r w:rsidR="0075698B" w:rsidRPr="0066291B">
        <w:rPr>
          <w:rFonts w:ascii="Arial" w:hAnsi="Arial" w:cs="Arial"/>
          <w:color w:val="auto"/>
          <w:sz w:val="24"/>
          <w:szCs w:val="24"/>
          <w:u w:val="single"/>
        </w:rPr>
        <w:t xml:space="preserve">ates to Medicare </w:t>
      </w:r>
      <w:r w:rsidR="009A771A">
        <w:rPr>
          <w:rFonts w:ascii="Arial" w:hAnsi="Arial" w:cs="Arial"/>
          <w:color w:val="auto"/>
          <w:sz w:val="24"/>
          <w:szCs w:val="24"/>
          <w:u w:val="single"/>
        </w:rPr>
        <w:t xml:space="preserve">Payment Rates </w:t>
      </w:r>
      <w:r w:rsidR="00415600" w:rsidRPr="0066291B">
        <w:rPr>
          <w:rFonts w:ascii="Arial" w:hAnsi="Arial" w:cs="Arial"/>
          <w:color w:val="auto"/>
          <w:sz w:val="24"/>
          <w:szCs w:val="24"/>
          <w:u w:val="single"/>
        </w:rPr>
        <w:t>for Primary Care Services</w:t>
      </w:r>
      <w:bookmarkEnd w:id="31"/>
      <w:bookmarkEnd w:id="32"/>
    </w:p>
    <w:p w:rsidR="0024076E" w:rsidRPr="001B12FB" w:rsidRDefault="0024076E" w:rsidP="0024076E">
      <w:pPr>
        <w:ind w:firstLine="720"/>
        <w:rPr>
          <w:rFonts w:ascii="Arial" w:hAnsi="Arial" w:cs="Arial"/>
        </w:rPr>
      </w:pPr>
    </w:p>
    <w:p w:rsidR="00156257" w:rsidRPr="001B12FB" w:rsidRDefault="00156257" w:rsidP="00156257">
      <w:pPr>
        <w:ind w:firstLine="0"/>
        <w:rPr>
          <w:rFonts w:ascii="Arial" w:hAnsi="Arial" w:cs="Arial"/>
          <w:sz w:val="24"/>
        </w:rPr>
      </w:pPr>
      <w:proofErr w:type="spellStart"/>
      <w:r w:rsidRPr="001B12FB">
        <w:rPr>
          <w:rFonts w:ascii="Arial" w:hAnsi="Arial" w:cs="Arial"/>
          <w:sz w:val="24"/>
        </w:rPr>
        <w:t>MassHealth’s</w:t>
      </w:r>
      <w:proofErr w:type="spellEnd"/>
      <w:r w:rsidRPr="001B12FB">
        <w:rPr>
          <w:rFonts w:ascii="Arial" w:hAnsi="Arial" w:cs="Arial"/>
          <w:sz w:val="24"/>
        </w:rPr>
        <w:t xml:space="preserve"> payment rate analysis includes a comparison of Medicaid and Medicare 2018 rates for primary care services. The analysis found that Massachusetts Medicaid FFS primary care rates </w:t>
      </w:r>
      <w:r w:rsidR="009A771A">
        <w:rPr>
          <w:rFonts w:ascii="Arial" w:hAnsi="Arial" w:cs="Arial"/>
          <w:sz w:val="24"/>
        </w:rPr>
        <w:t>were</w:t>
      </w:r>
      <w:r w:rsidRPr="001B12FB">
        <w:rPr>
          <w:rFonts w:ascii="Arial" w:hAnsi="Arial" w:cs="Arial"/>
          <w:sz w:val="24"/>
        </w:rPr>
        <w:t xml:space="preserve"> an average of 69.4% of Medicare in 2018. </w:t>
      </w:r>
    </w:p>
    <w:p w:rsidR="00156257" w:rsidRPr="001B12FB" w:rsidRDefault="00156257" w:rsidP="00156257">
      <w:pPr>
        <w:ind w:firstLine="0"/>
        <w:rPr>
          <w:rFonts w:ascii="Arial" w:hAnsi="Arial" w:cs="Arial"/>
          <w:sz w:val="20"/>
          <w:szCs w:val="20"/>
        </w:rPr>
      </w:pPr>
    </w:p>
    <w:tbl>
      <w:tblPr>
        <w:tblW w:w="8232" w:type="dxa"/>
        <w:tblInd w:w="85" w:type="dxa"/>
        <w:tblLook w:val="04A0" w:firstRow="1" w:lastRow="0" w:firstColumn="1" w:lastColumn="0" w:noHBand="0" w:noVBand="1"/>
      </w:tblPr>
      <w:tblGrid>
        <w:gridCol w:w="1555"/>
        <w:gridCol w:w="2005"/>
        <w:gridCol w:w="1562"/>
        <w:gridCol w:w="1555"/>
        <w:gridCol w:w="1555"/>
      </w:tblGrid>
      <w:tr w:rsidR="00156257" w:rsidRPr="001B12FB" w:rsidTr="00813D52">
        <w:trPr>
          <w:trHeight w:val="259"/>
          <w:tblHeader/>
        </w:trPr>
        <w:tc>
          <w:tcPr>
            <w:tcW w:w="1555" w:type="dxa"/>
            <w:tcBorders>
              <w:top w:val="double" w:sz="6" w:space="0" w:color="4F81BD"/>
              <w:left w:val="double" w:sz="6" w:space="0" w:color="4F81BD"/>
              <w:bottom w:val="double" w:sz="6" w:space="0" w:color="4F81BD"/>
              <w:right w:val="single" w:sz="4" w:space="0" w:color="4F81BD"/>
            </w:tcBorders>
            <w:shd w:val="clear" w:color="auto" w:fill="auto"/>
            <w:noWrap/>
            <w:vAlign w:val="bottom"/>
          </w:tcPr>
          <w:p w:rsidR="00156257" w:rsidRPr="001B12FB" w:rsidRDefault="00156257" w:rsidP="00A97022">
            <w:pPr>
              <w:ind w:firstLine="0"/>
              <w:jc w:val="center"/>
              <w:rPr>
                <w:rFonts w:ascii="Arial" w:eastAsia="Times New Roman" w:hAnsi="Arial" w:cs="Arial"/>
                <w:b/>
                <w:bCs/>
                <w:color w:val="000000"/>
                <w:sz w:val="20"/>
                <w:szCs w:val="20"/>
              </w:rPr>
            </w:pPr>
            <w:r w:rsidRPr="001B12FB">
              <w:rPr>
                <w:rFonts w:ascii="Arial" w:eastAsia="Times New Roman" w:hAnsi="Arial" w:cs="Arial"/>
                <w:b/>
                <w:bCs/>
                <w:color w:val="000000"/>
                <w:sz w:val="20"/>
                <w:szCs w:val="20"/>
              </w:rPr>
              <w:t>HCPCS</w:t>
            </w:r>
          </w:p>
          <w:p w:rsidR="00156257" w:rsidRPr="001B12FB" w:rsidRDefault="00156257" w:rsidP="00A97022">
            <w:pPr>
              <w:ind w:firstLine="0"/>
              <w:jc w:val="center"/>
              <w:rPr>
                <w:rFonts w:ascii="Arial" w:eastAsia="Times New Roman" w:hAnsi="Arial" w:cs="Arial"/>
                <w:b/>
                <w:color w:val="000000"/>
                <w:sz w:val="20"/>
                <w:szCs w:val="20"/>
              </w:rPr>
            </w:pPr>
            <w:r w:rsidRPr="001B12FB">
              <w:rPr>
                <w:rFonts w:ascii="Arial" w:eastAsia="Times New Roman" w:hAnsi="Arial" w:cs="Arial"/>
                <w:b/>
                <w:color w:val="000000"/>
                <w:sz w:val="20"/>
                <w:szCs w:val="20"/>
              </w:rPr>
              <w:t>(Healthcare Common Procedure Coding System)</w:t>
            </w:r>
          </w:p>
        </w:tc>
        <w:tc>
          <w:tcPr>
            <w:tcW w:w="2005" w:type="dxa"/>
            <w:tcBorders>
              <w:top w:val="double" w:sz="6" w:space="0" w:color="4F81BD"/>
              <w:left w:val="nil"/>
              <w:bottom w:val="double" w:sz="6" w:space="0" w:color="4F81BD"/>
              <w:right w:val="single" w:sz="4" w:space="0" w:color="4F81BD"/>
            </w:tcBorders>
            <w:shd w:val="clear" w:color="auto" w:fill="auto"/>
            <w:noWrap/>
            <w:vAlign w:val="bottom"/>
          </w:tcPr>
          <w:p w:rsidR="00156257" w:rsidRPr="001B12FB" w:rsidRDefault="00156257" w:rsidP="00A97022">
            <w:pPr>
              <w:ind w:firstLine="0"/>
              <w:jc w:val="center"/>
              <w:rPr>
                <w:rFonts w:ascii="Arial" w:eastAsia="Times New Roman" w:hAnsi="Arial" w:cs="Arial"/>
                <w:color w:val="000000"/>
                <w:sz w:val="20"/>
                <w:szCs w:val="20"/>
              </w:rPr>
            </w:pPr>
            <w:r w:rsidRPr="001B12FB">
              <w:rPr>
                <w:rFonts w:ascii="Arial" w:eastAsia="Times New Roman" w:hAnsi="Arial" w:cs="Arial"/>
                <w:b/>
                <w:bCs/>
                <w:color w:val="000000"/>
                <w:sz w:val="20"/>
                <w:szCs w:val="20"/>
              </w:rPr>
              <w:t>Primary Care Code Description</w:t>
            </w:r>
          </w:p>
        </w:tc>
        <w:tc>
          <w:tcPr>
            <w:tcW w:w="1562" w:type="dxa"/>
            <w:tcBorders>
              <w:top w:val="double" w:sz="6" w:space="0" w:color="4F81BD"/>
              <w:left w:val="nil"/>
              <w:bottom w:val="double" w:sz="6" w:space="0" w:color="4F81BD"/>
              <w:right w:val="single" w:sz="4" w:space="0" w:color="4F81BD"/>
            </w:tcBorders>
            <w:shd w:val="clear" w:color="auto" w:fill="auto"/>
            <w:noWrap/>
            <w:vAlign w:val="bottom"/>
          </w:tcPr>
          <w:p w:rsidR="00156257" w:rsidRPr="001B12FB" w:rsidRDefault="00156257" w:rsidP="00A97022">
            <w:pPr>
              <w:ind w:firstLine="0"/>
              <w:jc w:val="center"/>
              <w:rPr>
                <w:rFonts w:ascii="Arial" w:eastAsia="Times New Roman" w:hAnsi="Arial" w:cs="Arial"/>
                <w:color w:val="000000"/>
                <w:sz w:val="20"/>
                <w:szCs w:val="20"/>
              </w:rPr>
            </w:pPr>
            <w:r w:rsidRPr="001B12FB">
              <w:rPr>
                <w:rFonts w:ascii="Arial" w:eastAsia="Times New Roman" w:hAnsi="Arial" w:cs="Arial"/>
                <w:b/>
                <w:bCs/>
                <w:color w:val="000000"/>
                <w:sz w:val="20"/>
                <w:szCs w:val="20"/>
              </w:rPr>
              <w:t xml:space="preserve">2018 Mass. Medicare </w:t>
            </w:r>
            <w:r w:rsidR="006160B7" w:rsidRPr="001B12FB">
              <w:rPr>
                <w:rFonts w:ascii="Arial" w:eastAsia="Times New Roman" w:hAnsi="Arial" w:cs="Arial"/>
                <w:b/>
                <w:bCs/>
                <w:color w:val="000000"/>
                <w:sz w:val="20"/>
                <w:szCs w:val="20"/>
              </w:rPr>
              <w:t>Non-Facility</w:t>
            </w:r>
            <w:r w:rsidRPr="001B12FB">
              <w:rPr>
                <w:rFonts w:ascii="Arial" w:eastAsia="Times New Roman" w:hAnsi="Arial" w:cs="Arial"/>
                <w:b/>
                <w:bCs/>
                <w:color w:val="000000"/>
                <w:sz w:val="20"/>
                <w:szCs w:val="20"/>
              </w:rPr>
              <w:t xml:space="preserve"> Rate- Statewide Average</w:t>
            </w:r>
          </w:p>
        </w:tc>
        <w:tc>
          <w:tcPr>
            <w:tcW w:w="1555" w:type="dxa"/>
            <w:tcBorders>
              <w:top w:val="double" w:sz="6" w:space="0" w:color="4F81BD"/>
              <w:left w:val="nil"/>
              <w:bottom w:val="double" w:sz="6" w:space="0" w:color="4F81BD"/>
              <w:right w:val="single" w:sz="4" w:space="0" w:color="4F81BD"/>
            </w:tcBorders>
            <w:shd w:val="clear" w:color="auto" w:fill="auto"/>
            <w:noWrap/>
            <w:vAlign w:val="bottom"/>
          </w:tcPr>
          <w:p w:rsidR="00156257" w:rsidRPr="001B12FB" w:rsidRDefault="00156257" w:rsidP="00A97022">
            <w:pPr>
              <w:ind w:firstLine="0"/>
              <w:jc w:val="center"/>
              <w:rPr>
                <w:rFonts w:ascii="Arial" w:eastAsia="Times New Roman" w:hAnsi="Arial" w:cs="Arial"/>
                <w:color w:val="000000"/>
                <w:sz w:val="20"/>
                <w:szCs w:val="20"/>
              </w:rPr>
            </w:pPr>
            <w:r w:rsidRPr="001B12FB">
              <w:rPr>
                <w:rFonts w:ascii="Arial" w:eastAsia="Times New Roman" w:hAnsi="Arial" w:cs="Arial"/>
                <w:b/>
                <w:bCs/>
                <w:color w:val="000000"/>
                <w:sz w:val="20"/>
                <w:szCs w:val="20"/>
              </w:rPr>
              <w:t>2018 Mass. Medicaid Rate</w:t>
            </w:r>
          </w:p>
        </w:tc>
        <w:tc>
          <w:tcPr>
            <w:tcW w:w="1555" w:type="dxa"/>
            <w:tcBorders>
              <w:top w:val="double" w:sz="6" w:space="0" w:color="4F81BD"/>
              <w:left w:val="nil"/>
              <w:bottom w:val="double" w:sz="6" w:space="0" w:color="4F81BD"/>
              <w:right w:val="single" w:sz="4" w:space="0" w:color="4F81BD"/>
            </w:tcBorders>
            <w:shd w:val="clear" w:color="auto" w:fill="auto"/>
            <w:noWrap/>
            <w:vAlign w:val="bottom"/>
          </w:tcPr>
          <w:p w:rsidR="00156257" w:rsidRPr="001B12FB" w:rsidRDefault="00156257" w:rsidP="00A97022">
            <w:pPr>
              <w:ind w:firstLine="0"/>
              <w:jc w:val="center"/>
              <w:rPr>
                <w:rFonts w:ascii="Arial" w:eastAsia="Times New Roman" w:hAnsi="Arial" w:cs="Arial"/>
                <w:b/>
                <w:color w:val="000000"/>
                <w:sz w:val="20"/>
                <w:szCs w:val="20"/>
              </w:rPr>
            </w:pPr>
            <w:r w:rsidRPr="001B12FB">
              <w:rPr>
                <w:rFonts w:ascii="Arial" w:eastAsia="Times New Roman" w:hAnsi="Arial" w:cs="Arial"/>
                <w:b/>
                <w:color w:val="000000"/>
                <w:sz w:val="20"/>
                <w:szCs w:val="20"/>
              </w:rPr>
              <w:t>Mass. Medicaid Payment as % of Medicare</w:t>
            </w:r>
          </w:p>
        </w:tc>
      </w:tr>
      <w:tr w:rsidR="00156257" w:rsidRPr="001B12FB" w:rsidTr="00813D52">
        <w:trPr>
          <w:trHeight w:val="242"/>
        </w:trPr>
        <w:tc>
          <w:tcPr>
            <w:tcW w:w="1555" w:type="dxa"/>
            <w:tcBorders>
              <w:top w:val="double" w:sz="6" w:space="0" w:color="4F81BD"/>
              <w:left w:val="double" w:sz="6" w:space="0" w:color="4F81BD"/>
              <w:bottom w:val="single" w:sz="4" w:space="0" w:color="4F81BD"/>
              <w:right w:val="single" w:sz="4" w:space="0" w:color="4F81BD"/>
            </w:tcBorders>
            <w:shd w:val="clear" w:color="auto" w:fill="auto"/>
            <w:noWrap/>
            <w:vAlign w:val="bottom"/>
          </w:tcPr>
          <w:p w:rsidR="00156257" w:rsidRPr="001B12FB" w:rsidRDefault="00156257" w:rsidP="00E62A0B">
            <w:pPr>
              <w:ind w:firstLine="0"/>
              <w:jc w:val="center"/>
              <w:rPr>
                <w:rFonts w:ascii="Arial" w:eastAsia="Times New Roman" w:hAnsi="Arial" w:cs="Arial"/>
                <w:bCs/>
                <w:color w:val="000000"/>
                <w:sz w:val="20"/>
                <w:szCs w:val="20"/>
              </w:rPr>
            </w:pPr>
            <w:r w:rsidRPr="001B12FB">
              <w:rPr>
                <w:rFonts w:ascii="Arial" w:eastAsia="Times New Roman" w:hAnsi="Arial" w:cs="Arial"/>
                <w:bCs/>
                <w:color w:val="000000"/>
                <w:sz w:val="20"/>
                <w:szCs w:val="20"/>
              </w:rPr>
              <w:t>99201</w:t>
            </w:r>
          </w:p>
        </w:tc>
        <w:tc>
          <w:tcPr>
            <w:tcW w:w="2005" w:type="dxa"/>
            <w:tcBorders>
              <w:top w:val="double" w:sz="6" w:space="0" w:color="4F81BD"/>
              <w:left w:val="nil"/>
              <w:bottom w:val="single" w:sz="4" w:space="0" w:color="4F81BD"/>
              <w:right w:val="single" w:sz="4" w:space="0" w:color="4F81BD"/>
            </w:tcBorders>
            <w:shd w:val="clear" w:color="auto" w:fill="auto"/>
            <w:noWrap/>
            <w:vAlign w:val="bottom"/>
          </w:tcPr>
          <w:p w:rsidR="00156257" w:rsidRPr="001B12FB" w:rsidRDefault="00156257" w:rsidP="001023A4">
            <w:pPr>
              <w:ind w:firstLine="0"/>
              <w:rPr>
                <w:rFonts w:ascii="Arial" w:eastAsia="Times New Roman" w:hAnsi="Arial" w:cs="Arial"/>
                <w:bCs/>
                <w:color w:val="000000"/>
                <w:sz w:val="20"/>
                <w:szCs w:val="20"/>
              </w:rPr>
            </w:pPr>
            <w:r w:rsidRPr="001B12FB">
              <w:rPr>
                <w:rFonts w:ascii="Arial" w:eastAsia="Times New Roman" w:hAnsi="Arial" w:cs="Arial"/>
                <w:bCs/>
                <w:color w:val="000000"/>
                <w:sz w:val="20"/>
                <w:szCs w:val="20"/>
              </w:rPr>
              <w:t>Office/outpatient visit new</w:t>
            </w:r>
          </w:p>
        </w:tc>
        <w:tc>
          <w:tcPr>
            <w:tcW w:w="1562" w:type="dxa"/>
            <w:tcBorders>
              <w:top w:val="double" w:sz="6" w:space="0" w:color="4F81BD"/>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$50.74</w:t>
            </w:r>
          </w:p>
        </w:tc>
        <w:tc>
          <w:tcPr>
            <w:tcW w:w="1555" w:type="dxa"/>
            <w:tcBorders>
              <w:top w:val="double" w:sz="6" w:space="0" w:color="4F81BD"/>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$34.51</w:t>
            </w:r>
          </w:p>
        </w:tc>
        <w:tc>
          <w:tcPr>
            <w:tcW w:w="1555" w:type="dxa"/>
            <w:tcBorders>
              <w:top w:val="double" w:sz="6" w:space="0" w:color="4F81BD"/>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68.0%</w:t>
            </w:r>
          </w:p>
        </w:tc>
      </w:tr>
      <w:tr w:rsidR="00156257" w:rsidRPr="001B12FB" w:rsidTr="00813D52">
        <w:trPr>
          <w:trHeight w:val="244"/>
        </w:trPr>
        <w:tc>
          <w:tcPr>
            <w:tcW w:w="1555" w:type="dxa"/>
            <w:tcBorders>
              <w:top w:val="nil"/>
              <w:left w:val="double" w:sz="6" w:space="0" w:color="4F81BD"/>
              <w:bottom w:val="single" w:sz="4" w:space="0" w:color="4F81BD"/>
              <w:right w:val="single" w:sz="4" w:space="0" w:color="4F81BD"/>
            </w:tcBorders>
            <w:shd w:val="clear" w:color="auto" w:fill="auto"/>
            <w:noWrap/>
            <w:vAlign w:val="bottom"/>
          </w:tcPr>
          <w:p w:rsidR="00156257" w:rsidRPr="001B12FB" w:rsidRDefault="00156257" w:rsidP="00E62A0B">
            <w:pPr>
              <w:ind w:firstLine="0"/>
              <w:jc w:val="center"/>
              <w:rPr>
                <w:rFonts w:ascii="Arial" w:eastAsia="Times New Roman" w:hAnsi="Arial" w:cs="Arial"/>
                <w:bCs/>
                <w:color w:val="000000"/>
                <w:sz w:val="20"/>
                <w:szCs w:val="20"/>
              </w:rPr>
            </w:pPr>
            <w:r w:rsidRPr="001B12FB">
              <w:rPr>
                <w:rFonts w:ascii="Arial" w:eastAsia="Times New Roman" w:hAnsi="Arial" w:cs="Arial"/>
                <w:bCs/>
                <w:color w:val="000000"/>
                <w:sz w:val="20"/>
                <w:szCs w:val="20"/>
              </w:rPr>
              <w:t>99202</w:t>
            </w:r>
          </w:p>
        </w:tc>
        <w:tc>
          <w:tcPr>
            <w:tcW w:w="2005"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1023A4">
            <w:pPr>
              <w:ind w:firstLine="0"/>
              <w:rPr>
                <w:rFonts w:ascii="Arial" w:eastAsia="Times New Roman" w:hAnsi="Arial" w:cs="Arial"/>
                <w:bCs/>
                <w:color w:val="000000"/>
                <w:sz w:val="20"/>
                <w:szCs w:val="20"/>
              </w:rPr>
            </w:pPr>
            <w:r w:rsidRPr="001B12FB">
              <w:rPr>
                <w:rFonts w:ascii="Arial" w:eastAsia="Times New Roman" w:hAnsi="Arial" w:cs="Arial"/>
                <w:bCs/>
                <w:color w:val="000000"/>
                <w:sz w:val="20"/>
                <w:szCs w:val="20"/>
              </w:rPr>
              <w:t>Office/outpatient visit new</w:t>
            </w:r>
          </w:p>
        </w:tc>
        <w:tc>
          <w:tcPr>
            <w:tcW w:w="1562"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$84.75</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$58.71</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69.3%</w:t>
            </w:r>
          </w:p>
        </w:tc>
      </w:tr>
      <w:tr w:rsidR="00156257" w:rsidRPr="001B12FB" w:rsidTr="00813D52">
        <w:trPr>
          <w:trHeight w:val="244"/>
        </w:trPr>
        <w:tc>
          <w:tcPr>
            <w:tcW w:w="1555" w:type="dxa"/>
            <w:tcBorders>
              <w:top w:val="nil"/>
              <w:left w:val="double" w:sz="6" w:space="0" w:color="4F81BD"/>
              <w:bottom w:val="single" w:sz="4" w:space="0" w:color="4F81BD"/>
              <w:right w:val="single" w:sz="4" w:space="0" w:color="4F81BD"/>
            </w:tcBorders>
            <w:shd w:val="clear" w:color="auto" w:fill="auto"/>
            <w:noWrap/>
            <w:vAlign w:val="bottom"/>
          </w:tcPr>
          <w:p w:rsidR="00156257" w:rsidRPr="001B12FB" w:rsidRDefault="00156257" w:rsidP="00E62A0B">
            <w:pPr>
              <w:ind w:firstLine="0"/>
              <w:jc w:val="center"/>
              <w:rPr>
                <w:rFonts w:ascii="Arial" w:eastAsia="Times New Roman" w:hAnsi="Arial" w:cs="Arial"/>
                <w:bCs/>
                <w:color w:val="000000"/>
                <w:sz w:val="20"/>
                <w:szCs w:val="20"/>
              </w:rPr>
            </w:pPr>
            <w:r w:rsidRPr="001B12FB">
              <w:rPr>
                <w:rFonts w:ascii="Arial" w:eastAsia="Times New Roman" w:hAnsi="Arial" w:cs="Arial"/>
                <w:bCs/>
                <w:color w:val="000000"/>
                <w:sz w:val="20"/>
                <w:szCs w:val="20"/>
              </w:rPr>
              <w:t>99203</w:t>
            </w:r>
          </w:p>
        </w:tc>
        <w:tc>
          <w:tcPr>
            <w:tcW w:w="2005"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1023A4">
            <w:pPr>
              <w:ind w:firstLine="0"/>
              <w:rPr>
                <w:rFonts w:ascii="Arial" w:eastAsia="Times New Roman" w:hAnsi="Arial" w:cs="Arial"/>
                <w:bCs/>
                <w:color w:val="000000"/>
                <w:sz w:val="20"/>
                <w:szCs w:val="20"/>
              </w:rPr>
            </w:pPr>
            <w:r w:rsidRPr="001B12FB">
              <w:rPr>
                <w:rFonts w:ascii="Arial" w:eastAsia="Times New Roman" w:hAnsi="Arial" w:cs="Arial"/>
                <w:bCs/>
                <w:color w:val="000000"/>
                <w:sz w:val="20"/>
                <w:szCs w:val="20"/>
              </w:rPr>
              <w:t>Office/outpatient visit new</w:t>
            </w:r>
          </w:p>
        </w:tc>
        <w:tc>
          <w:tcPr>
            <w:tcW w:w="1562"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$121.35</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$84.35</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69.5%</w:t>
            </w:r>
          </w:p>
        </w:tc>
      </w:tr>
      <w:tr w:rsidR="00156257" w:rsidRPr="001B12FB" w:rsidTr="00813D52">
        <w:trPr>
          <w:trHeight w:val="244"/>
        </w:trPr>
        <w:tc>
          <w:tcPr>
            <w:tcW w:w="1555" w:type="dxa"/>
            <w:tcBorders>
              <w:top w:val="nil"/>
              <w:left w:val="double" w:sz="6" w:space="0" w:color="4F81BD"/>
              <w:bottom w:val="single" w:sz="4" w:space="0" w:color="4F81BD"/>
              <w:right w:val="single" w:sz="4" w:space="0" w:color="4F81BD"/>
            </w:tcBorders>
            <w:shd w:val="clear" w:color="auto" w:fill="auto"/>
            <w:noWrap/>
            <w:vAlign w:val="bottom"/>
          </w:tcPr>
          <w:p w:rsidR="00156257" w:rsidRPr="001B12FB" w:rsidRDefault="00156257" w:rsidP="00E62A0B">
            <w:pPr>
              <w:ind w:firstLine="0"/>
              <w:jc w:val="center"/>
              <w:rPr>
                <w:rFonts w:ascii="Arial" w:eastAsia="Times New Roman" w:hAnsi="Arial" w:cs="Arial"/>
                <w:bCs/>
                <w:color w:val="000000"/>
                <w:sz w:val="20"/>
                <w:szCs w:val="20"/>
              </w:rPr>
            </w:pPr>
            <w:r w:rsidRPr="001B12FB">
              <w:rPr>
                <w:rFonts w:ascii="Arial" w:eastAsia="Times New Roman" w:hAnsi="Arial" w:cs="Arial"/>
                <w:bCs/>
                <w:color w:val="000000"/>
                <w:sz w:val="20"/>
                <w:szCs w:val="20"/>
              </w:rPr>
              <w:t>99204</w:t>
            </w:r>
          </w:p>
        </w:tc>
        <w:tc>
          <w:tcPr>
            <w:tcW w:w="2005"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1023A4">
            <w:pPr>
              <w:ind w:firstLine="0"/>
              <w:rPr>
                <w:rFonts w:ascii="Arial" w:eastAsia="Times New Roman" w:hAnsi="Arial" w:cs="Arial"/>
                <w:bCs/>
                <w:color w:val="000000"/>
                <w:sz w:val="20"/>
                <w:szCs w:val="20"/>
              </w:rPr>
            </w:pPr>
            <w:r w:rsidRPr="001B12FB">
              <w:rPr>
                <w:rFonts w:ascii="Arial" w:eastAsia="Times New Roman" w:hAnsi="Arial" w:cs="Arial"/>
                <w:bCs/>
                <w:color w:val="000000"/>
                <w:sz w:val="20"/>
                <w:szCs w:val="20"/>
              </w:rPr>
              <w:t>Office/outpatient visit new</w:t>
            </w:r>
          </w:p>
        </w:tc>
        <w:tc>
          <w:tcPr>
            <w:tcW w:w="1562"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$183.66</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$128.18</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69.8%</w:t>
            </w:r>
          </w:p>
        </w:tc>
      </w:tr>
      <w:tr w:rsidR="00156257" w:rsidRPr="001B12FB" w:rsidTr="00813D52">
        <w:trPr>
          <w:trHeight w:val="244"/>
        </w:trPr>
        <w:tc>
          <w:tcPr>
            <w:tcW w:w="1555" w:type="dxa"/>
            <w:tcBorders>
              <w:top w:val="nil"/>
              <w:left w:val="double" w:sz="6" w:space="0" w:color="4F81BD"/>
              <w:bottom w:val="single" w:sz="4" w:space="0" w:color="4F81BD"/>
              <w:right w:val="single" w:sz="4" w:space="0" w:color="4F81BD"/>
            </w:tcBorders>
            <w:shd w:val="clear" w:color="auto" w:fill="auto"/>
            <w:noWrap/>
            <w:vAlign w:val="bottom"/>
          </w:tcPr>
          <w:p w:rsidR="00156257" w:rsidRPr="001B12FB" w:rsidRDefault="00156257" w:rsidP="00E62A0B">
            <w:pPr>
              <w:ind w:firstLine="0"/>
              <w:jc w:val="center"/>
              <w:rPr>
                <w:rFonts w:ascii="Arial" w:eastAsia="Times New Roman" w:hAnsi="Arial" w:cs="Arial"/>
                <w:bCs/>
                <w:color w:val="000000"/>
                <w:sz w:val="20"/>
                <w:szCs w:val="20"/>
              </w:rPr>
            </w:pPr>
            <w:r w:rsidRPr="001B12FB">
              <w:rPr>
                <w:rFonts w:ascii="Arial" w:eastAsia="Times New Roman" w:hAnsi="Arial" w:cs="Arial"/>
                <w:bCs/>
                <w:color w:val="000000"/>
                <w:sz w:val="20"/>
                <w:szCs w:val="20"/>
              </w:rPr>
              <w:t>99205</w:t>
            </w:r>
          </w:p>
        </w:tc>
        <w:tc>
          <w:tcPr>
            <w:tcW w:w="2005"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1023A4">
            <w:pPr>
              <w:ind w:firstLine="0"/>
              <w:rPr>
                <w:rFonts w:ascii="Arial" w:eastAsia="Times New Roman" w:hAnsi="Arial" w:cs="Arial"/>
                <w:bCs/>
                <w:color w:val="000000"/>
                <w:sz w:val="20"/>
                <w:szCs w:val="20"/>
              </w:rPr>
            </w:pPr>
            <w:r w:rsidRPr="001B12FB">
              <w:rPr>
                <w:rFonts w:ascii="Arial" w:eastAsia="Times New Roman" w:hAnsi="Arial" w:cs="Arial"/>
                <w:bCs/>
                <w:color w:val="000000"/>
                <w:sz w:val="20"/>
                <w:szCs w:val="20"/>
              </w:rPr>
              <w:t>office/outpatient visit new</w:t>
            </w:r>
          </w:p>
        </w:tc>
        <w:tc>
          <w:tcPr>
            <w:tcW w:w="1562"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$230.40</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$160.27</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69.6%</w:t>
            </w:r>
          </w:p>
        </w:tc>
      </w:tr>
      <w:tr w:rsidR="00156257" w:rsidRPr="001B12FB" w:rsidTr="00813D52">
        <w:trPr>
          <w:trHeight w:val="244"/>
        </w:trPr>
        <w:tc>
          <w:tcPr>
            <w:tcW w:w="1555" w:type="dxa"/>
            <w:tcBorders>
              <w:top w:val="nil"/>
              <w:left w:val="double" w:sz="6" w:space="0" w:color="4F81BD"/>
              <w:bottom w:val="single" w:sz="4" w:space="0" w:color="4F81BD"/>
              <w:right w:val="single" w:sz="4" w:space="0" w:color="4F81BD"/>
            </w:tcBorders>
            <w:shd w:val="clear" w:color="auto" w:fill="auto"/>
            <w:noWrap/>
            <w:vAlign w:val="bottom"/>
          </w:tcPr>
          <w:p w:rsidR="00156257" w:rsidRPr="001B12FB" w:rsidRDefault="00156257" w:rsidP="00E62A0B">
            <w:pPr>
              <w:ind w:firstLine="0"/>
              <w:jc w:val="center"/>
              <w:rPr>
                <w:rFonts w:ascii="Arial" w:eastAsia="Times New Roman" w:hAnsi="Arial" w:cs="Arial"/>
                <w:bCs/>
                <w:color w:val="000000"/>
                <w:sz w:val="20"/>
                <w:szCs w:val="20"/>
              </w:rPr>
            </w:pPr>
            <w:r w:rsidRPr="001B12FB">
              <w:rPr>
                <w:rFonts w:ascii="Arial" w:eastAsia="Times New Roman" w:hAnsi="Arial" w:cs="Arial"/>
                <w:bCs/>
                <w:color w:val="000000"/>
                <w:sz w:val="20"/>
                <w:szCs w:val="20"/>
              </w:rPr>
              <w:t>99211</w:t>
            </w:r>
          </w:p>
        </w:tc>
        <w:tc>
          <w:tcPr>
            <w:tcW w:w="2005"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1023A4">
            <w:pPr>
              <w:ind w:firstLine="0"/>
              <w:rPr>
                <w:rFonts w:ascii="Arial" w:eastAsia="Times New Roman" w:hAnsi="Arial" w:cs="Arial"/>
                <w:bCs/>
                <w:color w:val="000000"/>
                <w:sz w:val="20"/>
                <w:szCs w:val="20"/>
              </w:rPr>
            </w:pPr>
            <w:r w:rsidRPr="001B12FB">
              <w:rPr>
                <w:rFonts w:ascii="Arial" w:eastAsia="Times New Roman" w:hAnsi="Arial" w:cs="Arial"/>
                <w:bCs/>
                <w:color w:val="000000"/>
                <w:sz w:val="20"/>
                <w:szCs w:val="20"/>
              </w:rPr>
              <w:t>Office/outpatient visit</w:t>
            </w:r>
          </w:p>
        </w:tc>
        <w:tc>
          <w:tcPr>
            <w:tcW w:w="1562"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$24.90</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$15.98</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64.2%</w:t>
            </w:r>
          </w:p>
        </w:tc>
      </w:tr>
      <w:tr w:rsidR="00156257" w:rsidRPr="001B12FB" w:rsidTr="00813D52">
        <w:trPr>
          <w:trHeight w:val="244"/>
        </w:trPr>
        <w:tc>
          <w:tcPr>
            <w:tcW w:w="1555" w:type="dxa"/>
            <w:tcBorders>
              <w:top w:val="nil"/>
              <w:left w:val="double" w:sz="6" w:space="0" w:color="4F81BD"/>
              <w:bottom w:val="single" w:sz="4" w:space="0" w:color="4F81BD"/>
              <w:right w:val="single" w:sz="4" w:space="0" w:color="4F81BD"/>
            </w:tcBorders>
            <w:shd w:val="clear" w:color="auto" w:fill="auto"/>
            <w:noWrap/>
            <w:vAlign w:val="bottom"/>
          </w:tcPr>
          <w:p w:rsidR="00156257" w:rsidRPr="001B12FB" w:rsidRDefault="00156257" w:rsidP="00E62A0B">
            <w:pPr>
              <w:ind w:firstLine="0"/>
              <w:jc w:val="center"/>
              <w:rPr>
                <w:rFonts w:ascii="Arial" w:eastAsia="Times New Roman" w:hAnsi="Arial" w:cs="Arial"/>
                <w:bCs/>
                <w:color w:val="000000"/>
                <w:sz w:val="20"/>
                <w:szCs w:val="20"/>
              </w:rPr>
            </w:pPr>
            <w:r w:rsidRPr="001B12FB">
              <w:rPr>
                <w:rFonts w:ascii="Arial" w:eastAsia="Times New Roman" w:hAnsi="Arial" w:cs="Arial"/>
                <w:bCs/>
                <w:color w:val="000000"/>
                <w:sz w:val="20"/>
                <w:szCs w:val="20"/>
              </w:rPr>
              <w:t>99212</w:t>
            </w:r>
          </w:p>
        </w:tc>
        <w:tc>
          <w:tcPr>
            <w:tcW w:w="2005"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1023A4">
            <w:pPr>
              <w:ind w:firstLine="0"/>
              <w:rPr>
                <w:rFonts w:ascii="Arial" w:eastAsia="Times New Roman" w:hAnsi="Arial" w:cs="Arial"/>
                <w:bCs/>
                <w:color w:val="000000"/>
                <w:sz w:val="20"/>
                <w:szCs w:val="20"/>
              </w:rPr>
            </w:pPr>
            <w:r w:rsidRPr="001B12FB">
              <w:rPr>
                <w:rFonts w:ascii="Arial" w:eastAsia="Times New Roman" w:hAnsi="Arial" w:cs="Arial"/>
                <w:bCs/>
                <w:color w:val="000000"/>
                <w:sz w:val="20"/>
                <w:szCs w:val="20"/>
              </w:rPr>
              <w:t>Office/outpatient visit</w:t>
            </w:r>
          </w:p>
        </w:tc>
        <w:tc>
          <w:tcPr>
            <w:tcW w:w="1562"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$49.94</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$34.35</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68.8%</w:t>
            </w:r>
          </w:p>
        </w:tc>
      </w:tr>
      <w:tr w:rsidR="00156257" w:rsidRPr="001B12FB" w:rsidTr="00813D52">
        <w:trPr>
          <w:trHeight w:val="244"/>
        </w:trPr>
        <w:tc>
          <w:tcPr>
            <w:tcW w:w="1555" w:type="dxa"/>
            <w:tcBorders>
              <w:top w:val="nil"/>
              <w:left w:val="double" w:sz="6" w:space="0" w:color="4F81BD"/>
              <w:bottom w:val="single" w:sz="4" w:space="0" w:color="4F81BD"/>
              <w:right w:val="single" w:sz="4" w:space="0" w:color="4F81BD"/>
            </w:tcBorders>
            <w:shd w:val="clear" w:color="auto" w:fill="auto"/>
            <w:noWrap/>
            <w:vAlign w:val="bottom"/>
          </w:tcPr>
          <w:p w:rsidR="00156257" w:rsidRPr="001B12FB" w:rsidRDefault="00156257" w:rsidP="00E62A0B">
            <w:pPr>
              <w:ind w:firstLine="0"/>
              <w:jc w:val="center"/>
              <w:rPr>
                <w:rFonts w:ascii="Arial" w:eastAsia="Times New Roman" w:hAnsi="Arial" w:cs="Arial"/>
                <w:bCs/>
                <w:color w:val="000000"/>
                <w:sz w:val="20"/>
                <w:szCs w:val="20"/>
              </w:rPr>
            </w:pPr>
            <w:r w:rsidRPr="001B12FB">
              <w:rPr>
                <w:rFonts w:ascii="Arial" w:eastAsia="Times New Roman" w:hAnsi="Arial" w:cs="Arial"/>
                <w:bCs/>
                <w:color w:val="000000"/>
                <w:sz w:val="20"/>
                <w:szCs w:val="20"/>
              </w:rPr>
              <w:t>99213</w:t>
            </w:r>
          </w:p>
        </w:tc>
        <w:tc>
          <w:tcPr>
            <w:tcW w:w="2005"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1023A4">
            <w:pPr>
              <w:ind w:firstLine="0"/>
              <w:rPr>
                <w:rFonts w:ascii="Arial" w:eastAsia="Times New Roman" w:hAnsi="Arial" w:cs="Arial"/>
                <w:bCs/>
                <w:color w:val="000000"/>
                <w:sz w:val="20"/>
                <w:szCs w:val="20"/>
              </w:rPr>
            </w:pPr>
            <w:r w:rsidRPr="001B12FB">
              <w:rPr>
                <w:rFonts w:ascii="Arial" w:eastAsia="Times New Roman" w:hAnsi="Arial" w:cs="Arial"/>
                <w:bCs/>
                <w:color w:val="000000"/>
                <w:sz w:val="20"/>
                <w:szCs w:val="20"/>
              </w:rPr>
              <w:t>Office/outpatient visit</w:t>
            </w:r>
          </w:p>
        </w:tc>
        <w:tc>
          <w:tcPr>
            <w:tcW w:w="1562"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$82.04</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$57.26</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69.8%</w:t>
            </w:r>
          </w:p>
        </w:tc>
      </w:tr>
      <w:tr w:rsidR="00156257" w:rsidRPr="001B12FB" w:rsidTr="00813D52">
        <w:trPr>
          <w:trHeight w:val="244"/>
        </w:trPr>
        <w:tc>
          <w:tcPr>
            <w:tcW w:w="1555" w:type="dxa"/>
            <w:tcBorders>
              <w:top w:val="nil"/>
              <w:left w:val="double" w:sz="6" w:space="0" w:color="4F81BD"/>
              <w:bottom w:val="single" w:sz="4" w:space="0" w:color="4F81BD"/>
              <w:right w:val="single" w:sz="4" w:space="0" w:color="4F81BD"/>
            </w:tcBorders>
            <w:shd w:val="clear" w:color="auto" w:fill="auto"/>
            <w:noWrap/>
            <w:vAlign w:val="bottom"/>
          </w:tcPr>
          <w:p w:rsidR="00156257" w:rsidRPr="001B12FB" w:rsidRDefault="00156257" w:rsidP="00E62A0B">
            <w:pPr>
              <w:ind w:firstLine="0"/>
              <w:jc w:val="center"/>
              <w:rPr>
                <w:rFonts w:ascii="Arial" w:eastAsia="Times New Roman" w:hAnsi="Arial" w:cs="Arial"/>
                <w:bCs/>
                <w:color w:val="000000"/>
                <w:sz w:val="20"/>
                <w:szCs w:val="20"/>
              </w:rPr>
            </w:pPr>
            <w:r w:rsidRPr="001B12FB">
              <w:rPr>
                <w:rFonts w:ascii="Arial" w:eastAsia="Times New Roman" w:hAnsi="Arial" w:cs="Arial"/>
                <w:bCs/>
                <w:color w:val="000000"/>
                <w:sz w:val="20"/>
                <w:szCs w:val="20"/>
              </w:rPr>
              <w:t>99214</w:t>
            </w:r>
          </w:p>
        </w:tc>
        <w:tc>
          <w:tcPr>
            <w:tcW w:w="2005"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1023A4">
            <w:pPr>
              <w:ind w:firstLine="0"/>
              <w:rPr>
                <w:rFonts w:ascii="Arial" w:eastAsia="Times New Roman" w:hAnsi="Arial" w:cs="Arial"/>
                <w:bCs/>
                <w:color w:val="000000"/>
                <w:sz w:val="20"/>
                <w:szCs w:val="20"/>
              </w:rPr>
            </w:pPr>
            <w:r w:rsidRPr="001B12FB">
              <w:rPr>
                <w:rFonts w:ascii="Arial" w:eastAsia="Times New Roman" w:hAnsi="Arial" w:cs="Arial"/>
                <w:bCs/>
                <w:color w:val="000000"/>
                <w:sz w:val="20"/>
                <w:szCs w:val="20"/>
              </w:rPr>
              <w:t>Office/outpatient visit</w:t>
            </w:r>
          </w:p>
        </w:tc>
        <w:tc>
          <w:tcPr>
            <w:tcW w:w="1562"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$120.72</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$84.21</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69.8%</w:t>
            </w:r>
          </w:p>
        </w:tc>
      </w:tr>
      <w:tr w:rsidR="00156257" w:rsidRPr="001B12FB" w:rsidTr="00813D52">
        <w:trPr>
          <w:trHeight w:val="244"/>
        </w:trPr>
        <w:tc>
          <w:tcPr>
            <w:tcW w:w="1555" w:type="dxa"/>
            <w:tcBorders>
              <w:top w:val="nil"/>
              <w:left w:val="double" w:sz="6" w:space="0" w:color="4F81BD"/>
              <w:bottom w:val="single" w:sz="4" w:space="0" w:color="4F81BD"/>
              <w:right w:val="single" w:sz="4" w:space="0" w:color="4F81BD"/>
            </w:tcBorders>
            <w:shd w:val="clear" w:color="auto" w:fill="auto"/>
            <w:noWrap/>
            <w:vAlign w:val="bottom"/>
          </w:tcPr>
          <w:p w:rsidR="00156257" w:rsidRPr="001B12FB" w:rsidRDefault="00156257" w:rsidP="00E62A0B">
            <w:pPr>
              <w:ind w:firstLine="0"/>
              <w:jc w:val="center"/>
              <w:rPr>
                <w:rFonts w:ascii="Arial" w:eastAsia="Times New Roman" w:hAnsi="Arial" w:cs="Arial"/>
                <w:bCs/>
                <w:color w:val="000000"/>
                <w:sz w:val="20"/>
                <w:szCs w:val="20"/>
              </w:rPr>
            </w:pPr>
            <w:r w:rsidRPr="001B12FB">
              <w:rPr>
                <w:rFonts w:ascii="Arial" w:eastAsia="Times New Roman" w:hAnsi="Arial" w:cs="Arial"/>
                <w:bCs/>
                <w:color w:val="000000"/>
                <w:sz w:val="20"/>
                <w:szCs w:val="20"/>
              </w:rPr>
              <w:t>99215</w:t>
            </w:r>
          </w:p>
        </w:tc>
        <w:tc>
          <w:tcPr>
            <w:tcW w:w="2005"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1023A4">
            <w:pPr>
              <w:ind w:firstLine="0"/>
              <w:rPr>
                <w:rFonts w:ascii="Arial" w:eastAsia="Times New Roman" w:hAnsi="Arial" w:cs="Arial"/>
                <w:bCs/>
                <w:color w:val="000000"/>
                <w:sz w:val="20"/>
                <w:szCs w:val="20"/>
              </w:rPr>
            </w:pPr>
            <w:r w:rsidRPr="001B12FB">
              <w:rPr>
                <w:rFonts w:ascii="Arial" w:eastAsia="Times New Roman" w:hAnsi="Arial" w:cs="Arial"/>
                <w:bCs/>
                <w:color w:val="000000"/>
                <w:sz w:val="20"/>
                <w:szCs w:val="20"/>
              </w:rPr>
              <w:t>Office/outpatient visit</w:t>
            </w:r>
          </w:p>
        </w:tc>
        <w:tc>
          <w:tcPr>
            <w:tcW w:w="1562"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$162.29</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$113.05</w:t>
            </w:r>
          </w:p>
        </w:tc>
        <w:tc>
          <w:tcPr>
            <w:tcW w:w="1555" w:type="dxa"/>
            <w:tcBorders>
              <w:top w:val="nil"/>
              <w:left w:val="nil"/>
              <w:bottom w:val="single" w:sz="4" w:space="0" w:color="4F81BD"/>
              <w:right w:val="single" w:sz="4" w:space="0" w:color="4F81BD"/>
            </w:tcBorders>
            <w:shd w:val="clear" w:color="auto" w:fill="auto"/>
            <w:noWrap/>
            <w:vAlign w:val="center"/>
          </w:tcPr>
          <w:p w:rsidR="00156257" w:rsidRPr="001B12FB" w:rsidRDefault="00156257" w:rsidP="008B2D69">
            <w:pPr>
              <w:ind w:firstLine="0"/>
              <w:jc w:val="center"/>
              <w:rPr>
                <w:rFonts w:ascii="Arial" w:eastAsia="Times New Roman" w:hAnsi="Arial" w:cs="Arial"/>
                <w:bCs/>
                <w:color w:val="000000"/>
                <w:sz w:val="20"/>
                <w:szCs w:val="20"/>
              </w:rPr>
            </w:pPr>
            <w:r w:rsidRPr="001B12FB">
              <w:rPr>
                <w:rFonts w:ascii="Arial" w:hAnsi="Arial" w:cs="Arial"/>
                <w:color w:val="000000"/>
                <w:sz w:val="20"/>
                <w:szCs w:val="20"/>
              </w:rPr>
              <w:t>69.7%</w:t>
            </w:r>
          </w:p>
        </w:tc>
      </w:tr>
      <w:tr w:rsidR="00156257" w:rsidRPr="001B12FB" w:rsidTr="00813D52">
        <w:trPr>
          <w:trHeight w:val="259"/>
        </w:trPr>
        <w:tc>
          <w:tcPr>
            <w:tcW w:w="1555" w:type="dxa"/>
            <w:tcBorders>
              <w:top w:val="nil"/>
              <w:left w:val="double" w:sz="6" w:space="0" w:color="4F81BD"/>
              <w:bottom w:val="single" w:sz="4" w:space="0" w:color="4F81BD"/>
              <w:right w:val="single" w:sz="4" w:space="0" w:color="4F81BD"/>
            </w:tcBorders>
            <w:shd w:val="clear" w:color="auto" w:fill="auto"/>
            <w:noWrap/>
            <w:vAlign w:val="bottom"/>
          </w:tcPr>
          <w:p w:rsidR="00156257" w:rsidRPr="001B12FB" w:rsidRDefault="00156257" w:rsidP="00E62A0B">
            <w:pPr>
              <w:ind w:firstLine="0"/>
              <w:jc w:val="center"/>
              <w:rPr>
                <w:rFonts w:ascii="Arial" w:eastAsia="Times New Roman" w:hAnsi="Arial" w:cs="Arial"/>
                <w:b/>
                <w:bCs/>
                <w:color w:val="000000"/>
                <w:sz w:val="20"/>
                <w:szCs w:val="20"/>
              </w:rPr>
            </w:pPr>
            <w:r w:rsidRPr="001B12FB">
              <w:rPr>
                <w:rFonts w:ascii="Arial" w:eastAsia="Times New Roman" w:hAnsi="Arial" w:cs="Arial"/>
                <w:b/>
                <w:bCs/>
                <w:color w:val="000000"/>
                <w:sz w:val="20"/>
                <w:szCs w:val="20"/>
              </w:rPr>
              <w:t>All Codes</w:t>
            </w:r>
          </w:p>
        </w:tc>
        <w:tc>
          <w:tcPr>
            <w:tcW w:w="2005"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E62A0B">
            <w:pPr>
              <w:ind w:firstLine="0"/>
              <w:jc w:val="center"/>
              <w:rPr>
                <w:rFonts w:ascii="Arial" w:eastAsia="Times New Roman" w:hAnsi="Arial" w:cs="Arial"/>
                <w:b/>
                <w:bCs/>
                <w:color w:val="000000"/>
                <w:sz w:val="20"/>
                <w:szCs w:val="20"/>
              </w:rPr>
            </w:pPr>
            <w:r w:rsidRPr="001B12FB">
              <w:rPr>
                <w:rFonts w:ascii="Arial" w:eastAsia="Times New Roman" w:hAnsi="Arial" w:cs="Arial"/>
                <w:b/>
                <w:bCs/>
                <w:color w:val="000000"/>
                <w:sz w:val="20"/>
                <w:szCs w:val="20"/>
              </w:rPr>
              <w:t>Total Primary Care Average</w:t>
            </w:r>
          </w:p>
        </w:tc>
        <w:tc>
          <w:tcPr>
            <w:tcW w:w="1562"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86413A">
            <w:pPr>
              <w:ind w:firstLine="0"/>
              <w:jc w:val="center"/>
              <w:rPr>
                <w:rFonts w:ascii="Arial" w:eastAsia="Times New Roman" w:hAnsi="Arial" w:cs="Arial"/>
                <w:b/>
                <w:bCs/>
                <w:color w:val="000000"/>
                <w:sz w:val="20"/>
                <w:szCs w:val="20"/>
              </w:rPr>
            </w:pPr>
            <w:r w:rsidRPr="001B12FB">
              <w:rPr>
                <w:rFonts w:ascii="Arial" w:eastAsia="Times New Roman" w:hAnsi="Arial" w:cs="Arial"/>
                <w:b/>
                <w:bCs/>
                <w:color w:val="000000"/>
                <w:sz w:val="20"/>
                <w:szCs w:val="20"/>
              </w:rPr>
              <w:t>$111.08</w:t>
            </w:r>
          </w:p>
        </w:tc>
        <w:tc>
          <w:tcPr>
            <w:tcW w:w="1555"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86413A">
            <w:pPr>
              <w:ind w:firstLine="0"/>
              <w:jc w:val="center"/>
              <w:rPr>
                <w:rFonts w:ascii="Arial" w:hAnsi="Arial" w:cs="Arial"/>
                <w:b/>
                <w:color w:val="000000"/>
                <w:sz w:val="20"/>
                <w:szCs w:val="20"/>
              </w:rPr>
            </w:pPr>
            <w:r w:rsidRPr="001B12FB">
              <w:rPr>
                <w:rFonts w:ascii="Arial" w:hAnsi="Arial" w:cs="Arial"/>
                <w:b/>
                <w:color w:val="000000"/>
                <w:sz w:val="20"/>
                <w:szCs w:val="20"/>
              </w:rPr>
              <w:t>$77.09</w:t>
            </w:r>
          </w:p>
        </w:tc>
        <w:tc>
          <w:tcPr>
            <w:tcW w:w="1555" w:type="dxa"/>
            <w:tcBorders>
              <w:top w:val="nil"/>
              <w:left w:val="nil"/>
              <w:bottom w:val="single" w:sz="4" w:space="0" w:color="4F81BD"/>
              <w:right w:val="single" w:sz="4" w:space="0" w:color="4F81BD"/>
            </w:tcBorders>
            <w:shd w:val="clear" w:color="auto" w:fill="auto"/>
            <w:noWrap/>
            <w:vAlign w:val="bottom"/>
          </w:tcPr>
          <w:p w:rsidR="00156257" w:rsidRPr="001B12FB" w:rsidRDefault="00156257" w:rsidP="0086413A">
            <w:pPr>
              <w:ind w:firstLine="0"/>
              <w:jc w:val="center"/>
              <w:rPr>
                <w:rFonts w:ascii="Arial" w:eastAsia="Times New Roman" w:hAnsi="Arial" w:cs="Arial"/>
                <w:b/>
                <w:bCs/>
                <w:color w:val="000000"/>
                <w:sz w:val="20"/>
                <w:szCs w:val="20"/>
              </w:rPr>
            </w:pPr>
            <w:r w:rsidRPr="001B12FB">
              <w:rPr>
                <w:rFonts w:ascii="Arial" w:eastAsia="Times New Roman" w:hAnsi="Arial" w:cs="Arial"/>
                <w:b/>
                <w:bCs/>
                <w:color w:val="000000"/>
                <w:sz w:val="20"/>
                <w:szCs w:val="20"/>
              </w:rPr>
              <w:t>69.4%</w:t>
            </w:r>
          </w:p>
        </w:tc>
      </w:tr>
    </w:tbl>
    <w:p w:rsidR="00FF472E" w:rsidRPr="00DA770C" w:rsidRDefault="00FF472E" w:rsidP="00DA770C">
      <w:pPr>
        <w:ind w:left="360" w:firstLine="0"/>
      </w:pPr>
      <w:bookmarkStart w:id="33" w:name="_Toc10810579"/>
    </w:p>
    <w:p w:rsidR="00FF472E" w:rsidRDefault="00FF472E" w:rsidP="00FF472E">
      <w:pPr>
        <w:rPr>
          <w:rFonts w:eastAsiaTheme="majorEastAsia"/>
          <w:color w:val="365F91" w:themeColor="accent1" w:themeShade="BF"/>
          <w:sz w:val="28"/>
          <w:szCs w:val="28"/>
          <w:u w:val="single"/>
        </w:rPr>
      </w:pPr>
      <w:r>
        <w:br w:type="page"/>
      </w:r>
    </w:p>
    <w:p w:rsidR="00065F27" w:rsidRPr="00ED37AA" w:rsidRDefault="00065F27" w:rsidP="0066291B">
      <w:pPr>
        <w:pStyle w:val="Heading1"/>
        <w:rPr>
          <w:rFonts w:ascii="Arial" w:hAnsi="Arial" w:cs="Arial"/>
        </w:rPr>
      </w:pPr>
      <w:bookmarkStart w:id="34" w:name="_Toc20296930"/>
      <w:r w:rsidRPr="00ED37AA">
        <w:rPr>
          <w:rFonts w:ascii="Arial" w:hAnsi="Arial" w:cs="Arial"/>
        </w:rPr>
        <w:lastRenderedPageBreak/>
        <w:t>Section 3: Review Analysis of Physician Specialt</w:t>
      </w:r>
      <w:r w:rsidR="00E567A4" w:rsidRPr="00ED37AA">
        <w:rPr>
          <w:rFonts w:ascii="Arial" w:hAnsi="Arial" w:cs="Arial"/>
        </w:rPr>
        <w:t>y Services</w:t>
      </w:r>
      <w:bookmarkEnd w:id="33"/>
      <w:bookmarkEnd w:id="34"/>
    </w:p>
    <w:p w:rsidR="00065F27" w:rsidRPr="001B12FB" w:rsidRDefault="00065F27" w:rsidP="00065F27">
      <w:pPr>
        <w:ind w:firstLine="0"/>
        <w:rPr>
          <w:rFonts w:ascii="Arial" w:hAnsi="Arial" w:cs="Arial"/>
          <w:sz w:val="24"/>
          <w:szCs w:val="24"/>
        </w:rPr>
      </w:pPr>
    </w:p>
    <w:p w:rsidR="004711B0" w:rsidRPr="0066291B" w:rsidRDefault="004711B0" w:rsidP="0066291B">
      <w:pPr>
        <w:pStyle w:val="Heading2"/>
        <w:rPr>
          <w:rFonts w:ascii="Arial" w:hAnsi="Arial" w:cs="Arial"/>
          <w:color w:val="auto"/>
          <w:sz w:val="24"/>
          <w:szCs w:val="24"/>
          <w:u w:val="single"/>
        </w:rPr>
      </w:pPr>
      <w:bookmarkStart w:id="35" w:name="_Toc10810580"/>
      <w:bookmarkStart w:id="36" w:name="_Toc20296931"/>
      <w:r w:rsidRPr="0066291B">
        <w:rPr>
          <w:rFonts w:ascii="Arial" w:hAnsi="Arial" w:cs="Arial"/>
          <w:color w:val="auto"/>
          <w:sz w:val="24"/>
          <w:szCs w:val="24"/>
          <w:u w:val="single"/>
        </w:rPr>
        <w:t>1</w:t>
      </w:r>
      <w:r w:rsidR="007A502F" w:rsidRPr="0066291B">
        <w:rPr>
          <w:rFonts w:ascii="Arial" w:hAnsi="Arial" w:cs="Arial"/>
          <w:color w:val="auto"/>
          <w:sz w:val="24"/>
          <w:szCs w:val="24"/>
          <w:u w:val="single"/>
        </w:rPr>
        <w:t>.</w:t>
      </w:r>
      <w:r w:rsidRPr="0066291B">
        <w:rPr>
          <w:rFonts w:ascii="Arial" w:hAnsi="Arial" w:cs="Arial"/>
          <w:color w:val="auto"/>
          <w:sz w:val="24"/>
          <w:szCs w:val="24"/>
          <w:u w:val="single"/>
        </w:rPr>
        <w:t xml:space="preserve"> Availability of </w:t>
      </w:r>
      <w:r w:rsidR="002B5017" w:rsidRPr="0066291B">
        <w:rPr>
          <w:rFonts w:ascii="Arial" w:hAnsi="Arial" w:cs="Arial"/>
          <w:color w:val="auto"/>
          <w:sz w:val="24"/>
          <w:szCs w:val="24"/>
          <w:u w:val="single"/>
        </w:rPr>
        <w:t>Physician S</w:t>
      </w:r>
      <w:r w:rsidRPr="0066291B">
        <w:rPr>
          <w:rFonts w:ascii="Arial" w:hAnsi="Arial" w:cs="Arial"/>
          <w:color w:val="auto"/>
          <w:sz w:val="24"/>
          <w:szCs w:val="24"/>
          <w:u w:val="single"/>
        </w:rPr>
        <w:t>pecialists</w:t>
      </w:r>
      <w:bookmarkEnd w:id="35"/>
      <w:bookmarkEnd w:id="36"/>
    </w:p>
    <w:p w:rsidR="004711B0" w:rsidRPr="001B12FB" w:rsidRDefault="004711B0" w:rsidP="00E6460E">
      <w:pPr>
        <w:ind w:firstLine="0"/>
        <w:rPr>
          <w:rFonts w:ascii="Arial" w:hAnsi="Arial" w:cs="Arial"/>
          <w:sz w:val="24"/>
          <w:szCs w:val="24"/>
        </w:rPr>
      </w:pPr>
    </w:p>
    <w:p w:rsidR="00944A33" w:rsidRPr="001B12FB" w:rsidRDefault="00944A33" w:rsidP="00E6460E">
      <w:pPr>
        <w:ind w:firstLine="0"/>
        <w:rPr>
          <w:rFonts w:ascii="Arial" w:hAnsi="Arial" w:cs="Arial"/>
          <w:sz w:val="24"/>
          <w:szCs w:val="24"/>
        </w:rPr>
      </w:pPr>
      <w:r w:rsidRPr="001B12FB">
        <w:rPr>
          <w:rFonts w:ascii="Arial" w:hAnsi="Arial" w:cs="Arial"/>
          <w:sz w:val="24"/>
          <w:szCs w:val="24"/>
        </w:rPr>
        <w:t xml:space="preserve">In this section of the </w:t>
      </w:r>
      <w:r w:rsidR="001D1FDA" w:rsidRPr="001B12FB">
        <w:rPr>
          <w:rFonts w:ascii="Arial" w:hAnsi="Arial" w:cs="Arial"/>
          <w:sz w:val="24"/>
          <w:szCs w:val="24"/>
        </w:rPr>
        <w:t>AMRP</w:t>
      </w:r>
      <w:r w:rsidR="003C77F1" w:rsidRPr="001B12FB">
        <w:rPr>
          <w:rFonts w:ascii="Arial" w:hAnsi="Arial" w:cs="Arial"/>
          <w:sz w:val="24"/>
          <w:szCs w:val="24"/>
        </w:rPr>
        <w:t xml:space="preserve"> </w:t>
      </w:r>
      <w:r w:rsidRPr="001B12FB">
        <w:rPr>
          <w:rFonts w:ascii="Arial" w:hAnsi="Arial" w:cs="Arial"/>
          <w:sz w:val="24"/>
          <w:szCs w:val="24"/>
        </w:rPr>
        <w:t>MassHealth present</w:t>
      </w:r>
      <w:r w:rsidR="00345B6F" w:rsidRPr="001B12FB">
        <w:rPr>
          <w:rFonts w:ascii="Arial" w:hAnsi="Arial" w:cs="Arial"/>
          <w:sz w:val="24"/>
          <w:szCs w:val="24"/>
        </w:rPr>
        <w:t>s</w:t>
      </w:r>
      <w:r w:rsidRPr="001B12FB">
        <w:rPr>
          <w:rFonts w:ascii="Arial" w:hAnsi="Arial" w:cs="Arial"/>
          <w:sz w:val="24"/>
          <w:szCs w:val="24"/>
        </w:rPr>
        <w:t xml:space="preserve"> the required data </w:t>
      </w:r>
      <w:r w:rsidR="00EF67AE" w:rsidRPr="001B12FB">
        <w:rPr>
          <w:rFonts w:ascii="Arial" w:hAnsi="Arial" w:cs="Arial"/>
          <w:sz w:val="24"/>
          <w:szCs w:val="24"/>
        </w:rPr>
        <w:t xml:space="preserve">on the number of enrolled </w:t>
      </w:r>
      <w:r w:rsidR="00B5265B">
        <w:rPr>
          <w:rFonts w:ascii="Arial" w:hAnsi="Arial" w:cs="Arial"/>
          <w:sz w:val="24"/>
          <w:szCs w:val="24"/>
        </w:rPr>
        <w:t xml:space="preserve">self-identified specialty </w:t>
      </w:r>
      <w:r w:rsidR="00EF67AE" w:rsidRPr="001B12FB">
        <w:rPr>
          <w:rFonts w:ascii="Arial" w:hAnsi="Arial" w:cs="Arial"/>
          <w:sz w:val="24"/>
          <w:szCs w:val="24"/>
        </w:rPr>
        <w:t xml:space="preserve">providers. </w:t>
      </w:r>
    </w:p>
    <w:p w:rsidR="00E96E31" w:rsidRPr="001B12FB" w:rsidRDefault="00E96E31" w:rsidP="00E6460E">
      <w:pPr>
        <w:ind w:firstLine="0"/>
        <w:rPr>
          <w:rFonts w:ascii="Arial" w:hAnsi="Arial" w:cs="Arial"/>
          <w:sz w:val="24"/>
          <w:szCs w:val="24"/>
        </w:rPr>
      </w:pPr>
    </w:p>
    <w:p w:rsidR="00E6460E" w:rsidRPr="001B12FB" w:rsidRDefault="00E6460E" w:rsidP="00E6460E">
      <w:pPr>
        <w:ind w:firstLine="0"/>
        <w:rPr>
          <w:rFonts w:ascii="Arial" w:hAnsi="Arial" w:cs="Arial"/>
          <w:sz w:val="24"/>
          <w:szCs w:val="24"/>
        </w:rPr>
      </w:pPr>
      <w:r w:rsidRPr="001B12FB">
        <w:rPr>
          <w:rFonts w:ascii="Arial" w:hAnsi="Arial" w:cs="Arial"/>
          <w:sz w:val="24"/>
          <w:szCs w:val="24"/>
        </w:rPr>
        <w:t xml:space="preserve">Data source: MMIS </w:t>
      </w:r>
      <w:r w:rsidR="008249A4" w:rsidRPr="001B12FB">
        <w:rPr>
          <w:rFonts w:ascii="Arial" w:hAnsi="Arial" w:cs="Arial"/>
          <w:sz w:val="24"/>
          <w:szCs w:val="24"/>
        </w:rPr>
        <w:t xml:space="preserve">provider </w:t>
      </w:r>
      <w:r w:rsidRPr="001B12FB">
        <w:rPr>
          <w:rFonts w:ascii="Arial" w:hAnsi="Arial" w:cs="Arial"/>
          <w:sz w:val="24"/>
          <w:szCs w:val="24"/>
        </w:rPr>
        <w:t>enrollment data</w:t>
      </w:r>
    </w:p>
    <w:p w:rsidR="00097B19" w:rsidRPr="001B12FB" w:rsidRDefault="00097B19" w:rsidP="00E6460E">
      <w:pPr>
        <w:ind w:firstLine="0"/>
        <w:rPr>
          <w:rFonts w:ascii="Arial" w:hAnsi="Arial" w:cs="Arial"/>
          <w:sz w:val="24"/>
          <w:szCs w:val="24"/>
        </w:rPr>
      </w:pPr>
    </w:p>
    <w:p w:rsidR="00127313" w:rsidRPr="001B12FB" w:rsidRDefault="00E6460E" w:rsidP="00074070">
      <w:pPr>
        <w:ind w:firstLine="0"/>
        <w:rPr>
          <w:rFonts w:ascii="Arial" w:hAnsi="Arial" w:cs="Arial"/>
          <w:sz w:val="24"/>
          <w:szCs w:val="24"/>
        </w:rPr>
      </w:pPr>
      <w:r w:rsidRPr="001B12FB">
        <w:rPr>
          <w:rFonts w:ascii="Arial" w:hAnsi="Arial" w:cs="Arial"/>
          <w:sz w:val="24"/>
          <w:szCs w:val="24"/>
        </w:rPr>
        <w:t>Methodology</w:t>
      </w:r>
      <w:r w:rsidR="00BB0491" w:rsidRPr="001B12FB">
        <w:rPr>
          <w:rFonts w:ascii="Arial" w:hAnsi="Arial" w:cs="Arial"/>
          <w:sz w:val="24"/>
          <w:szCs w:val="24"/>
        </w:rPr>
        <w:t>:</w:t>
      </w:r>
      <w:r w:rsidRPr="001B12FB">
        <w:rPr>
          <w:rFonts w:ascii="Arial" w:hAnsi="Arial" w:cs="Arial"/>
          <w:sz w:val="24"/>
          <w:szCs w:val="24"/>
        </w:rPr>
        <w:t xml:space="preserve"> In order to determine the number of </w:t>
      </w:r>
      <w:r w:rsidR="00E75560">
        <w:rPr>
          <w:rFonts w:ascii="Arial" w:hAnsi="Arial" w:cs="Arial"/>
          <w:sz w:val="24"/>
          <w:szCs w:val="24"/>
        </w:rPr>
        <w:t xml:space="preserve">self-identified specialty </w:t>
      </w:r>
      <w:r w:rsidRPr="001B12FB">
        <w:rPr>
          <w:rFonts w:ascii="Arial" w:hAnsi="Arial" w:cs="Arial"/>
          <w:sz w:val="24"/>
          <w:szCs w:val="24"/>
        </w:rPr>
        <w:t>providers</w:t>
      </w:r>
      <w:r w:rsidR="004711B0" w:rsidRPr="001B12FB">
        <w:rPr>
          <w:rFonts w:ascii="Arial" w:hAnsi="Arial" w:cs="Arial"/>
          <w:sz w:val="24"/>
          <w:szCs w:val="24"/>
        </w:rPr>
        <w:t xml:space="preserve"> trended over time</w:t>
      </w:r>
      <w:r w:rsidRPr="001B12FB">
        <w:rPr>
          <w:rFonts w:ascii="Arial" w:hAnsi="Arial" w:cs="Arial"/>
          <w:sz w:val="24"/>
          <w:szCs w:val="24"/>
        </w:rPr>
        <w:t xml:space="preserve">, we ran the number of active billing providers in MMIS for each </w:t>
      </w:r>
      <w:r w:rsidR="00E75560">
        <w:rPr>
          <w:rFonts w:ascii="Arial" w:hAnsi="Arial" w:cs="Arial"/>
          <w:sz w:val="24"/>
          <w:szCs w:val="24"/>
        </w:rPr>
        <w:t xml:space="preserve">specialty included in the AMRP by county. Providers were </w:t>
      </w:r>
      <w:r w:rsidRPr="001B12FB">
        <w:rPr>
          <w:rFonts w:ascii="Arial" w:hAnsi="Arial" w:cs="Arial"/>
          <w:sz w:val="24"/>
          <w:szCs w:val="24"/>
        </w:rPr>
        <w:t xml:space="preserve">unduplicated over </w:t>
      </w:r>
      <w:r w:rsidR="00F964CE" w:rsidRPr="001B12FB">
        <w:rPr>
          <w:rFonts w:ascii="Arial" w:hAnsi="Arial" w:cs="Arial"/>
          <w:sz w:val="24"/>
          <w:szCs w:val="24"/>
        </w:rPr>
        <w:t xml:space="preserve">each </w:t>
      </w:r>
      <w:r w:rsidRPr="001B12FB">
        <w:rPr>
          <w:rFonts w:ascii="Arial" w:hAnsi="Arial" w:cs="Arial"/>
          <w:sz w:val="24"/>
          <w:szCs w:val="24"/>
        </w:rPr>
        <w:t>full fiscal year for SFY1</w:t>
      </w:r>
      <w:r w:rsidR="00391FA5" w:rsidRPr="001B12FB">
        <w:rPr>
          <w:rFonts w:ascii="Arial" w:hAnsi="Arial" w:cs="Arial"/>
          <w:sz w:val="24"/>
          <w:szCs w:val="24"/>
        </w:rPr>
        <w:t>6</w:t>
      </w:r>
      <w:r w:rsidRPr="001B12FB">
        <w:rPr>
          <w:rFonts w:ascii="Arial" w:hAnsi="Arial" w:cs="Arial"/>
          <w:sz w:val="24"/>
          <w:szCs w:val="24"/>
        </w:rPr>
        <w:t>, SFY1</w:t>
      </w:r>
      <w:r w:rsidR="00391FA5" w:rsidRPr="001B12FB">
        <w:rPr>
          <w:rFonts w:ascii="Arial" w:hAnsi="Arial" w:cs="Arial"/>
          <w:sz w:val="24"/>
          <w:szCs w:val="24"/>
        </w:rPr>
        <w:t>7</w:t>
      </w:r>
      <w:r w:rsidRPr="001B12FB">
        <w:rPr>
          <w:rFonts w:ascii="Arial" w:hAnsi="Arial" w:cs="Arial"/>
          <w:sz w:val="24"/>
          <w:szCs w:val="24"/>
        </w:rPr>
        <w:t xml:space="preserve"> and SFY1</w:t>
      </w:r>
      <w:r w:rsidR="00391FA5" w:rsidRPr="001B12FB">
        <w:rPr>
          <w:rFonts w:ascii="Arial" w:hAnsi="Arial" w:cs="Arial"/>
          <w:sz w:val="24"/>
          <w:szCs w:val="24"/>
        </w:rPr>
        <w:t>8</w:t>
      </w:r>
      <w:r w:rsidRPr="001B12FB">
        <w:rPr>
          <w:rFonts w:ascii="Arial" w:hAnsi="Arial" w:cs="Arial"/>
          <w:sz w:val="24"/>
          <w:szCs w:val="24"/>
        </w:rPr>
        <w:t>.</w:t>
      </w:r>
      <w:r w:rsidR="00CC1C46" w:rsidRPr="001B12FB">
        <w:rPr>
          <w:rFonts w:ascii="Arial" w:hAnsi="Arial" w:cs="Arial"/>
          <w:sz w:val="24"/>
          <w:szCs w:val="24"/>
        </w:rPr>
        <w:t xml:space="preserve"> </w:t>
      </w:r>
      <w:r w:rsidR="00AF3D59" w:rsidRPr="001B12FB">
        <w:rPr>
          <w:rFonts w:ascii="Arial" w:hAnsi="Arial" w:cs="Arial"/>
          <w:sz w:val="24"/>
          <w:szCs w:val="24"/>
        </w:rPr>
        <w:t xml:space="preserve">Specialties listed </w:t>
      </w:r>
      <w:r w:rsidR="00EF3423" w:rsidRPr="001B12FB">
        <w:rPr>
          <w:rFonts w:ascii="Arial" w:hAnsi="Arial" w:cs="Arial"/>
          <w:sz w:val="24"/>
          <w:szCs w:val="24"/>
        </w:rPr>
        <w:t>are</w:t>
      </w:r>
      <w:r w:rsidR="00AF3D59" w:rsidRPr="001B12FB">
        <w:rPr>
          <w:rFonts w:ascii="Arial" w:hAnsi="Arial" w:cs="Arial"/>
          <w:sz w:val="24"/>
          <w:szCs w:val="24"/>
        </w:rPr>
        <w:t xml:space="preserve"> those </w:t>
      </w:r>
      <w:r w:rsidR="00444835" w:rsidRPr="001B12FB">
        <w:rPr>
          <w:rFonts w:ascii="Arial" w:hAnsi="Arial" w:cs="Arial"/>
          <w:sz w:val="24"/>
          <w:szCs w:val="24"/>
        </w:rPr>
        <w:t xml:space="preserve">non-primary care providers </w:t>
      </w:r>
      <w:r w:rsidR="00AF3D59" w:rsidRPr="001B12FB">
        <w:rPr>
          <w:rFonts w:ascii="Arial" w:hAnsi="Arial" w:cs="Arial"/>
          <w:sz w:val="24"/>
          <w:szCs w:val="24"/>
        </w:rPr>
        <w:t xml:space="preserve">with the </w:t>
      </w:r>
      <w:r w:rsidR="00514DA0" w:rsidRPr="002A2DDE">
        <w:rPr>
          <w:rFonts w:ascii="Arial" w:hAnsi="Arial" w:cs="Arial"/>
          <w:sz w:val="24"/>
          <w:szCs w:val="24"/>
        </w:rPr>
        <w:t>greatest</w:t>
      </w:r>
      <w:r w:rsidR="002A2DDE" w:rsidRPr="002A2DDE">
        <w:rPr>
          <w:rFonts w:ascii="Arial" w:hAnsi="Arial" w:cs="Arial"/>
          <w:sz w:val="24"/>
          <w:szCs w:val="24"/>
        </w:rPr>
        <w:t xml:space="preserve"> number of enrolled providers in MMIS</w:t>
      </w:r>
      <w:r w:rsidR="00444835" w:rsidRPr="001B12FB">
        <w:rPr>
          <w:rFonts w:ascii="Arial" w:hAnsi="Arial" w:cs="Arial"/>
          <w:sz w:val="24"/>
          <w:szCs w:val="24"/>
        </w:rPr>
        <w:t>.</w:t>
      </w:r>
    </w:p>
    <w:p w:rsidR="00D82E8E" w:rsidRPr="001B12FB" w:rsidRDefault="00D82E8E" w:rsidP="00D82E8E">
      <w:pPr>
        <w:ind w:firstLine="0"/>
        <w:rPr>
          <w:rFonts w:ascii="Arial" w:hAnsi="Arial" w:cs="Arial"/>
          <w:sz w:val="24"/>
          <w:szCs w:val="24"/>
        </w:rPr>
      </w:pPr>
    </w:p>
    <w:p w:rsidR="0050311A" w:rsidRPr="001B12FB" w:rsidRDefault="0050311A" w:rsidP="0050311A">
      <w:pPr>
        <w:ind w:firstLine="0"/>
        <w:rPr>
          <w:rFonts w:ascii="Arial" w:hAnsi="Arial" w:cs="Arial"/>
          <w:b/>
          <w:sz w:val="24"/>
          <w:szCs w:val="24"/>
        </w:rPr>
      </w:pPr>
      <w:r w:rsidRPr="0050311A">
        <w:rPr>
          <w:rFonts w:ascii="Arial" w:hAnsi="Arial" w:cs="Arial"/>
          <w:sz w:val="24"/>
          <w:szCs w:val="24"/>
        </w:rPr>
        <w:t>Out-of-state</w:t>
      </w:r>
      <w:r w:rsidRPr="0050311A" w:rsidDel="00E01522">
        <w:rPr>
          <w:rFonts w:ascii="Arial" w:hAnsi="Arial" w:cs="Arial"/>
          <w:sz w:val="24"/>
          <w:szCs w:val="24"/>
        </w:rPr>
        <w:t xml:space="preserve"> </w:t>
      </w:r>
      <w:r w:rsidRPr="0050311A">
        <w:rPr>
          <w:rFonts w:ascii="Arial" w:hAnsi="Arial" w:cs="Arial"/>
          <w:sz w:val="24"/>
          <w:szCs w:val="24"/>
        </w:rPr>
        <w:t xml:space="preserve">provider information is included for individual physician specialists because those specialty providers are eligible to enroll with MassHealth. </w:t>
      </w:r>
      <w:r w:rsidR="002E7F48">
        <w:rPr>
          <w:rFonts w:ascii="Arial" w:hAnsi="Arial" w:cs="Arial"/>
          <w:sz w:val="24"/>
          <w:szCs w:val="24"/>
        </w:rPr>
        <w:t>Although p</w:t>
      </w:r>
      <w:r w:rsidRPr="0050311A">
        <w:rPr>
          <w:rFonts w:ascii="Arial" w:hAnsi="Arial" w:cs="Arial"/>
          <w:sz w:val="24"/>
          <w:szCs w:val="24"/>
        </w:rPr>
        <w:t>roviders may enroll from any state</w:t>
      </w:r>
      <w:r w:rsidR="002E7F48">
        <w:rPr>
          <w:rFonts w:ascii="Arial" w:hAnsi="Arial" w:cs="Arial"/>
          <w:sz w:val="24"/>
          <w:szCs w:val="24"/>
        </w:rPr>
        <w:t>,</w:t>
      </w:r>
      <w:r w:rsidR="00F676CE">
        <w:rPr>
          <w:rFonts w:ascii="Arial" w:hAnsi="Arial" w:cs="Arial"/>
          <w:sz w:val="24"/>
          <w:szCs w:val="24"/>
        </w:rPr>
        <w:t xml:space="preserve"> </w:t>
      </w:r>
      <w:r w:rsidRPr="0050311A">
        <w:rPr>
          <w:rFonts w:ascii="Arial" w:hAnsi="Arial" w:cs="Arial"/>
          <w:sz w:val="24"/>
          <w:szCs w:val="24"/>
        </w:rPr>
        <w:t>out-of-state provider enrollment</w:t>
      </w:r>
      <w:r w:rsidR="002E7F48">
        <w:rPr>
          <w:rFonts w:ascii="Arial" w:hAnsi="Arial" w:cs="Arial"/>
          <w:sz w:val="24"/>
          <w:szCs w:val="24"/>
        </w:rPr>
        <w:t xml:space="preserve"> particularly</w:t>
      </w:r>
      <w:r w:rsidRPr="0050311A">
        <w:rPr>
          <w:rFonts w:ascii="Arial" w:hAnsi="Arial" w:cs="Arial"/>
          <w:sz w:val="24"/>
          <w:szCs w:val="24"/>
        </w:rPr>
        <w:t xml:space="preserve"> allows members who live near the state border to access a greater range of specialty providers.</w:t>
      </w:r>
    </w:p>
    <w:p w:rsidR="00361658" w:rsidRPr="001B12FB" w:rsidRDefault="00361658" w:rsidP="00361658">
      <w:pPr>
        <w:ind w:firstLine="0"/>
        <w:rPr>
          <w:rFonts w:ascii="Arial" w:hAnsi="Arial" w:cs="Arial"/>
          <w:sz w:val="24"/>
          <w:szCs w:val="24"/>
        </w:rPr>
      </w:pPr>
    </w:p>
    <w:p w:rsidR="00361658" w:rsidRPr="001B12FB" w:rsidRDefault="00361658" w:rsidP="00361658">
      <w:pPr>
        <w:ind w:firstLine="0"/>
        <w:rPr>
          <w:rFonts w:ascii="Arial" w:eastAsiaTheme="minorHAnsi" w:hAnsi="Arial" w:cs="Arial"/>
          <w:sz w:val="24"/>
          <w:szCs w:val="24"/>
        </w:rPr>
      </w:pPr>
      <w:r w:rsidRPr="001B12FB">
        <w:rPr>
          <w:rFonts w:ascii="Arial" w:eastAsiaTheme="minorHAnsi" w:hAnsi="Arial" w:cs="Arial"/>
          <w:sz w:val="24"/>
          <w:szCs w:val="24"/>
        </w:rPr>
        <w:t xml:space="preserve">Note that many physician specialists may be </w:t>
      </w:r>
      <w:r w:rsidR="00F2329F">
        <w:rPr>
          <w:rFonts w:ascii="Arial" w:eastAsiaTheme="minorHAnsi" w:hAnsi="Arial" w:cs="Arial"/>
          <w:sz w:val="24"/>
          <w:szCs w:val="24"/>
        </w:rPr>
        <w:t>facility-</w:t>
      </w:r>
      <w:r w:rsidRPr="001B12FB">
        <w:rPr>
          <w:rFonts w:ascii="Arial" w:eastAsiaTheme="minorHAnsi" w:hAnsi="Arial" w:cs="Arial"/>
          <w:sz w:val="24"/>
          <w:szCs w:val="24"/>
        </w:rPr>
        <w:t>based providers who do not practice independently and may only be affiliated with a hospital</w:t>
      </w:r>
      <w:r w:rsidR="00D25716">
        <w:rPr>
          <w:rFonts w:ascii="Arial" w:eastAsiaTheme="minorHAnsi" w:hAnsi="Arial" w:cs="Arial"/>
          <w:sz w:val="24"/>
          <w:szCs w:val="24"/>
        </w:rPr>
        <w:t xml:space="preserve"> or </w:t>
      </w:r>
      <w:r w:rsidR="001E1A44">
        <w:rPr>
          <w:rFonts w:ascii="Arial" w:eastAsiaTheme="minorHAnsi" w:hAnsi="Arial" w:cs="Arial"/>
          <w:sz w:val="24"/>
          <w:szCs w:val="24"/>
        </w:rPr>
        <w:t>CHC</w:t>
      </w:r>
      <w:r w:rsidRPr="001B12FB">
        <w:rPr>
          <w:rFonts w:ascii="Arial" w:eastAsiaTheme="minorHAnsi" w:hAnsi="Arial" w:cs="Arial"/>
          <w:sz w:val="24"/>
          <w:szCs w:val="24"/>
        </w:rPr>
        <w:t xml:space="preserve">. Therefore, because they are not all individually enrolled </w:t>
      </w:r>
      <w:r w:rsidR="007C56A0" w:rsidRPr="001B12FB">
        <w:rPr>
          <w:rFonts w:ascii="Arial" w:eastAsiaTheme="minorHAnsi" w:hAnsi="Arial" w:cs="Arial"/>
          <w:sz w:val="24"/>
          <w:szCs w:val="24"/>
        </w:rPr>
        <w:t xml:space="preserve">as billing providers </w:t>
      </w:r>
      <w:r w:rsidRPr="001B12FB">
        <w:rPr>
          <w:rFonts w:ascii="Arial" w:eastAsiaTheme="minorHAnsi" w:hAnsi="Arial" w:cs="Arial"/>
          <w:sz w:val="24"/>
          <w:szCs w:val="24"/>
        </w:rPr>
        <w:t xml:space="preserve">with MassHealth, they are not reflected in the data below and, as a result, the provider counts </w:t>
      </w:r>
      <w:r w:rsidR="00F2329F">
        <w:rPr>
          <w:rFonts w:ascii="Arial" w:hAnsi="Arial" w:cs="Arial"/>
          <w:sz w:val="24"/>
          <w:szCs w:val="24"/>
        </w:rPr>
        <w:t xml:space="preserve">may underestimate the number of </w:t>
      </w:r>
      <w:r w:rsidR="000F1C74">
        <w:rPr>
          <w:rFonts w:ascii="Arial" w:hAnsi="Arial" w:cs="Arial"/>
          <w:sz w:val="24"/>
          <w:szCs w:val="24"/>
        </w:rPr>
        <w:t xml:space="preserve">actual </w:t>
      </w:r>
      <w:r w:rsidR="00F2329F">
        <w:rPr>
          <w:rFonts w:ascii="Arial" w:hAnsi="Arial" w:cs="Arial"/>
          <w:sz w:val="24"/>
          <w:szCs w:val="24"/>
        </w:rPr>
        <w:t>clinicians providing services</w:t>
      </w:r>
      <w:r w:rsidRPr="001B12FB">
        <w:rPr>
          <w:rFonts w:ascii="Arial" w:eastAsiaTheme="minorHAnsi" w:hAnsi="Arial" w:cs="Arial"/>
          <w:sz w:val="24"/>
          <w:szCs w:val="24"/>
        </w:rPr>
        <w:t>.</w:t>
      </w:r>
    </w:p>
    <w:p w:rsidR="00785324" w:rsidRPr="001B12FB" w:rsidRDefault="00785324" w:rsidP="00361658">
      <w:pPr>
        <w:ind w:firstLine="0"/>
        <w:rPr>
          <w:rFonts w:ascii="Arial" w:eastAsiaTheme="minorHAnsi" w:hAnsi="Arial" w:cs="Arial"/>
          <w:sz w:val="24"/>
          <w:szCs w:val="24"/>
        </w:rPr>
      </w:pPr>
    </w:p>
    <w:p w:rsidR="00361658" w:rsidRPr="001B12FB" w:rsidRDefault="00361658" w:rsidP="00361658">
      <w:pPr>
        <w:ind w:firstLine="0"/>
        <w:rPr>
          <w:rFonts w:ascii="Arial" w:eastAsia="Calibri" w:hAnsi="Arial" w:cs="Arial"/>
          <w:sz w:val="24"/>
          <w:szCs w:val="24"/>
        </w:rPr>
      </w:pPr>
      <w:r w:rsidRPr="001B12FB">
        <w:rPr>
          <w:rFonts w:ascii="Arial" w:eastAsia="Calibri" w:hAnsi="Arial" w:cs="Arial"/>
          <w:sz w:val="24"/>
          <w:szCs w:val="24"/>
        </w:rPr>
        <w:t>In addition, a provider’s identification with a specialty is self-reported data</w:t>
      </w:r>
      <w:r w:rsidR="00E75560">
        <w:rPr>
          <w:rFonts w:ascii="Arial" w:eastAsia="Calibri" w:hAnsi="Arial" w:cs="Arial"/>
          <w:sz w:val="24"/>
          <w:szCs w:val="24"/>
        </w:rPr>
        <w:t xml:space="preserve"> in </w:t>
      </w:r>
      <w:proofErr w:type="spellStart"/>
      <w:r w:rsidRPr="001B12FB">
        <w:rPr>
          <w:rFonts w:ascii="Arial" w:eastAsia="Calibri" w:hAnsi="Arial" w:cs="Arial"/>
          <w:sz w:val="24"/>
          <w:szCs w:val="24"/>
        </w:rPr>
        <w:t>MassHealth</w:t>
      </w:r>
      <w:r w:rsidR="00E75560">
        <w:rPr>
          <w:rFonts w:ascii="Arial" w:eastAsia="Calibri" w:hAnsi="Arial" w:cs="Arial"/>
          <w:sz w:val="24"/>
          <w:szCs w:val="24"/>
        </w:rPr>
        <w:t>’s</w:t>
      </w:r>
      <w:proofErr w:type="spellEnd"/>
      <w:r w:rsidRPr="001B12FB">
        <w:rPr>
          <w:rFonts w:ascii="Arial" w:eastAsia="Calibri" w:hAnsi="Arial" w:cs="Arial"/>
          <w:sz w:val="24"/>
          <w:szCs w:val="24"/>
        </w:rPr>
        <w:t xml:space="preserve"> MMIS </w:t>
      </w:r>
      <w:r w:rsidR="00E75560">
        <w:rPr>
          <w:rFonts w:ascii="Arial" w:eastAsia="Calibri" w:hAnsi="Arial" w:cs="Arial"/>
          <w:sz w:val="24"/>
          <w:szCs w:val="24"/>
        </w:rPr>
        <w:t xml:space="preserve">and therefore </w:t>
      </w:r>
      <w:r w:rsidRPr="001B12FB">
        <w:rPr>
          <w:rFonts w:ascii="Arial" w:eastAsia="Calibri" w:hAnsi="Arial" w:cs="Arial"/>
          <w:sz w:val="24"/>
          <w:szCs w:val="24"/>
        </w:rPr>
        <w:t>may not represent a</w:t>
      </w:r>
      <w:r w:rsidR="007C56A0" w:rsidRPr="001B12FB">
        <w:rPr>
          <w:rFonts w:ascii="Arial" w:eastAsia="Calibri" w:hAnsi="Arial" w:cs="Arial"/>
          <w:sz w:val="24"/>
          <w:szCs w:val="24"/>
        </w:rPr>
        <w:t xml:space="preserve"> complete</w:t>
      </w:r>
      <w:r w:rsidR="00E75560">
        <w:rPr>
          <w:rFonts w:ascii="Arial" w:eastAsia="Calibri" w:hAnsi="Arial" w:cs="Arial"/>
          <w:sz w:val="24"/>
          <w:szCs w:val="24"/>
        </w:rPr>
        <w:t xml:space="preserve"> accounting of the types</w:t>
      </w:r>
      <w:r w:rsidRPr="001B12FB">
        <w:rPr>
          <w:rFonts w:ascii="Arial" w:eastAsia="Calibri" w:hAnsi="Arial" w:cs="Arial"/>
          <w:sz w:val="24"/>
          <w:szCs w:val="24"/>
        </w:rPr>
        <w:t xml:space="preserve"> of </w:t>
      </w:r>
      <w:r w:rsidR="00E75560">
        <w:rPr>
          <w:rFonts w:ascii="Arial" w:eastAsia="Calibri" w:hAnsi="Arial" w:cs="Arial"/>
          <w:sz w:val="24"/>
          <w:szCs w:val="24"/>
        </w:rPr>
        <w:t xml:space="preserve">specialty </w:t>
      </w:r>
      <w:r w:rsidRPr="001B12FB">
        <w:rPr>
          <w:rFonts w:ascii="Arial" w:eastAsia="Calibri" w:hAnsi="Arial" w:cs="Arial"/>
          <w:sz w:val="24"/>
          <w:szCs w:val="24"/>
        </w:rPr>
        <w:t>providers listed below.</w:t>
      </w:r>
    </w:p>
    <w:p w:rsidR="00931AFA" w:rsidRPr="001B12FB" w:rsidRDefault="00931AFA" w:rsidP="00361658">
      <w:pPr>
        <w:ind w:firstLine="0"/>
        <w:rPr>
          <w:rFonts w:ascii="Arial" w:eastAsiaTheme="minorHAnsi" w:hAnsi="Arial" w:cs="Arial"/>
          <w:sz w:val="24"/>
          <w:szCs w:val="24"/>
        </w:rPr>
      </w:pPr>
    </w:p>
    <w:p w:rsidR="00F040DA" w:rsidRPr="001B12FB" w:rsidRDefault="00F040DA" w:rsidP="00F040DA">
      <w:pPr>
        <w:ind w:firstLine="0"/>
        <w:rPr>
          <w:rFonts w:ascii="Arial" w:eastAsia="Calibri" w:hAnsi="Arial" w:cs="Arial"/>
          <w:sz w:val="24"/>
          <w:szCs w:val="24"/>
        </w:rPr>
      </w:pPr>
      <w:r w:rsidRPr="001B12FB">
        <w:rPr>
          <w:rFonts w:ascii="Arial" w:hAnsi="Arial" w:cs="Arial"/>
          <w:sz w:val="24"/>
          <w:szCs w:val="24"/>
        </w:rPr>
        <w:t xml:space="preserve">Shifts in enrollment trends seen throughout the data presented in the 2019 AMRP are consistent with the launch of the ACO program and its impact on member and provider regional </w:t>
      </w:r>
      <w:r w:rsidR="0076707B" w:rsidRPr="001B12FB">
        <w:rPr>
          <w:rFonts w:ascii="Arial" w:hAnsi="Arial" w:cs="Arial"/>
          <w:sz w:val="24"/>
          <w:szCs w:val="24"/>
        </w:rPr>
        <w:t>changes.</w:t>
      </w:r>
      <w:r w:rsidR="0076707B" w:rsidRPr="001B12FB">
        <w:rPr>
          <w:rFonts w:ascii="Arial" w:eastAsia="Calibri" w:hAnsi="Arial" w:cs="Arial"/>
          <w:sz w:val="24"/>
          <w:szCs w:val="24"/>
        </w:rPr>
        <w:t xml:space="preserve"> The</w:t>
      </w:r>
      <w:r w:rsidRPr="001B12FB">
        <w:rPr>
          <w:rFonts w:ascii="Arial" w:eastAsia="Calibri" w:hAnsi="Arial" w:cs="Arial"/>
          <w:sz w:val="24"/>
          <w:szCs w:val="24"/>
        </w:rPr>
        <w:t xml:space="preserve"> </w:t>
      </w:r>
      <w:r w:rsidR="007C56A0" w:rsidRPr="001B12FB">
        <w:rPr>
          <w:rFonts w:ascii="Arial" w:eastAsia="Calibri" w:hAnsi="Arial" w:cs="Arial"/>
          <w:sz w:val="24"/>
          <w:szCs w:val="24"/>
        </w:rPr>
        <w:t xml:space="preserve">member </w:t>
      </w:r>
      <w:r w:rsidRPr="001B12FB">
        <w:rPr>
          <w:rFonts w:ascii="Arial" w:eastAsia="Calibri" w:hAnsi="Arial" w:cs="Arial"/>
          <w:sz w:val="24"/>
          <w:szCs w:val="24"/>
        </w:rPr>
        <w:t>enrollment increases in Dukes, Nantucket, Franklin and Worcester counties can be attributed to the movement of members tied to the launch of the ACO program</w:t>
      </w:r>
      <w:r w:rsidR="007C56A0" w:rsidRPr="001B12FB">
        <w:rPr>
          <w:rFonts w:ascii="Arial" w:eastAsia="Calibri" w:hAnsi="Arial" w:cs="Arial"/>
          <w:sz w:val="24"/>
          <w:szCs w:val="24"/>
        </w:rPr>
        <w:t xml:space="preserve"> and</w:t>
      </w:r>
      <w:r w:rsidR="0075313E" w:rsidRPr="001B12FB">
        <w:rPr>
          <w:rFonts w:ascii="Arial" w:eastAsia="Calibri" w:hAnsi="Arial" w:cs="Arial"/>
          <w:sz w:val="24"/>
          <w:szCs w:val="24"/>
        </w:rPr>
        <w:t xml:space="preserve"> member enroll</w:t>
      </w:r>
      <w:r w:rsidR="00E75560">
        <w:rPr>
          <w:rFonts w:ascii="Arial" w:eastAsia="Calibri" w:hAnsi="Arial" w:cs="Arial"/>
          <w:sz w:val="24"/>
          <w:szCs w:val="24"/>
        </w:rPr>
        <w:t>ment</w:t>
      </w:r>
      <w:r w:rsidR="0075313E" w:rsidRPr="001B12FB">
        <w:rPr>
          <w:rFonts w:ascii="Arial" w:eastAsia="Calibri" w:hAnsi="Arial" w:cs="Arial"/>
          <w:sz w:val="24"/>
          <w:szCs w:val="24"/>
        </w:rPr>
        <w:t xml:space="preserve"> in a Primary Care ACO</w:t>
      </w:r>
      <w:r w:rsidRPr="001B12FB">
        <w:rPr>
          <w:rFonts w:ascii="Arial" w:eastAsia="Calibri" w:hAnsi="Arial" w:cs="Arial"/>
          <w:sz w:val="24"/>
          <w:szCs w:val="24"/>
        </w:rPr>
        <w:t xml:space="preserve">. </w:t>
      </w:r>
      <w:r w:rsidR="00021BE2" w:rsidRPr="001B12FB">
        <w:rPr>
          <w:rFonts w:ascii="Arial" w:hAnsi="Arial" w:cs="Arial"/>
          <w:sz w:val="24"/>
          <w:szCs w:val="24"/>
        </w:rPr>
        <w:t xml:space="preserve">Furthermore, </w:t>
      </w:r>
      <w:r w:rsidR="00E75560">
        <w:rPr>
          <w:rFonts w:ascii="Arial" w:hAnsi="Arial" w:cs="Arial"/>
          <w:sz w:val="24"/>
          <w:szCs w:val="24"/>
        </w:rPr>
        <w:t xml:space="preserve">as noted earlier, </w:t>
      </w:r>
      <w:r w:rsidR="00021BE2" w:rsidRPr="001B12FB">
        <w:rPr>
          <w:rFonts w:ascii="Arial" w:hAnsi="Arial" w:cs="Arial"/>
          <w:sz w:val="24"/>
          <w:szCs w:val="24"/>
        </w:rPr>
        <w:t xml:space="preserve">some members may see providers in neighboring counties. As such, members may not live and seek care consistently in one county throughout the course of a given year. Furthermore, with the exception of the Home Health Services section, the episode of care data in the utilization sections </w:t>
      </w:r>
      <w:r w:rsidR="00E75560">
        <w:rPr>
          <w:rFonts w:ascii="Arial" w:hAnsi="Arial" w:cs="Arial"/>
          <w:sz w:val="24"/>
          <w:szCs w:val="24"/>
        </w:rPr>
        <w:t xml:space="preserve">of this AMRP </w:t>
      </w:r>
      <w:r w:rsidR="00021BE2" w:rsidRPr="001B12FB">
        <w:rPr>
          <w:rFonts w:ascii="Arial" w:hAnsi="Arial" w:cs="Arial"/>
          <w:sz w:val="24"/>
          <w:szCs w:val="24"/>
        </w:rPr>
        <w:t xml:space="preserve">was calculated based on the location of the provider </w:t>
      </w:r>
      <w:r w:rsidR="00E75560">
        <w:rPr>
          <w:rFonts w:ascii="Arial" w:hAnsi="Arial" w:cs="Arial"/>
          <w:sz w:val="24"/>
          <w:szCs w:val="24"/>
        </w:rPr>
        <w:t xml:space="preserve">due to the fact that </w:t>
      </w:r>
      <w:r w:rsidR="00021BE2" w:rsidRPr="001B12FB">
        <w:rPr>
          <w:rFonts w:ascii="Arial" w:hAnsi="Arial" w:cs="Arial"/>
          <w:sz w:val="24"/>
          <w:szCs w:val="24"/>
        </w:rPr>
        <w:t>members can seek care in counties other than where they live.</w:t>
      </w:r>
    </w:p>
    <w:p w:rsidR="00F040DA" w:rsidRPr="004809F3" w:rsidRDefault="00F040DA" w:rsidP="00361658">
      <w:pPr>
        <w:ind w:firstLine="0"/>
        <w:rPr>
          <w:rFonts w:ascii="Arial" w:eastAsiaTheme="minorHAnsi" w:hAnsi="Arial" w:cs="Arial"/>
          <w:sz w:val="24"/>
          <w:szCs w:val="24"/>
        </w:rPr>
      </w:pPr>
    </w:p>
    <w:p w:rsidR="00931AFA" w:rsidRPr="004948A7" w:rsidRDefault="00931AFA" w:rsidP="004948A7">
      <w:pPr>
        <w:ind w:firstLine="0"/>
        <w:rPr>
          <w:rFonts w:ascii="Arial" w:hAnsi="Arial" w:cs="Arial"/>
          <w:b/>
          <w:sz w:val="24"/>
        </w:rPr>
      </w:pPr>
      <w:r w:rsidRPr="004948A7">
        <w:rPr>
          <w:rFonts w:ascii="Arial" w:hAnsi="Arial" w:cs="Arial"/>
          <w:b/>
          <w:sz w:val="24"/>
        </w:rPr>
        <w:t xml:space="preserve">Number of Physicians with a Surgery Specialty </w:t>
      </w:r>
      <w:r w:rsidR="00CD3AA8">
        <w:rPr>
          <w:rFonts w:ascii="Arial" w:hAnsi="Arial" w:cs="Arial"/>
          <w:b/>
          <w:sz w:val="24"/>
        </w:rPr>
        <w:t>by County</w:t>
      </w:r>
      <w:r w:rsidRPr="004948A7">
        <w:rPr>
          <w:rFonts w:ascii="Arial" w:hAnsi="Arial" w:cs="Arial"/>
          <w:b/>
          <w:sz w:val="24"/>
        </w:rPr>
        <w:t xml:space="preserve"> SFY16-SFY18</w:t>
      </w:r>
    </w:p>
    <w:tbl>
      <w:tblPr>
        <w:tblW w:w="4160" w:type="dxa"/>
        <w:tblInd w:w="113" w:type="dxa"/>
        <w:tblLook w:val="04A0" w:firstRow="1" w:lastRow="0" w:firstColumn="1" w:lastColumn="0" w:noHBand="0" w:noVBand="1"/>
      </w:tblPr>
      <w:tblGrid>
        <w:gridCol w:w="1440"/>
        <w:gridCol w:w="1440"/>
        <w:gridCol w:w="1440"/>
        <w:gridCol w:w="1440"/>
      </w:tblGrid>
      <w:tr w:rsidR="002410E2" w:rsidRPr="004809F3" w:rsidTr="00E41279">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30</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lastRenderedPageBreak/>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98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101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99</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1A524A" w:rsidRDefault="002410E2" w:rsidP="002410E2">
            <w:pPr>
              <w:ind w:firstLine="0"/>
              <w:rPr>
                <w:rFonts w:ascii="Arial" w:eastAsia="Times New Roman" w:hAnsi="Arial" w:cs="Arial"/>
                <w:sz w:val="24"/>
                <w:szCs w:val="24"/>
              </w:rPr>
            </w:pPr>
            <w:r w:rsidRPr="001A524A">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1A524A" w:rsidRDefault="002410E2" w:rsidP="002410E2">
            <w:pPr>
              <w:ind w:firstLine="0"/>
              <w:jc w:val="right"/>
              <w:rPr>
                <w:rFonts w:ascii="Arial" w:eastAsia="Times New Roman" w:hAnsi="Arial" w:cs="Arial"/>
                <w:sz w:val="24"/>
                <w:szCs w:val="24"/>
              </w:rPr>
            </w:pPr>
            <w:r w:rsidRPr="001A524A">
              <w:rPr>
                <w:rFonts w:ascii="Arial" w:eastAsia="Times New Roman" w:hAnsi="Arial" w:cs="Arial"/>
                <w:sz w:val="24"/>
                <w:szCs w:val="24"/>
              </w:rPr>
              <w:t>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1A524A" w:rsidRDefault="002410E2" w:rsidP="002410E2">
            <w:pPr>
              <w:ind w:firstLine="0"/>
              <w:jc w:val="right"/>
              <w:rPr>
                <w:rFonts w:ascii="Arial" w:eastAsia="Times New Roman" w:hAnsi="Arial" w:cs="Arial"/>
                <w:sz w:val="24"/>
                <w:szCs w:val="24"/>
              </w:rPr>
            </w:pPr>
            <w:r w:rsidRPr="001A524A">
              <w:rPr>
                <w:rFonts w:ascii="Arial" w:eastAsia="Times New Roman" w:hAnsi="Arial" w:cs="Arial"/>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1A524A" w:rsidRDefault="002410E2" w:rsidP="002410E2">
            <w:pPr>
              <w:ind w:firstLine="0"/>
              <w:jc w:val="right"/>
              <w:rPr>
                <w:rFonts w:ascii="Arial" w:eastAsia="Times New Roman" w:hAnsi="Arial" w:cs="Arial"/>
                <w:sz w:val="24"/>
                <w:szCs w:val="24"/>
              </w:rPr>
            </w:pPr>
            <w:r w:rsidRPr="001A524A">
              <w:rPr>
                <w:rFonts w:ascii="Arial" w:eastAsia="Times New Roman" w:hAnsi="Arial" w:cs="Arial"/>
                <w:sz w:val="24"/>
                <w:szCs w:val="24"/>
              </w:rPr>
              <w:t>0</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115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111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107</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129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131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119</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14</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249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247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250</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87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85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80</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43344B" w:rsidP="002410E2">
            <w:pPr>
              <w:ind w:firstLine="0"/>
              <w:rPr>
                <w:rFonts w:ascii="Arial" w:eastAsia="Times New Roman" w:hAnsi="Arial" w:cs="Arial"/>
                <w:color w:val="000000"/>
                <w:sz w:val="24"/>
                <w:szCs w:val="24"/>
              </w:rPr>
            </w:pPr>
            <w:r>
              <w:rPr>
                <w:rFonts w:ascii="Arial" w:eastAsia="Times New Roman" w:hAnsi="Arial" w:cs="Arial"/>
                <w:color w:val="000000"/>
                <w:sz w:val="24"/>
                <w:szCs w:val="24"/>
              </w:rPr>
              <w:t>Out-of-state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99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100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124</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81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84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81</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734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721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734</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183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186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178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1,869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1,854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1,873</w:t>
            </w:r>
          </w:p>
        </w:tc>
      </w:tr>
    </w:tbl>
    <w:p w:rsidR="00F1050F" w:rsidRPr="004809F3" w:rsidRDefault="00F1050F" w:rsidP="00BD6731">
      <w:pPr>
        <w:rPr>
          <w:rFonts w:ascii="Arial" w:hAnsi="Arial" w:cs="Arial"/>
          <w:sz w:val="24"/>
          <w:szCs w:val="24"/>
        </w:rPr>
      </w:pPr>
    </w:p>
    <w:p w:rsidR="00931AFA" w:rsidRPr="004948A7" w:rsidRDefault="00931AFA" w:rsidP="004948A7">
      <w:pPr>
        <w:ind w:firstLine="0"/>
        <w:rPr>
          <w:rFonts w:ascii="Arial" w:hAnsi="Arial" w:cs="Arial"/>
          <w:b/>
          <w:sz w:val="24"/>
        </w:rPr>
      </w:pPr>
      <w:r w:rsidRPr="004948A7">
        <w:rPr>
          <w:rFonts w:ascii="Arial" w:hAnsi="Arial" w:cs="Arial"/>
          <w:b/>
          <w:sz w:val="24"/>
        </w:rPr>
        <w:t xml:space="preserve">Number of Physicians with a Cardiology Specialty </w:t>
      </w:r>
      <w:r w:rsidR="00CD3AA8">
        <w:rPr>
          <w:rFonts w:ascii="Arial" w:hAnsi="Arial" w:cs="Arial"/>
          <w:b/>
          <w:sz w:val="24"/>
        </w:rPr>
        <w:t>by County</w:t>
      </w:r>
      <w:r w:rsidRPr="004948A7">
        <w:rPr>
          <w:rFonts w:ascii="Arial" w:hAnsi="Arial" w:cs="Arial"/>
          <w:b/>
          <w:sz w:val="24"/>
        </w:rPr>
        <w:t xml:space="preserve"> SFY16-SFY18</w:t>
      </w:r>
    </w:p>
    <w:tbl>
      <w:tblPr>
        <w:tblW w:w="4220" w:type="dxa"/>
        <w:tblInd w:w="113" w:type="dxa"/>
        <w:tblLook w:val="04A0" w:firstRow="1" w:lastRow="0" w:firstColumn="1" w:lastColumn="0" w:noHBand="0" w:noVBand="1"/>
      </w:tblPr>
      <w:tblGrid>
        <w:gridCol w:w="1440"/>
        <w:gridCol w:w="1440"/>
        <w:gridCol w:w="1440"/>
        <w:gridCol w:w="1440"/>
      </w:tblGrid>
      <w:tr w:rsidR="002410E2" w:rsidRPr="004809F3" w:rsidTr="00E41279">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32</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52</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46</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51</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10</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133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123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124</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43344B" w:rsidP="002410E2">
            <w:pPr>
              <w:ind w:firstLine="0"/>
              <w:rPr>
                <w:rFonts w:ascii="Arial" w:eastAsia="Times New Roman" w:hAnsi="Arial" w:cs="Arial"/>
                <w:color w:val="000000"/>
                <w:sz w:val="24"/>
                <w:szCs w:val="24"/>
              </w:rPr>
            </w:pPr>
            <w:r>
              <w:rPr>
                <w:rFonts w:ascii="Arial" w:eastAsia="Times New Roman" w:hAnsi="Arial" w:cs="Arial"/>
                <w:color w:val="000000"/>
                <w:sz w:val="24"/>
                <w:szCs w:val="24"/>
              </w:rPr>
              <w:t>Out-of-state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79</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33</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425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433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443</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82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86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85</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1,014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1,025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1,038</w:t>
            </w:r>
          </w:p>
        </w:tc>
      </w:tr>
    </w:tbl>
    <w:p w:rsidR="002410E2" w:rsidRPr="004809F3" w:rsidRDefault="002410E2" w:rsidP="00BD6731">
      <w:pPr>
        <w:rPr>
          <w:rFonts w:ascii="Arial" w:hAnsi="Arial" w:cs="Arial"/>
          <w:sz w:val="24"/>
          <w:szCs w:val="24"/>
        </w:rPr>
      </w:pPr>
    </w:p>
    <w:p w:rsidR="00931AFA" w:rsidRPr="004948A7" w:rsidRDefault="00931AFA" w:rsidP="004948A7">
      <w:pPr>
        <w:ind w:firstLine="0"/>
        <w:rPr>
          <w:rFonts w:ascii="Arial" w:hAnsi="Arial" w:cs="Arial"/>
          <w:b/>
          <w:sz w:val="24"/>
        </w:rPr>
      </w:pPr>
      <w:r w:rsidRPr="004948A7">
        <w:rPr>
          <w:rFonts w:ascii="Arial" w:hAnsi="Arial" w:cs="Arial"/>
          <w:b/>
          <w:sz w:val="24"/>
        </w:rPr>
        <w:t xml:space="preserve">Number of Physicians with a Hematology/Oncology Specialty </w:t>
      </w:r>
      <w:r w:rsidR="00CD3AA8">
        <w:rPr>
          <w:rFonts w:ascii="Arial" w:hAnsi="Arial" w:cs="Arial"/>
          <w:b/>
          <w:sz w:val="24"/>
        </w:rPr>
        <w:t>by County</w:t>
      </w:r>
      <w:r w:rsidRPr="004948A7">
        <w:rPr>
          <w:rFonts w:ascii="Arial" w:hAnsi="Arial" w:cs="Arial"/>
          <w:b/>
          <w:sz w:val="24"/>
        </w:rPr>
        <w:t xml:space="preserve"> SFY16-SFY18</w:t>
      </w:r>
    </w:p>
    <w:tbl>
      <w:tblPr>
        <w:tblW w:w="4375" w:type="dxa"/>
        <w:tblInd w:w="113" w:type="dxa"/>
        <w:tblLook w:val="04A0" w:firstRow="1" w:lastRow="0" w:firstColumn="1" w:lastColumn="0" w:noHBand="0" w:noVBand="1"/>
      </w:tblPr>
      <w:tblGrid>
        <w:gridCol w:w="1435"/>
        <w:gridCol w:w="1440"/>
        <w:gridCol w:w="1440"/>
        <w:gridCol w:w="1440"/>
      </w:tblGrid>
      <w:tr w:rsidR="002410E2" w:rsidRPr="004809F3" w:rsidTr="00E41279">
        <w:trPr>
          <w:trHeight w:val="300"/>
          <w:tblHeader/>
        </w:trPr>
        <w:tc>
          <w:tcPr>
            <w:tcW w:w="14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SFY18</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12</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lastRenderedPageBreak/>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29</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9</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32</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55</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21</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43344B" w:rsidP="002410E2">
            <w:pPr>
              <w:ind w:firstLine="0"/>
              <w:rPr>
                <w:rFonts w:ascii="Arial" w:eastAsia="Times New Roman" w:hAnsi="Arial" w:cs="Arial"/>
                <w:color w:val="000000"/>
                <w:sz w:val="24"/>
                <w:szCs w:val="24"/>
              </w:rPr>
            </w:pPr>
            <w:r>
              <w:rPr>
                <w:rFonts w:ascii="Arial" w:eastAsia="Times New Roman" w:hAnsi="Arial" w:cs="Arial"/>
                <w:color w:val="000000"/>
                <w:sz w:val="24"/>
                <w:szCs w:val="24"/>
              </w:rPr>
              <w:t>Out-of-state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11</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19</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520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534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481</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54</w:t>
            </w:r>
          </w:p>
        </w:tc>
      </w:tr>
      <w:tr w:rsidR="002410E2" w:rsidRPr="004809F3" w:rsidTr="00E41279">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795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790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734</w:t>
            </w:r>
          </w:p>
        </w:tc>
      </w:tr>
    </w:tbl>
    <w:p w:rsidR="002410E2" w:rsidRPr="004809F3" w:rsidRDefault="002410E2" w:rsidP="00BD6731">
      <w:pPr>
        <w:rPr>
          <w:rFonts w:ascii="Arial" w:hAnsi="Arial" w:cs="Arial"/>
          <w:sz w:val="24"/>
          <w:szCs w:val="24"/>
        </w:rPr>
      </w:pPr>
    </w:p>
    <w:p w:rsidR="00931AFA" w:rsidRPr="004948A7" w:rsidRDefault="00931AFA" w:rsidP="004948A7">
      <w:pPr>
        <w:ind w:firstLine="0"/>
        <w:rPr>
          <w:rFonts w:ascii="Arial" w:hAnsi="Arial" w:cs="Arial"/>
          <w:b/>
          <w:sz w:val="24"/>
          <w:szCs w:val="24"/>
        </w:rPr>
      </w:pPr>
      <w:r w:rsidRPr="004948A7">
        <w:rPr>
          <w:rFonts w:ascii="Arial" w:hAnsi="Arial" w:cs="Arial"/>
          <w:b/>
          <w:sz w:val="24"/>
          <w:szCs w:val="24"/>
        </w:rPr>
        <w:t xml:space="preserve">Number of Physicians with an Emergency Medicine Specialty </w:t>
      </w:r>
      <w:r w:rsidR="00CD3AA8">
        <w:rPr>
          <w:rFonts w:ascii="Arial" w:hAnsi="Arial" w:cs="Arial"/>
          <w:b/>
          <w:sz w:val="24"/>
          <w:szCs w:val="24"/>
        </w:rPr>
        <w:t>by County</w:t>
      </w:r>
      <w:r w:rsidRPr="004948A7">
        <w:rPr>
          <w:rFonts w:ascii="Arial" w:hAnsi="Arial" w:cs="Arial"/>
          <w:b/>
          <w:sz w:val="24"/>
          <w:szCs w:val="24"/>
        </w:rPr>
        <w:t xml:space="preserve"> SFY16-SFY18</w:t>
      </w:r>
    </w:p>
    <w:tbl>
      <w:tblPr>
        <w:tblW w:w="4340" w:type="dxa"/>
        <w:tblInd w:w="113" w:type="dxa"/>
        <w:tblLook w:val="04A0" w:firstRow="1" w:lastRow="0" w:firstColumn="1" w:lastColumn="0" w:noHBand="0" w:noVBand="1"/>
      </w:tblPr>
      <w:tblGrid>
        <w:gridCol w:w="1440"/>
        <w:gridCol w:w="1440"/>
        <w:gridCol w:w="1440"/>
        <w:gridCol w:w="1440"/>
      </w:tblGrid>
      <w:tr w:rsidR="002410E2" w:rsidRPr="004809F3" w:rsidTr="00D10404">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SFY18</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58</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24</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63</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131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127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118</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7</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108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117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126</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23</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237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246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235</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0</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61</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43344B" w:rsidP="002410E2">
            <w:pPr>
              <w:ind w:firstLine="0"/>
              <w:rPr>
                <w:rFonts w:ascii="Arial" w:eastAsia="Times New Roman" w:hAnsi="Arial" w:cs="Arial"/>
                <w:color w:val="000000"/>
                <w:sz w:val="24"/>
                <w:szCs w:val="24"/>
              </w:rPr>
            </w:pPr>
            <w:r>
              <w:rPr>
                <w:rFonts w:ascii="Arial" w:eastAsia="Times New Roman" w:hAnsi="Arial" w:cs="Arial"/>
                <w:color w:val="000000"/>
                <w:sz w:val="24"/>
                <w:szCs w:val="24"/>
              </w:rPr>
              <w:t>Out-of-state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251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252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269</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64</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321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336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349</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189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195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188</w:t>
            </w:r>
          </w:p>
        </w:tc>
      </w:tr>
      <w:tr w:rsidR="002410E2" w:rsidRPr="004809F3" w:rsidTr="00D10404">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1,533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1,580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1,588</w:t>
            </w:r>
          </w:p>
        </w:tc>
      </w:tr>
    </w:tbl>
    <w:p w:rsidR="00931AFA" w:rsidRPr="004809F3" w:rsidRDefault="00931AFA" w:rsidP="00931AFA">
      <w:pPr>
        <w:ind w:firstLine="0"/>
        <w:rPr>
          <w:rFonts w:ascii="Arial" w:eastAsiaTheme="minorHAnsi" w:hAnsi="Arial" w:cs="Arial"/>
          <w:sz w:val="24"/>
          <w:szCs w:val="24"/>
        </w:rPr>
      </w:pPr>
    </w:p>
    <w:p w:rsidR="00931AFA" w:rsidRPr="00A945FF" w:rsidRDefault="00A945FF" w:rsidP="00A945FF">
      <w:pPr>
        <w:pStyle w:val="Heading2"/>
        <w:rPr>
          <w:rFonts w:ascii="Arial" w:hAnsi="Arial" w:cs="Arial"/>
          <w:color w:val="auto"/>
          <w:sz w:val="24"/>
          <w:u w:val="single"/>
        </w:rPr>
      </w:pPr>
      <w:bookmarkStart w:id="37" w:name="_Toc10810581"/>
      <w:bookmarkStart w:id="38" w:name="_Toc20296932"/>
      <w:r w:rsidRPr="00A945FF">
        <w:rPr>
          <w:rFonts w:ascii="Arial" w:hAnsi="Arial" w:cs="Arial"/>
          <w:color w:val="auto"/>
          <w:sz w:val="24"/>
          <w:u w:val="single"/>
        </w:rPr>
        <w:t xml:space="preserve">2. </w:t>
      </w:r>
      <w:r w:rsidR="00931AFA" w:rsidRPr="00A945FF">
        <w:rPr>
          <w:rFonts w:ascii="Arial" w:hAnsi="Arial" w:cs="Arial"/>
          <w:color w:val="auto"/>
          <w:sz w:val="24"/>
          <w:u w:val="single"/>
        </w:rPr>
        <w:t>Member/</w:t>
      </w:r>
      <w:r w:rsidR="005D381C">
        <w:rPr>
          <w:rFonts w:ascii="Arial" w:hAnsi="Arial" w:cs="Arial"/>
          <w:color w:val="auto"/>
          <w:sz w:val="24"/>
          <w:u w:val="single"/>
        </w:rPr>
        <w:t xml:space="preserve">Specialty Physician </w:t>
      </w:r>
      <w:r w:rsidR="00931AFA" w:rsidRPr="00A945FF">
        <w:rPr>
          <w:rFonts w:ascii="Arial" w:hAnsi="Arial" w:cs="Arial"/>
          <w:color w:val="auto"/>
          <w:sz w:val="24"/>
          <w:u w:val="single"/>
        </w:rPr>
        <w:t>Provider Ratios</w:t>
      </w:r>
      <w:bookmarkEnd w:id="37"/>
      <w:bookmarkEnd w:id="38"/>
    </w:p>
    <w:p w:rsidR="00931AFA" w:rsidRDefault="00931AFA" w:rsidP="00931AFA">
      <w:pPr>
        <w:ind w:firstLine="0"/>
        <w:rPr>
          <w:sz w:val="24"/>
          <w:szCs w:val="24"/>
        </w:rPr>
      </w:pPr>
    </w:p>
    <w:p w:rsidR="00FC0279" w:rsidRPr="004809F3" w:rsidRDefault="00FC0279" w:rsidP="00FC0279">
      <w:pPr>
        <w:ind w:firstLine="0"/>
        <w:rPr>
          <w:rFonts w:ascii="Arial" w:eastAsia="Calibri" w:hAnsi="Arial" w:cs="Arial"/>
          <w:sz w:val="24"/>
          <w:szCs w:val="24"/>
        </w:rPr>
      </w:pPr>
      <w:r>
        <w:rPr>
          <w:rFonts w:ascii="Arial" w:eastAsia="Calibri" w:hAnsi="Arial" w:cs="Arial"/>
          <w:sz w:val="24"/>
          <w:szCs w:val="24"/>
        </w:rPr>
        <w:t>T</w:t>
      </w:r>
      <w:r w:rsidRPr="00FC0279">
        <w:rPr>
          <w:rFonts w:ascii="Arial" w:eastAsia="Calibri" w:hAnsi="Arial" w:cs="Arial"/>
          <w:sz w:val="24"/>
          <w:szCs w:val="24"/>
        </w:rPr>
        <w:t xml:space="preserve">he member/provider ratios trended for stability over time in the following section offer context to the </w:t>
      </w:r>
      <w:r>
        <w:rPr>
          <w:rFonts w:ascii="Arial" w:eastAsia="Calibri" w:hAnsi="Arial" w:cs="Arial"/>
          <w:sz w:val="24"/>
          <w:szCs w:val="24"/>
        </w:rPr>
        <w:t xml:space="preserve">provider </w:t>
      </w:r>
      <w:r w:rsidRPr="00FC0279">
        <w:rPr>
          <w:rFonts w:ascii="Arial" w:eastAsia="Calibri" w:hAnsi="Arial" w:cs="Arial"/>
          <w:sz w:val="24"/>
          <w:szCs w:val="24"/>
        </w:rPr>
        <w:t>data</w:t>
      </w:r>
      <w:r>
        <w:rPr>
          <w:rFonts w:ascii="Arial" w:eastAsia="Calibri" w:hAnsi="Arial" w:cs="Arial"/>
          <w:sz w:val="24"/>
          <w:szCs w:val="24"/>
        </w:rPr>
        <w:t xml:space="preserve"> tables above.</w:t>
      </w:r>
    </w:p>
    <w:p w:rsidR="00FC0279" w:rsidRDefault="00FC0279" w:rsidP="00931AFA">
      <w:pPr>
        <w:ind w:firstLine="0"/>
        <w:rPr>
          <w:sz w:val="24"/>
          <w:szCs w:val="24"/>
        </w:rPr>
      </w:pPr>
    </w:p>
    <w:p w:rsidR="00931AFA" w:rsidRPr="004809F3" w:rsidRDefault="00931AFA" w:rsidP="00931AFA">
      <w:pPr>
        <w:ind w:firstLine="0"/>
        <w:rPr>
          <w:rFonts w:ascii="Arial" w:hAnsi="Arial" w:cs="Arial"/>
          <w:sz w:val="24"/>
          <w:szCs w:val="24"/>
        </w:rPr>
      </w:pPr>
      <w:r w:rsidRPr="004809F3">
        <w:rPr>
          <w:rFonts w:ascii="Arial" w:hAnsi="Arial" w:cs="Arial"/>
          <w:sz w:val="24"/>
          <w:szCs w:val="24"/>
        </w:rPr>
        <w:t>Data source: MMIS member and provider enrollment data</w:t>
      </w:r>
    </w:p>
    <w:p w:rsidR="00931AFA" w:rsidRPr="004809F3" w:rsidRDefault="00931AFA" w:rsidP="00931AFA">
      <w:pPr>
        <w:ind w:firstLine="0"/>
        <w:rPr>
          <w:rFonts w:ascii="Arial" w:hAnsi="Arial" w:cs="Arial"/>
          <w:sz w:val="24"/>
          <w:szCs w:val="24"/>
        </w:rPr>
      </w:pPr>
    </w:p>
    <w:p w:rsidR="00931AFA" w:rsidRPr="004809F3" w:rsidRDefault="00931AFA" w:rsidP="00931AFA">
      <w:pPr>
        <w:ind w:firstLine="0"/>
        <w:rPr>
          <w:rFonts w:ascii="Arial" w:hAnsi="Arial" w:cs="Arial"/>
          <w:sz w:val="24"/>
          <w:szCs w:val="24"/>
        </w:rPr>
      </w:pPr>
      <w:r w:rsidRPr="004809F3">
        <w:rPr>
          <w:rFonts w:ascii="Arial" w:hAnsi="Arial" w:cs="Arial"/>
          <w:sz w:val="24"/>
          <w:szCs w:val="24"/>
        </w:rPr>
        <w:t xml:space="preserve">Methodology: Divided the number of enrolled Medicaid members in each county by the number of active, enrolled providers with </w:t>
      </w:r>
      <w:r w:rsidR="005D381C">
        <w:rPr>
          <w:rFonts w:ascii="Arial" w:hAnsi="Arial" w:cs="Arial"/>
          <w:sz w:val="24"/>
          <w:szCs w:val="24"/>
        </w:rPr>
        <w:t xml:space="preserve">selected self-identified </w:t>
      </w:r>
      <w:r w:rsidRPr="004809F3">
        <w:rPr>
          <w:rFonts w:ascii="Arial" w:hAnsi="Arial" w:cs="Arial"/>
          <w:sz w:val="24"/>
          <w:szCs w:val="24"/>
        </w:rPr>
        <w:t>specialties in that county. Members are defined as PCC plan members and FFS members with MassHealth as primary coverage</w:t>
      </w:r>
      <w:r w:rsidR="006A2863" w:rsidRPr="004809F3">
        <w:rPr>
          <w:rFonts w:ascii="Arial" w:hAnsi="Arial" w:cs="Arial"/>
          <w:sz w:val="24"/>
          <w:szCs w:val="24"/>
        </w:rPr>
        <w:t xml:space="preserve"> and members enrolled in a </w:t>
      </w:r>
      <w:r w:rsidR="00AA02D6" w:rsidRPr="004809F3">
        <w:rPr>
          <w:rFonts w:ascii="Arial" w:hAnsi="Arial" w:cs="Arial"/>
          <w:sz w:val="24"/>
          <w:szCs w:val="24"/>
        </w:rPr>
        <w:t>Primary Care ACO.</w:t>
      </w:r>
    </w:p>
    <w:p w:rsidR="00931AFA" w:rsidRPr="004809F3" w:rsidRDefault="00931AFA" w:rsidP="00931AFA">
      <w:pPr>
        <w:ind w:firstLine="0"/>
        <w:rPr>
          <w:rFonts w:ascii="Arial" w:hAnsi="Arial" w:cs="Arial"/>
          <w:sz w:val="24"/>
          <w:szCs w:val="24"/>
        </w:rPr>
      </w:pPr>
    </w:p>
    <w:p w:rsidR="004A640B" w:rsidRPr="00FD405F" w:rsidRDefault="004A640B" w:rsidP="004A640B">
      <w:pPr>
        <w:ind w:firstLine="0"/>
        <w:rPr>
          <w:rFonts w:ascii="Arial" w:hAnsi="Arial" w:cs="Arial"/>
          <w:sz w:val="24"/>
          <w:szCs w:val="24"/>
        </w:rPr>
      </w:pPr>
      <w:r w:rsidRPr="00FD405F">
        <w:rPr>
          <w:rFonts w:ascii="Arial" w:hAnsi="Arial" w:cs="Arial"/>
          <w:sz w:val="24"/>
          <w:szCs w:val="24"/>
        </w:rPr>
        <w:t>N/A indicates</w:t>
      </w:r>
      <w:r>
        <w:rPr>
          <w:rFonts w:ascii="Arial" w:hAnsi="Arial" w:cs="Arial"/>
          <w:sz w:val="24"/>
          <w:szCs w:val="24"/>
        </w:rPr>
        <w:t xml:space="preserve"> a ratio could not be computed because</w:t>
      </w:r>
      <w:r w:rsidRPr="00FD405F">
        <w:rPr>
          <w:rFonts w:ascii="Arial" w:hAnsi="Arial" w:cs="Arial"/>
          <w:sz w:val="24"/>
          <w:szCs w:val="24"/>
        </w:rPr>
        <w:t xml:space="preserve"> there are no such </w:t>
      </w:r>
      <w:r w:rsidR="005D381C">
        <w:rPr>
          <w:rFonts w:ascii="Arial" w:hAnsi="Arial" w:cs="Arial"/>
          <w:sz w:val="24"/>
          <w:szCs w:val="24"/>
        </w:rPr>
        <w:t xml:space="preserve">self-identified specialty physician </w:t>
      </w:r>
      <w:r w:rsidRPr="00FD405F">
        <w:rPr>
          <w:rFonts w:ascii="Arial" w:hAnsi="Arial" w:cs="Arial"/>
          <w:sz w:val="24"/>
          <w:szCs w:val="24"/>
        </w:rPr>
        <w:t xml:space="preserve">providers in that </w:t>
      </w:r>
      <w:proofErr w:type="gramStart"/>
      <w:r w:rsidRPr="00FD405F">
        <w:rPr>
          <w:rFonts w:ascii="Arial" w:hAnsi="Arial" w:cs="Arial"/>
          <w:sz w:val="24"/>
          <w:szCs w:val="24"/>
        </w:rPr>
        <w:t>county</w:t>
      </w:r>
      <w:proofErr w:type="gramEnd"/>
      <w:r w:rsidRPr="00FD405F">
        <w:rPr>
          <w:rFonts w:ascii="Arial" w:hAnsi="Arial" w:cs="Arial"/>
          <w:sz w:val="24"/>
          <w:szCs w:val="24"/>
        </w:rPr>
        <w:t>.</w:t>
      </w:r>
    </w:p>
    <w:p w:rsidR="00931AFA" w:rsidRPr="004809F3" w:rsidRDefault="00931AFA" w:rsidP="00931AFA">
      <w:pPr>
        <w:ind w:firstLine="0"/>
        <w:rPr>
          <w:rFonts w:ascii="Arial" w:hAnsi="Arial" w:cs="Arial"/>
          <w:sz w:val="24"/>
          <w:szCs w:val="24"/>
        </w:rPr>
      </w:pPr>
    </w:p>
    <w:p w:rsidR="00931AFA" w:rsidRPr="004809F3" w:rsidRDefault="00931AFA" w:rsidP="00931AFA">
      <w:pPr>
        <w:ind w:firstLine="0"/>
        <w:rPr>
          <w:rFonts w:ascii="Arial" w:hAnsi="Arial" w:cs="Arial"/>
          <w:sz w:val="24"/>
          <w:szCs w:val="24"/>
        </w:rPr>
      </w:pPr>
      <w:r w:rsidRPr="004809F3">
        <w:rPr>
          <w:rFonts w:ascii="Arial" w:hAnsi="Arial" w:cs="Arial"/>
          <w:sz w:val="24"/>
          <w:szCs w:val="24"/>
        </w:rPr>
        <w:t>Note that the ratios below are based on the residence of the members and the provider counts for members’ counties of residence. Therefore</w:t>
      </w:r>
      <w:r w:rsidR="000B2C9C" w:rsidRPr="004809F3">
        <w:rPr>
          <w:rFonts w:ascii="Arial" w:hAnsi="Arial" w:cs="Arial"/>
          <w:sz w:val="24"/>
          <w:szCs w:val="24"/>
        </w:rPr>
        <w:t xml:space="preserve">, </w:t>
      </w:r>
      <w:r w:rsidRPr="004809F3">
        <w:rPr>
          <w:rFonts w:ascii="Arial" w:hAnsi="Arial" w:cs="Arial"/>
          <w:sz w:val="24"/>
          <w:szCs w:val="24"/>
        </w:rPr>
        <w:t>out-of-state providers are not included in determining the member per provider ratios.</w:t>
      </w:r>
    </w:p>
    <w:p w:rsidR="00931AFA" w:rsidRDefault="00931AFA" w:rsidP="00931AFA">
      <w:pPr>
        <w:ind w:firstLine="0"/>
        <w:rPr>
          <w:rFonts w:ascii="Arial" w:hAnsi="Arial" w:cs="Arial"/>
          <w:sz w:val="24"/>
          <w:szCs w:val="24"/>
        </w:rPr>
      </w:pPr>
    </w:p>
    <w:p w:rsidR="002D1021" w:rsidRPr="001B12FB" w:rsidRDefault="002D1021" w:rsidP="002D1021">
      <w:pPr>
        <w:ind w:firstLine="0"/>
        <w:rPr>
          <w:rFonts w:ascii="Arial" w:eastAsia="Calibri" w:hAnsi="Arial" w:cs="Arial"/>
          <w:sz w:val="24"/>
          <w:szCs w:val="24"/>
        </w:rPr>
      </w:pPr>
      <w:r w:rsidRPr="001B12FB">
        <w:rPr>
          <w:rFonts w:ascii="Arial" w:eastAsiaTheme="minorHAnsi" w:hAnsi="Arial" w:cs="Arial"/>
          <w:sz w:val="24"/>
          <w:szCs w:val="24"/>
        </w:rPr>
        <w:t xml:space="preserve">Note that many physician specialists may be </w:t>
      </w:r>
      <w:r>
        <w:rPr>
          <w:rFonts w:ascii="Arial" w:eastAsiaTheme="minorHAnsi" w:hAnsi="Arial" w:cs="Arial"/>
          <w:sz w:val="24"/>
          <w:szCs w:val="24"/>
        </w:rPr>
        <w:t>facility-</w:t>
      </w:r>
      <w:r w:rsidRPr="001B12FB">
        <w:rPr>
          <w:rFonts w:ascii="Arial" w:eastAsiaTheme="minorHAnsi" w:hAnsi="Arial" w:cs="Arial"/>
          <w:sz w:val="24"/>
          <w:szCs w:val="24"/>
        </w:rPr>
        <w:t>based providers who do not practice independently and may only be affiliated with a hospital</w:t>
      </w:r>
      <w:r>
        <w:rPr>
          <w:rFonts w:ascii="Arial" w:eastAsiaTheme="minorHAnsi" w:hAnsi="Arial" w:cs="Arial"/>
          <w:sz w:val="24"/>
          <w:szCs w:val="24"/>
        </w:rPr>
        <w:t xml:space="preserve"> or </w:t>
      </w:r>
      <w:r w:rsidR="001E1A44">
        <w:rPr>
          <w:rFonts w:ascii="Arial" w:eastAsiaTheme="minorHAnsi" w:hAnsi="Arial" w:cs="Arial"/>
          <w:sz w:val="24"/>
          <w:szCs w:val="24"/>
        </w:rPr>
        <w:t>CHC</w:t>
      </w:r>
      <w:r w:rsidRPr="001B12FB">
        <w:rPr>
          <w:rFonts w:ascii="Arial" w:eastAsiaTheme="minorHAnsi" w:hAnsi="Arial" w:cs="Arial"/>
          <w:sz w:val="24"/>
          <w:szCs w:val="24"/>
        </w:rPr>
        <w:t xml:space="preserve">. Therefore, because they are not all individually enrolled as billing providers with MassHealth, they are not reflected in the data below and, as a result, the provider counts </w:t>
      </w:r>
      <w:r>
        <w:rPr>
          <w:rFonts w:ascii="Arial" w:hAnsi="Arial" w:cs="Arial"/>
          <w:sz w:val="24"/>
          <w:szCs w:val="24"/>
        </w:rPr>
        <w:t>may underestimate the number of clinicians providing services</w:t>
      </w:r>
      <w:r w:rsidRPr="001B12FB">
        <w:rPr>
          <w:rFonts w:ascii="Arial" w:eastAsiaTheme="minorHAnsi" w:hAnsi="Arial" w:cs="Arial"/>
          <w:sz w:val="24"/>
          <w:szCs w:val="24"/>
        </w:rPr>
        <w:t>.</w:t>
      </w:r>
      <w:r>
        <w:rPr>
          <w:rFonts w:ascii="Arial" w:eastAsiaTheme="minorHAnsi" w:hAnsi="Arial" w:cs="Arial"/>
          <w:sz w:val="24"/>
          <w:szCs w:val="24"/>
        </w:rPr>
        <w:t xml:space="preserve"> </w:t>
      </w:r>
      <w:r>
        <w:rPr>
          <w:rFonts w:ascii="Arial" w:eastAsia="Calibri" w:hAnsi="Arial" w:cs="Arial"/>
          <w:sz w:val="24"/>
          <w:szCs w:val="24"/>
        </w:rPr>
        <w:t>In addition,</w:t>
      </w:r>
      <w:r w:rsidRPr="001B12FB">
        <w:rPr>
          <w:rFonts w:ascii="Arial" w:eastAsia="Calibri" w:hAnsi="Arial" w:cs="Arial"/>
          <w:sz w:val="24"/>
          <w:szCs w:val="24"/>
        </w:rPr>
        <w:t xml:space="preserve"> a provider’s identification with a specialty is self-reported data</w:t>
      </w:r>
      <w:r>
        <w:rPr>
          <w:rFonts w:ascii="Arial" w:eastAsia="Calibri" w:hAnsi="Arial" w:cs="Arial"/>
          <w:sz w:val="24"/>
          <w:szCs w:val="24"/>
        </w:rPr>
        <w:t xml:space="preserve"> in </w:t>
      </w:r>
      <w:proofErr w:type="spellStart"/>
      <w:r w:rsidRPr="001B12FB">
        <w:rPr>
          <w:rFonts w:ascii="Arial" w:eastAsia="Calibri" w:hAnsi="Arial" w:cs="Arial"/>
          <w:sz w:val="24"/>
          <w:szCs w:val="24"/>
        </w:rPr>
        <w:t>MassHealth</w:t>
      </w:r>
      <w:r>
        <w:rPr>
          <w:rFonts w:ascii="Arial" w:eastAsia="Calibri" w:hAnsi="Arial" w:cs="Arial"/>
          <w:sz w:val="24"/>
          <w:szCs w:val="24"/>
        </w:rPr>
        <w:t>’s</w:t>
      </w:r>
      <w:proofErr w:type="spellEnd"/>
      <w:r w:rsidRPr="001B12FB">
        <w:rPr>
          <w:rFonts w:ascii="Arial" w:eastAsia="Calibri" w:hAnsi="Arial" w:cs="Arial"/>
          <w:sz w:val="24"/>
          <w:szCs w:val="24"/>
        </w:rPr>
        <w:t xml:space="preserve"> MMIS </w:t>
      </w:r>
      <w:r>
        <w:rPr>
          <w:rFonts w:ascii="Arial" w:eastAsia="Calibri" w:hAnsi="Arial" w:cs="Arial"/>
          <w:sz w:val="24"/>
          <w:szCs w:val="24"/>
        </w:rPr>
        <w:t xml:space="preserve">and therefore </w:t>
      </w:r>
      <w:r w:rsidRPr="001B12FB">
        <w:rPr>
          <w:rFonts w:ascii="Arial" w:eastAsia="Calibri" w:hAnsi="Arial" w:cs="Arial"/>
          <w:sz w:val="24"/>
          <w:szCs w:val="24"/>
        </w:rPr>
        <w:t>may not represent a complete</w:t>
      </w:r>
      <w:r>
        <w:rPr>
          <w:rFonts w:ascii="Arial" w:eastAsia="Calibri" w:hAnsi="Arial" w:cs="Arial"/>
          <w:sz w:val="24"/>
          <w:szCs w:val="24"/>
        </w:rPr>
        <w:t xml:space="preserve"> accounting of the types</w:t>
      </w:r>
      <w:r w:rsidRPr="001B12FB">
        <w:rPr>
          <w:rFonts w:ascii="Arial" w:eastAsia="Calibri" w:hAnsi="Arial" w:cs="Arial"/>
          <w:sz w:val="24"/>
          <w:szCs w:val="24"/>
        </w:rPr>
        <w:t xml:space="preserve"> of </w:t>
      </w:r>
      <w:r>
        <w:rPr>
          <w:rFonts w:ascii="Arial" w:eastAsia="Calibri" w:hAnsi="Arial" w:cs="Arial"/>
          <w:sz w:val="24"/>
          <w:szCs w:val="24"/>
        </w:rPr>
        <w:t xml:space="preserve">specialty </w:t>
      </w:r>
      <w:r w:rsidRPr="001B12FB">
        <w:rPr>
          <w:rFonts w:ascii="Arial" w:eastAsia="Calibri" w:hAnsi="Arial" w:cs="Arial"/>
          <w:sz w:val="24"/>
          <w:szCs w:val="24"/>
        </w:rPr>
        <w:t>providers listed below.</w:t>
      </w:r>
    </w:p>
    <w:p w:rsidR="002D1021" w:rsidRPr="004809F3" w:rsidRDefault="002D1021" w:rsidP="00931AFA">
      <w:pPr>
        <w:ind w:firstLine="0"/>
        <w:rPr>
          <w:rFonts w:ascii="Arial" w:hAnsi="Arial" w:cs="Arial"/>
          <w:sz w:val="24"/>
          <w:szCs w:val="24"/>
        </w:rPr>
      </w:pPr>
    </w:p>
    <w:p w:rsidR="00931AFA" w:rsidRDefault="00931AFA" w:rsidP="00931AFA">
      <w:pPr>
        <w:ind w:firstLine="0"/>
        <w:rPr>
          <w:rFonts w:ascii="Arial" w:eastAsia="Calibri" w:hAnsi="Arial" w:cs="Arial"/>
          <w:sz w:val="24"/>
          <w:szCs w:val="24"/>
        </w:rPr>
      </w:pPr>
      <w:r w:rsidRPr="004809F3">
        <w:rPr>
          <w:rFonts w:ascii="Arial" w:eastAsia="Calibri" w:hAnsi="Arial" w:cs="Arial"/>
          <w:sz w:val="24"/>
          <w:szCs w:val="24"/>
        </w:rPr>
        <w:t xml:space="preserve">Overall review of the ratios indicates that there are sufficient numbers of specialists in most counties with some counties indicating higher than average ratios for certain specialties. This may be due to the undercounting of the self-reported specialty information. </w:t>
      </w:r>
      <w:r w:rsidR="00C8016B" w:rsidRPr="00C8016B">
        <w:rPr>
          <w:rFonts w:ascii="Arial" w:eastAsia="Calibri" w:hAnsi="Arial" w:cs="Arial"/>
          <w:sz w:val="24"/>
          <w:szCs w:val="24"/>
        </w:rPr>
        <w:t xml:space="preserve">Also, Dukes, Nantucket, Barnstable, Franklin, and Worcester counties </w:t>
      </w:r>
      <w:r w:rsidR="00C8016B">
        <w:rPr>
          <w:rFonts w:ascii="Arial" w:eastAsia="Calibri" w:hAnsi="Arial" w:cs="Arial"/>
          <w:sz w:val="24"/>
          <w:szCs w:val="24"/>
        </w:rPr>
        <w:t>demonstrate</w:t>
      </w:r>
      <w:r w:rsidR="00C8016B" w:rsidRPr="00C8016B">
        <w:rPr>
          <w:rFonts w:ascii="Arial" w:eastAsia="Calibri" w:hAnsi="Arial" w:cs="Arial"/>
          <w:sz w:val="24"/>
          <w:szCs w:val="24"/>
        </w:rPr>
        <w:t xml:space="preserve"> high </w:t>
      </w:r>
      <w:r w:rsidR="00C8016B">
        <w:rPr>
          <w:rFonts w:ascii="Arial" w:eastAsia="Calibri" w:hAnsi="Arial" w:cs="Arial"/>
          <w:sz w:val="24"/>
          <w:szCs w:val="24"/>
        </w:rPr>
        <w:t xml:space="preserve">enrollment </w:t>
      </w:r>
      <w:r w:rsidR="00C8016B" w:rsidRPr="00C8016B">
        <w:rPr>
          <w:rFonts w:ascii="Arial" w:eastAsia="Calibri" w:hAnsi="Arial" w:cs="Arial"/>
          <w:sz w:val="24"/>
          <w:szCs w:val="24"/>
        </w:rPr>
        <w:t xml:space="preserve">growth from SFY16 to SFY18. Both Dukes and Nantucket are island communities, with a small total </w:t>
      </w:r>
      <w:r w:rsidR="00527171" w:rsidRPr="00C8016B">
        <w:rPr>
          <w:rFonts w:ascii="Arial" w:eastAsia="Calibri" w:hAnsi="Arial" w:cs="Arial"/>
          <w:sz w:val="24"/>
          <w:szCs w:val="24"/>
        </w:rPr>
        <w:t>population;</w:t>
      </w:r>
      <w:r w:rsidR="00C8016B" w:rsidRPr="00C8016B">
        <w:rPr>
          <w:rFonts w:ascii="Arial" w:eastAsia="Calibri" w:hAnsi="Arial" w:cs="Arial"/>
          <w:sz w:val="24"/>
          <w:szCs w:val="24"/>
        </w:rPr>
        <w:t xml:space="preserve"> hence a small change in members or providers may result in a large change in the ratios or percentages for those communities. </w:t>
      </w:r>
      <w:r w:rsidRPr="004809F3">
        <w:rPr>
          <w:rFonts w:ascii="Arial" w:eastAsia="Calibri" w:hAnsi="Arial" w:cs="Arial"/>
          <w:sz w:val="24"/>
          <w:szCs w:val="24"/>
        </w:rPr>
        <w:t>Please note that members needing particular services may be seen in another county.</w:t>
      </w:r>
    </w:p>
    <w:p w:rsidR="0092005E" w:rsidRDefault="0092005E">
      <w:pPr>
        <w:ind w:firstLine="0"/>
        <w:rPr>
          <w:rFonts w:ascii="Arial" w:eastAsia="Calibri" w:hAnsi="Arial" w:cs="Arial"/>
          <w:sz w:val="24"/>
          <w:szCs w:val="24"/>
        </w:rPr>
      </w:pPr>
    </w:p>
    <w:p w:rsidR="00931AFA" w:rsidRPr="004948A7" w:rsidRDefault="00931AFA" w:rsidP="004948A7">
      <w:pPr>
        <w:ind w:firstLine="0"/>
        <w:rPr>
          <w:rFonts w:ascii="Arial" w:hAnsi="Arial" w:cs="Arial"/>
          <w:b/>
          <w:sz w:val="24"/>
        </w:rPr>
      </w:pPr>
      <w:r w:rsidRPr="004948A7">
        <w:rPr>
          <w:rFonts w:ascii="Arial" w:hAnsi="Arial" w:cs="Arial"/>
          <w:b/>
          <w:sz w:val="24"/>
        </w:rPr>
        <w:t xml:space="preserve">Number of Members per Physician with a Surgery Specialty </w:t>
      </w:r>
      <w:r w:rsidR="00CD3AA8">
        <w:rPr>
          <w:rFonts w:ascii="Arial" w:hAnsi="Arial" w:cs="Arial"/>
          <w:b/>
          <w:sz w:val="24"/>
        </w:rPr>
        <w:t>by County</w:t>
      </w:r>
      <w:r w:rsidRPr="004948A7">
        <w:rPr>
          <w:rFonts w:ascii="Arial" w:hAnsi="Arial" w:cs="Arial"/>
          <w:b/>
          <w:sz w:val="24"/>
        </w:rPr>
        <w:t xml:space="preserve"> SFY16-SFY18</w:t>
      </w:r>
    </w:p>
    <w:tbl>
      <w:tblPr>
        <w:tblW w:w="4371" w:type="dxa"/>
        <w:tblInd w:w="113" w:type="dxa"/>
        <w:tblLook w:val="04A0" w:firstRow="1" w:lastRow="0" w:firstColumn="1" w:lastColumn="0" w:noHBand="0" w:noVBand="1"/>
      </w:tblPr>
      <w:tblGrid>
        <w:gridCol w:w="1440"/>
        <w:gridCol w:w="1440"/>
        <w:gridCol w:w="1440"/>
        <w:gridCol w:w="1440"/>
      </w:tblGrid>
      <w:tr w:rsidR="00E41279" w:rsidRPr="00E41279" w:rsidTr="00E41279">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SFY18</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316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301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457</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273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261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143</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376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352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474</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268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1,092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451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466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601</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652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627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1,335</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325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317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270</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354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406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671</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lastRenderedPageBreak/>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233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234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178</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226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318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674</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293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301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296</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345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324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402</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91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90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93</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287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290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464</w:t>
            </w:r>
          </w:p>
        </w:tc>
      </w:tr>
    </w:tbl>
    <w:p w:rsidR="002410E2" w:rsidRPr="004809F3" w:rsidRDefault="002410E2" w:rsidP="00BD6731">
      <w:pPr>
        <w:rPr>
          <w:rFonts w:ascii="Arial" w:hAnsi="Arial" w:cs="Arial"/>
          <w:sz w:val="24"/>
          <w:szCs w:val="24"/>
        </w:rPr>
      </w:pPr>
    </w:p>
    <w:p w:rsidR="00931AFA" w:rsidRPr="004948A7" w:rsidRDefault="00931AFA" w:rsidP="004948A7">
      <w:pPr>
        <w:ind w:firstLine="0"/>
        <w:rPr>
          <w:rFonts w:ascii="Arial" w:hAnsi="Arial" w:cs="Arial"/>
          <w:b/>
          <w:sz w:val="24"/>
        </w:rPr>
      </w:pPr>
      <w:r w:rsidRPr="004948A7">
        <w:rPr>
          <w:rFonts w:ascii="Arial" w:hAnsi="Arial" w:cs="Arial"/>
          <w:b/>
          <w:sz w:val="24"/>
        </w:rPr>
        <w:t xml:space="preserve">Number of Members per Physician with a Cardiology Specialty </w:t>
      </w:r>
      <w:r w:rsidR="00CD3AA8">
        <w:rPr>
          <w:rFonts w:ascii="Arial" w:hAnsi="Arial" w:cs="Arial"/>
          <w:b/>
          <w:sz w:val="24"/>
        </w:rPr>
        <w:t>by County</w:t>
      </w:r>
      <w:r w:rsidRPr="004948A7">
        <w:rPr>
          <w:rFonts w:ascii="Arial" w:hAnsi="Arial" w:cs="Arial"/>
          <w:b/>
          <w:sz w:val="24"/>
        </w:rPr>
        <w:t xml:space="preserve"> SFY16-SFY18</w:t>
      </w:r>
    </w:p>
    <w:tbl>
      <w:tblPr>
        <w:tblW w:w="4525" w:type="dxa"/>
        <w:tblInd w:w="113" w:type="dxa"/>
        <w:tblLook w:val="04A0" w:firstRow="1" w:lastRow="0" w:firstColumn="1" w:lastColumn="0" w:noHBand="0" w:noVBand="1"/>
      </w:tblPr>
      <w:tblGrid>
        <w:gridCol w:w="1440"/>
        <w:gridCol w:w="1440"/>
        <w:gridCol w:w="1440"/>
        <w:gridCol w:w="1440"/>
      </w:tblGrid>
      <w:tr w:rsidR="00E41279" w:rsidRPr="00E41279" w:rsidTr="00E41279">
        <w:trPr>
          <w:trHeight w:val="300"/>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SFY18</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401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368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685</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497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398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239</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682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646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903</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1,037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1,078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1,397</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1,305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836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1,335</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791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770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631</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430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508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939</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437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470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358</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392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394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408</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775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826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986</w:t>
            </w:r>
          </w:p>
        </w:tc>
      </w:tr>
      <w:tr w:rsidR="00E41279" w:rsidRPr="00E41279"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157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150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155</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640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626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972</w:t>
            </w:r>
          </w:p>
        </w:tc>
      </w:tr>
    </w:tbl>
    <w:p w:rsidR="002410E2" w:rsidRPr="004809F3" w:rsidRDefault="002410E2" w:rsidP="00BD6731">
      <w:pPr>
        <w:rPr>
          <w:rFonts w:ascii="Arial" w:hAnsi="Arial" w:cs="Arial"/>
          <w:sz w:val="24"/>
          <w:szCs w:val="24"/>
        </w:rPr>
      </w:pPr>
    </w:p>
    <w:p w:rsidR="00931AFA" w:rsidRPr="004948A7" w:rsidRDefault="00931AFA" w:rsidP="004948A7">
      <w:pPr>
        <w:ind w:firstLine="0"/>
        <w:rPr>
          <w:rFonts w:ascii="Arial" w:hAnsi="Arial" w:cs="Arial"/>
          <w:b/>
          <w:sz w:val="24"/>
        </w:rPr>
      </w:pPr>
      <w:r w:rsidRPr="004948A7">
        <w:rPr>
          <w:rFonts w:ascii="Arial" w:hAnsi="Arial" w:cs="Arial"/>
          <w:b/>
          <w:sz w:val="24"/>
        </w:rPr>
        <w:t xml:space="preserve">Number of Members per Physician with a Hematology/Oncology Specialty </w:t>
      </w:r>
      <w:r w:rsidR="00CD3AA8">
        <w:rPr>
          <w:rFonts w:ascii="Arial" w:hAnsi="Arial" w:cs="Arial"/>
          <w:b/>
          <w:sz w:val="24"/>
        </w:rPr>
        <w:t>by County</w:t>
      </w:r>
      <w:r w:rsidRPr="004948A7">
        <w:rPr>
          <w:rFonts w:ascii="Arial" w:hAnsi="Arial" w:cs="Arial"/>
          <w:b/>
          <w:sz w:val="24"/>
        </w:rPr>
        <w:t xml:space="preserve"> SFY16-SFY18</w:t>
      </w:r>
    </w:p>
    <w:tbl>
      <w:tblPr>
        <w:tblW w:w="4431" w:type="dxa"/>
        <w:tblInd w:w="113" w:type="dxa"/>
        <w:tblLook w:val="04A0" w:firstRow="1" w:lastRow="0" w:firstColumn="1" w:lastColumn="0" w:noHBand="0" w:noVBand="1"/>
      </w:tblPr>
      <w:tblGrid>
        <w:gridCol w:w="1440"/>
        <w:gridCol w:w="1440"/>
        <w:gridCol w:w="1440"/>
        <w:gridCol w:w="1440"/>
      </w:tblGrid>
      <w:tr w:rsidR="002410E2" w:rsidRPr="004809F3" w:rsidTr="00E41279">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869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827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1,827</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1,690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1,514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1,074</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1,116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1,268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1,619</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4,715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4,313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7,142</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1,270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1,260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1,006</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1,004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870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1,341</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854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997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808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N/A</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979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1,220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1,127</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1,550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1,434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1,712</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128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121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142</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lastRenderedPageBreak/>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921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979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1,530</w:t>
            </w:r>
          </w:p>
        </w:tc>
      </w:tr>
    </w:tbl>
    <w:p w:rsidR="002410E2" w:rsidRPr="004809F3" w:rsidRDefault="002410E2" w:rsidP="00BD6731">
      <w:pPr>
        <w:rPr>
          <w:rFonts w:ascii="Arial" w:hAnsi="Arial" w:cs="Arial"/>
          <w:sz w:val="24"/>
          <w:szCs w:val="24"/>
        </w:rPr>
      </w:pPr>
    </w:p>
    <w:p w:rsidR="00931AFA" w:rsidRPr="004948A7" w:rsidRDefault="00931AFA" w:rsidP="004948A7">
      <w:pPr>
        <w:ind w:firstLine="0"/>
        <w:rPr>
          <w:rFonts w:ascii="Arial" w:hAnsi="Arial" w:cs="Arial"/>
          <w:b/>
          <w:sz w:val="24"/>
        </w:rPr>
      </w:pPr>
      <w:r w:rsidRPr="004948A7">
        <w:rPr>
          <w:rFonts w:ascii="Arial" w:hAnsi="Arial" w:cs="Arial"/>
          <w:b/>
          <w:sz w:val="24"/>
        </w:rPr>
        <w:t xml:space="preserve">Number of Members per Physician with an Emergency Medicine Specialty </w:t>
      </w:r>
      <w:r w:rsidR="00CD3AA8">
        <w:rPr>
          <w:rFonts w:ascii="Arial" w:hAnsi="Arial" w:cs="Arial"/>
          <w:b/>
          <w:sz w:val="24"/>
        </w:rPr>
        <w:t>by County</w:t>
      </w:r>
      <w:r w:rsidRPr="004948A7">
        <w:rPr>
          <w:rFonts w:ascii="Arial" w:hAnsi="Arial" w:cs="Arial"/>
          <w:b/>
          <w:sz w:val="24"/>
        </w:rPr>
        <w:t xml:space="preserve"> SFY16-SFY18</w:t>
      </w:r>
    </w:p>
    <w:tbl>
      <w:tblPr>
        <w:tblW w:w="4571" w:type="dxa"/>
        <w:tblInd w:w="113" w:type="dxa"/>
        <w:tblLook w:val="04A0" w:firstRow="1" w:lastRow="0" w:firstColumn="1" w:lastColumn="0" w:noHBand="0" w:noVBand="1"/>
      </w:tblPr>
      <w:tblGrid>
        <w:gridCol w:w="1440"/>
        <w:gridCol w:w="1440"/>
        <w:gridCol w:w="1440"/>
        <w:gridCol w:w="1440"/>
      </w:tblGrid>
      <w:tr w:rsidR="002410E2" w:rsidRPr="004809F3" w:rsidTr="00E41279">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SFY18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177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160</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378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402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344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179</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594</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555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745</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89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218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789</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396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408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545</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746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717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1,335</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388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355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255</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251</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277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408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E41279" w:rsidRDefault="002410E2" w:rsidP="002410E2">
            <w:pPr>
              <w:ind w:firstLine="0"/>
              <w:rPr>
                <w:rFonts w:ascii="Arial" w:eastAsia="Times New Roman" w:hAnsi="Arial" w:cs="Arial"/>
                <w:sz w:val="24"/>
                <w:szCs w:val="24"/>
              </w:rPr>
            </w:pPr>
            <w:r w:rsidRPr="00E41279">
              <w:rPr>
                <w:rFonts w:ascii="Arial" w:eastAsia="Times New Roman" w:hAnsi="Arial" w:cs="Arial"/>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245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235</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E41279" w:rsidRDefault="002410E2" w:rsidP="002410E2">
            <w:pPr>
              <w:ind w:firstLine="0"/>
              <w:jc w:val="right"/>
              <w:rPr>
                <w:rFonts w:ascii="Arial" w:eastAsia="Times New Roman" w:hAnsi="Arial" w:cs="Arial"/>
                <w:sz w:val="24"/>
                <w:szCs w:val="24"/>
              </w:rPr>
            </w:pPr>
            <w:r w:rsidRPr="00E41279">
              <w:rPr>
                <w:rFonts w:ascii="Arial" w:eastAsia="Times New Roman" w:hAnsi="Arial" w:cs="Arial"/>
                <w:sz w:val="24"/>
                <w:szCs w:val="24"/>
              </w:rPr>
              <w:t>189</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N/A</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509</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442</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388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436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407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508</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207</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193</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196</w:t>
            </w:r>
          </w:p>
        </w:tc>
      </w:tr>
      <w:tr w:rsidR="002410E2" w:rsidRPr="004809F3"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410E2" w:rsidRPr="004809F3" w:rsidRDefault="002410E2" w:rsidP="002410E2">
            <w:pPr>
              <w:ind w:firstLine="0"/>
              <w:rPr>
                <w:rFonts w:ascii="Arial" w:eastAsia="Times New Roman" w:hAnsi="Arial" w:cs="Arial"/>
                <w:color w:val="000000"/>
                <w:sz w:val="24"/>
                <w:szCs w:val="24"/>
              </w:rPr>
            </w:pPr>
            <w:r w:rsidRPr="004809F3">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278</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276</w:t>
            </w:r>
          </w:p>
        </w:tc>
        <w:tc>
          <w:tcPr>
            <w:tcW w:w="1440" w:type="dxa"/>
            <w:tcBorders>
              <w:top w:val="nil"/>
              <w:left w:val="nil"/>
              <w:bottom w:val="single" w:sz="4" w:space="0" w:color="auto"/>
              <w:right w:val="single" w:sz="4" w:space="0" w:color="auto"/>
            </w:tcBorders>
            <w:shd w:val="clear" w:color="000000" w:fill="FFFFFF"/>
            <w:noWrap/>
            <w:vAlign w:val="bottom"/>
            <w:hideMark/>
          </w:tcPr>
          <w:p w:rsidR="002410E2" w:rsidRPr="004809F3" w:rsidRDefault="002410E2" w:rsidP="002410E2">
            <w:pPr>
              <w:ind w:firstLine="0"/>
              <w:jc w:val="right"/>
              <w:rPr>
                <w:rFonts w:ascii="Arial" w:eastAsia="Times New Roman" w:hAnsi="Arial" w:cs="Arial"/>
                <w:color w:val="000000"/>
                <w:sz w:val="24"/>
                <w:szCs w:val="24"/>
              </w:rPr>
            </w:pPr>
            <w:r w:rsidRPr="004809F3">
              <w:rPr>
                <w:rFonts w:ascii="Arial" w:eastAsia="Times New Roman" w:hAnsi="Arial" w:cs="Arial"/>
                <w:color w:val="000000"/>
                <w:sz w:val="24"/>
                <w:szCs w:val="24"/>
              </w:rPr>
              <w:t>439</w:t>
            </w:r>
          </w:p>
        </w:tc>
      </w:tr>
    </w:tbl>
    <w:p w:rsidR="00931AFA" w:rsidRPr="004809F3" w:rsidRDefault="00931AFA" w:rsidP="00931AFA">
      <w:pPr>
        <w:rPr>
          <w:rFonts w:ascii="Arial" w:hAnsi="Arial" w:cs="Arial"/>
          <w:sz w:val="24"/>
          <w:szCs w:val="24"/>
        </w:rPr>
      </w:pPr>
    </w:p>
    <w:p w:rsidR="00074070" w:rsidRPr="0066291B" w:rsidRDefault="00A945FF" w:rsidP="0066291B">
      <w:pPr>
        <w:pStyle w:val="Heading2"/>
        <w:rPr>
          <w:rFonts w:ascii="Arial" w:hAnsi="Arial" w:cs="Arial"/>
          <w:color w:val="auto"/>
          <w:sz w:val="24"/>
          <w:u w:val="single"/>
        </w:rPr>
      </w:pPr>
      <w:bookmarkStart w:id="39" w:name="_Toc10810582"/>
      <w:bookmarkStart w:id="40" w:name="_Toc20296933"/>
      <w:r>
        <w:rPr>
          <w:rFonts w:ascii="Arial" w:hAnsi="Arial" w:cs="Arial"/>
          <w:color w:val="auto"/>
          <w:sz w:val="24"/>
          <w:u w:val="single"/>
        </w:rPr>
        <w:t>3</w:t>
      </w:r>
      <w:r w:rsidR="007A502F" w:rsidRPr="0066291B">
        <w:rPr>
          <w:rFonts w:ascii="Arial" w:hAnsi="Arial" w:cs="Arial"/>
          <w:color w:val="auto"/>
          <w:sz w:val="24"/>
          <w:u w:val="single"/>
        </w:rPr>
        <w:t>.</w:t>
      </w:r>
      <w:r w:rsidR="00074070" w:rsidRPr="0066291B">
        <w:rPr>
          <w:rFonts w:ascii="Arial" w:hAnsi="Arial" w:cs="Arial"/>
          <w:color w:val="auto"/>
          <w:sz w:val="24"/>
          <w:u w:val="single"/>
        </w:rPr>
        <w:t xml:space="preserve"> Utilization</w:t>
      </w:r>
      <w:r w:rsidR="00415600" w:rsidRPr="0066291B">
        <w:rPr>
          <w:rFonts w:ascii="Arial" w:hAnsi="Arial" w:cs="Arial"/>
          <w:color w:val="auto"/>
          <w:sz w:val="24"/>
          <w:u w:val="single"/>
        </w:rPr>
        <w:t xml:space="preserve"> of Specialty Care Services</w:t>
      </w:r>
      <w:bookmarkEnd w:id="39"/>
      <w:bookmarkEnd w:id="40"/>
    </w:p>
    <w:p w:rsidR="00074070" w:rsidRPr="007E369D" w:rsidRDefault="00074070" w:rsidP="00074070">
      <w:pPr>
        <w:ind w:firstLine="0"/>
        <w:rPr>
          <w:rFonts w:ascii="Arial" w:hAnsi="Arial" w:cs="Arial"/>
        </w:rPr>
      </w:pPr>
    </w:p>
    <w:p w:rsidR="00756641" w:rsidRPr="007E369D" w:rsidRDefault="00756641" w:rsidP="00756641">
      <w:pPr>
        <w:ind w:firstLine="0"/>
        <w:rPr>
          <w:rFonts w:ascii="Arial" w:hAnsi="Arial" w:cs="Arial"/>
          <w:sz w:val="24"/>
        </w:rPr>
      </w:pPr>
      <w:r w:rsidRPr="007E369D">
        <w:rPr>
          <w:rFonts w:ascii="Arial" w:hAnsi="Arial" w:cs="Arial"/>
          <w:sz w:val="24"/>
        </w:rPr>
        <w:t>Data source: MMIS member enrollment data and MMIS claims data</w:t>
      </w:r>
    </w:p>
    <w:p w:rsidR="00582B5F" w:rsidRPr="007E369D" w:rsidRDefault="00582B5F" w:rsidP="00756641">
      <w:pPr>
        <w:ind w:firstLine="0"/>
        <w:rPr>
          <w:rFonts w:ascii="Arial" w:hAnsi="Arial" w:cs="Arial"/>
          <w:sz w:val="24"/>
        </w:rPr>
      </w:pPr>
    </w:p>
    <w:p w:rsidR="0081769B" w:rsidRDefault="00756641" w:rsidP="00756641">
      <w:pPr>
        <w:ind w:firstLine="0"/>
        <w:rPr>
          <w:rFonts w:ascii="Arial" w:hAnsi="Arial" w:cs="Arial"/>
          <w:sz w:val="24"/>
        </w:rPr>
      </w:pPr>
      <w:r w:rsidRPr="007E369D">
        <w:rPr>
          <w:rFonts w:ascii="Arial" w:hAnsi="Arial" w:cs="Arial"/>
          <w:sz w:val="24"/>
        </w:rPr>
        <w:t>Methodology:</w:t>
      </w:r>
      <w:r w:rsidR="00CC1C46" w:rsidRPr="007E369D">
        <w:rPr>
          <w:rFonts w:ascii="Arial" w:hAnsi="Arial" w:cs="Arial"/>
          <w:sz w:val="24"/>
        </w:rPr>
        <w:t xml:space="preserve"> </w:t>
      </w:r>
      <w:r w:rsidRPr="007E369D">
        <w:rPr>
          <w:rFonts w:ascii="Arial" w:hAnsi="Arial" w:cs="Arial"/>
          <w:sz w:val="24"/>
        </w:rPr>
        <w:t xml:space="preserve">Number of members </w:t>
      </w:r>
      <w:r w:rsidR="00005858" w:rsidRPr="007E369D">
        <w:rPr>
          <w:rFonts w:ascii="Arial" w:hAnsi="Arial" w:cs="Arial"/>
          <w:sz w:val="24"/>
        </w:rPr>
        <w:t xml:space="preserve">residing in a county </w:t>
      </w:r>
      <w:r w:rsidRPr="007E369D">
        <w:rPr>
          <w:rFonts w:ascii="Arial" w:hAnsi="Arial" w:cs="Arial"/>
          <w:sz w:val="24"/>
        </w:rPr>
        <w:t>divided by episodes of care</w:t>
      </w:r>
      <w:r w:rsidR="00005858" w:rsidRPr="007E369D">
        <w:rPr>
          <w:rFonts w:ascii="Arial" w:hAnsi="Arial" w:cs="Arial"/>
          <w:sz w:val="24"/>
        </w:rPr>
        <w:t xml:space="preserve"> provided by </w:t>
      </w:r>
      <w:r w:rsidR="005D381C">
        <w:rPr>
          <w:rFonts w:ascii="Arial" w:hAnsi="Arial" w:cs="Arial"/>
          <w:sz w:val="24"/>
        </w:rPr>
        <w:t xml:space="preserve">self-identified specialty physician </w:t>
      </w:r>
      <w:r w:rsidR="00005858" w:rsidRPr="007E369D">
        <w:rPr>
          <w:rFonts w:ascii="Arial" w:hAnsi="Arial" w:cs="Arial"/>
          <w:sz w:val="24"/>
        </w:rPr>
        <w:t>providers located in that cou</w:t>
      </w:r>
      <w:r w:rsidR="00D82E8E" w:rsidRPr="007E369D">
        <w:rPr>
          <w:rFonts w:ascii="Arial" w:hAnsi="Arial" w:cs="Arial"/>
          <w:sz w:val="24"/>
        </w:rPr>
        <w:t>n</w:t>
      </w:r>
      <w:r w:rsidR="00005858" w:rsidRPr="007E369D">
        <w:rPr>
          <w:rFonts w:ascii="Arial" w:hAnsi="Arial" w:cs="Arial"/>
          <w:sz w:val="24"/>
        </w:rPr>
        <w:t>ty</w:t>
      </w:r>
      <w:r w:rsidRPr="007E369D">
        <w:rPr>
          <w:rFonts w:ascii="Arial" w:hAnsi="Arial" w:cs="Arial"/>
          <w:sz w:val="24"/>
        </w:rPr>
        <w:t>, multiplied by 1,000</w:t>
      </w:r>
      <w:r w:rsidR="00582B5F" w:rsidRPr="007E369D">
        <w:rPr>
          <w:rFonts w:ascii="Arial" w:hAnsi="Arial" w:cs="Arial"/>
          <w:sz w:val="24"/>
        </w:rPr>
        <w:t xml:space="preserve">. </w:t>
      </w:r>
      <w:r w:rsidR="005D381C">
        <w:rPr>
          <w:rFonts w:ascii="Arial" w:hAnsi="Arial" w:cs="Arial"/>
          <w:sz w:val="24"/>
        </w:rPr>
        <w:t xml:space="preserve">Utilization was determined by </w:t>
      </w:r>
      <w:r w:rsidRPr="007E369D">
        <w:rPr>
          <w:rFonts w:ascii="Arial" w:hAnsi="Arial" w:cs="Arial"/>
          <w:sz w:val="24"/>
        </w:rPr>
        <w:t>using MMIS data to determine the number of episodes of care, defined as the number of times that the same member, under any circumst</w:t>
      </w:r>
      <w:r w:rsidR="00957161" w:rsidRPr="007E369D">
        <w:rPr>
          <w:rFonts w:ascii="Arial" w:hAnsi="Arial" w:cs="Arial"/>
          <w:sz w:val="24"/>
        </w:rPr>
        <w:t>ance, visits the same provider i</w:t>
      </w:r>
      <w:r w:rsidRPr="007E369D">
        <w:rPr>
          <w:rFonts w:ascii="Arial" w:hAnsi="Arial" w:cs="Arial"/>
          <w:sz w:val="24"/>
        </w:rPr>
        <w:t xml:space="preserve">n the same </w:t>
      </w:r>
      <w:r w:rsidR="00957161" w:rsidRPr="007E369D">
        <w:rPr>
          <w:rFonts w:ascii="Arial" w:hAnsi="Arial" w:cs="Arial"/>
          <w:sz w:val="24"/>
        </w:rPr>
        <w:t>year</w:t>
      </w:r>
      <w:r w:rsidRPr="007E369D">
        <w:rPr>
          <w:rFonts w:ascii="Arial" w:hAnsi="Arial" w:cs="Arial"/>
          <w:sz w:val="24"/>
        </w:rPr>
        <w:t>.</w:t>
      </w:r>
      <w:r w:rsidR="00887FC6" w:rsidRPr="007E369D">
        <w:rPr>
          <w:rFonts w:ascii="Arial" w:hAnsi="Arial" w:cs="Arial"/>
        </w:rPr>
        <w:t xml:space="preserve"> </w:t>
      </w:r>
      <w:r w:rsidR="00887FC6" w:rsidRPr="007E369D">
        <w:rPr>
          <w:rFonts w:ascii="Arial" w:hAnsi="Arial" w:cs="Arial"/>
          <w:sz w:val="24"/>
        </w:rPr>
        <w:t xml:space="preserve">We converted the measure to be per 1,000 (multiplied by 1,000) so </w:t>
      </w:r>
      <w:r w:rsidR="005D381C">
        <w:rPr>
          <w:rFonts w:ascii="Arial" w:hAnsi="Arial" w:cs="Arial"/>
          <w:sz w:val="24"/>
        </w:rPr>
        <w:t xml:space="preserve">all </w:t>
      </w:r>
      <w:r w:rsidR="00887FC6" w:rsidRPr="007E369D">
        <w:rPr>
          <w:rFonts w:ascii="Arial" w:hAnsi="Arial" w:cs="Arial"/>
          <w:sz w:val="24"/>
        </w:rPr>
        <w:t xml:space="preserve">data </w:t>
      </w:r>
      <w:r w:rsidR="005D381C">
        <w:rPr>
          <w:rFonts w:ascii="Arial" w:hAnsi="Arial" w:cs="Arial"/>
          <w:sz w:val="24"/>
        </w:rPr>
        <w:t>i</w:t>
      </w:r>
      <w:r w:rsidR="00887FC6" w:rsidRPr="007E369D">
        <w:rPr>
          <w:rFonts w:ascii="Arial" w:hAnsi="Arial" w:cs="Arial"/>
          <w:sz w:val="24"/>
        </w:rPr>
        <w:t xml:space="preserve">s on the same scale and therefore comparable. Members are defined as PCC </w:t>
      </w:r>
      <w:r w:rsidR="00CC1CB5">
        <w:rPr>
          <w:rFonts w:ascii="Arial" w:hAnsi="Arial" w:cs="Arial"/>
          <w:sz w:val="24"/>
        </w:rPr>
        <w:t>P</w:t>
      </w:r>
      <w:r w:rsidR="00887FC6" w:rsidRPr="007E369D">
        <w:rPr>
          <w:rFonts w:ascii="Arial" w:hAnsi="Arial" w:cs="Arial"/>
          <w:sz w:val="24"/>
        </w:rPr>
        <w:t>lan members</w:t>
      </w:r>
      <w:r w:rsidR="0075313E" w:rsidRPr="007E369D">
        <w:rPr>
          <w:rFonts w:ascii="Arial" w:hAnsi="Arial" w:cs="Arial"/>
          <w:sz w:val="24"/>
        </w:rPr>
        <w:t>,</w:t>
      </w:r>
      <w:r w:rsidR="00887FC6" w:rsidRPr="007E369D">
        <w:rPr>
          <w:rFonts w:ascii="Arial" w:hAnsi="Arial" w:cs="Arial"/>
          <w:sz w:val="24"/>
        </w:rPr>
        <w:t xml:space="preserve"> FFS members with MassHealth as primary coverage and members enrolled in a </w:t>
      </w:r>
      <w:r w:rsidR="00485965" w:rsidRPr="007E369D">
        <w:rPr>
          <w:rFonts w:ascii="Arial" w:hAnsi="Arial" w:cs="Arial"/>
          <w:sz w:val="24"/>
        </w:rPr>
        <w:t>Primary Care</w:t>
      </w:r>
      <w:r w:rsidR="00887FC6" w:rsidRPr="007E369D">
        <w:rPr>
          <w:rFonts w:ascii="Arial" w:hAnsi="Arial" w:cs="Arial"/>
          <w:sz w:val="24"/>
        </w:rPr>
        <w:t xml:space="preserve"> ACO.</w:t>
      </w:r>
      <w:r w:rsidR="005D2E48" w:rsidRPr="007E369D">
        <w:rPr>
          <w:rFonts w:ascii="Arial" w:hAnsi="Arial" w:cs="Arial"/>
          <w:sz w:val="24"/>
        </w:rPr>
        <w:t xml:space="preserve"> Additional considerations:</w:t>
      </w:r>
    </w:p>
    <w:p w:rsidR="007E369D" w:rsidRPr="007E369D" w:rsidRDefault="007E369D" w:rsidP="00756641">
      <w:pPr>
        <w:ind w:firstLine="0"/>
        <w:rPr>
          <w:rFonts w:ascii="Arial" w:hAnsi="Arial" w:cs="Arial"/>
          <w:sz w:val="24"/>
        </w:rPr>
      </w:pPr>
    </w:p>
    <w:p w:rsidR="0081769B" w:rsidRPr="007E369D" w:rsidRDefault="0081769B" w:rsidP="00E96463">
      <w:pPr>
        <w:pStyle w:val="ListParagraph"/>
        <w:numPr>
          <w:ilvl w:val="0"/>
          <w:numId w:val="30"/>
        </w:numPr>
        <w:rPr>
          <w:rFonts w:ascii="Arial" w:hAnsi="Arial" w:cs="Arial"/>
          <w:sz w:val="24"/>
        </w:rPr>
      </w:pPr>
      <w:r w:rsidRPr="007E369D">
        <w:rPr>
          <w:rFonts w:ascii="Arial" w:hAnsi="Arial" w:cs="Arial"/>
          <w:sz w:val="24"/>
        </w:rPr>
        <w:t>The episode of care data in the utilization section was calculated based on the location of the provider</w:t>
      </w:r>
      <w:r w:rsidR="005D381C">
        <w:rPr>
          <w:rFonts w:ascii="Arial" w:hAnsi="Arial" w:cs="Arial"/>
          <w:sz w:val="24"/>
        </w:rPr>
        <w:t>. No</w:t>
      </w:r>
      <w:r w:rsidR="00271DF1" w:rsidRPr="007E369D">
        <w:rPr>
          <w:rFonts w:ascii="Arial" w:hAnsi="Arial" w:cs="Arial"/>
          <w:sz w:val="24"/>
        </w:rPr>
        <w:t xml:space="preserve">te that </w:t>
      </w:r>
      <w:r w:rsidRPr="007E369D">
        <w:rPr>
          <w:rFonts w:ascii="Arial" w:hAnsi="Arial" w:cs="Arial"/>
          <w:sz w:val="24"/>
        </w:rPr>
        <w:t>members can seek care in counties</w:t>
      </w:r>
      <w:r w:rsidR="00AE3568" w:rsidRPr="007E369D">
        <w:rPr>
          <w:rFonts w:ascii="Arial" w:hAnsi="Arial" w:cs="Arial"/>
          <w:sz w:val="24"/>
        </w:rPr>
        <w:t xml:space="preserve"> other than their county of residence</w:t>
      </w:r>
      <w:r w:rsidRPr="007E369D">
        <w:rPr>
          <w:rFonts w:ascii="Arial" w:hAnsi="Arial" w:cs="Arial"/>
          <w:sz w:val="24"/>
        </w:rPr>
        <w:t>.</w:t>
      </w:r>
    </w:p>
    <w:p w:rsidR="00127313" w:rsidRPr="007E369D" w:rsidRDefault="00127313" w:rsidP="00756641">
      <w:pPr>
        <w:ind w:firstLine="0"/>
        <w:rPr>
          <w:rFonts w:ascii="Arial" w:hAnsi="Arial" w:cs="Arial"/>
          <w:sz w:val="24"/>
        </w:rPr>
      </w:pPr>
    </w:p>
    <w:p w:rsidR="004A640B" w:rsidRPr="00FD405F" w:rsidRDefault="004A640B" w:rsidP="004A640B">
      <w:pPr>
        <w:pStyle w:val="ListParagraph"/>
        <w:numPr>
          <w:ilvl w:val="0"/>
          <w:numId w:val="28"/>
        </w:numPr>
        <w:rPr>
          <w:rFonts w:ascii="Arial" w:hAnsi="Arial" w:cs="Arial"/>
          <w:sz w:val="24"/>
          <w:szCs w:val="24"/>
        </w:rPr>
      </w:pPr>
      <w:r w:rsidRPr="00FD405F">
        <w:rPr>
          <w:rFonts w:ascii="Arial" w:hAnsi="Arial" w:cs="Arial"/>
          <w:sz w:val="24"/>
          <w:szCs w:val="24"/>
        </w:rPr>
        <w:t xml:space="preserve">N/A indicates </w:t>
      </w:r>
      <w:r>
        <w:rPr>
          <w:rFonts w:ascii="Arial" w:hAnsi="Arial" w:cs="Arial"/>
          <w:sz w:val="24"/>
          <w:szCs w:val="24"/>
        </w:rPr>
        <w:t>utilization could not be computed because there were no services utilized</w:t>
      </w:r>
      <w:r w:rsidRPr="00FD405F">
        <w:rPr>
          <w:rFonts w:ascii="Arial" w:hAnsi="Arial" w:cs="Arial"/>
          <w:sz w:val="24"/>
          <w:szCs w:val="24"/>
        </w:rPr>
        <w:t xml:space="preserve"> for such service in that </w:t>
      </w:r>
      <w:proofErr w:type="gramStart"/>
      <w:r w:rsidRPr="00FD405F">
        <w:rPr>
          <w:rFonts w:ascii="Arial" w:hAnsi="Arial" w:cs="Arial"/>
          <w:sz w:val="24"/>
          <w:szCs w:val="24"/>
        </w:rPr>
        <w:t>county</w:t>
      </w:r>
      <w:proofErr w:type="gramEnd"/>
      <w:r w:rsidRPr="00FD405F">
        <w:rPr>
          <w:rFonts w:ascii="Arial" w:hAnsi="Arial" w:cs="Arial"/>
          <w:sz w:val="24"/>
          <w:szCs w:val="24"/>
        </w:rPr>
        <w:t xml:space="preserve">. </w:t>
      </w:r>
    </w:p>
    <w:p w:rsidR="00887FC6" w:rsidRPr="007E369D" w:rsidRDefault="00887FC6" w:rsidP="00756641">
      <w:pPr>
        <w:ind w:firstLine="0"/>
        <w:rPr>
          <w:rFonts w:ascii="Arial" w:hAnsi="Arial" w:cs="Arial"/>
          <w:sz w:val="24"/>
        </w:rPr>
      </w:pPr>
    </w:p>
    <w:p w:rsidR="00B16D62" w:rsidRPr="00B34BFF" w:rsidRDefault="00C12307" w:rsidP="00B34BFF">
      <w:pPr>
        <w:pStyle w:val="ListParagraph"/>
        <w:numPr>
          <w:ilvl w:val="0"/>
          <w:numId w:val="30"/>
        </w:numPr>
        <w:rPr>
          <w:rFonts w:ascii="Arial" w:hAnsi="Arial" w:cs="Arial"/>
          <w:sz w:val="24"/>
        </w:rPr>
      </w:pPr>
      <w:r w:rsidRPr="007E369D">
        <w:rPr>
          <w:rFonts w:ascii="Arial" w:hAnsi="Arial" w:cs="Arial"/>
          <w:sz w:val="24"/>
        </w:rPr>
        <w:lastRenderedPageBreak/>
        <w:t>O</w:t>
      </w:r>
      <w:r w:rsidRPr="00B34BFF">
        <w:rPr>
          <w:rFonts w:ascii="Arial" w:hAnsi="Arial" w:cs="Arial"/>
          <w:sz w:val="24"/>
        </w:rPr>
        <w:t>ut</w:t>
      </w:r>
      <w:r w:rsidR="00E82FE4" w:rsidRPr="00B34BFF">
        <w:rPr>
          <w:rFonts w:ascii="Arial" w:hAnsi="Arial" w:cs="Arial"/>
          <w:sz w:val="24"/>
        </w:rPr>
        <w:t>-of-</w:t>
      </w:r>
      <w:r w:rsidRPr="00B34BFF">
        <w:rPr>
          <w:rFonts w:ascii="Arial" w:hAnsi="Arial" w:cs="Arial"/>
          <w:sz w:val="24"/>
        </w:rPr>
        <w:t>state utilization data is excluded because</w:t>
      </w:r>
      <w:r w:rsidR="005D381C">
        <w:rPr>
          <w:rFonts w:ascii="Arial" w:hAnsi="Arial" w:cs="Arial"/>
          <w:sz w:val="24"/>
        </w:rPr>
        <w:t xml:space="preserve"> </w:t>
      </w:r>
      <w:r w:rsidR="00AE3568" w:rsidRPr="00B34BFF">
        <w:rPr>
          <w:rFonts w:ascii="Arial" w:hAnsi="Arial" w:cs="Arial"/>
          <w:sz w:val="24"/>
        </w:rPr>
        <w:t xml:space="preserve">there is not a consistent or statistically appropriate way to calculate a ratio of MassHealth members to out-of-state </w:t>
      </w:r>
      <w:r w:rsidR="005D381C">
        <w:rPr>
          <w:rFonts w:ascii="Arial" w:hAnsi="Arial" w:cs="Arial"/>
          <w:sz w:val="24"/>
        </w:rPr>
        <w:t xml:space="preserve">specialty </w:t>
      </w:r>
      <w:r w:rsidR="00AE3568" w:rsidRPr="00B34BFF">
        <w:rPr>
          <w:rFonts w:ascii="Arial" w:hAnsi="Arial" w:cs="Arial"/>
          <w:sz w:val="24"/>
        </w:rPr>
        <w:t>providers</w:t>
      </w:r>
      <w:r w:rsidRPr="00B34BFF">
        <w:rPr>
          <w:rFonts w:ascii="Arial" w:hAnsi="Arial" w:cs="Arial"/>
          <w:sz w:val="24"/>
        </w:rPr>
        <w:t>.</w:t>
      </w:r>
    </w:p>
    <w:p w:rsidR="00C804F2" w:rsidRPr="007E369D" w:rsidRDefault="00C804F2" w:rsidP="00756641">
      <w:pPr>
        <w:ind w:firstLine="0"/>
        <w:rPr>
          <w:rFonts w:ascii="Arial" w:hAnsi="Arial" w:cs="Arial"/>
          <w:sz w:val="24"/>
        </w:rPr>
      </w:pPr>
    </w:p>
    <w:p w:rsidR="00756641" w:rsidRPr="007E369D" w:rsidRDefault="00756641" w:rsidP="00E96463">
      <w:pPr>
        <w:pStyle w:val="ListParagraph"/>
        <w:numPr>
          <w:ilvl w:val="0"/>
          <w:numId w:val="30"/>
        </w:numPr>
        <w:rPr>
          <w:rFonts w:ascii="Arial" w:hAnsi="Arial" w:cs="Arial"/>
          <w:sz w:val="24"/>
        </w:rPr>
      </w:pPr>
      <w:r w:rsidRPr="007E369D">
        <w:rPr>
          <w:rFonts w:ascii="Arial" w:hAnsi="Arial" w:cs="Arial"/>
          <w:sz w:val="24"/>
        </w:rPr>
        <w:t xml:space="preserve">Note that, </w:t>
      </w:r>
      <w:r w:rsidR="00024F15" w:rsidRPr="007E369D">
        <w:rPr>
          <w:rFonts w:ascii="Arial" w:hAnsi="Arial" w:cs="Arial"/>
          <w:sz w:val="24"/>
        </w:rPr>
        <w:t xml:space="preserve">for </w:t>
      </w:r>
      <w:r w:rsidR="005D381C">
        <w:rPr>
          <w:rFonts w:ascii="Arial" w:hAnsi="Arial" w:cs="Arial"/>
          <w:sz w:val="24"/>
        </w:rPr>
        <w:t xml:space="preserve">specialty </w:t>
      </w:r>
      <w:r w:rsidR="00024F15" w:rsidRPr="007E369D">
        <w:rPr>
          <w:rFonts w:ascii="Arial" w:hAnsi="Arial" w:cs="Arial"/>
          <w:sz w:val="24"/>
        </w:rPr>
        <w:t xml:space="preserve">providers in this section, </w:t>
      </w:r>
      <w:r w:rsidRPr="007E369D">
        <w:rPr>
          <w:rFonts w:ascii="Arial" w:hAnsi="Arial" w:cs="Arial"/>
          <w:sz w:val="24"/>
        </w:rPr>
        <w:t xml:space="preserve">we attributed all billing done by a particular </w:t>
      </w:r>
      <w:r w:rsidR="005D381C">
        <w:rPr>
          <w:rFonts w:ascii="Arial" w:hAnsi="Arial" w:cs="Arial"/>
          <w:sz w:val="24"/>
        </w:rPr>
        <w:t xml:space="preserve">specialty </w:t>
      </w:r>
      <w:r w:rsidRPr="007E369D">
        <w:rPr>
          <w:rFonts w:ascii="Arial" w:hAnsi="Arial" w:cs="Arial"/>
          <w:sz w:val="24"/>
        </w:rPr>
        <w:t>provider type to the category of care of the billing provider.</w:t>
      </w:r>
    </w:p>
    <w:p w:rsidR="00756641" w:rsidRPr="007E369D" w:rsidRDefault="00756641" w:rsidP="00756641">
      <w:pPr>
        <w:ind w:firstLine="0"/>
        <w:rPr>
          <w:rFonts w:ascii="Arial" w:hAnsi="Arial" w:cs="Arial"/>
        </w:rPr>
      </w:pPr>
    </w:p>
    <w:p w:rsidR="004D6178" w:rsidRPr="007E369D" w:rsidRDefault="004D6178" w:rsidP="00E96463">
      <w:pPr>
        <w:pStyle w:val="ListParagraph"/>
        <w:numPr>
          <w:ilvl w:val="0"/>
          <w:numId w:val="30"/>
        </w:numPr>
        <w:rPr>
          <w:rFonts w:ascii="Arial" w:hAnsi="Arial" w:cs="Arial"/>
          <w:sz w:val="28"/>
        </w:rPr>
      </w:pPr>
      <w:r w:rsidRPr="007E369D">
        <w:rPr>
          <w:rFonts w:ascii="Arial" w:hAnsi="Arial" w:cs="Arial"/>
          <w:sz w:val="24"/>
        </w:rPr>
        <w:t>Note that the data below includes claims submitted from independently</w:t>
      </w:r>
      <w:r w:rsidR="004A5A44">
        <w:rPr>
          <w:rFonts w:ascii="Arial" w:hAnsi="Arial" w:cs="Arial"/>
          <w:sz w:val="24"/>
        </w:rPr>
        <w:t xml:space="preserve"> enrolled MassHealth providers.</w:t>
      </w:r>
      <w:r w:rsidR="009E7756">
        <w:rPr>
          <w:rFonts w:ascii="Arial" w:hAnsi="Arial" w:cs="Arial"/>
        </w:rPr>
        <w:t xml:space="preserve"> </w:t>
      </w:r>
      <w:r w:rsidR="005D07D8" w:rsidRPr="007E369D">
        <w:rPr>
          <w:rFonts w:ascii="Arial" w:hAnsi="Arial" w:cs="Arial"/>
          <w:sz w:val="24"/>
        </w:rPr>
        <w:t xml:space="preserve">MassHealth does not separately enroll salaried </w:t>
      </w:r>
      <w:r w:rsidR="00BD6731" w:rsidRPr="007E369D">
        <w:rPr>
          <w:rFonts w:ascii="Arial" w:hAnsi="Arial" w:cs="Arial"/>
          <w:sz w:val="24"/>
        </w:rPr>
        <w:t xml:space="preserve">hospital-based </w:t>
      </w:r>
      <w:r w:rsidR="005D07D8" w:rsidRPr="007E369D">
        <w:rPr>
          <w:rFonts w:ascii="Arial" w:hAnsi="Arial" w:cs="Arial"/>
          <w:sz w:val="24"/>
        </w:rPr>
        <w:t>providers</w:t>
      </w:r>
      <w:r w:rsidR="0075313E" w:rsidRPr="007E369D">
        <w:rPr>
          <w:rFonts w:ascii="Arial" w:hAnsi="Arial" w:cs="Arial"/>
          <w:sz w:val="24"/>
        </w:rPr>
        <w:t xml:space="preserve"> as billing providers</w:t>
      </w:r>
      <w:r w:rsidR="005D07D8" w:rsidRPr="007E369D">
        <w:rPr>
          <w:rFonts w:ascii="Arial" w:hAnsi="Arial" w:cs="Arial"/>
          <w:sz w:val="24"/>
        </w:rPr>
        <w:t>. Since</w:t>
      </w:r>
      <w:r w:rsidR="009E7756">
        <w:rPr>
          <w:rFonts w:ascii="Arial" w:hAnsi="Arial" w:cs="Arial"/>
          <w:sz w:val="24"/>
        </w:rPr>
        <w:t xml:space="preserve"> such</w:t>
      </w:r>
      <w:r w:rsidR="005D07D8" w:rsidRPr="007E369D">
        <w:rPr>
          <w:rFonts w:ascii="Arial" w:hAnsi="Arial" w:cs="Arial"/>
          <w:sz w:val="24"/>
        </w:rPr>
        <w:t xml:space="preserve"> providers are not enrolled </w:t>
      </w:r>
      <w:r w:rsidR="0075313E" w:rsidRPr="007E369D">
        <w:rPr>
          <w:rFonts w:ascii="Arial" w:hAnsi="Arial" w:cs="Arial"/>
          <w:sz w:val="24"/>
        </w:rPr>
        <w:t xml:space="preserve">(or enrolled as </w:t>
      </w:r>
      <w:proofErr w:type="spellStart"/>
      <w:r w:rsidR="0075313E" w:rsidRPr="007E369D">
        <w:rPr>
          <w:rFonts w:ascii="Arial" w:hAnsi="Arial" w:cs="Arial"/>
          <w:sz w:val="24"/>
        </w:rPr>
        <w:t>nonbilling</w:t>
      </w:r>
      <w:proofErr w:type="spellEnd"/>
      <w:r w:rsidR="0075313E" w:rsidRPr="007E369D">
        <w:rPr>
          <w:rFonts w:ascii="Arial" w:hAnsi="Arial" w:cs="Arial"/>
          <w:sz w:val="24"/>
        </w:rPr>
        <w:t xml:space="preserve"> providers) </w:t>
      </w:r>
      <w:r w:rsidR="005D07D8" w:rsidRPr="007E369D">
        <w:rPr>
          <w:rFonts w:ascii="Arial" w:hAnsi="Arial" w:cs="Arial"/>
          <w:sz w:val="24"/>
        </w:rPr>
        <w:t>it is not possible to quantify when a specialty provider has rendered service</w:t>
      </w:r>
      <w:r w:rsidR="0075313E" w:rsidRPr="007E369D">
        <w:rPr>
          <w:rFonts w:ascii="Arial" w:hAnsi="Arial" w:cs="Arial"/>
          <w:sz w:val="24"/>
        </w:rPr>
        <w:t xml:space="preserve"> when claimed by a hospital</w:t>
      </w:r>
      <w:r w:rsidR="005D07D8" w:rsidRPr="007E369D">
        <w:rPr>
          <w:rFonts w:ascii="Arial" w:hAnsi="Arial" w:cs="Arial"/>
          <w:sz w:val="24"/>
        </w:rPr>
        <w:t>.</w:t>
      </w:r>
      <w:r w:rsidR="009E7756" w:rsidRPr="009E7756">
        <w:rPr>
          <w:rFonts w:ascii="Arial" w:hAnsi="Arial" w:cs="Arial"/>
        </w:rPr>
        <w:t xml:space="preserve"> </w:t>
      </w:r>
      <w:r w:rsidR="009E7756">
        <w:rPr>
          <w:rFonts w:ascii="Arial" w:hAnsi="Arial" w:cs="Arial"/>
        </w:rPr>
        <w:t xml:space="preserve">As a result, </w:t>
      </w:r>
      <w:r w:rsidR="009E7756">
        <w:rPr>
          <w:rFonts w:ascii="Arial" w:hAnsi="Arial" w:cs="Arial"/>
          <w:sz w:val="24"/>
        </w:rPr>
        <w:t>these</w:t>
      </w:r>
      <w:r w:rsidR="009E7756" w:rsidRPr="007E369D">
        <w:rPr>
          <w:rFonts w:ascii="Arial" w:hAnsi="Arial" w:cs="Arial"/>
          <w:sz w:val="24"/>
        </w:rPr>
        <w:t xml:space="preserve"> claims could not be captured </w:t>
      </w:r>
      <w:r w:rsidR="009E7756">
        <w:rPr>
          <w:rFonts w:ascii="Arial" w:hAnsi="Arial" w:cs="Arial"/>
          <w:sz w:val="24"/>
        </w:rPr>
        <w:t>for</w:t>
      </w:r>
      <w:r w:rsidR="009E7756" w:rsidRPr="007E369D">
        <w:rPr>
          <w:rFonts w:ascii="Arial" w:hAnsi="Arial" w:cs="Arial"/>
          <w:sz w:val="24"/>
        </w:rPr>
        <w:t xml:space="preserve"> th</w:t>
      </w:r>
      <w:r w:rsidR="009E7756">
        <w:rPr>
          <w:rFonts w:ascii="Arial" w:hAnsi="Arial" w:cs="Arial"/>
          <w:sz w:val="24"/>
        </w:rPr>
        <w:t>e</w:t>
      </w:r>
      <w:r w:rsidR="009E7756" w:rsidRPr="007E369D">
        <w:rPr>
          <w:rFonts w:ascii="Arial" w:hAnsi="Arial" w:cs="Arial"/>
          <w:sz w:val="24"/>
        </w:rPr>
        <w:t xml:space="preserve"> analysis </w:t>
      </w:r>
      <w:r w:rsidR="009E7756">
        <w:rPr>
          <w:rFonts w:ascii="Arial" w:hAnsi="Arial" w:cs="Arial"/>
          <w:sz w:val="24"/>
        </w:rPr>
        <w:t>of specialty</w:t>
      </w:r>
      <w:r w:rsidR="009E7756" w:rsidRPr="007E369D">
        <w:rPr>
          <w:rFonts w:ascii="Arial" w:hAnsi="Arial" w:cs="Arial"/>
          <w:sz w:val="24"/>
        </w:rPr>
        <w:t xml:space="preserve"> services. </w:t>
      </w:r>
    </w:p>
    <w:p w:rsidR="00931AFA" w:rsidRPr="007E369D" w:rsidRDefault="00931AFA" w:rsidP="004D6178">
      <w:pPr>
        <w:ind w:firstLine="0"/>
        <w:rPr>
          <w:rFonts w:ascii="Arial" w:hAnsi="Arial" w:cs="Arial"/>
          <w:sz w:val="24"/>
        </w:rPr>
      </w:pPr>
    </w:p>
    <w:p w:rsidR="00A945FF" w:rsidRDefault="00E92704" w:rsidP="00A945FF">
      <w:pPr>
        <w:pStyle w:val="ListParagraph"/>
        <w:numPr>
          <w:ilvl w:val="0"/>
          <w:numId w:val="30"/>
        </w:numPr>
        <w:rPr>
          <w:rFonts w:ascii="Arial" w:eastAsia="Calibri" w:hAnsi="Arial" w:cs="Arial"/>
          <w:sz w:val="24"/>
          <w:szCs w:val="24"/>
        </w:rPr>
      </w:pPr>
      <w:r w:rsidRPr="007E369D">
        <w:rPr>
          <w:rFonts w:ascii="Arial" w:eastAsia="Calibri" w:hAnsi="Arial" w:cs="Arial"/>
          <w:sz w:val="24"/>
          <w:szCs w:val="24"/>
        </w:rPr>
        <w:t>Overall review of the episodes of care by specialty providers indicates consistency in the numbers of episodes of care across most counties. Please note that members needing particular services may be seen in another county.</w:t>
      </w:r>
    </w:p>
    <w:p w:rsidR="00A945FF" w:rsidRDefault="00A945FF" w:rsidP="00A945FF">
      <w:pPr>
        <w:ind w:firstLine="0"/>
        <w:rPr>
          <w:rFonts w:cs="Arial"/>
        </w:rPr>
      </w:pPr>
    </w:p>
    <w:p w:rsidR="00E96E31" w:rsidRPr="00A945FF" w:rsidRDefault="00E96E31" w:rsidP="00A945FF">
      <w:pPr>
        <w:ind w:firstLine="0"/>
        <w:rPr>
          <w:rFonts w:ascii="Arial" w:eastAsia="Calibri" w:hAnsi="Arial" w:cs="Arial"/>
          <w:b/>
          <w:sz w:val="28"/>
          <w:szCs w:val="24"/>
        </w:rPr>
      </w:pPr>
      <w:r w:rsidRPr="00A945FF">
        <w:rPr>
          <w:rFonts w:ascii="Arial" w:hAnsi="Arial" w:cs="Arial"/>
          <w:b/>
          <w:sz w:val="24"/>
        </w:rPr>
        <w:t>Episodes of Care for Physicians with a Surgery Specialty Designation per 1,000 Members</w:t>
      </w:r>
    </w:p>
    <w:tbl>
      <w:tblPr>
        <w:tblW w:w="4365" w:type="dxa"/>
        <w:tblInd w:w="-5" w:type="dxa"/>
        <w:tblLook w:val="04A0" w:firstRow="1" w:lastRow="0" w:firstColumn="1" w:lastColumn="0" w:noHBand="0" w:noVBand="1"/>
      </w:tblPr>
      <w:tblGrid>
        <w:gridCol w:w="1440"/>
        <w:gridCol w:w="1440"/>
        <w:gridCol w:w="1440"/>
        <w:gridCol w:w="1440"/>
      </w:tblGrid>
      <w:tr w:rsidR="002D28DC" w:rsidRPr="007E369D" w:rsidTr="00E41279">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SFY18</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246</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243</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183</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E41279" w:rsidRDefault="002D28DC" w:rsidP="002D28DC">
            <w:pPr>
              <w:ind w:firstLine="0"/>
              <w:rPr>
                <w:rFonts w:ascii="Arial" w:eastAsia="Times New Roman" w:hAnsi="Arial" w:cs="Arial"/>
                <w:sz w:val="24"/>
                <w:szCs w:val="24"/>
              </w:rPr>
            </w:pPr>
            <w:r w:rsidRPr="00E41279">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E41279" w:rsidRDefault="002D28DC" w:rsidP="002D28DC">
            <w:pPr>
              <w:ind w:firstLine="0"/>
              <w:jc w:val="right"/>
              <w:rPr>
                <w:rFonts w:ascii="Arial" w:eastAsia="Times New Roman" w:hAnsi="Arial" w:cs="Arial"/>
                <w:sz w:val="24"/>
                <w:szCs w:val="24"/>
              </w:rPr>
            </w:pPr>
            <w:r w:rsidRPr="00E41279">
              <w:rPr>
                <w:rFonts w:ascii="Arial" w:eastAsia="Times New Roman" w:hAnsi="Arial" w:cs="Arial"/>
                <w:sz w:val="24"/>
                <w:szCs w:val="24"/>
              </w:rPr>
              <w:t>414</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E41279" w:rsidRDefault="002D28DC" w:rsidP="002D28DC">
            <w:pPr>
              <w:ind w:firstLine="0"/>
              <w:jc w:val="right"/>
              <w:rPr>
                <w:rFonts w:ascii="Arial" w:eastAsia="Times New Roman" w:hAnsi="Arial" w:cs="Arial"/>
                <w:sz w:val="24"/>
                <w:szCs w:val="24"/>
              </w:rPr>
            </w:pPr>
            <w:r w:rsidRPr="00E41279">
              <w:rPr>
                <w:rFonts w:ascii="Arial" w:eastAsia="Times New Roman" w:hAnsi="Arial" w:cs="Arial"/>
                <w:sz w:val="24"/>
                <w:szCs w:val="24"/>
              </w:rPr>
              <w:t>457</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E41279" w:rsidRDefault="002D28DC" w:rsidP="002D28DC">
            <w:pPr>
              <w:ind w:firstLine="0"/>
              <w:jc w:val="right"/>
              <w:rPr>
                <w:rFonts w:ascii="Arial" w:eastAsia="Times New Roman" w:hAnsi="Arial" w:cs="Arial"/>
                <w:sz w:val="24"/>
                <w:szCs w:val="24"/>
              </w:rPr>
            </w:pPr>
            <w:r w:rsidRPr="00E41279">
              <w:rPr>
                <w:rFonts w:ascii="Arial" w:eastAsia="Times New Roman" w:hAnsi="Arial" w:cs="Arial"/>
                <w:sz w:val="24"/>
                <w:szCs w:val="24"/>
              </w:rPr>
              <w:t>791</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296</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326</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287</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219</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196</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172</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81</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128</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60</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313</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357</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348</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97</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103</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77</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215</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214</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262</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591</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368</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388</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188</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252</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286</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248</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229</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214</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561</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611</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648</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308</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290</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214</w:t>
            </w:r>
          </w:p>
        </w:tc>
      </w:tr>
    </w:tbl>
    <w:p w:rsidR="00E96E31" w:rsidRPr="007E369D" w:rsidRDefault="00E96E31" w:rsidP="00E96E31">
      <w:pPr>
        <w:ind w:firstLine="0"/>
        <w:rPr>
          <w:rFonts w:ascii="Arial" w:hAnsi="Arial" w:cs="Arial"/>
          <w:sz w:val="24"/>
          <w:szCs w:val="24"/>
        </w:rPr>
      </w:pPr>
    </w:p>
    <w:p w:rsidR="00E96E31" w:rsidRPr="001C2769" w:rsidRDefault="00E96E31" w:rsidP="001C2769">
      <w:pPr>
        <w:ind w:firstLine="0"/>
        <w:rPr>
          <w:rFonts w:ascii="Arial" w:hAnsi="Arial" w:cs="Arial"/>
          <w:b/>
          <w:sz w:val="24"/>
        </w:rPr>
      </w:pPr>
      <w:r w:rsidRPr="001C2769">
        <w:rPr>
          <w:rFonts w:ascii="Arial" w:hAnsi="Arial" w:cs="Arial"/>
          <w:b/>
          <w:sz w:val="24"/>
        </w:rPr>
        <w:t>Episodes of Care for Physicians with a Cardiology Specialty Designation per 1,000 Members</w:t>
      </w:r>
    </w:p>
    <w:tbl>
      <w:tblPr>
        <w:tblW w:w="4265" w:type="dxa"/>
        <w:tblInd w:w="-5" w:type="dxa"/>
        <w:tblLook w:val="04A0" w:firstRow="1" w:lastRow="0" w:firstColumn="1" w:lastColumn="0" w:noHBand="0" w:noVBand="1"/>
      </w:tblPr>
      <w:tblGrid>
        <w:gridCol w:w="1440"/>
        <w:gridCol w:w="1440"/>
        <w:gridCol w:w="1440"/>
        <w:gridCol w:w="1440"/>
      </w:tblGrid>
      <w:tr w:rsidR="006D41A3" w:rsidRPr="007E369D" w:rsidTr="00E41279">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SFY18</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248</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295</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217</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60257F" w:rsidRDefault="002D28DC" w:rsidP="002D28DC">
            <w:pPr>
              <w:ind w:firstLine="0"/>
              <w:rPr>
                <w:rFonts w:ascii="Arial" w:eastAsia="Times New Roman" w:hAnsi="Arial" w:cs="Arial"/>
                <w:sz w:val="24"/>
                <w:szCs w:val="24"/>
              </w:rPr>
            </w:pPr>
            <w:r w:rsidRPr="0060257F">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60257F" w:rsidRDefault="002D28DC" w:rsidP="002D28DC">
            <w:pPr>
              <w:ind w:firstLine="0"/>
              <w:jc w:val="right"/>
              <w:rPr>
                <w:rFonts w:ascii="Arial" w:eastAsia="Times New Roman" w:hAnsi="Arial" w:cs="Arial"/>
                <w:sz w:val="24"/>
                <w:szCs w:val="24"/>
              </w:rPr>
            </w:pPr>
            <w:r w:rsidRPr="0060257F">
              <w:rPr>
                <w:rFonts w:ascii="Arial" w:eastAsia="Times New Roman" w:hAnsi="Arial" w:cs="Arial"/>
                <w:sz w:val="24"/>
                <w:szCs w:val="24"/>
              </w:rPr>
              <w:t>272</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60257F" w:rsidRDefault="002D28DC" w:rsidP="002D28DC">
            <w:pPr>
              <w:ind w:firstLine="0"/>
              <w:jc w:val="right"/>
              <w:rPr>
                <w:rFonts w:ascii="Arial" w:eastAsia="Times New Roman" w:hAnsi="Arial" w:cs="Arial"/>
                <w:sz w:val="24"/>
                <w:szCs w:val="24"/>
              </w:rPr>
            </w:pPr>
            <w:r w:rsidRPr="0060257F">
              <w:rPr>
                <w:rFonts w:ascii="Arial" w:eastAsia="Times New Roman" w:hAnsi="Arial" w:cs="Arial"/>
                <w:sz w:val="24"/>
                <w:szCs w:val="24"/>
              </w:rPr>
              <w:t>343</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60257F" w:rsidRDefault="002D28DC" w:rsidP="002D28DC">
            <w:pPr>
              <w:ind w:firstLine="0"/>
              <w:jc w:val="right"/>
              <w:rPr>
                <w:rFonts w:ascii="Arial" w:eastAsia="Times New Roman" w:hAnsi="Arial" w:cs="Arial"/>
                <w:sz w:val="24"/>
                <w:szCs w:val="24"/>
              </w:rPr>
            </w:pPr>
            <w:r w:rsidRPr="0060257F">
              <w:rPr>
                <w:rFonts w:ascii="Arial" w:eastAsia="Times New Roman" w:hAnsi="Arial" w:cs="Arial"/>
                <w:sz w:val="24"/>
                <w:szCs w:val="24"/>
              </w:rPr>
              <w:t>502</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172</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174</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146</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139</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128</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125</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lastRenderedPageBreak/>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70</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104</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290</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353</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456</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81</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77</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64</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207</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216</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296</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112</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118</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132</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200</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202</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197</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626</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721</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783</w:t>
            </w:r>
          </w:p>
        </w:tc>
      </w:tr>
      <w:tr w:rsidR="002D28DC"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D28DC" w:rsidRPr="007E369D" w:rsidRDefault="002D28DC" w:rsidP="002D28DC">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263</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261</w:t>
            </w:r>
          </w:p>
        </w:tc>
        <w:tc>
          <w:tcPr>
            <w:tcW w:w="1440" w:type="dxa"/>
            <w:tcBorders>
              <w:top w:val="nil"/>
              <w:left w:val="nil"/>
              <w:bottom w:val="single" w:sz="4" w:space="0" w:color="auto"/>
              <w:right w:val="single" w:sz="4" w:space="0" w:color="auto"/>
            </w:tcBorders>
            <w:shd w:val="clear" w:color="000000" w:fill="FFFFFF"/>
            <w:noWrap/>
            <w:vAlign w:val="bottom"/>
            <w:hideMark/>
          </w:tcPr>
          <w:p w:rsidR="002D28DC" w:rsidRPr="007E369D" w:rsidRDefault="002D28DC" w:rsidP="002D28DC">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222</w:t>
            </w:r>
          </w:p>
        </w:tc>
      </w:tr>
    </w:tbl>
    <w:p w:rsidR="002D28DC" w:rsidRPr="007E369D" w:rsidRDefault="002D28DC" w:rsidP="000B2C9C">
      <w:pPr>
        <w:rPr>
          <w:rFonts w:ascii="Arial" w:hAnsi="Arial" w:cs="Arial"/>
          <w:sz w:val="24"/>
          <w:szCs w:val="24"/>
        </w:rPr>
      </w:pPr>
    </w:p>
    <w:p w:rsidR="00E96E31" w:rsidRPr="001C2769" w:rsidRDefault="00E96E31" w:rsidP="001C2769">
      <w:pPr>
        <w:ind w:firstLine="0"/>
        <w:rPr>
          <w:rFonts w:ascii="Arial" w:hAnsi="Arial" w:cs="Arial"/>
          <w:b/>
          <w:sz w:val="24"/>
        </w:rPr>
      </w:pPr>
      <w:r w:rsidRPr="001C2769">
        <w:rPr>
          <w:rFonts w:ascii="Arial" w:hAnsi="Arial" w:cs="Arial"/>
          <w:b/>
          <w:sz w:val="24"/>
        </w:rPr>
        <w:t>Episodes of Care for Physicians with a Hematology/Oncology Specialty Designation per 1,000 Members</w:t>
      </w:r>
    </w:p>
    <w:tbl>
      <w:tblPr>
        <w:tblW w:w="4160" w:type="dxa"/>
        <w:tblInd w:w="-5" w:type="dxa"/>
        <w:tblLook w:val="04A0" w:firstRow="1" w:lastRow="0" w:firstColumn="1" w:lastColumn="0" w:noHBand="0" w:noVBand="1"/>
      </w:tblPr>
      <w:tblGrid>
        <w:gridCol w:w="1440"/>
        <w:gridCol w:w="1440"/>
        <w:gridCol w:w="1440"/>
        <w:gridCol w:w="1440"/>
      </w:tblGrid>
      <w:tr w:rsidR="006D41A3" w:rsidRPr="007E369D" w:rsidTr="00E41279">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D41A3" w:rsidRPr="007E369D" w:rsidRDefault="006D41A3" w:rsidP="006D41A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SFY18</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7E369D" w:rsidRDefault="006D41A3" w:rsidP="006D41A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29</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24</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23</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7E369D" w:rsidRDefault="006D41A3" w:rsidP="006D41A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54</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74</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83</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7E369D" w:rsidRDefault="006D41A3" w:rsidP="006D41A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97</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93</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90</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7E369D" w:rsidRDefault="006D41A3" w:rsidP="006D41A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7E369D" w:rsidRDefault="006D41A3" w:rsidP="006D41A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w:t>
            </w:r>
            <w:r w:rsidR="005F564C" w:rsidRPr="007E369D">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8</w:t>
            </w:r>
            <w:r w:rsidR="005F564C" w:rsidRPr="007E369D">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5</w:t>
            </w:r>
            <w:r w:rsidR="005F564C" w:rsidRPr="007E369D">
              <w:rPr>
                <w:rFonts w:ascii="Arial" w:eastAsia="Times New Roman" w:hAnsi="Arial" w:cs="Arial"/>
                <w:color w:val="000000"/>
                <w:sz w:val="24"/>
                <w:szCs w:val="24"/>
              </w:rPr>
              <w:t>*</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7E369D" w:rsidRDefault="006D41A3" w:rsidP="006D41A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60257F" w:rsidRDefault="006D41A3" w:rsidP="006D41A3">
            <w:pPr>
              <w:ind w:firstLine="0"/>
              <w:rPr>
                <w:rFonts w:ascii="Arial" w:eastAsia="Times New Roman" w:hAnsi="Arial" w:cs="Arial"/>
                <w:sz w:val="24"/>
                <w:szCs w:val="24"/>
              </w:rPr>
            </w:pPr>
            <w:r w:rsidRPr="0060257F">
              <w:rPr>
                <w:rFonts w:ascii="Arial" w:eastAsia="Times New Roman" w:hAnsi="Arial" w:cs="Arial"/>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64</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90</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110</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60257F" w:rsidRDefault="006D41A3" w:rsidP="006D41A3">
            <w:pPr>
              <w:ind w:firstLine="0"/>
              <w:rPr>
                <w:rFonts w:ascii="Arial" w:eastAsia="Times New Roman" w:hAnsi="Arial" w:cs="Arial"/>
                <w:sz w:val="24"/>
                <w:szCs w:val="24"/>
              </w:rPr>
            </w:pPr>
            <w:r w:rsidRPr="0060257F">
              <w:rPr>
                <w:rFonts w:ascii="Arial" w:eastAsia="Times New Roman" w:hAnsi="Arial" w:cs="Arial"/>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158</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145</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78</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60257F" w:rsidRDefault="006D41A3" w:rsidP="006D41A3">
            <w:pPr>
              <w:ind w:firstLine="0"/>
              <w:rPr>
                <w:rFonts w:ascii="Arial" w:eastAsia="Times New Roman" w:hAnsi="Arial" w:cs="Arial"/>
                <w:sz w:val="24"/>
                <w:szCs w:val="24"/>
              </w:rPr>
            </w:pPr>
            <w:r w:rsidRPr="0060257F">
              <w:rPr>
                <w:rFonts w:ascii="Arial" w:eastAsia="Times New Roman" w:hAnsi="Arial" w:cs="Arial"/>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43</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44</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50</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60257F" w:rsidRDefault="006D41A3" w:rsidP="006D41A3">
            <w:pPr>
              <w:ind w:firstLine="0"/>
              <w:rPr>
                <w:rFonts w:ascii="Arial" w:eastAsia="Times New Roman" w:hAnsi="Arial" w:cs="Arial"/>
                <w:sz w:val="24"/>
                <w:szCs w:val="24"/>
              </w:rPr>
            </w:pPr>
            <w:r w:rsidRPr="0060257F">
              <w:rPr>
                <w:rFonts w:ascii="Arial" w:eastAsia="Times New Roman" w:hAnsi="Arial" w:cs="Arial"/>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60257F" w:rsidRDefault="006D41A3" w:rsidP="006D41A3">
            <w:pPr>
              <w:ind w:firstLine="0"/>
              <w:rPr>
                <w:rFonts w:ascii="Arial" w:eastAsia="Times New Roman" w:hAnsi="Arial" w:cs="Arial"/>
                <w:sz w:val="24"/>
                <w:szCs w:val="24"/>
              </w:rPr>
            </w:pPr>
            <w:r w:rsidRPr="0060257F">
              <w:rPr>
                <w:rFonts w:ascii="Arial" w:eastAsia="Times New Roman" w:hAnsi="Arial" w:cs="Arial"/>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4</w:t>
            </w:r>
            <w:r w:rsidR="005F564C" w:rsidRPr="0060257F">
              <w:rPr>
                <w:rFonts w:ascii="Arial" w:eastAsia="Times New Roman" w:hAnsi="Arial" w:cs="Arial"/>
                <w:sz w:val="24"/>
                <w:szCs w:val="24"/>
              </w:rPr>
              <w:t>*</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4</w:t>
            </w:r>
            <w:r w:rsidR="005F564C" w:rsidRPr="0060257F">
              <w:rPr>
                <w:rFonts w:ascii="Arial" w:eastAsia="Times New Roman" w:hAnsi="Arial" w:cs="Arial"/>
                <w:sz w:val="24"/>
                <w:szCs w:val="24"/>
              </w:rPr>
              <w:t>*</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10</w:t>
            </w:r>
            <w:r w:rsidR="005F564C" w:rsidRPr="0060257F">
              <w:rPr>
                <w:rFonts w:ascii="Arial" w:eastAsia="Times New Roman" w:hAnsi="Arial" w:cs="Arial"/>
                <w:sz w:val="24"/>
                <w:szCs w:val="24"/>
              </w:rPr>
              <w:t>*</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60257F" w:rsidRDefault="006D41A3" w:rsidP="006D41A3">
            <w:pPr>
              <w:ind w:firstLine="0"/>
              <w:rPr>
                <w:rFonts w:ascii="Arial" w:eastAsia="Times New Roman" w:hAnsi="Arial" w:cs="Arial"/>
                <w:sz w:val="24"/>
                <w:szCs w:val="24"/>
              </w:rPr>
            </w:pPr>
            <w:r w:rsidRPr="0060257F">
              <w:rPr>
                <w:rFonts w:ascii="Arial" w:eastAsia="Times New Roman" w:hAnsi="Arial" w:cs="Arial"/>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82</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62</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60257F" w:rsidRDefault="006D41A3" w:rsidP="006D41A3">
            <w:pPr>
              <w:ind w:firstLine="0"/>
              <w:jc w:val="right"/>
              <w:rPr>
                <w:rFonts w:ascii="Arial" w:eastAsia="Times New Roman" w:hAnsi="Arial" w:cs="Arial"/>
                <w:sz w:val="24"/>
                <w:szCs w:val="24"/>
              </w:rPr>
            </w:pPr>
            <w:r w:rsidRPr="0060257F">
              <w:rPr>
                <w:rFonts w:ascii="Arial" w:eastAsia="Times New Roman" w:hAnsi="Arial" w:cs="Arial"/>
                <w:sz w:val="24"/>
                <w:szCs w:val="24"/>
              </w:rPr>
              <w:t>38</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7E369D" w:rsidRDefault="006D41A3" w:rsidP="006D41A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245</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269</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248</w:t>
            </w:r>
          </w:p>
        </w:tc>
      </w:tr>
      <w:tr w:rsidR="006D41A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6D41A3" w:rsidRPr="007E369D" w:rsidRDefault="006D41A3" w:rsidP="006D41A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94</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85</w:t>
            </w:r>
          </w:p>
        </w:tc>
        <w:tc>
          <w:tcPr>
            <w:tcW w:w="1440" w:type="dxa"/>
            <w:tcBorders>
              <w:top w:val="nil"/>
              <w:left w:val="nil"/>
              <w:bottom w:val="single" w:sz="4" w:space="0" w:color="auto"/>
              <w:right w:val="single" w:sz="4" w:space="0" w:color="auto"/>
            </w:tcBorders>
            <w:shd w:val="clear" w:color="000000" w:fill="FFFFFF"/>
            <w:noWrap/>
            <w:vAlign w:val="bottom"/>
            <w:hideMark/>
          </w:tcPr>
          <w:p w:rsidR="006D41A3" w:rsidRPr="007E369D" w:rsidRDefault="006D41A3" w:rsidP="006D41A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66</w:t>
            </w:r>
          </w:p>
        </w:tc>
      </w:tr>
    </w:tbl>
    <w:p w:rsidR="0092005E" w:rsidRDefault="0092005E">
      <w:pPr>
        <w:ind w:firstLine="0"/>
        <w:rPr>
          <w:rFonts w:ascii="Arial" w:hAnsi="Arial" w:cs="Arial"/>
          <w:sz w:val="24"/>
          <w:szCs w:val="24"/>
        </w:rPr>
      </w:pPr>
    </w:p>
    <w:p w:rsidR="00E96E31" w:rsidRPr="001C2769" w:rsidRDefault="00E96E31" w:rsidP="001C2769">
      <w:pPr>
        <w:ind w:firstLine="0"/>
        <w:rPr>
          <w:rFonts w:ascii="Arial" w:hAnsi="Arial" w:cs="Arial"/>
          <w:b/>
          <w:sz w:val="24"/>
        </w:rPr>
      </w:pPr>
      <w:r w:rsidRPr="001C2769">
        <w:rPr>
          <w:rFonts w:ascii="Arial" w:hAnsi="Arial" w:cs="Arial"/>
          <w:b/>
          <w:sz w:val="24"/>
        </w:rPr>
        <w:t>Episodes of Care for Physicians with an Emergency Medicine Specialty Designation per 1,000 Members</w:t>
      </w:r>
    </w:p>
    <w:tbl>
      <w:tblPr>
        <w:tblW w:w="4220" w:type="dxa"/>
        <w:tblInd w:w="-5" w:type="dxa"/>
        <w:tblLook w:val="04A0" w:firstRow="1" w:lastRow="0" w:firstColumn="1" w:lastColumn="0" w:noHBand="0" w:noVBand="1"/>
      </w:tblPr>
      <w:tblGrid>
        <w:gridCol w:w="1440"/>
        <w:gridCol w:w="1440"/>
        <w:gridCol w:w="1440"/>
        <w:gridCol w:w="1440"/>
      </w:tblGrid>
      <w:tr w:rsidR="003F7DE3" w:rsidRPr="007E369D" w:rsidTr="00E41279">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7DE3" w:rsidRPr="007E369D" w:rsidRDefault="003F7DE3" w:rsidP="003F7DE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SFY18</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7E369D" w:rsidRDefault="003F7DE3" w:rsidP="003F7DE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906</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1,072</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622</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7E369D" w:rsidRDefault="003F7DE3" w:rsidP="003F7DE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62</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111</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162</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7E369D" w:rsidRDefault="003F7DE3" w:rsidP="003F7DE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330</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435</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362</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7E369D" w:rsidRDefault="003F7DE3" w:rsidP="003F7DE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267</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188</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131</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60257F" w:rsidRDefault="003F7DE3" w:rsidP="003F7DE3">
            <w:pPr>
              <w:ind w:firstLine="0"/>
              <w:rPr>
                <w:rFonts w:ascii="Arial" w:eastAsia="Times New Roman" w:hAnsi="Arial" w:cs="Arial"/>
                <w:sz w:val="24"/>
                <w:szCs w:val="24"/>
              </w:rPr>
            </w:pPr>
            <w:r w:rsidRPr="0060257F">
              <w:rPr>
                <w:rFonts w:ascii="Arial" w:eastAsia="Times New Roman" w:hAnsi="Arial" w:cs="Arial"/>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60257F" w:rsidRDefault="003F7DE3" w:rsidP="003F7DE3">
            <w:pPr>
              <w:ind w:firstLine="0"/>
              <w:jc w:val="right"/>
              <w:rPr>
                <w:rFonts w:ascii="Arial" w:eastAsia="Times New Roman" w:hAnsi="Arial" w:cs="Arial"/>
                <w:sz w:val="24"/>
                <w:szCs w:val="24"/>
              </w:rPr>
            </w:pPr>
            <w:r w:rsidRPr="0060257F">
              <w:rPr>
                <w:rFonts w:ascii="Arial" w:eastAsia="Times New Roman" w:hAnsi="Arial" w:cs="Arial"/>
                <w:sz w:val="24"/>
                <w:szCs w:val="24"/>
              </w:rPr>
              <w:t>509</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60257F" w:rsidRDefault="003F7DE3" w:rsidP="003F7DE3">
            <w:pPr>
              <w:ind w:firstLine="0"/>
              <w:jc w:val="right"/>
              <w:rPr>
                <w:rFonts w:ascii="Arial" w:eastAsia="Times New Roman" w:hAnsi="Arial" w:cs="Arial"/>
                <w:sz w:val="24"/>
                <w:szCs w:val="24"/>
              </w:rPr>
            </w:pPr>
            <w:r w:rsidRPr="0060257F">
              <w:rPr>
                <w:rFonts w:ascii="Arial" w:eastAsia="Times New Roman" w:hAnsi="Arial" w:cs="Arial"/>
                <w:sz w:val="24"/>
                <w:szCs w:val="24"/>
              </w:rPr>
              <w:t>552</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60257F" w:rsidRDefault="003F7DE3" w:rsidP="003F7DE3">
            <w:pPr>
              <w:ind w:firstLine="0"/>
              <w:jc w:val="right"/>
              <w:rPr>
                <w:rFonts w:ascii="Arial" w:eastAsia="Times New Roman" w:hAnsi="Arial" w:cs="Arial"/>
                <w:sz w:val="24"/>
                <w:szCs w:val="24"/>
              </w:rPr>
            </w:pPr>
            <w:r w:rsidRPr="0060257F">
              <w:rPr>
                <w:rFonts w:ascii="Arial" w:eastAsia="Times New Roman" w:hAnsi="Arial" w:cs="Arial"/>
                <w:sz w:val="24"/>
                <w:szCs w:val="24"/>
              </w:rPr>
              <w:t>357</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60257F" w:rsidRDefault="003F7DE3" w:rsidP="003F7DE3">
            <w:pPr>
              <w:ind w:firstLine="0"/>
              <w:rPr>
                <w:rFonts w:ascii="Arial" w:eastAsia="Times New Roman" w:hAnsi="Arial" w:cs="Arial"/>
                <w:sz w:val="24"/>
                <w:szCs w:val="24"/>
              </w:rPr>
            </w:pPr>
            <w:r w:rsidRPr="0060257F">
              <w:rPr>
                <w:rFonts w:ascii="Arial" w:eastAsia="Times New Roman" w:hAnsi="Arial" w:cs="Arial"/>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60257F" w:rsidRDefault="003F7DE3" w:rsidP="003F7DE3">
            <w:pPr>
              <w:ind w:firstLine="0"/>
              <w:jc w:val="right"/>
              <w:rPr>
                <w:rFonts w:ascii="Arial" w:eastAsia="Times New Roman" w:hAnsi="Arial" w:cs="Arial"/>
                <w:sz w:val="24"/>
                <w:szCs w:val="24"/>
              </w:rPr>
            </w:pPr>
            <w:r w:rsidRPr="0060257F">
              <w:rPr>
                <w:rFonts w:ascii="Arial" w:eastAsia="Times New Roman" w:hAnsi="Arial" w:cs="Arial"/>
                <w:sz w:val="24"/>
                <w:szCs w:val="24"/>
              </w:rPr>
              <w:t>56</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60257F" w:rsidRDefault="003F7DE3" w:rsidP="003F7DE3">
            <w:pPr>
              <w:ind w:firstLine="0"/>
              <w:jc w:val="right"/>
              <w:rPr>
                <w:rFonts w:ascii="Arial" w:eastAsia="Times New Roman" w:hAnsi="Arial" w:cs="Arial"/>
                <w:sz w:val="24"/>
                <w:szCs w:val="24"/>
              </w:rPr>
            </w:pPr>
            <w:r w:rsidRPr="0060257F">
              <w:rPr>
                <w:rFonts w:ascii="Arial" w:eastAsia="Times New Roman" w:hAnsi="Arial" w:cs="Arial"/>
                <w:sz w:val="24"/>
                <w:szCs w:val="24"/>
              </w:rPr>
              <w:t>79</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60257F" w:rsidRDefault="003F7DE3" w:rsidP="003F7DE3">
            <w:pPr>
              <w:ind w:firstLine="0"/>
              <w:jc w:val="right"/>
              <w:rPr>
                <w:rFonts w:ascii="Arial" w:eastAsia="Times New Roman" w:hAnsi="Arial" w:cs="Arial"/>
                <w:sz w:val="24"/>
                <w:szCs w:val="24"/>
              </w:rPr>
            </w:pPr>
            <w:r w:rsidRPr="0060257F">
              <w:rPr>
                <w:rFonts w:ascii="Arial" w:eastAsia="Times New Roman" w:hAnsi="Arial" w:cs="Arial"/>
                <w:sz w:val="24"/>
                <w:szCs w:val="24"/>
              </w:rPr>
              <w:t>55</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60257F" w:rsidRDefault="003F7DE3" w:rsidP="003F7DE3">
            <w:pPr>
              <w:ind w:firstLine="0"/>
              <w:rPr>
                <w:rFonts w:ascii="Arial" w:eastAsia="Times New Roman" w:hAnsi="Arial" w:cs="Arial"/>
                <w:sz w:val="24"/>
                <w:szCs w:val="24"/>
              </w:rPr>
            </w:pPr>
            <w:r w:rsidRPr="0060257F">
              <w:rPr>
                <w:rFonts w:ascii="Arial" w:eastAsia="Times New Roman" w:hAnsi="Arial" w:cs="Arial"/>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60257F" w:rsidRDefault="003F7DE3" w:rsidP="003F7DE3">
            <w:pPr>
              <w:ind w:firstLine="0"/>
              <w:jc w:val="right"/>
              <w:rPr>
                <w:rFonts w:ascii="Arial" w:eastAsia="Times New Roman" w:hAnsi="Arial" w:cs="Arial"/>
                <w:sz w:val="24"/>
                <w:szCs w:val="24"/>
              </w:rPr>
            </w:pPr>
            <w:r w:rsidRPr="0060257F">
              <w:rPr>
                <w:rFonts w:ascii="Arial" w:eastAsia="Times New Roman" w:hAnsi="Arial" w:cs="Arial"/>
                <w:sz w:val="24"/>
                <w:szCs w:val="24"/>
              </w:rPr>
              <w:t>839</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60257F" w:rsidRDefault="003F7DE3" w:rsidP="003F7DE3">
            <w:pPr>
              <w:ind w:firstLine="0"/>
              <w:jc w:val="right"/>
              <w:rPr>
                <w:rFonts w:ascii="Arial" w:eastAsia="Times New Roman" w:hAnsi="Arial" w:cs="Arial"/>
                <w:sz w:val="24"/>
                <w:szCs w:val="24"/>
              </w:rPr>
            </w:pPr>
            <w:r w:rsidRPr="0060257F">
              <w:rPr>
                <w:rFonts w:ascii="Arial" w:eastAsia="Times New Roman" w:hAnsi="Arial" w:cs="Arial"/>
                <w:sz w:val="24"/>
                <w:szCs w:val="24"/>
              </w:rPr>
              <w:t>889</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60257F" w:rsidRDefault="003F7DE3" w:rsidP="003F7DE3">
            <w:pPr>
              <w:ind w:firstLine="0"/>
              <w:jc w:val="right"/>
              <w:rPr>
                <w:rFonts w:ascii="Arial" w:eastAsia="Times New Roman" w:hAnsi="Arial" w:cs="Arial"/>
                <w:sz w:val="24"/>
                <w:szCs w:val="24"/>
              </w:rPr>
            </w:pPr>
            <w:r w:rsidRPr="0060257F">
              <w:rPr>
                <w:rFonts w:ascii="Arial" w:eastAsia="Times New Roman" w:hAnsi="Arial" w:cs="Arial"/>
                <w:sz w:val="24"/>
                <w:szCs w:val="24"/>
              </w:rPr>
              <w:t>1,078</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7E369D" w:rsidRDefault="003F7DE3" w:rsidP="003F7DE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533</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687</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485</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7E369D" w:rsidRDefault="003F7DE3" w:rsidP="003F7DE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824</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858</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1,107</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7E369D" w:rsidRDefault="003F7DE3" w:rsidP="003F7DE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N/A</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7E369D" w:rsidRDefault="003F7DE3" w:rsidP="003F7DE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lastRenderedPageBreak/>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169</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154</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288</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7E369D" w:rsidRDefault="003F7DE3" w:rsidP="003F7DE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300</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422</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321</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7E369D" w:rsidRDefault="003F7DE3" w:rsidP="003F7DE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878</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919</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927</w:t>
            </w:r>
          </w:p>
        </w:tc>
      </w:tr>
      <w:tr w:rsidR="003F7DE3" w:rsidRPr="007E369D" w:rsidTr="00E41279">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3F7DE3" w:rsidRPr="007E369D" w:rsidRDefault="003F7DE3" w:rsidP="003F7DE3">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655</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674</w:t>
            </w:r>
          </w:p>
        </w:tc>
        <w:tc>
          <w:tcPr>
            <w:tcW w:w="1440" w:type="dxa"/>
            <w:tcBorders>
              <w:top w:val="nil"/>
              <w:left w:val="nil"/>
              <w:bottom w:val="single" w:sz="4" w:space="0" w:color="auto"/>
              <w:right w:val="single" w:sz="4" w:space="0" w:color="auto"/>
            </w:tcBorders>
            <w:shd w:val="clear" w:color="000000" w:fill="FFFFFF"/>
            <w:noWrap/>
            <w:vAlign w:val="bottom"/>
            <w:hideMark/>
          </w:tcPr>
          <w:p w:rsidR="003F7DE3" w:rsidRPr="007E369D" w:rsidRDefault="003F7DE3" w:rsidP="003F7DE3">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455</w:t>
            </w:r>
          </w:p>
        </w:tc>
      </w:tr>
    </w:tbl>
    <w:p w:rsidR="00E96E31" w:rsidRPr="007E369D" w:rsidRDefault="00E96E31" w:rsidP="00E96E31">
      <w:pPr>
        <w:rPr>
          <w:rFonts w:ascii="Arial" w:hAnsi="Arial" w:cs="Arial"/>
          <w:sz w:val="24"/>
          <w:szCs w:val="24"/>
        </w:rPr>
      </w:pPr>
    </w:p>
    <w:p w:rsidR="009C458E" w:rsidRPr="007E369D" w:rsidRDefault="009C458E" w:rsidP="009C458E">
      <w:pPr>
        <w:ind w:firstLine="0"/>
        <w:rPr>
          <w:rFonts w:ascii="Arial" w:hAnsi="Arial" w:cs="Arial"/>
          <w:sz w:val="24"/>
          <w:szCs w:val="24"/>
        </w:rPr>
      </w:pPr>
      <w:r w:rsidRPr="007E369D">
        <w:rPr>
          <w:rFonts w:ascii="Arial" w:hAnsi="Arial" w:cs="Arial"/>
          <w:sz w:val="24"/>
          <w:szCs w:val="24"/>
        </w:rPr>
        <w:t>*Non-zero numeric references less than 11 and related compl</w:t>
      </w:r>
      <w:r w:rsidR="00576081">
        <w:rPr>
          <w:rFonts w:ascii="Arial" w:hAnsi="Arial" w:cs="Arial"/>
          <w:sz w:val="24"/>
          <w:szCs w:val="24"/>
        </w:rPr>
        <w:t>e</w:t>
      </w:r>
      <w:r w:rsidRPr="007E369D">
        <w:rPr>
          <w:rFonts w:ascii="Arial" w:hAnsi="Arial" w:cs="Arial"/>
          <w:sz w:val="24"/>
          <w:szCs w:val="24"/>
        </w:rPr>
        <w:t xml:space="preserve">mentary data fields have been masked, withheld, or aggregated to protect </w:t>
      </w:r>
      <w:r w:rsidR="00FE2AC9" w:rsidRPr="007E369D">
        <w:rPr>
          <w:rFonts w:ascii="Arial" w:hAnsi="Arial" w:cs="Arial"/>
          <w:sz w:val="24"/>
          <w:szCs w:val="24"/>
        </w:rPr>
        <w:t xml:space="preserve">member </w:t>
      </w:r>
      <w:r w:rsidRPr="007E369D">
        <w:rPr>
          <w:rFonts w:ascii="Arial" w:hAnsi="Arial" w:cs="Arial"/>
          <w:sz w:val="24"/>
          <w:szCs w:val="24"/>
        </w:rPr>
        <w:t>confidentiality</w:t>
      </w:r>
    </w:p>
    <w:p w:rsidR="007E369D" w:rsidRPr="00DA770C" w:rsidRDefault="007E369D" w:rsidP="00DA770C">
      <w:pPr>
        <w:ind w:left="360" w:firstLine="0"/>
      </w:pPr>
    </w:p>
    <w:p w:rsidR="008102B3" w:rsidRPr="0066291B" w:rsidRDefault="009F7DBA" w:rsidP="0066291B">
      <w:pPr>
        <w:pStyle w:val="Heading2"/>
        <w:rPr>
          <w:rFonts w:ascii="Arial" w:hAnsi="Arial" w:cs="Arial"/>
          <w:color w:val="auto"/>
          <w:sz w:val="24"/>
          <w:u w:val="single"/>
        </w:rPr>
      </w:pPr>
      <w:bookmarkStart w:id="41" w:name="_Toc10810583"/>
      <w:bookmarkStart w:id="42" w:name="_Toc20296934"/>
      <w:r>
        <w:rPr>
          <w:rFonts w:ascii="Arial" w:hAnsi="Arial" w:cs="Arial"/>
          <w:color w:val="auto"/>
          <w:sz w:val="24"/>
          <w:u w:val="single"/>
        </w:rPr>
        <w:t>4</w:t>
      </w:r>
      <w:r w:rsidR="008102B3" w:rsidRPr="0066291B">
        <w:rPr>
          <w:rFonts w:ascii="Arial" w:hAnsi="Arial" w:cs="Arial"/>
          <w:color w:val="auto"/>
          <w:sz w:val="24"/>
          <w:u w:val="single"/>
        </w:rPr>
        <w:t>. Comparison</w:t>
      </w:r>
      <w:r w:rsidR="002B5017" w:rsidRPr="0066291B">
        <w:rPr>
          <w:rFonts w:ascii="Arial" w:hAnsi="Arial" w:cs="Arial"/>
          <w:color w:val="auto"/>
          <w:sz w:val="24"/>
          <w:u w:val="single"/>
        </w:rPr>
        <w:t xml:space="preserve"> A</w:t>
      </w:r>
      <w:r w:rsidR="008102B3" w:rsidRPr="0066291B">
        <w:rPr>
          <w:rFonts w:ascii="Arial" w:hAnsi="Arial" w:cs="Arial"/>
          <w:color w:val="auto"/>
          <w:sz w:val="24"/>
          <w:u w:val="single"/>
        </w:rPr>
        <w:t xml:space="preserve">nalysis of Medicaid </w:t>
      </w:r>
      <w:r w:rsidR="002B5017" w:rsidRPr="0066291B">
        <w:rPr>
          <w:rFonts w:ascii="Arial" w:hAnsi="Arial" w:cs="Arial"/>
          <w:color w:val="auto"/>
          <w:sz w:val="24"/>
          <w:u w:val="single"/>
        </w:rPr>
        <w:t>P</w:t>
      </w:r>
      <w:r w:rsidR="008102B3" w:rsidRPr="0066291B">
        <w:rPr>
          <w:rFonts w:ascii="Arial" w:hAnsi="Arial" w:cs="Arial"/>
          <w:color w:val="auto"/>
          <w:sz w:val="24"/>
          <w:u w:val="single"/>
        </w:rPr>
        <w:t xml:space="preserve">ayment </w:t>
      </w:r>
      <w:r w:rsidR="002B5017" w:rsidRPr="0066291B">
        <w:rPr>
          <w:rFonts w:ascii="Arial" w:hAnsi="Arial" w:cs="Arial"/>
          <w:color w:val="auto"/>
          <w:sz w:val="24"/>
          <w:u w:val="single"/>
        </w:rPr>
        <w:t>R</w:t>
      </w:r>
      <w:r w:rsidR="008102B3" w:rsidRPr="0066291B">
        <w:rPr>
          <w:rFonts w:ascii="Arial" w:hAnsi="Arial" w:cs="Arial"/>
          <w:color w:val="auto"/>
          <w:sz w:val="24"/>
          <w:u w:val="single"/>
        </w:rPr>
        <w:t xml:space="preserve">ates to Medicare </w:t>
      </w:r>
      <w:r w:rsidR="009A771A">
        <w:rPr>
          <w:rFonts w:ascii="Arial" w:hAnsi="Arial" w:cs="Arial"/>
          <w:color w:val="auto"/>
          <w:sz w:val="24"/>
          <w:u w:val="single"/>
        </w:rPr>
        <w:t xml:space="preserve">Payment Rates </w:t>
      </w:r>
      <w:r w:rsidR="002B5017" w:rsidRPr="0066291B">
        <w:rPr>
          <w:rFonts w:ascii="Arial" w:hAnsi="Arial" w:cs="Arial"/>
          <w:color w:val="auto"/>
          <w:sz w:val="24"/>
          <w:u w:val="single"/>
        </w:rPr>
        <w:t>for Specialty Care Services</w:t>
      </w:r>
      <w:bookmarkEnd w:id="41"/>
      <w:bookmarkEnd w:id="42"/>
    </w:p>
    <w:p w:rsidR="00A036F7" w:rsidRPr="007E369D" w:rsidRDefault="00A036F7" w:rsidP="00C14A34">
      <w:pPr>
        <w:ind w:firstLine="0"/>
        <w:rPr>
          <w:rFonts w:ascii="Arial" w:hAnsi="Arial" w:cs="Arial"/>
          <w:sz w:val="24"/>
          <w:szCs w:val="24"/>
        </w:rPr>
      </w:pPr>
    </w:p>
    <w:p w:rsidR="00156257" w:rsidRPr="007E369D" w:rsidRDefault="00156257" w:rsidP="00156257">
      <w:pPr>
        <w:ind w:firstLine="0"/>
        <w:rPr>
          <w:rFonts w:ascii="Arial" w:hAnsi="Arial" w:cs="Arial"/>
          <w:sz w:val="24"/>
        </w:rPr>
      </w:pPr>
      <w:proofErr w:type="spellStart"/>
      <w:r w:rsidRPr="007E369D">
        <w:rPr>
          <w:rFonts w:ascii="Arial" w:hAnsi="Arial" w:cs="Arial"/>
          <w:sz w:val="24"/>
        </w:rPr>
        <w:t>MassHealth’s</w:t>
      </w:r>
      <w:proofErr w:type="spellEnd"/>
      <w:r w:rsidRPr="007E369D">
        <w:rPr>
          <w:rFonts w:ascii="Arial" w:hAnsi="Arial" w:cs="Arial"/>
          <w:sz w:val="24"/>
        </w:rPr>
        <w:t xml:space="preserve"> payment rate analysis includes a comparison of Medicaid and Medicare 2018 rates for specialty care services. The analysis found that Massachusetts Medicaid FFS specialty care rates </w:t>
      </w:r>
      <w:r w:rsidR="009A771A">
        <w:rPr>
          <w:rFonts w:ascii="Arial" w:hAnsi="Arial" w:cs="Arial"/>
          <w:sz w:val="24"/>
        </w:rPr>
        <w:t>were</w:t>
      </w:r>
      <w:r w:rsidRPr="007E369D">
        <w:rPr>
          <w:rFonts w:ascii="Arial" w:hAnsi="Arial" w:cs="Arial"/>
          <w:sz w:val="24"/>
        </w:rPr>
        <w:t xml:space="preserve"> an average of 70.7% of Medicare in 2018. </w:t>
      </w:r>
    </w:p>
    <w:p w:rsidR="00156257" w:rsidRPr="007E369D" w:rsidRDefault="00156257" w:rsidP="00156257">
      <w:pPr>
        <w:ind w:firstLine="0"/>
        <w:rPr>
          <w:rFonts w:ascii="Arial" w:hAnsi="Arial" w:cs="Arial"/>
          <w:sz w:val="24"/>
        </w:rPr>
      </w:pPr>
    </w:p>
    <w:tbl>
      <w:tblPr>
        <w:tblW w:w="9105" w:type="dxa"/>
        <w:tblInd w:w="93" w:type="dxa"/>
        <w:tblLayout w:type="fixed"/>
        <w:tblLook w:val="04A0" w:firstRow="1" w:lastRow="0" w:firstColumn="1" w:lastColumn="0" w:noHBand="0" w:noVBand="1"/>
      </w:tblPr>
      <w:tblGrid>
        <w:gridCol w:w="1722"/>
        <w:gridCol w:w="2217"/>
        <w:gridCol w:w="1722"/>
        <w:gridCol w:w="1722"/>
        <w:gridCol w:w="1722"/>
      </w:tblGrid>
      <w:tr w:rsidR="00156257" w:rsidRPr="007E369D" w:rsidTr="00E62A0B">
        <w:trPr>
          <w:trHeight w:val="1934"/>
          <w:tblHeader/>
        </w:trPr>
        <w:tc>
          <w:tcPr>
            <w:tcW w:w="1555" w:type="dxa"/>
            <w:tcBorders>
              <w:top w:val="double" w:sz="6" w:space="0" w:color="4F81BD"/>
              <w:left w:val="single" w:sz="4" w:space="0" w:color="4F81BD"/>
              <w:bottom w:val="double" w:sz="6"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color w:val="000000"/>
                <w:sz w:val="20"/>
                <w:szCs w:val="20"/>
              </w:rPr>
            </w:pPr>
          </w:p>
          <w:p w:rsidR="00156257" w:rsidRPr="007E369D" w:rsidRDefault="00156257" w:rsidP="00A97022">
            <w:pPr>
              <w:ind w:firstLine="0"/>
              <w:jc w:val="center"/>
              <w:rPr>
                <w:rFonts w:ascii="Arial" w:eastAsia="Times New Roman" w:hAnsi="Arial" w:cs="Arial"/>
                <w:color w:val="000000"/>
                <w:sz w:val="20"/>
                <w:szCs w:val="20"/>
              </w:rPr>
            </w:pPr>
            <w:r w:rsidRPr="007E369D">
              <w:rPr>
                <w:rFonts w:ascii="Arial" w:eastAsia="Times New Roman" w:hAnsi="Arial" w:cs="Arial"/>
                <w:b/>
                <w:bCs/>
                <w:color w:val="000000"/>
                <w:sz w:val="20"/>
                <w:szCs w:val="20"/>
              </w:rPr>
              <w:t>HCPCS</w:t>
            </w:r>
          </w:p>
        </w:tc>
        <w:tc>
          <w:tcPr>
            <w:tcW w:w="2002" w:type="dxa"/>
            <w:tcBorders>
              <w:top w:val="double" w:sz="6" w:space="0" w:color="4F81BD"/>
              <w:left w:val="nil"/>
              <w:bottom w:val="double" w:sz="6" w:space="0" w:color="4F81BD"/>
              <w:right w:val="single" w:sz="4" w:space="0" w:color="4F81BD"/>
            </w:tcBorders>
            <w:shd w:val="clear" w:color="auto" w:fill="auto"/>
            <w:noWrap/>
            <w:vAlign w:val="bottom"/>
          </w:tcPr>
          <w:p w:rsidR="00156257" w:rsidRPr="007E369D" w:rsidRDefault="00156257" w:rsidP="00DC71AD">
            <w:pPr>
              <w:ind w:firstLine="0"/>
              <w:jc w:val="center"/>
              <w:rPr>
                <w:rFonts w:ascii="Arial" w:eastAsia="Times New Roman" w:hAnsi="Arial" w:cs="Arial"/>
                <w:color w:val="000000"/>
                <w:sz w:val="20"/>
                <w:szCs w:val="20"/>
              </w:rPr>
            </w:pPr>
            <w:r w:rsidRPr="007E369D">
              <w:rPr>
                <w:rFonts w:ascii="Arial" w:eastAsia="Times New Roman" w:hAnsi="Arial" w:cs="Arial"/>
                <w:b/>
                <w:bCs/>
                <w:color w:val="000000"/>
                <w:sz w:val="20"/>
                <w:szCs w:val="20"/>
              </w:rPr>
              <w:t>Specialty Care Code Description</w:t>
            </w:r>
          </w:p>
        </w:tc>
        <w:tc>
          <w:tcPr>
            <w:tcW w:w="1555" w:type="dxa"/>
            <w:tcBorders>
              <w:top w:val="double" w:sz="6" w:space="0" w:color="4F81BD"/>
              <w:left w:val="nil"/>
              <w:bottom w:val="double" w:sz="6" w:space="0" w:color="4F81BD"/>
              <w:right w:val="single" w:sz="4" w:space="0" w:color="4F81BD"/>
            </w:tcBorders>
            <w:shd w:val="clear" w:color="auto" w:fill="auto"/>
            <w:noWrap/>
            <w:vAlign w:val="bottom"/>
          </w:tcPr>
          <w:p w:rsidR="00156257" w:rsidRPr="007E369D" w:rsidRDefault="00156257" w:rsidP="00E62A0B">
            <w:pPr>
              <w:ind w:firstLine="0"/>
              <w:jc w:val="center"/>
              <w:rPr>
                <w:rFonts w:ascii="Arial" w:eastAsia="Times New Roman" w:hAnsi="Arial" w:cs="Arial"/>
                <w:color w:val="000000"/>
                <w:sz w:val="20"/>
                <w:szCs w:val="20"/>
              </w:rPr>
            </w:pPr>
            <w:r w:rsidRPr="007E369D">
              <w:rPr>
                <w:rFonts w:ascii="Arial" w:hAnsi="Arial" w:cs="Arial"/>
                <w:b/>
                <w:bCs/>
                <w:color w:val="000000"/>
                <w:sz w:val="20"/>
                <w:szCs w:val="20"/>
              </w:rPr>
              <w:t>2018 Mass. Medicare Non</w:t>
            </w:r>
            <w:r w:rsidR="00060134">
              <w:rPr>
                <w:rFonts w:ascii="Arial" w:hAnsi="Arial" w:cs="Arial"/>
                <w:b/>
                <w:bCs/>
                <w:color w:val="000000"/>
                <w:sz w:val="20"/>
                <w:szCs w:val="20"/>
              </w:rPr>
              <w:t>-</w:t>
            </w:r>
            <w:r w:rsidRPr="007E369D">
              <w:rPr>
                <w:rFonts w:ascii="Arial" w:hAnsi="Arial" w:cs="Arial"/>
                <w:b/>
                <w:bCs/>
                <w:color w:val="000000"/>
                <w:sz w:val="20"/>
                <w:szCs w:val="20"/>
              </w:rPr>
              <w:t xml:space="preserve"> Facility Rate- Statewide Average</w:t>
            </w:r>
          </w:p>
        </w:tc>
        <w:tc>
          <w:tcPr>
            <w:tcW w:w="1555" w:type="dxa"/>
            <w:tcBorders>
              <w:top w:val="double" w:sz="6" w:space="0" w:color="4F81BD"/>
              <w:left w:val="nil"/>
              <w:bottom w:val="double" w:sz="6" w:space="0" w:color="4F81BD"/>
              <w:right w:val="single" w:sz="4" w:space="0" w:color="4F81BD"/>
            </w:tcBorders>
            <w:shd w:val="clear" w:color="auto" w:fill="auto"/>
            <w:noWrap/>
            <w:vAlign w:val="bottom"/>
          </w:tcPr>
          <w:p w:rsidR="00156257" w:rsidRPr="007E369D" w:rsidRDefault="00156257" w:rsidP="00E62A0B">
            <w:pPr>
              <w:ind w:firstLine="0"/>
              <w:jc w:val="center"/>
              <w:rPr>
                <w:rFonts w:ascii="Arial" w:eastAsia="Times New Roman" w:hAnsi="Arial" w:cs="Arial"/>
                <w:color w:val="000000"/>
                <w:sz w:val="20"/>
                <w:szCs w:val="20"/>
              </w:rPr>
            </w:pPr>
            <w:r w:rsidRPr="007E369D">
              <w:rPr>
                <w:rFonts w:ascii="Arial" w:hAnsi="Arial" w:cs="Arial"/>
                <w:b/>
                <w:bCs/>
                <w:color w:val="000000"/>
                <w:sz w:val="20"/>
                <w:szCs w:val="20"/>
              </w:rPr>
              <w:t>2018 Mass. Medicaid Rate</w:t>
            </w:r>
          </w:p>
        </w:tc>
        <w:tc>
          <w:tcPr>
            <w:tcW w:w="1555" w:type="dxa"/>
            <w:tcBorders>
              <w:top w:val="double" w:sz="6" w:space="0" w:color="4F81BD"/>
              <w:left w:val="nil"/>
              <w:bottom w:val="double" w:sz="6" w:space="0" w:color="4F81BD"/>
              <w:right w:val="single" w:sz="4" w:space="0" w:color="4F81BD"/>
            </w:tcBorders>
            <w:shd w:val="clear" w:color="auto" w:fill="auto"/>
            <w:noWrap/>
            <w:vAlign w:val="bottom"/>
          </w:tcPr>
          <w:p w:rsidR="00156257" w:rsidRPr="007E369D" w:rsidRDefault="00156257" w:rsidP="00E62A0B">
            <w:pPr>
              <w:ind w:firstLine="0"/>
              <w:jc w:val="center"/>
              <w:rPr>
                <w:rFonts w:ascii="Arial" w:eastAsia="Times New Roman" w:hAnsi="Arial" w:cs="Arial"/>
                <w:color w:val="000000"/>
                <w:sz w:val="20"/>
                <w:szCs w:val="20"/>
              </w:rPr>
            </w:pPr>
            <w:r w:rsidRPr="007E369D">
              <w:rPr>
                <w:rFonts w:ascii="Arial" w:hAnsi="Arial" w:cs="Arial"/>
                <w:b/>
                <w:bCs/>
                <w:color w:val="000000"/>
                <w:sz w:val="20"/>
                <w:szCs w:val="20"/>
              </w:rPr>
              <w:t>Mass. Medicaid Payment as % of Medicare</w:t>
            </w:r>
          </w:p>
        </w:tc>
      </w:tr>
      <w:tr w:rsidR="00156257" w:rsidRPr="007E369D" w:rsidTr="006160B7">
        <w:trPr>
          <w:trHeight w:val="440"/>
        </w:trPr>
        <w:tc>
          <w:tcPr>
            <w:tcW w:w="1555" w:type="dxa"/>
            <w:tcBorders>
              <w:top w:val="double" w:sz="6" w:space="0" w:color="4F81BD"/>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93455</w:t>
            </w:r>
          </w:p>
        </w:tc>
        <w:tc>
          <w:tcPr>
            <w:tcW w:w="2002" w:type="dxa"/>
            <w:tcBorders>
              <w:top w:val="double" w:sz="6" w:space="0" w:color="4F81BD"/>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Catheter placement in coronary artery(s) for coronary angiography of bypass grafts</w:t>
            </w:r>
          </w:p>
        </w:tc>
        <w:tc>
          <w:tcPr>
            <w:tcW w:w="1555" w:type="dxa"/>
            <w:tcBorders>
              <w:top w:val="double" w:sz="6" w:space="0" w:color="4F81BD"/>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$1,153.48</w:t>
            </w:r>
          </w:p>
        </w:tc>
        <w:tc>
          <w:tcPr>
            <w:tcW w:w="1555" w:type="dxa"/>
            <w:tcBorders>
              <w:top w:val="double" w:sz="6" w:space="0" w:color="4F81BD"/>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$846.10</w:t>
            </w:r>
          </w:p>
        </w:tc>
        <w:tc>
          <w:tcPr>
            <w:tcW w:w="1555" w:type="dxa"/>
            <w:tcBorders>
              <w:top w:val="double" w:sz="6" w:space="0" w:color="4F81BD"/>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73.4%</w:t>
            </w:r>
          </w:p>
        </w:tc>
      </w:tr>
      <w:tr w:rsidR="00156257" w:rsidRPr="007E369D" w:rsidTr="006160B7">
        <w:trPr>
          <w:trHeight w:val="480"/>
        </w:trPr>
        <w:tc>
          <w:tcPr>
            <w:tcW w:w="1555" w:type="dxa"/>
            <w:tcBorders>
              <w:top w:val="single" w:sz="4" w:space="0" w:color="4F81BD"/>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93456</w:t>
            </w:r>
          </w:p>
        </w:tc>
        <w:tc>
          <w:tcPr>
            <w:tcW w:w="2002" w:type="dxa"/>
            <w:tcBorders>
              <w:top w:val="single" w:sz="4" w:space="0" w:color="4F81BD"/>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Catheter placement in coronary artery(s) for coronary angiography, right hear catheterization</w:t>
            </w:r>
          </w:p>
        </w:tc>
        <w:tc>
          <w:tcPr>
            <w:tcW w:w="1555" w:type="dxa"/>
            <w:tcBorders>
              <w:top w:val="single" w:sz="4" w:space="0" w:color="4F81BD"/>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$1,246.58</w:t>
            </w:r>
          </w:p>
        </w:tc>
        <w:tc>
          <w:tcPr>
            <w:tcW w:w="1555" w:type="dxa"/>
            <w:tcBorders>
              <w:top w:val="single" w:sz="4" w:space="0" w:color="4F81BD"/>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$909.85</w:t>
            </w:r>
          </w:p>
        </w:tc>
        <w:tc>
          <w:tcPr>
            <w:tcW w:w="1555" w:type="dxa"/>
            <w:tcBorders>
              <w:top w:val="single" w:sz="4" w:space="0" w:color="4F81BD"/>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73.0%</w:t>
            </w:r>
          </w:p>
        </w:tc>
      </w:tr>
      <w:tr w:rsidR="00156257" w:rsidRPr="007E369D" w:rsidTr="006160B7">
        <w:trPr>
          <w:trHeight w:val="480"/>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93457</w:t>
            </w:r>
          </w:p>
        </w:tc>
        <w:tc>
          <w:tcPr>
            <w:tcW w:w="2002" w:type="dxa"/>
            <w:tcBorders>
              <w:top w:val="nil"/>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Catheter placement in coronary artery(s) for coronary angiography, for bypass graft and right heart catheterization</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$1,411.74</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$1,028.69</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72.9%</w:t>
            </w:r>
          </w:p>
        </w:tc>
      </w:tr>
      <w:tr w:rsidR="00156257" w:rsidRPr="007E369D" w:rsidTr="006160B7">
        <w:trPr>
          <w:trHeight w:val="480"/>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93567</w:t>
            </w:r>
          </w:p>
        </w:tc>
        <w:tc>
          <w:tcPr>
            <w:tcW w:w="2002" w:type="dxa"/>
            <w:tcBorders>
              <w:top w:val="nil"/>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Injection procedure during cardia catheterization including imaging supervision</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$159.07</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$113.30</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71.2%</w:t>
            </w:r>
          </w:p>
        </w:tc>
      </w:tr>
      <w:tr w:rsidR="00156257" w:rsidRPr="007E369D" w:rsidTr="006160B7">
        <w:trPr>
          <w:trHeight w:val="224"/>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38220</w:t>
            </w:r>
          </w:p>
        </w:tc>
        <w:tc>
          <w:tcPr>
            <w:tcW w:w="2002" w:type="dxa"/>
            <w:tcBorders>
              <w:top w:val="nil"/>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Angiography</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$198.35</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$133.91</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67.5%</w:t>
            </w:r>
          </w:p>
        </w:tc>
      </w:tr>
      <w:tr w:rsidR="00156257" w:rsidRPr="007E369D" w:rsidTr="006160B7">
        <w:trPr>
          <w:trHeight w:val="269"/>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38221</w:t>
            </w:r>
          </w:p>
        </w:tc>
        <w:tc>
          <w:tcPr>
            <w:tcW w:w="2002" w:type="dxa"/>
            <w:tcBorders>
              <w:top w:val="nil"/>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Bone marrow biopsy</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$177.94</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$136.19</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76.5%</w:t>
            </w:r>
          </w:p>
        </w:tc>
      </w:tr>
      <w:tr w:rsidR="00156257" w:rsidRPr="007E369D" w:rsidTr="006160B7">
        <w:trPr>
          <w:trHeight w:val="480"/>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25670</w:t>
            </w:r>
          </w:p>
        </w:tc>
        <w:tc>
          <w:tcPr>
            <w:tcW w:w="2002" w:type="dxa"/>
            <w:tcBorders>
              <w:top w:val="nil"/>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 xml:space="preserve">Open treatment of radiocarpal or </w:t>
            </w:r>
            <w:proofErr w:type="spellStart"/>
            <w:r w:rsidRPr="007E369D">
              <w:rPr>
                <w:rFonts w:ascii="Arial" w:eastAsia="Times New Roman" w:hAnsi="Arial" w:cs="Arial"/>
                <w:bCs/>
                <w:color w:val="000000"/>
                <w:sz w:val="20"/>
                <w:szCs w:val="20"/>
              </w:rPr>
              <w:t>intercarpal</w:t>
            </w:r>
            <w:proofErr w:type="spellEnd"/>
            <w:r w:rsidRPr="007E369D">
              <w:rPr>
                <w:rFonts w:ascii="Arial" w:eastAsia="Times New Roman" w:hAnsi="Arial" w:cs="Arial"/>
                <w:bCs/>
                <w:color w:val="000000"/>
                <w:sz w:val="20"/>
                <w:szCs w:val="20"/>
              </w:rPr>
              <w:t xml:space="preserve"> dislocation, 1 or more bones</w:t>
            </w:r>
          </w:p>
        </w:tc>
        <w:tc>
          <w:tcPr>
            <w:tcW w:w="1555" w:type="dxa"/>
            <w:tcBorders>
              <w:top w:val="nil"/>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$687.63</w:t>
            </w:r>
          </w:p>
        </w:tc>
        <w:tc>
          <w:tcPr>
            <w:tcW w:w="1555" w:type="dxa"/>
            <w:tcBorders>
              <w:top w:val="nil"/>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$473.10</w:t>
            </w:r>
          </w:p>
        </w:tc>
        <w:tc>
          <w:tcPr>
            <w:tcW w:w="1555" w:type="dxa"/>
            <w:tcBorders>
              <w:top w:val="nil"/>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68.8%</w:t>
            </w:r>
          </w:p>
        </w:tc>
      </w:tr>
      <w:tr w:rsidR="00156257" w:rsidRPr="007E369D" w:rsidTr="006160B7">
        <w:trPr>
          <w:trHeight w:val="480"/>
        </w:trPr>
        <w:tc>
          <w:tcPr>
            <w:tcW w:w="1555" w:type="dxa"/>
            <w:tcBorders>
              <w:top w:val="double" w:sz="6" w:space="0" w:color="4F81BD"/>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lastRenderedPageBreak/>
              <w:t>25675</w:t>
            </w:r>
          </w:p>
        </w:tc>
        <w:tc>
          <w:tcPr>
            <w:tcW w:w="2002" w:type="dxa"/>
            <w:tcBorders>
              <w:top w:val="double" w:sz="6" w:space="0" w:color="4F81BD"/>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Closed treatment of distal radioulnar dislocation with manipulation</w:t>
            </w:r>
          </w:p>
        </w:tc>
        <w:tc>
          <w:tcPr>
            <w:tcW w:w="1555" w:type="dxa"/>
            <w:tcBorders>
              <w:top w:val="double" w:sz="6" w:space="0" w:color="4F81BD"/>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$497.79</w:t>
            </w:r>
          </w:p>
        </w:tc>
        <w:tc>
          <w:tcPr>
            <w:tcW w:w="1555" w:type="dxa"/>
            <w:tcBorders>
              <w:top w:val="double" w:sz="6" w:space="0" w:color="4F81BD"/>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$342.38</w:t>
            </w:r>
          </w:p>
        </w:tc>
        <w:tc>
          <w:tcPr>
            <w:tcW w:w="1555" w:type="dxa"/>
            <w:tcBorders>
              <w:top w:val="double" w:sz="6" w:space="0" w:color="4F81BD"/>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68.8%</w:t>
            </w:r>
          </w:p>
        </w:tc>
      </w:tr>
      <w:tr w:rsidR="00156257" w:rsidRPr="007E369D" w:rsidTr="006160B7">
        <w:trPr>
          <w:trHeight w:val="480"/>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25825</w:t>
            </w:r>
          </w:p>
        </w:tc>
        <w:tc>
          <w:tcPr>
            <w:tcW w:w="2002" w:type="dxa"/>
            <w:tcBorders>
              <w:top w:val="nil"/>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Arthrodesis, wrist; with autograft includes obtaining graft</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$867.50</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$593.49</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68.4%</w:t>
            </w:r>
          </w:p>
        </w:tc>
      </w:tr>
      <w:tr w:rsidR="00156257" w:rsidRPr="007E369D" w:rsidTr="006160B7">
        <w:trPr>
          <w:trHeight w:val="332"/>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26010</w:t>
            </w:r>
          </w:p>
        </w:tc>
        <w:tc>
          <w:tcPr>
            <w:tcW w:w="2002" w:type="dxa"/>
            <w:tcBorders>
              <w:top w:val="nil"/>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Drainage of finger abscess</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$312.39</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$214.30</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68.6%</w:t>
            </w:r>
          </w:p>
        </w:tc>
      </w:tr>
      <w:tr w:rsidR="00156257" w:rsidRPr="007E369D" w:rsidTr="006160B7">
        <w:trPr>
          <w:trHeight w:val="480"/>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26035</w:t>
            </w:r>
          </w:p>
        </w:tc>
        <w:tc>
          <w:tcPr>
            <w:tcW w:w="2002" w:type="dxa"/>
            <w:tcBorders>
              <w:top w:val="nil"/>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Decompression fingers and/or hand injection injury (e.g. Grease gun)</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$978.74</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$669.53</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68.4%</w:t>
            </w:r>
          </w:p>
        </w:tc>
      </w:tr>
      <w:tr w:rsidR="00156257" w:rsidRPr="007E369D" w:rsidTr="006160B7">
        <w:trPr>
          <w:trHeight w:val="585"/>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26160</w:t>
            </w:r>
          </w:p>
        </w:tc>
        <w:tc>
          <w:tcPr>
            <w:tcW w:w="2002" w:type="dxa"/>
            <w:tcBorders>
              <w:top w:val="nil"/>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Excision of lesion of tendon sheath or joint capsule (e.g., cyst, mucous joint capsule (e.g. cyst ganglion), hand or finger</w:t>
            </w:r>
          </w:p>
        </w:tc>
        <w:tc>
          <w:tcPr>
            <w:tcW w:w="1555" w:type="dxa"/>
            <w:tcBorders>
              <w:top w:val="nil"/>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$676.20</w:t>
            </w:r>
          </w:p>
        </w:tc>
        <w:tc>
          <w:tcPr>
            <w:tcW w:w="1555" w:type="dxa"/>
            <w:tcBorders>
              <w:top w:val="nil"/>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$464.20</w:t>
            </w:r>
          </w:p>
        </w:tc>
        <w:tc>
          <w:tcPr>
            <w:tcW w:w="1555" w:type="dxa"/>
            <w:tcBorders>
              <w:top w:val="nil"/>
              <w:left w:val="nil"/>
              <w:bottom w:val="single" w:sz="4"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68.6%</w:t>
            </w:r>
          </w:p>
        </w:tc>
      </w:tr>
      <w:tr w:rsidR="00156257" w:rsidRPr="007E369D" w:rsidTr="006160B7">
        <w:trPr>
          <w:trHeight w:val="480"/>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26450</w:t>
            </w:r>
          </w:p>
        </w:tc>
        <w:tc>
          <w:tcPr>
            <w:tcW w:w="2002" w:type="dxa"/>
            <w:tcBorders>
              <w:top w:val="nil"/>
              <w:left w:val="nil"/>
              <w:bottom w:val="single" w:sz="4" w:space="0" w:color="4F81BD"/>
              <w:right w:val="single" w:sz="4" w:space="0" w:color="4F81BD"/>
            </w:tcBorders>
            <w:shd w:val="clear" w:color="auto" w:fill="auto"/>
            <w:vAlign w:val="bottom"/>
          </w:tcPr>
          <w:p w:rsidR="00156257" w:rsidRPr="007E369D" w:rsidRDefault="0060257F" w:rsidP="001023A4">
            <w:pPr>
              <w:ind w:firstLine="0"/>
              <w:rPr>
                <w:rFonts w:ascii="Arial" w:eastAsia="Times New Roman" w:hAnsi="Arial" w:cs="Arial"/>
                <w:bCs/>
                <w:color w:val="000000"/>
                <w:sz w:val="20"/>
                <w:szCs w:val="20"/>
              </w:rPr>
            </w:pPr>
            <w:proofErr w:type="spellStart"/>
            <w:r>
              <w:rPr>
                <w:rFonts w:ascii="Arial" w:eastAsia="Times New Roman" w:hAnsi="Arial" w:cs="Arial"/>
                <w:bCs/>
                <w:color w:val="000000"/>
                <w:sz w:val="20"/>
                <w:szCs w:val="20"/>
              </w:rPr>
              <w:t>Tenotomy</w:t>
            </w:r>
            <w:proofErr w:type="spellEnd"/>
            <w:r>
              <w:rPr>
                <w:rFonts w:ascii="Arial" w:eastAsia="Times New Roman" w:hAnsi="Arial" w:cs="Arial"/>
                <w:bCs/>
                <w:color w:val="000000"/>
                <w:sz w:val="20"/>
                <w:szCs w:val="20"/>
              </w:rPr>
              <w:t xml:space="preserve">, </w:t>
            </w:r>
            <w:r w:rsidR="00156257" w:rsidRPr="007E369D">
              <w:rPr>
                <w:rFonts w:ascii="Arial" w:eastAsia="Times New Roman" w:hAnsi="Arial" w:cs="Arial"/>
                <w:bCs/>
                <w:color w:val="000000"/>
                <w:sz w:val="20"/>
                <w:szCs w:val="20"/>
              </w:rPr>
              <w:t>flexor, palm, open, each tendon</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$467.03</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$321.12</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68.8%</w:t>
            </w:r>
          </w:p>
        </w:tc>
      </w:tr>
      <w:tr w:rsidR="00156257" w:rsidRPr="007E369D" w:rsidTr="006160B7">
        <w:trPr>
          <w:trHeight w:val="341"/>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99281</w:t>
            </w:r>
          </w:p>
        </w:tc>
        <w:tc>
          <w:tcPr>
            <w:tcW w:w="2002" w:type="dxa"/>
            <w:tcBorders>
              <w:top w:val="nil"/>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Emergency medicine</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$22.93</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$16.07</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70.1%</w:t>
            </w:r>
          </w:p>
        </w:tc>
      </w:tr>
      <w:tr w:rsidR="00156257" w:rsidRPr="007E369D" w:rsidTr="006160B7">
        <w:trPr>
          <w:trHeight w:val="269"/>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eastAsia="Times New Roman" w:hAnsi="Arial" w:cs="Arial"/>
                <w:bCs/>
                <w:color w:val="000000"/>
                <w:sz w:val="20"/>
                <w:szCs w:val="20"/>
              </w:rPr>
              <w:t>99282</w:t>
            </w:r>
          </w:p>
        </w:tc>
        <w:tc>
          <w:tcPr>
            <w:tcW w:w="2002" w:type="dxa"/>
            <w:tcBorders>
              <w:top w:val="nil"/>
              <w:left w:val="nil"/>
              <w:bottom w:val="single" w:sz="4" w:space="0" w:color="4F81BD"/>
              <w:right w:val="single" w:sz="4" w:space="0" w:color="4F81BD"/>
            </w:tcBorders>
            <w:shd w:val="clear" w:color="auto" w:fill="auto"/>
            <w:vAlign w:val="bottom"/>
          </w:tcPr>
          <w:p w:rsidR="00156257" w:rsidRPr="007E369D" w:rsidRDefault="00156257" w:rsidP="001023A4">
            <w:pPr>
              <w:ind w:firstLine="0"/>
              <w:rPr>
                <w:rFonts w:ascii="Arial" w:eastAsia="Times New Roman" w:hAnsi="Arial" w:cs="Arial"/>
                <w:bCs/>
                <w:color w:val="000000"/>
                <w:sz w:val="20"/>
                <w:szCs w:val="20"/>
              </w:rPr>
            </w:pPr>
            <w:r w:rsidRPr="007E369D">
              <w:rPr>
                <w:rFonts w:ascii="Arial" w:eastAsia="Times New Roman" w:hAnsi="Arial" w:cs="Arial"/>
                <w:bCs/>
                <w:color w:val="000000"/>
                <w:sz w:val="20"/>
                <w:szCs w:val="20"/>
              </w:rPr>
              <w:t>Emergency medicine</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$44.69</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$31.30</w:t>
            </w:r>
          </w:p>
        </w:tc>
        <w:tc>
          <w:tcPr>
            <w:tcW w:w="1555" w:type="dxa"/>
            <w:tcBorders>
              <w:top w:val="nil"/>
              <w:left w:val="nil"/>
              <w:bottom w:val="single" w:sz="4" w:space="0" w:color="4F81BD"/>
              <w:right w:val="single" w:sz="4" w:space="0" w:color="4F81BD"/>
            </w:tcBorders>
            <w:shd w:val="clear" w:color="auto" w:fill="auto"/>
            <w:vAlign w:val="center"/>
          </w:tcPr>
          <w:p w:rsidR="00156257" w:rsidRPr="007E369D" w:rsidRDefault="00156257" w:rsidP="00A97022">
            <w:pPr>
              <w:ind w:firstLine="0"/>
              <w:jc w:val="center"/>
              <w:rPr>
                <w:rFonts w:ascii="Arial" w:eastAsia="Times New Roman" w:hAnsi="Arial" w:cs="Arial"/>
                <w:bCs/>
                <w:color w:val="000000"/>
                <w:sz w:val="20"/>
                <w:szCs w:val="20"/>
              </w:rPr>
            </w:pPr>
            <w:r w:rsidRPr="007E369D">
              <w:rPr>
                <w:rFonts w:ascii="Arial" w:hAnsi="Arial" w:cs="Arial"/>
                <w:color w:val="000000"/>
                <w:sz w:val="20"/>
                <w:szCs w:val="20"/>
              </w:rPr>
              <w:t>70.0%</w:t>
            </w:r>
          </w:p>
        </w:tc>
      </w:tr>
      <w:tr w:rsidR="00156257" w:rsidRPr="007E369D" w:rsidTr="006160B7">
        <w:trPr>
          <w:trHeight w:val="480"/>
        </w:trPr>
        <w:tc>
          <w:tcPr>
            <w:tcW w:w="1555" w:type="dxa"/>
            <w:tcBorders>
              <w:top w:val="double" w:sz="6" w:space="0" w:color="4F81BD"/>
              <w:left w:val="single" w:sz="4" w:space="0" w:color="4F81BD"/>
              <w:bottom w:val="double" w:sz="6" w:space="0" w:color="4F81BD"/>
              <w:right w:val="single" w:sz="4" w:space="0" w:color="4F81BD"/>
            </w:tcBorders>
            <w:shd w:val="clear" w:color="auto" w:fill="auto"/>
            <w:noWrap/>
            <w:vAlign w:val="bottom"/>
          </w:tcPr>
          <w:p w:rsidR="00156257" w:rsidRPr="007E369D" w:rsidRDefault="00156257" w:rsidP="00A97022">
            <w:pPr>
              <w:ind w:firstLine="0"/>
              <w:rPr>
                <w:rFonts w:ascii="Arial" w:eastAsia="Times New Roman" w:hAnsi="Arial" w:cs="Arial"/>
                <w:b/>
                <w:bCs/>
                <w:color w:val="000000"/>
                <w:sz w:val="20"/>
                <w:szCs w:val="20"/>
              </w:rPr>
            </w:pPr>
            <w:r w:rsidRPr="007E369D">
              <w:rPr>
                <w:rFonts w:ascii="Arial" w:eastAsia="Times New Roman" w:hAnsi="Arial" w:cs="Arial"/>
                <w:b/>
                <w:bCs/>
                <w:color w:val="000000"/>
                <w:sz w:val="20"/>
                <w:szCs w:val="20"/>
              </w:rPr>
              <w:t>All Codes</w:t>
            </w:r>
          </w:p>
        </w:tc>
        <w:tc>
          <w:tcPr>
            <w:tcW w:w="2002" w:type="dxa"/>
            <w:tcBorders>
              <w:top w:val="double" w:sz="6" w:space="0" w:color="4F81BD"/>
              <w:left w:val="nil"/>
              <w:bottom w:val="double" w:sz="6" w:space="0" w:color="4F81BD"/>
              <w:right w:val="single" w:sz="4" w:space="0" w:color="4F81BD"/>
            </w:tcBorders>
            <w:shd w:val="clear" w:color="auto" w:fill="auto"/>
            <w:noWrap/>
            <w:vAlign w:val="bottom"/>
          </w:tcPr>
          <w:p w:rsidR="00156257" w:rsidRPr="007E369D" w:rsidRDefault="00156257" w:rsidP="00E62A0B">
            <w:pPr>
              <w:ind w:firstLine="0"/>
              <w:jc w:val="center"/>
              <w:rPr>
                <w:rFonts w:ascii="Arial" w:eastAsia="Times New Roman" w:hAnsi="Arial" w:cs="Arial"/>
                <w:color w:val="000000"/>
                <w:sz w:val="20"/>
                <w:szCs w:val="20"/>
              </w:rPr>
            </w:pPr>
            <w:r w:rsidRPr="007E369D">
              <w:rPr>
                <w:rFonts w:ascii="Arial" w:eastAsia="Times New Roman" w:hAnsi="Arial" w:cs="Arial"/>
                <w:b/>
                <w:bCs/>
                <w:color w:val="000000"/>
                <w:sz w:val="20"/>
                <w:szCs w:val="20"/>
              </w:rPr>
              <w:t>Total Specialty Care Average</w:t>
            </w:r>
          </w:p>
        </w:tc>
        <w:tc>
          <w:tcPr>
            <w:tcW w:w="1555" w:type="dxa"/>
            <w:tcBorders>
              <w:top w:val="double" w:sz="6" w:space="0" w:color="4F81BD"/>
              <w:left w:val="nil"/>
              <w:bottom w:val="double" w:sz="6"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hAnsi="Arial" w:cs="Arial"/>
                <w:b/>
                <w:color w:val="000000"/>
                <w:sz w:val="20"/>
                <w:szCs w:val="20"/>
              </w:rPr>
            </w:pPr>
            <w:r w:rsidRPr="007E369D">
              <w:rPr>
                <w:rFonts w:ascii="Arial" w:hAnsi="Arial" w:cs="Arial"/>
                <w:b/>
                <w:color w:val="000000"/>
                <w:sz w:val="20"/>
                <w:szCs w:val="20"/>
              </w:rPr>
              <w:t>$593.47</w:t>
            </w:r>
          </w:p>
        </w:tc>
        <w:tc>
          <w:tcPr>
            <w:tcW w:w="1555" w:type="dxa"/>
            <w:tcBorders>
              <w:top w:val="double" w:sz="6" w:space="0" w:color="4F81BD"/>
              <w:left w:val="nil"/>
              <w:bottom w:val="double" w:sz="6" w:space="0" w:color="4F81BD"/>
              <w:right w:val="single" w:sz="4" w:space="0" w:color="4F81BD"/>
            </w:tcBorders>
            <w:shd w:val="clear" w:color="auto" w:fill="auto"/>
            <w:noWrap/>
            <w:vAlign w:val="center"/>
          </w:tcPr>
          <w:p w:rsidR="00156257" w:rsidRPr="007E369D" w:rsidRDefault="00156257" w:rsidP="00A97022">
            <w:pPr>
              <w:ind w:firstLine="0"/>
              <w:jc w:val="center"/>
              <w:rPr>
                <w:rFonts w:ascii="Arial" w:hAnsi="Arial" w:cs="Arial"/>
                <w:b/>
                <w:color w:val="000000"/>
                <w:sz w:val="20"/>
                <w:szCs w:val="20"/>
              </w:rPr>
            </w:pPr>
            <w:r w:rsidRPr="007E369D">
              <w:rPr>
                <w:rFonts w:ascii="Arial" w:hAnsi="Arial" w:cs="Arial"/>
                <w:b/>
                <w:color w:val="000000"/>
                <w:sz w:val="20"/>
                <w:szCs w:val="20"/>
              </w:rPr>
              <w:t>$419.57</w:t>
            </w:r>
          </w:p>
        </w:tc>
        <w:tc>
          <w:tcPr>
            <w:tcW w:w="1555" w:type="dxa"/>
            <w:tcBorders>
              <w:top w:val="double" w:sz="6" w:space="0" w:color="4F81BD"/>
              <w:left w:val="nil"/>
              <w:bottom w:val="double" w:sz="6" w:space="0" w:color="4F81BD"/>
              <w:right w:val="single" w:sz="4" w:space="0" w:color="4F81BD"/>
            </w:tcBorders>
            <w:shd w:val="clear" w:color="auto" w:fill="auto"/>
            <w:noWrap/>
            <w:vAlign w:val="center"/>
          </w:tcPr>
          <w:p w:rsidR="00156257" w:rsidRPr="007E369D" w:rsidRDefault="00156257" w:rsidP="0086413A">
            <w:pPr>
              <w:ind w:firstLine="0"/>
              <w:jc w:val="center"/>
              <w:rPr>
                <w:rFonts w:ascii="Arial" w:hAnsi="Arial" w:cs="Arial"/>
                <w:b/>
                <w:color w:val="000000"/>
                <w:sz w:val="20"/>
                <w:szCs w:val="20"/>
              </w:rPr>
            </w:pPr>
            <w:r w:rsidRPr="007E369D">
              <w:rPr>
                <w:rFonts w:ascii="Arial" w:hAnsi="Arial" w:cs="Arial"/>
                <w:b/>
                <w:color w:val="000000"/>
                <w:sz w:val="20"/>
                <w:szCs w:val="20"/>
              </w:rPr>
              <w:t>70.7%</w:t>
            </w:r>
          </w:p>
        </w:tc>
      </w:tr>
    </w:tbl>
    <w:p w:rsidR="0092005E" w:rsidRDefault="0092005E">
      <w:pPr>
        <w:ind w:firstLine="0"/>
        <w:rPr>
          <w:rFonts w:ascii="Arial" w:eastAsiaTheme="majorEastAsia" w:hAnsi="Arial" w:cs="Arial"/>
          <w:b/>
          <w:bCs/>
          <w:color w:val="365F91" w:themeColor="accent1" w:themeShade="BF"/>
          <w:sz w:val="24"/>
          <w:szCs w:val="24"/>
        </w:rPr>
      </w:pPr>
    </w:p>
    <w:p w:rsidR="00065F27" w:rsidRPr="00472ED1" w:rsidRDefault="00857F9A" w:rsidP="007E369D">
      <w:pPr>
        <w:pStyle w:val="Heading1"/>
        <w:rPr>
          <w:rFonts w:ascii="Arial" w:hAnsi="Arial" w:cs="Arial"/>
        </w:rPr>
      </w:pPr>
      <w:bookmarkStart w:id="43" w:name="_Toc10810584"/>
      <w:bookmarkStart w:id="44" w:name="_Toc20296935"/>
      <w:r w:rsidRPr="00472ED1">
        <w:rPr>
          <w:rFonts w:ascii="Arial" w:hAnsi="Arial" w:cs="Arial"/>
        </w:rPr>
        <w:t>S</w:t>
      </w:r>
      <w:r w:rsidR="00065F27" w:rsidRPr="00472ED1">
        <w:rPr>
          <w:rFonts w:ascii="Arial" w:hAnsi="Arial" w:cs="Arial"/>
        </w:rPr>
        <w:t>ection 4: Review Analysis of Behavioral Health Services</w:t>
      </w:r>
      <w:bookmarkEnd w:id="43"/>
      <w:bookmarkEnd w:id="44"/>
    </w:p>
    <w:p w:rsidR="00074070" w:rsidRPr="007E369D" w:rsidRDefault="00074070" w:rsidP="004A1045">
      <w:pPr>
        <w:ind w:firstLine="0"/>
        <w:rPr>
          <w:rFonts w:ascii="Arial" w:hAnsi="Arial" w:cs="Arial"/>
          <w:sz w:val="24"/>
          <w:szCs w:val="24"/>
          <w:highlight w:val="yellow"/>
          <w:u w:val="single"/>
        </w:rPr>
      </w:pPr>
    </w:p>
    <w:p w:rsidR="00FE45C8" w:rsidRPr="0066291B" w:rsidRDefault="00FE45C8" w:rsidP="0066291B">
      <w:pPr>
        <w:pStyle w:val="Heading2"/>
        <w:rPr>
          <w:rFonts w:ascii="Arial" w:hAnsi="Arial" w:cs="Arial"/>
          <w:u w:val="single"/>
        </w:rPr>
      </w:pPr>
      <w:bookmarkStart w:id="45" w:name="_Toc10810585"/>
      <w:bookmarkStart w:id="46" w:name="_Toc20296936"/>
      <w:r w:rsidRPr="0066291B">
        <w:rPr>
          <w:rFonts w:ascii="Arial" w:hAnsi="Arial" w:cs="Arial"/>
          <w:color w:val="auto"/>
          <w:sz w:val="24"/>
          <w:u w:val="single"/>
        </w:rPr>
        <w:t xml:space="preserve">1. Availability of </w:t>
      </w:r>
      <w:r w:rsidR="002B5017" w:rsidRPr="0066291B">
        <w:rPr>
          <w:rFonts w:ascii="Arial" w:hAnsi="Arial" w:cs="Arial"/>
          <w:color w:val="auto"/>
          <w:sz w:val="24"/>
          <w:u w:val="single"/>
        </w:rPr>
        <w:t>B</w:t>
      </w:r>
      <w:r w:rsidRPr="0066291B">
        <w:rPr>
          <w:rFonts w:ascii="Arial" w:hAnsi="Arial" w:cs="Arial"/>
          <w:color w:val="auto"/>
          <w:sz w:val="24"/>
          <w:u w:val="single"/>
        </w:rPr>
        <w:t>ehavioral</w:t>
      </w:r>
      <w:r w:rsidR="002B5017" w:rsidRPr="0066291B">
        <w:rPr>
          <w:rFonts w:ascii="Arial" w:hAnsi="Arial" w:cs="Arial"/>
          <w:color w:val="auto"/>
          <w:sz w:val="24"/>
          <w:u w:val="single"/>
        </w:rPr>
        <w:t xml:space="preserve"> H</w:t>
      </w:r>
      <w:r w:rsidRPr="0066291B">
        <w:rPr>
          <w:rFonts w:ascii="Arial" w:hAnsi="Arial" w:cs="Arial"/>
          <w:color w:val="auto"/>
          <w:sz w:val="24"/>
          <w:u w:val="single"/>
        </w:rPr>
        <w:t xml:space="preserve">ealth </w:t>
      </w:r>
      <w:r w:rsidR="002B5017" w:rsidRPr="0066291B">
        <w:rPr>
          <w:rFonts w:ascii="Arial" w:hAnsi="Arial" w:cs="Arial"/>
          <w:color w:val="auto"/>
          <w:sz w:val="24"/>
          <w:u w:val="single"/>
        </w:rPr>
        <w:t>S</w:t>
      </w:r>
      <w:r w:rsidRPr="0066291B">
        <w:rPr>
          <w:rFonts w:ascii="Arial" w:hAnsi="Arial" w:cs="Arial"/>
          <w:color w:val="auto"/>
          <w:sz w:val="24"/>
          <w:u w:val="single"/>
        </w:rPr>
        <w:t xml:space="preserve">ervicing </w:t>
      </w:r>
      <w:r w:rsidR="002B5017" w:rsidRPr="0066291B">
        <w:rPr>
          <w:rFonts w:ascii="Arial" w:hAnsi="Arial" w:cs="Arial"/>
          <w:color w:val="auto"/>
          <w:sz w:val="24"/>
          <w:u w:val="single"/>
        </w:rPr>
        <w:t>P</w:t>
      </w:r>
      <w:r w:rsidRPr="0066291B">
        <w:rPr>
          <w:rFonts w:ascii="Arial" w:hAnsi="Arial" w:cs="Arial"/>
          <w:color w:val="auto"/>
          <w:sz w:val="24"/>
          <w:u w:val="single"/>
        </w:rPr>
        <w:t>roviders</w:t>
      </w:r>
      <w:bookmarkEnd w:id="45"/>
      <w:bookmarkEnd w:id="46"/>
      <w:r w:rsidRPr="0066291B">
        <w:rPr>
          <w:rFonts w:ascii="Arial" w:hAnsi="Arial" w:cs="Arial"/>
          <w:u w:val="single"/>
        </w:rPr>
        <w:t xml:space="preserve"> </w:t>
      </w:r>
    </w:p>
    <w:p w:rsidR="00FE45C8" w:rsidRPr="007E369D" w:rsidRDefault="00FE45C8" w:rsidP="00FE45C8">
      <w:pPr>
        <w:ind w:firstLine="0"/>
        <w:rPr>
          <w:rFonts w:ascii="Arial" w:hAnsi="Arial" w:cs="Arial"/>
          <w:sz w:val="24"/>
          <w:szCs w:val="24"/>
        </w:rPr>
      </w:pPr>
    </w:p>
    <w:p w:rsidR="00CC1C46" w:rsidRDefault="00EF67AE" w:rsidP="00FE45C8">
      <w:pPr>
        <w:ind w:firstLine="0"/>
        <w:rPr>
          <w:rFonts w:ascii="Arial" w:hAnsi="Arial" w:cs="Arial"/>
          <w:sz w:val="24"/>
          <w:szCs w:val="24"/>
        </w:rPr>
      </w:pPr>
      <w:r w:rsidRPr="007E369D">
        <w:rPr>
          <w:rFonts w:ascii="Arial" w:hAnsi="Arial" w:cs="Arial"/>
          <w:sz w:val="24"/>
          <w:szCs w:val="24"/>
        </w:rPr>
        <w:t xml:space="preserve">In this section of the </w:t>
      </w:r>
      <w:r w:rsidR="001D1FDA" w:rsidRPr="007E369D">
        <w:rPr>
          <w:rFonts w:ascii="Arial" w:hAnsi="Arial" w:cs="Arial"/>
          <w:sz w:val="24"/>
          <w:szCs w:val="24"/>
        </w:rPr>
        <w:t>AMRP</w:t>
      </w:r>
      <w:r w:rsidR="003C77F1" w:rsidRPr="007E369D">
        <w:rPr>
          <w:rFonts w:ascii="Arial" w:hAnsi="Arial" w:cs="Arial"/>
          <w:sz w:val="24"/>
          <w:szCs w:val="24"/>
        </w:rPr>
        <w:t xml:space="preserve"> </w:t>
      </w:r>
      <w:r w:rsidRPr="007E369D">
        <w:rPr>
          <w:rFonts w:ascii="Arial" w:hAnsi="Arial" w:cs="Arial"/>
          <w:sz w:val="24"/>
          <w:szCs w:val="24"/>
        </w:rPr>
        <w:t>MassHealth present</w:t>
      </w:r>
      <w:r w:rsidR="00AE3568" w:rsidRPr="007E369D">
        <w:rPr>
          <w:rFonts w:ascii="Arial" w:hAnsi="Arial" w:cs="Arial"/>
          <w:sz w:val="24"/>
          <w:szCs w:val="24"/>
        </w:rPr>
        <w:t>s</w:t>
      </w:r>
      <w:r w:rsidRPr="007E369D">
        <w:rPr>
          <w:rFonts w:ascii="Arial" w:hAnsi="Arial" w:cs="Arial"/>
          <w:sz w:val="24"/>
          <w:szCs w:val="24"/>
        </w:rPr>
        <w:t xml:space="preserve"> the required data on the number of enrolled </w:t>
      </w:r>
      <w:r w:rsidR="00F43206">
        <w:rPr>
          <w:rFonts w:ascii="Arial" w:hAnsi="Arial" w:cs="Arial"/>
          <w:sz w:val="24"/>
          <w:szCs w:val="24"/>
        </w:rPr>
        <w:t xml:space="preserve">behavioral health </w:t>
      </w:r>
      <w:r w:rsidRPr="007E369D">
        <w:rPr>
          <w:rFonts w:ascii="Arial" w:hAnsi="Arial" w:cs="Arial"/>
          <w:sz w:val="24"/>
          <w:szCs w:val="24"/>
        </w:rPr>
        <w:t xml:space="preserve">providers. </w:t>
      </w:r>
    </w:p>
    <w:p w:rsidR="007E369D" w:rsidRPr="007E369D" w:rsidRDefault="007E369D" w:rsidP="00FE45C8">
      <w:pPr>
        <w:ind w:firstLine="0"/>
        <w:rPr>
          <w:rFonts w:ascii="Arial" w:hAnsi="Arial" w:cs="Arial"/>
          <w:sz w:val="24"/>
          <w:szCs w:val="24"/>
        </w:rPr>
      </w:pPr>
    </w:p>
    <w:p w:rsidR="00FE45C8" w:rsidRPr="007E369D" w:rsidRDefault="00FE45C8" w:rsidP="00FE45C8">
      <w:pPr>
        <w:ind w:firstLine="0"/>
        <w:rPr>
          <w:rFonts w:ascii="Arial" w:hAnsi="Arial" w:cs="Arial"/>
          <w:sz w:val="24"/>
          <w:szCs w:val="24"/>
        </w:rPr>
      </w:pPr>
      <w:r w:rsidRPr="007E369D">
        <w:rPr>
          <w:rFonts w:ascii="Arial" w:hAnsi="Arial" w:cs="Arial"/>
          <w:sz w:val="24"/>
          <w:szCs w:val="24"/>
        </w:rPr>
        <w:t>Data source: MMIS provider enrollment data</w:t>
      </w:r>
    </w:p>
    <w:p w:rsidR="00582B5F" w:rsidRPr="007E369D" w:rsidRDefault="00582B5F" w:rsidP="00FE45C8">
      <w:pPr>
        <w:ind w:firstLine="0"/>
        <w:rPr>
          <w:rFonts w:ascii="Arial" w:hAnsi="Arial" w:cs="Arial"/>
          <w:sz w:val="24"/>
          <w:szCs w:val="24"/>
        </w:rPr>
      </w:pPr>
    </w:p>
    <w:p w:rsidR="00FE45C8" w:rsidRPr="007E369D" w:rsidRDefault="00FE45C8" w:rsidP="00FE45C8">
      <w:pPr>
        <w:ind w:firstLine="0"/>
        <w:rPr>
          <w:rFonts w:ascii="Arial" w:hAnsi="Arial" w:cs="Arial"/>
          <w:sz w:val="24"/>
          <w:szCs w:val="24"/>
        </w:rPr>
      </w:pPr>
      <w:r w:rsidRPr="007E369D">
        <w:rPr>
          <w:rFonts w:ascii="Arial" w:hAnsi="Arial" w:cs="Arial"/>
          <w:sz w:val="24"/>
          <w:szCs w:val="24"/>
        </w:rPr>
        <w:t xml:space="preserve">Methodology: In order to determine the number of providers trended over time, we ran the number of active billing providers in MMIS for each section of the </w:t>
      </w:r>
      <w:r w:rsidR="001D1FDA" w:rsidRPr="007E369D">
        <w:rPr>
          <w:rFonts w:ascii="Arial" w:hAnsi="Arial" w:cs="Arial"/>
          <w:sz w:val="24"/>
          <w:szCs w:val="24"/>
        </w:rPr>
        <w:t>AMRP</w:t>
      </w:r>
      <w:r w:rsidR="003C77F1" w:rsidRPr="007E369D">
        <w:rPr>
          <w:rFonts w:ascii="Arial" w:hAnsi="Arial" w:cs="Arial"/>
          <w:sz w:val="24"/>
          <w:szCs w:val="24"/>
        </w:rPr>
        <w:t xml:space="preserve"> </w:t>
      </w:r>
      <w:r w:rsidRPr="007E369D">
        <w:rPr>
          <w:rFonts w:ascii="Arial" w:hAnsi="Arial" w:cs="Arial"/>
          <w:sz w:val="24"/>
          <w:szCs w:val="24"/>
        </w:rPr>
        <w:t xml:space="preserve">(by each provider type) listed below by county – unduplicated over </w:t>
      </w:r>
      <w:r w:rsidR="00F964CE" w:rsidRPr="007E369D">
        <w:rPr>
          <w:rFonts w:ascii="Arial" w:hAnsi="Arial" w:cs="Arial"/>
          <w:sz w:val="24"/>
          <w:szCs w:val="24"/>
        </w:rPr>
        <w:t xml:space="preserve">each </w:t>
      </w:r>
      <w:r w:rsidRPr="007E369D">
        <w:rPr>
          <w:rFonts w:ascii="Arial" w:hAnsi="Arial" w:cs="Arial"/>
          <w:sz w:val="24"/>
          <w:szCs w:val="24"/>
        </w:rPr>
        <w:t>full fiscal year for SFY1</w:t>
      </w:r>
      <w:r w:rsidR="00F22827" w:rsidRPr="007E369D">
        <w:rPr>
          <w:rFonts w:ascii="Arial" w:hAnsi="Arial" w:cs="Arial"/>
          <w:sz w:val="24"/>
          <w:szCs w:val="24"/>
        </w:rPr>
        <w:t>6</w:t>
      </w:r>
      <w:r w:rsidRPr="007E369D">
        <w:rPr>
          <w:rFonts w:ascii="Arial" w:hAnsi="Arial" w:cs="Arial"/>
          <w:sz w:val="24"/>
          <w:szCs w:val="24"/>
        </w:rPr>
        <w:t>, SFY1</w:t>
      </w:r>
      <w:r w:rsidR="00F22827" w:rsidRPr="007E369D">
        <w:rPr>
          <w:rFonts w:ascii="Arial" w:hAnsi="Arial" w:cs="Arial"/>
          <w:sz w:val="24"/>
          <w:szCs w:val="24"/>
        </w:rPr>
        <w:t>7</w:t>
      </w:r>
      <w:r w:rsidRPr="007E369D">
        <w:rPr>
          <w:rFonts w:ascii="Arial" w:hAnsi="Arial" w:cs="Arial"/>
          <w:sz w:val="24"/>
          <w:szCs w:val="24"/>
        </w:rPr>
        <w:t xml:space="preserve"> and SFY1</w:t>
      </w:r>
      <w:r w:rsidR="00F22827" w:rsidRPr="007E369D">
        <w:rPr>
          <w:rFonts w:ascii="Arial" w:hAnsi="Arial" w:cs="Arial"/>
          <w:sz w:val="24"/>
          <w:szCs w:val="24"/>
        </w:rPr>
        <w:t>8</w:t>
      </w:r>
      <w:r w:rsidRPr="007E369D">
        <w:rPr>
          <w:rFonts w:ascii="Arial" w:hAnsi="Arial" w:cs="Arial"/>
          <w:sz w:val="24"/>
          <w:szCs w:val="24"/>
        </w:rPr>
        <w:t>.</w:t>
      </w:r>
    </w:p>
    <w:p w:rsidR="00785324" w:rsidRPr="007E369D" w:rsidRDefault="00785324" w:rsidP="00FE45C8">
      <w:pPr>
        <w:ind w:firstLine="0"/>
        <w:rPr>
          <w:rFonts w:ascii="Arial" w:hAnsi="Arial" w:cs="Arial"/>
          <w:sz w:val="24"/>
          <w:szCs w:val="24"/>
        </w:rPr>
      </w:pPr>
    </w:p>
    <w:p w:rsidR="003E73AC" w:rsidRPr="001B12FB" w:rsidRDefault="003E73AC" w:rsidP="003E73AC">
      <w:pPr>
        <w:ind w:firstLine="0"/>
        <w:rPr>
          <w:rFonts w:ascii="Arial" w:hAnsi="Arial" w:cs="Arial"/>
          <w:b/>
          <w:sz w:val="24"/>
          <w:szCs w:val="24"/>
        </w:rPr>
      </w:pPr>
      <w:r w:rsidRPr="0050311A">
        <w:rPr>
          <w:rFonts w:ascii="Arial" w:hAnsi="Arial" w:cs="Arial"/>
          <w:sz w:val="24"/>
          <w:szCs w:val="24"/>
        </w:rPr>
        <w:lastRenderedPageBreak/>
        <w:t>Out-of-state</w:t>
      </w:r>
      <w:r w:rsidRPr="0050311A" w:rsidDel="00E01522">
        <w:rPr>
          <w:rFonts w:ascii="Arial" w:hAnsi="Arial" w:cs="Arial"/>
          <w:sz w:val="24"/>
          <w:szCs w:val="24"/>
        </w:rPr>
        <w:t xml:space="preserve"> </w:t>
      </w:r>
      <w:r w:rsidRPr="0050311A">
        <w:rPr>
          <w:rFonts w:ascii="Arial" w:hAnsi="Arial" w:cs="Arial"/>
          <w:sz w:val="24"/>
          <w:szCs w:val="24"/>
        </w:rPr>
        <w:t xml:space="preserve">provider information is included for individual </w:t>
      </w:r>
      <w:r>
        <w:rPr>
          <w:rFonts w:ascii="Arial" w:hAnsi="Arial" w:cs="Arial"/>
          <w:sz w:val="24"/>
          <w:szCs w:val="24"/>
        </w:rPr>
        <w:t xml:space="preserve">behavioral health providers </w:t>
      </w:r>
      <w:r w:rsidRPr="0050311A">
        <w:rPr>
          <w:rFonts w:ascii="Arial" w:hAnsi="Arial" w:cs="Arial"/>
          <w:sz w:val="24"/>
          <w:szCs w:val="24"/>
        </w:rPr>
        <w:t xml:space="preserve">because those providers are eligible to enroll with MassHealth. </w:t>
      </w:r>
      <w:r w:rsidR="002E7F48">
        <w:rPr>
          <w:rFonts w:ascii="Arial" w:hAnsi="Arial" w:cs="Arial"/>
          <w:sz w:val="24"/>
          <w:szCs w:val="24"/>
        </w:rPr>
        <w:t>Although p</w:t>
      </w:r>
      <w:r w:rsidRPr="0050311A">
        <w:rPr>
          <w:rFonts w:ascii="Arial" w:hAnsi="Arial" w:cs="Arial"/>
          <w:sz w:val="24"/>
          <w:szCs w:val="24"/>
        </w:rPr>
        <w:t>roviders may enroll from any state</w:t>
      </w:r>
      <w:r w:rsidR="002E7F48">
        <w:rPr>
          <w:rFonts w:ascii="Arial" w:hAnsi="Arial" w:cs="Arial"/>
          <w:sz w:val="24"/>
          <w:szCs w:val="24"/>
        </w:rPr>
        <w:t>,</w:t>
      </w:r>
      <w:r w:rsidR="00F676CE">
        <w:rPr>
          <w:rFonts w:ascii="Arial" w:hAnsi="Arial" w:cs="Arial"/>
          <w:sz w:val="24"/>
          <w:szCs w:val="24"/>
        </w:rPr>
        <w:t xml:space="preserve"> </w:t>
      </w:r>
      <w:r w:rsidRPr="0050311A">
        <w:rPr>
          <w:rFonts w:ascii="Arial" w:hAnsi="Arial" w:cs="Arial"/>
          <w:sz w:val="24"/>
          <w:szCs w:val="24"/>
        </w:rPr>
        <w:t>out-of-state provider enrollment</w:t>
      </w:r>
      <w:r w:rsidR="002E7F48">
        <w:rPr>
          <w:rFonts w:ascii="Arial" w:hAnsi="Arial" w:cs="Arial"/>
          <w:sz w:val="24"/>
          <w:szCs w:val="24"/>
        </w:rPr>
        <w:t xml:space="preserve"> particularly</w:t>
      </w:r>
      <w:r w:rsidRPr="0050311A">
        <w:rPr>
          <w:rFonts w:ascii="Arial" w:hAnsi="Arial" w:cs="Arial"/>
          <w:sz w:val="24"/>
          <w:szCs w:val="24"/>
        </w:rPr>
        <w:t xml:space="preserve"> allows members who live near the state border to access a greater range of </w:t>
      </w:r>
      <w:r>
        <w:rPr>
          <w:rFonts w:ascii="Arial" w:hAnsi="Arial" w:cs="Arial"/>
          <w:sz w:val="24"/>
          <w:szCs w:val="24"/>
        </w:rPr>
        <w:t>behavioral health providers</w:t>
      </w:r>
      <w:r w:rsidRPr="0050311A">
        <w:rPr>
          <w:rFonts w:ascii="Arial" w:hAnsi="Arial" w:cs="Arial"/>
          <w:sz w:val="24"/>
          <w:szCs w:val="24"/>
        </w:rPr>
        <w:t>.</w:t>
      </w:r>
    </w:p>
    <w:p w:rsidR="007E369D" w:rsidRPr="007E369D" w:rsidRDefault="007E369D" w:rsidP="00EF67AE">
      <w:pPr>
        <w:ind w:firstLine="0"/>
        <w:rPr>
          <w:rFonts w:ascii="Arial" w:hAnsi="Arial" w:cs="Arial"/>
          <w:b/>
          <w:sz w:val="24"/>
          <w:szCs w:val="24"/>
        </w:rPr>
      </w:pPr>
    </w:p>
    <w:p w:rsidR="00B73EDB" w:rsidRPr="007E369D" w:rsidRDefault="00B73EDB" w:rsidP="00B73EDB">
      <w:pPr>
        <w:ind w:firstLine="0"/>
        <w:rPr>
          <w:rFonts w:ascii="Arial" w:hAnsi="Arial" w:cs="Arial"/>
          <w:sz w:val="24"/>
          <w:szCs w:val="24"/>
        </w:rPr>
      </w:pPr>
      <w:r w:rsidRPr="00B73EDB">
        <w:rPr>
          <w:rFonts w:ascii="Arial" w:hAnsi="Arial" w:cs="Arial"/>
          <w:sz w:val="24"/>
          <w:szCs w:val="24"/>
        </w:rPr>
        <w:t xml:space="preserve">Note that many psychologists and psychiatrists may be </w:t>
      </w:r>
      <w:r>
        <w:rPr>
          <w:rFonts w:ascii="Arial" w:hAnsi="Arial" w:cs="Arial"/>
          <w:sz w:val="24"/>
          <w:szCs w:val="24"/>
        </w:rPr>
        <w:t>facility</w:t>
      </w:r>
      <w:r w:rsidRPr="00B73EDB">
        <w:rPr>
          <w:rFonts w:ascii="Arial" w:hAnsi="Arial" w:cs="Arial"/>
          <w:sz w:val="24"/>
          <w:szCs w:val="24"/>
        </w:rPr>
        <w:t>-based providers who do not practice independently and may only be affiliated with a hospital</w:t>
      </w:r>
      <w:r>
        <w:rPr>
          <w:rFonts w:ascii="Arial" w:hAnsi="Arial" w:cs="Arial"/>
          <w:sz w:val="24"/>
          <w:szCs w:val="24"/>
        </w:rPr>
        <w:t xml:space="preserve"> or mental health </w:t>
      </w:r>
      <w:r w:rsidR="00D52FBC">
        <w:rPr>
          <w:rFonts w:ascii="Arial" w:hAnsi="Arial" w:cs="Arial"/>
          <w:sz w:val="24"/>
          <w:szCs w:val="24"/>
        </w:rPr>
        <w:t>center</w:t>
      </w:r>
      <w:r w:rsidRPr="00B73EDB">
        <w:rPr>
          <w:rFonts w:ascii="Arial" w:hAnsi="Arial" w:cs="Arial"/>
          <w:sz w:val="24"/>
          <w:szCs w:val="24"/>
        </w:rPr>
        <w:t xml:space="preserve">. Therefore, because they are not all individually enrolled as billing providers with MassHealth, they are not reflected in the data below and, as a result, the provider counts </w:t>
      </w:r>
      <w:r w:rsidR="004E5DAE">
        <w:rPr>
          <w:rFonts w:ascii="Arial" w:hAnsi="Arial" w:cs="Arial"/>
          <w:sz w:val="24"/>
          <w:szCs w:val="24"/>
        </w:rPr>
        <w:t>may underestimate the number of clinicians providing services</w:t>
      </w:r>
      <w:r w:rsidR="004E5DAE" w:rsidRPr="00B73EDB">
        <w:rPr>
          <w:rFonts w:ascii="Arial" w:hAnsi="Arial" w:cs="Arial"/>
          <w:sz w:val="24"/>
          <w:szCs w:val="24"/>
        </w:rPr>
        <w:t>.</w:t>
      </w:r>
    </w:p>
    <w:p w:rsidR="00B73EDB" w:rsidRDefault="00B73EDB" w:rsidP="00FE45C8">
      <w:pPr>
        <w:ind w:firstLine="0"/>
        <w:rPr>
          <w:rFonts w:ascii="Arial" w:hAnsi="Arial" w:cs="Arial"/>
          <w:sz w:val="24"/>
          <w:szCs w:val="24"/>
        </w:rPr>
      </w:pPr>
    </w:p>
    <w:p w:rsidR="00FE45C8" w:rsidRPr="007E369D" w:rsidRDefault="00F50D16" w:rsidP="00FE45C8">
      <w:pPr>
        <w:ind w:firstLine="0"/>
        <w:rPr>
          <w:rFonts w:ascii="Arial" w:hAnsi="Arial" w:cs="Arial"/>
          <w:sz w:val="24"/>
          <w:szCs w:val="24"/>
        </w:rPr>
      </w:pPr>
      <w:r w:rsidRPr="007E369D">
        <w:rPr>
          <w:rFonts w:ascii="Arial" w:hAnsi="Arial" w:cs="Arial"/>
          <w:sz w:val="24"/>
          <w:szCs w:val="24"/>
        </w:rPr>
        <w:t>M</w:t>
      </w:r>
      <w:r w:rsidR="00FE45C8" w:rsidRPr="007E369D">
        <w:rPr>
          <w:rFonts w:ascii="Arial" w:hAnsi="Arial" w:cs="Arial"/>
          <w:sz w:val="24"/>
          <w:szCs w:val="24"/>
        </w:rPr>
        <w:t xml:space="preserve">embers </w:t>
      </w:r>
      <w:r w:rsidR="003A5ECF" w:rsidRPr="007E369D">
        <w:rPr>
          <w:rFonts w:ascii="Arial" w:hAnsi="Arial" w:cs="Arial"/>
          <w:sz w:val="24"/>
          <w:szCs w:val="24"/>
        </w:rPr>
        <w:t xml:space="preserve">enrolled </w:t>
      </w:r>
      <w:r w:rsidR="00FE45C8" w:rsidRPr="007E369D">
        <w:rPr>
          <w:rFonts w:ascii="Arial" w:hAnsi="Arial" w:cs="Arial"/>
          <w:sz w:val="24"/>
          <w:szCs w:val="24"/>
        </w:rPr>
        <w:t xml:space="preserve">in the PCC </w:t>
      </w:r>
      <w:r w:rsidR="00AE14B9" w:rsidRPr="007E369D">
        <w:rPr>
          <w:rFonts w:ascii="Arial" w:hAnsi="Arial" w:cs="Arial"/>
          <w:sz w:val="24"/>
          <w:szCs w:val="24"/>
        </w:rPr>
        <w:t>P</w:t>
      </w:r>
      <w:r w:rsidR="00FE45C8" w:rsidRPr="007E369D">
        <w:rPr>
          <w:rFonts w:ascii="Arial" w:hAnsi="Arial" w:cs="Arial"/>
          <w:sz w:val="24"/>
          <w:szCs w:val="24"/>
        </w:rPr>
        <w:t xml:space="preserve">lan </w:t>
      </w:r>
      <w:r w:rsidR="00DD2180" w:rsidRPr="007E369D">
        <w:rPr>
          <w:rFonts w:ascii="Arial" w:hAnsi="Arial" w:cs="Arial"/>
          <w:sz w:val="24"/>
          <w:szCs w:val="24"/>
        </w:rPr>
        <w:t xml:space="preserve">and </w:t>
      </w:r>
      <w:r w:rsidR="007243EB" w:rsidRPr="007E369D">
        <w:rPr>
          <w:rFonts w:ascii="Arial" w:hAnsi="Arial" w:cs="Arial"/>
          <w:sz w:val="24"/>
          <w:szCs w:val="24"/>
        </w:rPr>
        <w:t xml:space="preserve">a </w:t>
      </w:r>
      <w:r w:rsidR="002E0F55" w:rsidRPr="007E369D">
        <w:rPr>
          <w:rFonts w:ascii="Arial" w:hAnsi="Arial" w:cs="Arial"/>
          <w:sz w:val="24"/>
          <w:szCs w:val="24"/>
        </w:rPr>
        <w:t>Primary Care</w:t>
      </w:r>
      <w:r w:rsidR="003A5ECF" w:rsidRPr="007E369D">
        <w:rPr>
          <w:rFonts w:ascii="Arial" w:hAnsi="Arial" w:cs="Arial"/>
          <w:sz w:val="24"/>
          <w:szCs w:val="24"/>
        </w:rPr>
        <w:t xml:space="preserve"> ACO </w:t>
      </w:r>
      <w:r w:rsidR="00FE45C8" w:rsidRPr="007E369D">
        <w:rPr>
          <w:rFonts w:ascii="Arial" w:hAnsi="Arial" w:cs="Arial"/>
          <w:sz w:val="24"/>
          <w:szCs w:val="24"/>
        </w:rPr>
        <w:t>access behavioral health ser</w:t>
      </w:r>
      <w:r w:rsidR="00EC3047">
        <w:rPr>
          <w:rFonts w:ascii="Arial" w:hAnsi="Arial" w:cs="Arial"/>
          <w:sz w:val="24"/>
          <w:szCs w:val="24"/>
        </w:rPr>
        <w:t xml:space="preserve">vices through </w:t>
      </w:r>
      <w:r w:rsidR="00FE45C8" w:rsidRPr="007E369D">
        <w:rPr>
          <w:rFonts w:ascii="Arial" w:hAnsi="Arial" w:cs="Arial"/>
          <w:sz w:val="24"/>
          <w:szCs w:val="24"/>
        </w:rPr>
        <w:t>MBHP</w:t>
      </w:r>
      <w:r w:rsidR="007A576C">
        <w:rPr>
          <w:rFonts w:ascii="Arial" w:hAnsi="Arial" w:cs="Arial"/>
          <w:sz w:val="24"/>
          <w:szCs w:val="24"/>
        </w:rPr>
        <w:t xml:space="preserve">. </w:t>
      </w:r>
      <w:r w:rsidR="00FE45C8" w:rsidRPr="007E369D">
        <w:rPr>
          <w:rFonts w:ascii="Arial" w:hAnsi="Arial" w:cs="Arial"/>
          <w:sz w:val="24"/>
          <w:szCs w:val="24"/>
        </w:rPr>
        <w:t xml:space="preserve">Because the plan is capitated, MBHP providers and services are not included in this </w:t>
      </w:r>
      <w:r w:rsidR="001D1FDA" w:rsidRPr="007E369D">
        <w:rPr>
          <w:rFonts w:ascii="Arial" w:hAnsi="Arial" w:cs="Arial"/>
          <w:sz w:val="24"/>
          <w:szCs w:val="24"/>
        </w:rPr>
        <w:t>AMRP</w:t>
      </w:r>
      <w:r w:rsidR="00FE45C8" w:rsidRPr="007E369D">
        <w:rPr>
          <w:rFonts w:ascii="Arial" w:hAnsi="Arial" w:cs="Arial"/>
          <w:sz w:val="24"/>
          <w:szCs w:val="24"/>
        </w:rPr>
        <w:t>.</w:t>
      </w:r>
      <w:r w:rsidR="00CC1C46" w:rsidRPr="007E369D">
        <w:rPr>
          <w:rFonts w:ascii="Arial" w:hAnsi="Arial" w:cs="Arial"/>
          <w:sz w:val="24"/>
          <w:szCs w:val="24"/>
        </w:rPr>
        <w:t xml:space="preserve"> </w:t>
      </w:r>
      <w:r w:rsidR="00FE45C8" w:rsidRPr="007E369D">
        <w:rPr>
          <w:rFonts w:ascii="Arial" w:hAnsi="Arial" w:cs="Arial"/>
          <w:sz w:val="24"/>
          <w:szCs w:val="24"/>
        </w:rPr>
        <w:t>The provider counts below are only FFS enrolled providers</w:t>
      </w:r>
      <w:r w:rsidR="0030514F" w:rsidRPr="007E369D">
        <w:rPr>
          <w:rFonts w:ascii="Arial" w:hAnsi="Arial" w:cs="Arial"/>
          <w:sz w:val="24"/>
          <w:szCs w:val="24"/>
        </w:rPr>
        <w:t xml:space="preserve"> and only</w:t>
      </w:r>
      <w:r w:rsidR="005F3CFC" w:rsidRPr="007E369D">
        <w:rPr>
          <w:rFonts w:ascii="Arial" w:hAnsi="Arial" w:cs="Arial"/>
          <w:sz w:val="24"/>
          <w:szCs w:val="24"/>
        </w:rPr>
        <w:t xml:space="preserve"> </w:t>
      </w:r>
      <w:r w:rsidR="0030514F" w:rsidRPr="007E369D">
        <w:rPr>
          <w:rFonts w:ascii="Arial" w:hAnsi="Arial" w:cs="Arial"/>
          <w:sz w:val="24"/>
          <w:szCs w:val="24"/>
        </w:rPr>
        <w:t>FFS members receive behavioral health services from these providers</w:t>
      </w:r>
      <w:r w:rsidR="000E65EE" w:rsidRPr="007E369D">
        <w:rPr>
          <w:rFonts w:ascii="Arial" w:hAnsi="Arial" w:cs="Arial"/>
          <w:sz w:val="24"/>
          <w:szCs w:val="24"/>
        </w:rPr>
        <w:t xml:space="preserve"> on a FFS basis</w:t>
      </w:r>
      <w:r w:rsidR="00FE45C8" w:rsidRPr="007E369D">
        <w:rPr>
          <w:rFonts w:ascii="Arial" w:hAnsi="Arial" w:cs="Arial"/>
          <w:sz w:val="24"/>
          <w:szCs w:val="24"/>
        </w:rPr>
        <w:t>.</w:t>
      </w:r>
      <w:r w:rsidR="000E65EE" w:rsidRPr="007E369D">
        <w:rPr>
          <w:rFonts w:ascii="Arial" w:hAnsi="Arial" w:cs="Arial"/>
          <w:sz w:val="24"/>
          <w:szCs w:val="24"/>
        </w:rPr>
        <w:t xml:space="preserve"> </w:t>
      </w:r>
    </w:p>
    <w:p w:rsidR="00E96463" w:rsidRPr="007E369D" w:rsidRDefault="00E96463" w:rsidP="00FE45C8">
      <w:pPr>
        <w:ind w:firstLine="0"/>
        <w:rPr>
          <w:rFonts w:ascii="Arial" w:hAnsi="Arial" w:cs="Arial"/>
          <w:sz w:val="24"/>
          <w:szCs w:val="24"/>
        </w:rPr>
      </w:pPr>
    </w:p>
    <w:p w:rsidR="00E96463" w:rsidRPr="007E369D" w:rsidRDefault="00E96463" w:rsidP="00E96463">
      <w:pPr>
        <w:ind w:firstLine="0"/>
        <w:rPr>
          <w:rFonts w:ascii="Arial" w:eastAsia="Calibri" w:hAnsi="Arial" w:cs="Arial"/>
          <w:sz w:val="24"/>
          <w:szCs w:val="24"/>
        </w:rPr>
      </w:pPr>
      <w:r w:rsidRPr="007E369D">
        <w:rPr>
          <w:rFonts w:ascii="Arial" w:hAnsi="Arial" w:cs="Arial"/>
          <w:sz w:val="24"/>
          <w:szCs w:val="24"/>
        </w:rPr>
        <w:t xml:space="preserve">Furthermore, it is worth noting that some </w:t>
      </w:r>
      <w:r w:rsidR="00B66051">
        <w:rPr>
          <w:rFonts w:ascii="Arial" w:hAnsi="Arial" w:cs="Arial"/>
          <w:sz w:val="24"/>
          <w:szCs w:val="24"/>
        </w:rPr>
        <w:t xml:space="preserve">FFS </w:t>
      </w:r>
      <w:r w:rsidRPr="007E369D">
        <w:rPr>
          <w:rFonts w:ascii="Arial" w:hAnsi="Arial" w:cs="Arial"/>
          <w:sz w:val="24"/>
          <w:szCs w:val="24"/>
        </w:rPr>
        <w:t>members may see providers in neighboring counties. As such, members may not live and seek care consistently in one county throughout the course of a given year. Furthermore, with the exception of the Home Health Services section, the episode of care data in the utilization sections was calculated based on the location of the provider as members can seek care in counties other than where they live.</w:t>
      </w:r>
    </w:p>
    <w:p w:rsidR="007C186A" w:rsidRPr="001C2769" w:rsidRDefault="007C186A" w:rsidP="001C2769">
      <w:pPr>
        <w:rPr>
          <w:rFonts w:ascii="Arial" w:hAnsi="Arial" w:cs="Arial"/>
          <w:b/>
          <w:sz w:val="24"/>
        </w:rPr>
      </w:pPr>
    </w:p>
    <w:p w:rsidR="0077025D" w:rsidRPr="001C2769" w:rsidRDefault="0036346C" w:rsidP="001C2769">
      <w:pPr>
        <w:ind w:firstLine="0"/>
        <w:rPr>
          <w:rFonts w:ascii="Arial" w:hAnsi="Arial" w:cs="Arial"/>
          <w:b/>
          <w:sz w:val="24"/>
        </w:rPr>
      </w:pPr>
      <w:r w:rsidRPr="001C2769">
        <w:rPr>
          <w:rFonts w:ascii="Arial" w:hAnsi="Arial" w:cs="Arial"/>
          <w:b/>
          <w:sz w:val="24"/>
        </w:rPr>
        <w:t xml:space="preserve">Number of Psychologists </w:t>
      </w:r>
      <w:r w:rsidR="00CD3AA8">
        <w:rPr>
          <w:rFonts w:ascii="Arial" w:hAnsi="Arial" w:cs="Arial"/>
          <w:b/>
          <w:sz w:val="24"/>
        </w:rPr>
        <w:t>by County</w:t>
      </w:r>
      <w:r w:rsidRPr="001C2769">
        <w:rPr>
          <w:rFonts w:ascii="Arial" w:hAnsi="Arial" w:cs="Arial"/>
          <w:b/>
          <w:sz w:val="24"/>
        </w:rPr>
        <w:t xml:space="preserve"> SFY16-SFY18</w:t>
      </w:r>
    </w:p>
    <w:tbl>
      <w:tblPr>
        <w:tblW w:w="4009" w:type="dxa"/>
        <w:tblInd w:w="113" w:type="dxa"/>
        <w:tblLook w:val="04A0" w:firstRow="1" w:lastRow="0" w:firstColumn="1" w:lastColumn="0" w:noHBand="0" w:noVBand="1"/>
      </w:tblPr>
      <w:tblGrid>
        <w:gridCol w:w="1435"/>
        <w:gridCol w:w="1440"/>
        <w:gridCol w:w="1440"/>
        <w:gridCol w:w="1440"/>
      </w:tblGrid>
      <w:tr w:rsidR="0077025D" w:rsidRPr="007E369D" w:rsidTr="00DC71AD">
        <w:trPr>
          <w:trHeight w:val="300"/>
          <w:tblHeader/>
        </w:trPr>
        <w:tc>
          <w:tcPr>
            <w:tcW w:w="14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025D" w:rsidRPr="007E369D" w:rsidRDefault="0077025D" w:rsidP="0077025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SFY18</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60257F" w:rsidRDefault="0077025D" w:rsidP="0077025D">
            <w:pPr>
              <w:ind w:firstLine="0"/>
              <w:rPr>
                <w:rFonts w:ascii="Arial" w:eastAsia="Times New Roman" w:hAnsi="Arial" w:cs="Arial"/>
                <w:sz w:val="24"/>
                <w:szCs w:val="24"/>
              </w:rPr>
            </w:pPr>
            <w:r w:rsidRPr="0060257F">
              <w:rPr>
                <w:rFonts w:ascii="Arial" w:eastAsia="Times New Roman" w:hAnsi="Arial" w:cs="Arial"/>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8</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 xml:space="preserve">7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 xml:space="preserve">4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60257F" w:rsidRDefault="0077025D" w:rsidP="0077025D">
            <w:pPr>
              <w:ind w:firstLine="0"/>
              <w:rPr>
                <w:rFonts w:ascii="Arial" w:eastAsia="Times New Roman" w:hAnsi="Arial" w:cs="Arial"/>
                <w:sz w:val="24"/>
                <w:szCs w:val="24"/>
              </w:rPr>
            </w:pPr>
            <w:r w:rsidRPr="0060257F">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7</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 xml:space="preserve">6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 xml:space="preserve">7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60257F" w:rsidRDefault="0077025D" w:rsidP="0077025D">
            <w:pPr>
              <w:ind w:firstLine="0"/>
              <w:rPr>
                <w:rFonts w:ascii="Arial" w:eastAsia="Times New Roman" w:hAnsi="Arial" w:cs="Arial"/>
                <w:sz w:val="24"/>
                <w:szCs w:val="24"/>
              </w:rPr>
            </w:pPr>
            <w:r w:rsidRPr="0060257F">
              <w:rPr>
                <w:rFonts w:ascii="Arial" w:eastAsia="Times New Roman" w:hAnsi="Arial" w:cs="Arial"/>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21</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 xml:space="preserve">25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 xml:space="preserve">23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60257F" w:rsidRDefault="0077025D" w:rsidP="0077025D">
            <w:pPr>
              <w:ind w:firstLine="0"/>
              <w:rPr>
                <w:rFonts w:ascii="Arial" w:eastAsia="Times New Roman" w:hAnsi="Arial" w:cs="Arial"/>
                <w:sz w:val="24"/>
                <w:szCs w:val="24"/>
              </w:rPr>
            </w:pPr>
            <w:r w:rsidRPr="0060257F">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 xml:space="preserve">0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60257F" w:rsidRDefault="0077025D" w:rsidP="0077025D">
            <w:pPr>
              <w:ind w:firstLine="0"/>
              <w:rPr>
                <w:rFonts w:ascii="Arial" w:eastAsia="Times New Roman" w:hAnsi="Arial" w:cs="Arial"/>
                <w:sz w:val="24"/>
                <w:szCs w:val="24"/>
              </w:rPr>
            </w:pPr>
            <w:r w:rsidRPr="0060257F">
              <w:rPr>
                <w:rFonts w:ascii="Arial" w:eastAsia="Times New Roman" w:hAnsi="Arial" w:cs="Arial"/>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32</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 xml:space="preserve">34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 xml:space="preserve">35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60257F" w:rsidRDefault="0077025D" w:rsidP="0077025D">
            <w:pPr>
              <w:ind w:firstLine="0"/>
              <w:rPr>
                <w:rFonts w:ascii="Arial" w:eastAsia="Times New Roman" w:hAnsi="Arial" w:cs="Arial"/>
                <w:sz w:val="24"/>
                <w:szCs w:val="24"/>
              </w:rPr>
            </w:pPr>
            <w:r w:rsidRPr="0060257F">
              <w:rPr>
                <w:rFonts w:ascii="Arial" w:eastAsia="Times New Roman" w:hAnsi="Arial" w:cs="Arial"/>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60257F" w:rsidRDefault="0077025D" w:rsidP="0077025D">
            <w:pPr>
              <w:ind w:firstLine="0"/>
              <w:jc w:val="right"/>
              <w:rPr>
                <w:rFonts w:ascii="Arial" w:eastAsia="Times New Roman" w:hAnsi="Arial" w:cs="Arial"/>
                <w:sz w:val="24"/>
                <w:szCs w:val="24"/>
              </w:rPr>
            </w:pPr>
            <w:r w:rsidRPr="0060257F">
              <w:rPr>
                <w:rFonts w:ascii="Arial" w:eastAsia="Times New Roman" w:hAnsi="Arial" w:cs="Arial"/>
                <w:sz w:val="24"/>
                <w:szCs w:val="24"/>
              </w:rPr>
              <w:t xml:space="preserve">0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7E369D" w:rsidRDefault="0077025D" w:rsidP="0077025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7</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6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7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7E369D" w:rsidRDefault="0077025D" w:rsidP="0077025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17</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21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20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7E369D" w:rsidRDefault="0077025D" w:rsidP="0077025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73</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65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68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7E369D" w:rsidRDefault="0077025D" w:rsidP="0077025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7E369D" w:rsidRDefault="0077025D" w:rsidP="0077025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59</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50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47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7E369D" w:rsidRDefault="0043344B" w:rsidP="0077025D">
            <w:pPr>
              <w:ind w:firstLine="0"/>
              <w:rPr>
                <w:rFonts w:ascii="Arial" w:eastAsia="Times New Roman" w:hAnsi="Arial" w:cs="Arial"/>
                <w:color w:val="000000"/>
                <w:sz w:val="24"/>
                <w:szCs w:val="24"/>
              </w:rPr>
            </w:pPr>
            <w:r>
              <w:rPr>
                <w:rFonts w:ascii="Arial" w:eastAsia="Times New Roman" w:hAnsi="Arial" w:cs="Arial"/>
                <w:color w:val="000000"/>
                <w:sz w:val="24"/>
                <w:szCs w:val="24"/>
              </w:rPr>
              <w:t>Out-of-state</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7E369D" w:rsidRDefault="0077025D" w:rsidP="0077025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20</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19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19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7E369D" w:rsidRDefault="0077025D" w:rsidP="0077025D">
            <w:pPr>
              <w:ind w:firstLine="0"/>
              <w:rPr>
                <w:rFonts w:ascii="Arial" w:eastAsia="Times New Roman" w:hAnsi="Arial" w:cs="Arial"/>
                <w:sz w:val="24"/>
                <w:szCs w:val="24"/>
              </w:rPr>
            </w:pPr>
            <w:r w:rsidRPr="007E369D">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sz w:val="24"/>
                <w:szCs w:val="24"/>
              </w:rPr>
            </w:pPr>
            <w:r w:rsidRPr="007E369D">
              <w:rPr>
                <w:rFonts w:ascii="Arial" w:eastAsia="Times New Roman" w:hAnsi="Arial" w:cs="Arial"/>
                <w:sz w:val="24"/>
                <w:szCs w:val="24"/>
              </w:rPr>
              <w:t>136</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sz w:val="24"/>
                <w:szCs w:val="24"/>
              </w:rPr>
            </w:pPr>
            <w:r w:rsidRPr="007E369D">
              <w:rPr>
                <w:rFonts w:ascii="Arial" w:eastAsia="Times New Roman" w:hAnsi="Arial" w:cs="Arial"/>
                <w:sz w:val="24"/>
                <w:szCs w:val="24"/>
              </w:rPr>
              <w:t xml:space="preserve">155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sz w:val="24"/>
                <w:szCs w:val="24"/>
              </w:rPr>
            </w:pPr>
            <w:r w:rsidRPr="007E369D">
              <w:rPr>
                <w:rFonts w:ascii="Arial" w:eastAsia="Times New Roman" w:hAnsi="Arial" w:cs="Arial"/>
                <w:sz w:val="24"/>
                <w:szCs w:val="24"/>
              </w:rPr>
              <w:t xml:space="preserve">159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7E369D" w:rsidRDefault="0077025D" w:rsidP="0077025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42</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42 </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46 </w:t>
            </w:r>
          </w:p>
        </w:tc>
      </w:tr>
      <w:tr w:rsidR="0077025D" w:rsidRPr="007E369D" w:rsidTr="00DC71AD">
        <w:trPr>
          <w:trHeight w:val="300"/>
        </w:trPr>
        <w:tc>
          <w:tcPr>
            <w:tcW w:w="1435" w:type="dxa"/>
            <w:tcBorders>
              <w:top w:val="nil"/>
              <w:left w:val="single" w:sz="4" w:space="0" w:color="auto"/>
              <w:bottom w:val="single" w:sz="4" w:space="0" w:color="auto"/>
              <w:right w:val="single" w:sz="4" w:space="0" w:color="auto"/>
            </w:tcBorders>
            <w:shd w:val="clear" w:color="000000" w:fill="FFFFFF"/>
            <w:noWrap/>
            <w:vAlign w:val="bottom"/>
            <w:hideMark/>
          </w:tcPr>
          <w:p w:rsidR="0077025D" w:rsidRPr="007E369D" w:rsidRDefault="0077025D" w:rsidP="0077025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424</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430</w:t>
            </w:r>
          </w:p>
        </w:tc>
        <w:tc>
          <w:tcPr>
            <w:tcW w:w="1440" w:type="dxa"/>
            <w:tcBorders>
              <w:top w:val="nil"/>
              <w:left w:val="nil"/>
              <w:bottom w:val="single" w:sz="4" w:space="0" w:color="auto"/>
              <w:right w:val="single" w:sz="4" w:space="0" w:color="auto"/>
            </w:tcBorders>
            <w:shd w:val="clear" w:color="000000" w:fill="FFFFFF"/>
            <w:noWrap/>
            <w:vAlign w:val="bottom"/>
            <w:hideMark/>
          </w:tcPr>
          <w:p w:rsidR="0077025D" w:rsidRPr="007E369D" w:rsidRDefault="0077025D" w:rsidP="0077025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435</w:t>
            </w:r>
          </w:p>
        </w:tc>
      </w:tr>
    </w:tbl>
    <w:p w:rsidR="0036346C" w:rsidRPr="007E369D" w:rsidRDefault="0036346C" w:rsidP="0036346C">
      <w:pPr>
        <w:ind w:firstLine="0"/>
        <w:rPr>
          <w:rFonts w:ascii="Arial" w:eastAsiaTheme="minorHAnsi" w:hAnsi="Arial" w:cs="Arial"/>
          <w:b/>
          <w:sz w:val="24"/>
          <w:szCs w:val="24"/>
        </w:rPr>
      </w:pPr>
    </w:p>
    <w:p w:rsidR="0036346C" w:rsidRPr="001C2769" w:rsidRDefault="0036346C" w:rsidP="001C2769">
      <w:pPr>
        <w:ind w:firstLine="0"/>
        <w:rPr>
          <w:rFonts w:ascii="Arial" w:hAnsi="Arial" w:cs="Arial"/>
          <w:b/>
          <w:sz w:val="24"/>
          <w:szCs w:val="24"/>
        </w:rPr>
      </w:pPr>
      <w:r w:rsidRPr="001C2769">
        <w:rPr>
          <w:rFonts w:ascii="Arial" w:hAnsi="Arial" w:cs="Arial"/>
          <w:b/>
          <w:sz w:val="24"/>
          <w:szCs w:val="24"/>
        </w:rPr>
        <w:lastRenderedPageBreak/>
        <w:t>Number of Psychiatrists</w:t>
      </w:r>
      <w:r w:rsidR="004E03BA" w:rsidRPr="001C2769">
        <w:rPr>
          <w:rFonts w:ascii="Arial" w:hAnsi="Arial" w:cs="Arial"/>
          <w:b/>
          <w:sz w:val="24"/>
          <w:szCs w:val="24"/>
        </w:rPr>
        <w:t xml:space="preserve"> (including Psychiatric </w:t>
      </w:r>
      <w:r w:rsidR="002E0F55" w:rsidRPr="001C2769">
        <w:rPr>
          <w:rFonts w:ascii="Arial" w:hAnsi="Arial" w:cs="Arial"/>
          <w:b/>
          <w:sz w:val="24"/>
          <w:szCs w:val="24"/>
        </w:rPr>
        <w:t>C</w:t>
      </w:r>
      <w:r w:rsidR="004E03BA" w:rsidRPr="001C2769">
        <w:rPr>
          <w:rFonts w:ascii="Arial" w:hAnsi="Arial" w:cs="Arial"/>
          <w:b/>
          <w:sz w:val="24"/>
          <w:szCs w:val="24"/>
        </w:rPr>
        <w:t xml:space="preserve">linical </w:t>
      </w:r>
      <w:r w:rsidR="002E0F55" w:rsidRPr="001C2769">
        <w:rPr>
          <w:rFonts w:ascii="Arial" w:hAnsi="Arial" w:cs="Arial"/>
          <w:b/>
          <w:sz w:val="24"/>
          <w:szCs w:val="24"/>
        </w:rPr>
        <w:t>N</w:t>
      </w:r>
      <w:r w:rsidR="004E03BA" w:rsidRPr="001C2769">
        <w:rPr>
          <w:rFonts w:ascii="Arial" w:hAnsi="Arial" w:cs="Arial"/>
          <w:b/>
          <w:sz w:val="24"/>
          <w:szCs w:val="24"/>
        </w:rPr>
        <w:t xml:space="preserve">urse </w:t>
      </w:r>
      <w:r w:rsidR="002E0F55" w:rsidRPr="001C2769">
        <w:rPr>
          <w:rFonts w:ascii="Arial" w:hAnsi="Arial" w:cs="Arial"/>
          <w:b/>
          <w:sz w:val="24"/>
          <w:szCs w:val="24"/>
        </w:rPr>
        <w:t>S</w:t>
      </w:r>
      <w:r w:rsidR="004E03BA" w:rsidRPr="001C2769">
        <w:rPr>
          <w:rFonts w:ascii="Arial" w:hAnsi="Arial" w:cs="Arial"/>
          <w:b/>
          <w:sz w:val="24"/>
          <w:szCs w:val="24"/>
        </w:rPr>
        <w:t xml:space="preserve">pecialists) </w:t>
      </w:r>
      <w:r w:rsidR="00CD3AA8">
        <w:rPr>
          <w:rFonts w:ascii="Arial" w:hAnsi="Arial" w:cs="Arial"/>
          <w:b/>
          <w:sz w:val="24"/>
          <w:szCs w:val="24"/>
        </w:rPr>
        <w:t>by County</w:t>
      </w:r>
      <w:r w:rsidRPr="001C2769">
        <w:rPr>
          <w:rFonts w:ascii="Arial" w:hAnsi="Arial" w:cs="Arial"/>
          <w:b/>
          <w:sz w:val="24"/>
          <w:szCs w:val="24"/>
        </w:rPr>
        <w:t xml:space="preserve"> SFY16-SFY18</w:t>
      </w:r>
    </w:p>
    <w:tbl>
      <w:tblPr>
        <w:tblW w:w="5760" w:type="dxa"/>
        <w:tblInd w:w="103" w:type="dxa"/>
        <w:tblLook w:val="04A0" w:firstRow="1" w:lastRow="0" w:firstColumn="1" w:lastColumn="0" w:noHBand="0" w:noVBand="1"/>
      </w:tblPr>
      <w:tblGrid>
        <w:gridCol w:w="1440"/>
        <w:gridCol w:w="1440"/>
        <w:gridCol w:w="1440"/>
        <w:gridCol w:w="1440"/>
      </w:tblGrid>
      <w:tr w:rsidR="004E03BA" w:rsidRPr="007E369D" w:rsidTr="006A457F">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SFY18</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8</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9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8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10</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8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8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27</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24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22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69</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71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73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10</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9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7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51</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48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44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14</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12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11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188</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196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190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59</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52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57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3344B" w:rsidP="004E03BA">
            <w:pPr>
              <w:ind w:firstLine="0"/>
              <w:rPr>
                <w:rFonts w:ascii="Arial" w:eastAsia="Times New Roman" w:hAnsi="Arial" w:cs="Arial"/>
                <w:color w:val="000000"/>
                <w:sz w:val="24"/>
                <w:szCs w:val="24"/>
              </w:rPr>
            </w:pPr>
            <w:r>
              <w:rPr>
                <w:rFonts w:ascii="Arial" w:eastAsia="Times New Roman" w:hAnsi="Arial" w:cs="Arial"/>
                <w:color w:val="000000"/>
                <w:sz w:val="24"/>
                <w:szCs w:val="24"/>
              </w:rPr>
              <w:t>Out-of-state</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11</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11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12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34</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30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28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378</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396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392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100</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93 </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91 </w:t>
            </w:r>
          </w:p>
        </w:tc>
      </w:tr>
      <w:tr w:rsidR="004E03BA" w:rsidRPr="007E369D"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4E03BA" w:rsidRPr="007E369D" w:rsidRDefault="004E03BA" w:rsidP="004E03BA">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961</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960</w:t>
            </w:r>
          </w:p>
        </w:tc>
        <w:tc>
          <w:tcPr>
            <w:tcW w:w="1440" w:type="dxa"/>
            <w:tcBorders>
              <w:top w:val="nil"/>
              <w:left w:val="nil"/>
              <w:bottom w:val="single" w:sz="4" w:space="0" w:color="auto"/>
              <w:right w:val="single" w:sz="4" w:space="0" w:color="auto"/>
            </w:tcBorders>
            <w:shd w:val="clear" w:color="000000" w:fill="FFFFFF"/>
            <w:noWrap/>
            <w:vAlign w:val="bottom"/>
            <w:hideMark/>
          </w:tcPr>
          <w:p w:rsidR="004E03BA" w:rsidRPr="007E369D" w:rsidRDefault="004E03BA" w:rsidP="004E03BA">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944</w:t>
            </w:r>
          </w:p>
        </w:tc>
      </w:tr>
    </w:tbl>
    <w:p w:rsidR="004E03BA" w:rsidRPr="007E369D" w:rsidRDefault="004E03BA" w:rsidP="00922FA7">
      <w:pPr>
        <w:rPr>
          <w:rFonts w:ascii="Arial" w:hAnsi="Arial" w:cs="Arial"/>
          <w:sz w:val="24"/>
          <w:szCs w:val="24"/>
        </w:rPr>
      </w:pPr>
    </w:p>
    <w:p w:rsidR="00DB49FD" w:rsidRPr="001C2769" w:rsidRDefault="0036346C" w:rsidP="001C2769">
      <w:pPr>
        <w:ind w:firstLine="0"/>
        <w:rPr>
          <w:rFonts w:ascii="Arial" w:hAnsi="Arial" w:cs="Arial"/>
          <w:b/>
          <w:sz w:val="24"/>
        </w:rPr>
      </w:pPr>
      <w:r w:rsidRPr="001C2769">
        <w:rPr>
          <w:rFonts w:ascii="Arial" w:hAnsi="Arial" w:cs="Arial"/>
          <w:b/>
          <w:sz w:val="24"/>
        </w:rPr>
        <w:t xml:space="preserve">Number of Inpatient Psychiatric Hospitals </w:t>
      </w:r>
      <w:r w:rsidR="00CD3AA8">
        <w:rPr>
          <w:rFonts w:ascii="Arial" w:hAnsi="Arial" w:cs="Arial"/>
          <w:b/>
          <w:sz w:val="24"/>
        </w:rPr>
        <w:t>by County</w:t>
      </w:r>
      <w:r w:rsidRPr="001C2769">
        <w:rPr>
          <w:rFonts w:ascii="Arial" w:hAnsi="Arial" w:cs="Arial"/>
          <w:b/>
          <w:sz w:val="24"/>
        </w:rPr>
        <w:t xml:space="preserve"> SFY16-SFY18</w:t>
      </w:r>
    </w:p>
    <w:tbl>
      <w:tblPr>
        <w:tblW w:w="5760" w:type="dxa"/>
        <w:tblInd w:w="113" w:type="dxa"/>
        <w:tblLook w:val="04A0" w:firstRow="1" w:lastRow="0" w:firstColumn="1" w:lastColumn="0" w:noHBand="0" w:noVBand="1"/>
      </w:tblPr>
      <w:tblGrid>
        <w:gridCol w:w="1440"/>
        <w:gridCol w:w="1440"/>
        <w:gridCol w:w="1440"/>
        <w:gridCol w:w="1440"/>
      </w:tblGrid>
      <w:tr w:rsidR="0020688E" w:rsidRPr="007E369D" w:rsidTr="00716B38">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SFY18</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3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3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sz w:val="24"/>
                <w:szCs w:val="24"/>
              </w:rPr>
            </w:pPr>
            <w:r w:rsidRPr="007E369D">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sz w:val="24"/>
                <w:szCs w:val="24"/>
              </w:rPr>
            </w:pPr>
            <w:r w:rsidRPr="007E369D">
              <w:rPr>
                <w:rFonts w:ascii="Arial" w:eastAsia="Times New Roman" w:hAnsi="Arial" w:cs="Arial"/>
                <w:sz w:val="24"/>
                <w:szCs w:val="24"/>
              </w:rPr>
              <w:t>4</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sz w:val="24"/>
                <w:szCs w:val="24"/>
              </w:rPr>
            </w:pPr>
            <w:r w:rsidRPr="007E369D">
              <w:rPr>
                <w:rFonts w:ascii="Arial" w:eastAsia="Times New Roman" w:hAnsi="Arial" w:cs="Arial"/>
                <w:sz w:val="24"/>
                <w:szCs w:val="24"/>
              </w:rPr>
              <w:t xml:space="preserve">4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sz w:val="24"/>
                <w:szCs w:val="24"/>
              </w:rPr>
            </w:pPr>
            <w:r w:rsidRPr="007E369D">
              <w:rPr>
                <w:rFonts w:ascii="Arial" w:eastAsia="Times New Roman" w:hAnsi="Arial" w:cs="Arial"/>
                <w:sz w:val="24"/>
                <w:szCs w:val="24"/>
              </w:rPr>
              <w:t xml:space="preserve">4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13</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14</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15</w:t>
            </w:r>
          </w:p>
        </w:tc>
      </w:tr>
    </w:tbl>
    <w:p w:rsidR="0020688E" w:rsidRPr="007E369D" w:rsidRDefault="0020688E" w:rsidP="00922FA7">
      <w:pPr>
        <w:rPr>
          <w:rFonts w:ascii="Arial" w:hAnsi="Arial" w:cs="Arial"/>
          <w:sz w:val="24"/>
          <w:szCs w:val="24"/>
        </w:rPr>
      </w:pPr>
    </w:p>
    <w:p w:rsidR="00BA7F38" w:rsidRPr="007E369D" w:rsidRDefault="00BA7F38" w:rsidP="00FE45C8">
      <w:pPr>
        <w:ind w:firstLine="0"/>
        <w:rPr>
          <w:rFonts w:ascii="Arial" w:eastAsiaTheme="minorHAnsi" w:hAnsi="Arial" w:cs="Arial"/>
          <w:sz w:val="24"/>
          <w:szCs w:val="24"/>
        </w:rPr>
      </w:pPr>
      <w:r w:rsidRPr="007E369D">
        <w:rPr>
          <w:rFonts w:ascii="Arial" w:eastAsiaTheme="minorHAnsi" w:hAnsi="Arial" w:cs="Arial"/>
          <w:sz w:val="24"/>
          <w:szCs w:val="24"/>
        </w:rPr>
        <w:t xml:space="preserve">The data counts above for Inpatient Psychiatric Hospitals do not account for the inpatient psychiatric units that are in general </w:t>
      </w:r>
      <w:r w:rsidR="00FC7788" w:rsidRPr="007E369D">
        <w:rPr>
          <w:rFonts w:ascii="Arial" w:eastAsiaTheme="minorHAnsi" w:hAnsi="Arial" w:cs="Arial"/>
          <w:sz w:val="24"/>
          <w:szCs w:val="24"/>
        </w:rPr>
        <w:t xml:space="preserve">acute care </w:t>
      </w:r>
      <w:r w:rsidRPr="007E369D">
        <w:rPr>
          <w:rFonts w:ascii="Arial" w:eastAsiaTheme="minorHAnsi" w:hAnsi="Arial" w:cs="Arial"/>
          <w:sz w:val="24"/>
          <w:szCs w:val="24"/>
        </w:rPr>
        <w:t xml:space="preserve">hospitals throughout the </w:t>
      </w:r>
      <w:r w:rsidRPr="007E369D">
        <w:rPr>
          <w:rFonts w:ascii="Arial" w:eastAsiaTheme="minorHAnsi" w:hAnsi="Arial" w:cs="Arial"/>
          <w:sz w:val="24"/>
          <w:szCs w:val="24"/>
        </w:rPr>
        <w:lastRenderedPageBreak/>
        <w:t>Commonwealth</w:t>
      </w:r>
      <w:r w:rsidR="007B6E50" w:rsidRPr="007E369D">
        <w:rPr>
          <w:rFonts w:ascii="Arial" w:eastAsiaTheme="minorHAnsi" w:hAnsi="Arial" w:cs="Arial"/>
          <w:sz w:val="24"/>
          <w:szCs w:val="24"/>
        </w:rPr>
        <w:t xml:space="preserve"> and </w:t>
      </w:r>
      <w:proofErr w:type="gramStart"/>
      <w:r w:rsidR="007B6E50" w:rsidRPr="007E369D">
        <w:rPr>
          <w:rFonts w:ascii="Arial" w:eastAsiaTheme="minorHAnsi" w:hAnsi="Arial" w:cs="Arial"/>
          <w:sz w:val="24"/>
          <w:szCs w:val="24"/>
        </w:rPr>
        <w:t>that Mass</w:t>
      </w:r>
      <w:r w:rsidR="00277783" w:rsidRPr="007E369D">
        <w:rPr>
          <w:rFonts w:ascii="Arial" w:eastAsiaTheme="minorHAnsi" w:hAnsi="Arial" w:cs="Arial"/>
          <w:sz w:val="24"/>
          <w:szCs w:val="24"/>
        </w:rPr>
        <w:t>Health FFS member</w:t>
      </w:r>
      <w:r w:rsidR="0075313E" w:rsidRPr="007E369D">
        <w:rPr>
          <w:rFonts w:ascii="Arial" w:eastAsiaTheme="minorHAnsi" w:hAnsi="Arial" w:cs="Arial"/>
          <w:sz w:val="24"/>
          <w:szCs w:val="24"/>
        </w:rPr>
        <w:t>s</w:t>
      </w:r>
      <w:proofErr w:type="gramEnd"/>
      <w:r w:rsidR="00277783" w:rsidRPr="007E369D">
        <w:rPr>
          <w:rFonts w:ascii="Arial" w:eastAsiaTheme="minorHAnsi" w:hAnsi="Arial" w:cs="Arial"/>
          <w:sz w:val="24"/>
          <w:szCs w:val="24"/>
        </w:rPr>
        <w:t xml:space="preserve"> can access</w:t>
      </w:r>
      <w:r w:rsidRPr="007E369D">
        <w:rPr>
          <w:rFonts w:ascii="Arial" w:eastAsiaTheme="minorHAnsi" w:hAnsi="Arial" w:cs="Arial"/>
          <w:sz w:val="24"/>
          <w:szCs w:val="24"/>
        </w:rPr>
        <w:t>.</w:t>
      </w:r>
      <w:r w:rsidR="00CC1C46" w:rsidRPr="007E369D">
        <w:rPr>
          <w:rFonts w:ascii="Arial" w:eastAsiaTheme="minorHAnsi" w:hAnsi="Arial" w:cs="Arial"/>
          <w:sz w:val="24"/>
          <w:szCs w:val="24"/>
        </w:rPr>
        <w:t xml:space="preserve"> </w:t>
      </w:r>
      <w:r w:rsidR="00A46B06">
        <w:rPr>
          <w:rFonts w:ascii="Arial" w:eastAsiaTheme="minorHAnsi" w:hAnsi="Arial" w:cs="Arial"/>
          <w:sz w:val="24"/>
          <w:szCs w:val="24"/>
        </w:rPr>
        <w:t>O</w:t>
      </w:r>
      <w:r w:rsidR="00A46B06" w:rsidRPr="00A46B06">
        <w:rPr>
          <w:rFonts w:ascii="Arial" w:eastAsiaTheme="minorHAnsi" w:hAnsi="Arial" w:cs="Arial"/>
          <w:sz w:val="24"/>
          <w:szCs w:val="24"/>
        </w:rPr>
        <w:t xml:space="preserve">f the </w:t>
      </w:r>
      <w:r w:rsidR="00A46B06">
        <w:rPr>
          <w:rFonts w:ascii="Arial" w:eastAsiaTheme="minorHAnsi" w:hAnsi="Arial" w:cs="Arial"/>
          <w:sz w:val="24"/>
          <w:szCs w:val="24"/>
        </w:rPr>
        <w:t xml:space="preserve">state’s </w:t>
      </w:r>
      <w:r w:rsidR="00A46B06" w:rsidRPr="00A46B06">
        <w:rPr>
          <w:rFonts w:ascii="Arial" w:eastAsiaTheme="minorHAnsi" w:hAnsi="Arial" w:cs="Arial"/>
          <w:sz w:val="24"/>
          <w:szCs w:val="24"/>
        </w:rPr>
        <w:t xml:space="preserve">61 acute hospitals, </w:t>
      </w:r>
      <w:r w:rsidR="00DB167C">
        <w:rPr>
          <w:rFonts w:ascii="Arial" w:eastAsiaTheme="minorHAnsi" w:hAnsi="Arial" w:cs="Arial"/>
          <w:sz w:val="24"/>
          <w:szCs w:val="24"/>
        </w:rPr>
        <w:t>almost half have</w:t>
      </w:r>
      <w:r w:rsidR="00A46B06" w:rsidRPr="00A46B06">
        <w:rPr>
          <w:rFonts w:ascii="Arial" w:eastAsiaTheme="minorHAnsi" w:hAnsi="Arial" w:cs="Arial"/>
          <w:sz w:val="24"/>
          <w:szCs w:val="24"/>
        </w:rPr>
        <w:t xml:space="preserve"> acute psychiatric units.</w:t>
      </w:r>
      <w:r w:rsidR="00A46B06" w:rsidRPr="007E369D">
        <w:rPr>
          <w:rFonts w:ascii="Arial" w:eastAsiaTheme="minorHAnsi" w:hAnsi="Arial" w:cs="Arial"/>
          <w:sz w:val="24"/>
          <w:szCs w:val="24"/>
        </w:rPr>
        <w:t xml:space="preserve"> </w:t>
      </w:r>
    </w:p>
    <w:p w:rsidR="005E78B5" w:rsidRPr="007E369D" w:rsidRDefault="005E78B5" w:rsidP="00FE45C8">
      <w:pPr>
        <w:ind w:firstLine="0"/>
        <w:rPr>
          <w:rFonts w:ascii="Arial" w:eastAsiaTheme="minorHAnsi" w:hAnsi="Arial" w:cs="Arial"/>
          <w:sz w:val="24"/>
          <w:szCs w:val="24"/>
        </w:rPr>
      </w:pPr>
    </w:p>
    <w:p w:rsidR="0036346C" w:rsidRPr="001C2769" w:rsidRDefault="0036346C" w:rsidP="001C2769">
      <w:pPr>
        <w:ind w:firstLine="0"/>
        <w:rPr>
          <w:rFonts w:ascii="Arial" w:hAnsi="Arial" w:cs="Arial"/>
          <w:b/>
          <w:sz w:val="24"/>
        </w:rPr>
      </w:pPr>
      <w:r w:rsidRPr="001C2769">
        <w:rPr>
          <w:rFonts w:ascii="Arial" w:hAnsi="Arial" w:cs="Arial"/>
          <w:b/>
          <w:sz w:val="24"/>
        </w:rPr>
        <w:t xml:space="preserve">Number of Outpatient Psychiatric Hospitals </w:t>
      </w:r>
      <w:r w:rsidR="00CD3AA8">
        <w:rPr>
          <w:rFonts w:ascii="Arial" w:hAnsi="Arial" w:cs="Arial"/>
          <w:b/>
          <w:sz w:val="24"/>
        </w:rPr>
        <w:t>by County</w:t>
      </w:r>
      <w:r w:rsidRPr="001C2769">
        <w:rPr>
          <w:rFonts w:ascii="Arial" w:hAnsi="Arial" w:cs="Arial"/>
          <w:b/>
          <w:sz w:val="24"/>
        </w:rPr>
        <w:t xml:space="preserve"> SFY16-SFY18</w:t>
      </w:r>
    </w:p>
    <w:tbl>
      <w:tblPr>
        <w:tblW w:w="5760" w:type="dxa"/>
        <w:tblInd w:w="113" w:type="dxa"/>
        <w:tblLook w:val="04A0" w:firstRow="1" w:lastRow="0" w:firstColumn="1" w:lastColumn="0" w:noHBand="0" w:noVBand="1"/>
      </w:tblPr>
      <w:tblGrid>
        <w:gridCol w:w="1440"/>
        <w:gridCol w:w="1440"/>
        <w:gridCol w:w="1440"/>
        <w:gridCol w:w="1440"/>
      </w:tblGrid>
      <w:tr w:rsidR="0020688E" w:rsidRPr="007E369D" w:rsidTr="00716B38">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SFY18</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sz w:val="24"/>
                <w:szCs w:val="24"/>
              </w:rPr>
            </w:pPr>
            <w:r w:rsidRPr="007E369D">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sz w:val="24"/>
                <w:szCs w:val="24"/>
              </w:rPr>
            </w:pPr>
            <w:r w:rsidRPr="007E369D">
              <w:rPr>
                <w:rFonts w:ascii="Arial" w:eastAsia="Times New Roman" w:hAnsi="Arial" w:cs="Arial"/>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sz w:val="24"/>
                <w:szCs w:val="24"/>
              </w:rPr>
            </w:pPr>
            <w:r w:rsidRPr="007E369D">
              <w:rPr>
                <w:rFonts w:ascii="Arial" w:eastAsia="Times New Roman" w:hAnsi="Arial" w:cs="Arial"/>
                <w:sz w:val="24"/>
                <w:szCs w:val="24"/>
              </w:rPr>
              <w:t xml:space="preserve">2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sz w:val="24"/>
                <w:szCs w:val="24"/>
              </w:rPr>
            </w:pPr>
            <w:r w:rsidRPr="007E369D">
              <w:rPr>
                <w:rFonts w:ascii="Arial" w:eastAsia="Times New Roman" w:hAnsi="Arial" w:cs="Arial"/>
                <w:sz w:val="24"/>
                <w:szCs w:val="24"/>
              </w:rPr>
              <w:t xml:space="preserve">2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11</w:t>
            </w:r>
          </w:p>
        </w:tc>
      </w:tr>
    </w:tbl>
    <w:p w:rsidR="0020688E" w:rsidRPr="007E369D" w:rsidRDefault="0020688E" w:rsidP="00922FA7">
      <w:pPr>
        <w:rPr>
          <w:rFonts w:ascii="Arial" w:hAnsi="Arial" w:cs="Arial"/>
          <w:sz w:val="24"/>
          <w:szCs w:val="24"/>
        </w:rPr>
      </w:pPr>
    </w:p>
    <w:p w:rsidR="00CE3EBD" w:rsidRPr="007E369D" w:rsidRDefault="00CE3EBD" w:rsidP="00CE3EBD">
      <w:pPr>
        <w:ind w:firstLine="0"/>
        <w:rPr>
          <w:rFonts w:ascii="Arial" w:eastAsiaTheme="minorHAnsi" w:hAnsi="Arial" w:cs="Arial"/>
          <w:sz w:val="24"/>
          <w:szCs w:val="24"/>
        </w:rPr>
      </w:pPr>
      <w:r w:rsidRPr="007E369D">
        <w:rPr>
          <w:rFonts w:ascii="Arial" w:eastAsiaTheme="minorHAnsi" w:hAnsi="Arial" w:cs="Arial"/>
          <w:sz w:val="24"/>
          <w:szCs w:val="24"/>
        </w:rPr>
        <w:t>The data above for the Outpatient Psychiatric Hospitals do not reflect the availability of outpatient behavioral health services that exist in other parts of the behavioral health delivery system including Mental Health C</w:t>
      </w:r>
      <w:r w:rsidR="00D52FBC">
        <w:rPr>
          <w:rFonts w:ascii="Arial" w:eastAsiaTheme="minorHAnsi" w:hAnsi="Arial" w:cs="Arial"/>
          <w:sz w:val="24"/>
          <w:szCs w:val="24"/>
        </w:rPr>
        <w:t>enters</w:t>
      </w:r>
      <w:r w:rsidR="000B4F02" w:rsidRPr="007E369D">
        <w:rPr>
          <w:rFonts w:ascii="Arial" w:eastAsiaTheme="minorHAnsi" w:hAnsi="Arial" w:cs="Arial"/>
          <w:sz w:val="24"/>
          <w:szCs w:val="24"/>
        </w:rPr>
        <w:t xml:space="preserve">, </w:t>
      </w:r>
      <w:r w:rsidR="001E1A44">
        <w:rPr>
          <w:rFonts w:ascii="Arial" w:eastAsiaTheme="minorHAnsi" w:hAnsi="Arial" w:cs="Arial"/>
          <w:sz w:val="24"/>
          <w:szCs w:val="24"/>
        </w:rPr>
        <w:t>CHCs</w:t>
      </w:r>
      <w:r w:rsidRPr="007E369D">
        <w:rPr>
          <w:rFonts w:ascii="Arial" w:eastAsiaTheme="minorHAnsi" w:hAnsi="Arial" w:cs="Arial"/>
          <w:sz w:val="24"/>
          <w:szCs w:val="24"/>
        </w:rPr>
        <w:t xml:space="preserve"> </w:t>
      </w:r>
      <w:r w:rsidR="000B4F02" w:rsidRPr="007E369D">
        <w:rPr>
          <w:rFonts w:ascii="Arial" w:eastAsiaTheme="minorHAnsi" w:hAnsi="Arial" w:cs="Arial"/>
          <w:sz w:val="24"/>
          <w:szCs w:val="24"/>
        </w:rPr>
        <w:t xml:space="preserve">and </w:t>
      </w:r>
      <w:r w:rsidR="00C6146F">
        <w:rPr>
          <w:rFonts w:ascii="Arial" w:eastAsiaTheme="minorHAnsi" w:hAnsi="Arial" w:cs="Arial"/>
          <w:sz w:val="24"/>
          <w:szCs w:val="24"/>
        </w:rPr>
        <w:t>g</w:t>
      </w:r>
      <w:r w:rsidR="000B4F02" w:rsidRPr="007E369D">
        <w:rPr>
          <w:rFonts w:ascii="Arial" w:eastAsiaTheme="minorHAnsi" w:hAnsi="Arial" w:cs="Arial"/>
          <w:sz w:val="24"/>
          <w:szCs w:val="24"/>
        </w:rPr>
        <w:t xml:space="preserve">eneral </w:t>
      </w:r>
      <w:r w:rsidR="00C6146F">
        <w:rPr>
          <w:rFonts w:ascii="Arial" w:eastAsiaTheme="minorHAnsi" w:hAnsi="Arial" w:cs="Arial"/>
          <w:sz w:val="24"/>
          <w:szCs w:val="24"/>
        </w:rPr>
        <w:t>Acute Inpatient H</w:t>
      </w:r>
      <w:r w:rsidR="000B4F02" w:rsidRPr="007E369D">
        <w:rPr>
          <w:rFonts w:ascii="Arial" w:eastAsiaTheme="minorHAnsi" w:hAnsi="Arial" w:cs="Arial"/>
          <w:sz w:val="24"/>
          <w:szCs w:val="24"/>
        </w:rPr>
        <w:t xml:space="preserve">ospitals </w:t>
      </w:r>
      <w:r w:rsidRPr="007E369D">
        <w:rPr>
          <w:rFonts w:ascii="Arial" w:eastAsiaTheme="minorHAnsi" w:hAnsi="Arial" w:cs="Arial"/>
          <w:sz w:val="24"/>
          <w:szCs w:val="24"/>
        </w:rPr>
        <w:t>that are licensed to provide behavioral health services. MassHealth FFS members also have access to care at these sites.</w:t>
      </w:r>
    </w:p>
    <w:p w:rsidR="0092005E" w:rsidRDefault="0092005E">
      <w:pPr>
        <w:ind w:firstLine="0"/>
        <w:rPr>
          <w:rFonts w:ascii="Arial" w:hAnsi="Arial" w:cs="Arial"/>
          <w:b/>
          <w:sz w:val="24"/>
        </w:rPr>
      </w:pPr>
    </w:p>
    <w:p w:rsidR="0036346C" w:rsidRPr="001C2769" w:rsidRDefault="0036346C" w:rsidP="001C2769">
      <w:pPr>
        <w:ind w:firstLine="0"/>
        <w:rPr>
          <w:rFonts w:ascii="Arial" w:hAnsi="Arial" w:cs="Arial"/>
          <w:b/>
          <w:sz w:val="24"/>
        </w:rPr>
      </w:pPr>
      <w:r w:rsidRPr="001C2769">
        <w:rPr>
          <w:rFonts w:ascii="Arial" w:hAnsi="Arial" w:cs="Arial"/>
          <w:b/>
          <w:sz w:val="24"/>
        </w:rPr>
        <w:t xml:space="preserve">Number of Mental Health </w:t>
      </w:r>
      <w:r w:rsidR="00D52FBC" w:rsidRPr="001C2769">
        <w:rPr>
          <w:rFonts w:ascii="Arial" w:hAnsi="Arial" w:cs="Arial"/>
          <w:b/>
          <w:sz w:val="24"/>
        </w:rPr>
        <w:t>C</w:t>
      </w:r>
      <w:r w:rsidR="00D52FBC">
        <w:rPr>
          <w:rFonts w:ascii="Arial" w:hAnsi="Arial" w:cs="Arial"/>
          <w:b/>
          <w:sz w:val="24"/>
        </w:rPr>
        <w:t>enters</w:t>
      </w:r>
      <w:r w:rsidR="00D52FBC" w:rsidRPr="001C2769">
        <w:rPr>
          <w:rFonts w:ascii="Arial" w:hAnsi="Arial" w:cs="Arial"/>
          <w:b/>
          <w:sz w:val="24"/>
        </w:rPr>
        <w:t xml:space="preserve"> </w:t>
      </w:r>
      <w:r w:rsidR="00CD3AA8">
        <w:rPr>
          <w:rFonts w:ascii="Arial" w:hAnsi="Arial" w:cs="Arial"/>
          <w:b/>
          <w:sz w:val="24"/>
        </w:rPr>
        <w:t>by County</w:t>
      </w:r>
      <w:r w:rsidRPr="001C2769">
        <w:rPr>
          <w:rFonts w:ascii="Arial" w:hAnsi="Arial" w:cs="Arial"/>
          <w:b/>
          <w:sz w:val="24"/>
        </w:rPr>
        <w:t xml:space="preserve"> SFY16-SFY18</w:t>
      </w:r>
    </w:p>
    <w:tbl>
      <w:tblPr>
        <w:tblW w:w="5760" w:type="dxa"/>
        <w:tblInd w:w="113" w:type="dxa"/>
        <w:tblLook w:val="04A0" w:firstRow="1" w:lastRow="0" w:firstColumn="1" w:lastColumn="0" w:noHBand="0" w:noVBand="1"/>
      </w:tblPr>
      <w:tblGrid>
        <w:gridCol w:w="1440"/>
        <w:gridCol w:w="1440"/>
        <w:gridCol w:w="1440"/>
        <w:gridCol w:w="1440"/>
      </w:tblGrid>
      <w:tr w:rsidR="0020688E" w:rsidRPr="007E369D" w:rsidTr="00716B38">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SFY18</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11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12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3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4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15</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15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14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23</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23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4</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4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4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28</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29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29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5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5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31</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29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27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13</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13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13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17</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19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18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sz w:val="24"/>
                <w:szCs w:val="24"/>
              </w:rPr>
            </w:pPr>
            <w:r w:rsidRPr="007E369D">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sz w:val="24"/>
                <w:szCs w:val="24"/>
              </w:rPr>
            </w:pPr>
            <w:r w:rsidRPr="007E369D">
              <w:rPr>
                <w:rFonts w:ascii="Arial" w:eastAsia="Times New Roman" w:hAnsi="Arial" w:cs="Arial"/>
                <w:sz w:val="24"/>
                <w:szCs w:val="24"/>
              </w:rPr>
              <w:t>16</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sz w:val="24"/>
                <w:szCs w:val="24"/>
              </w:rPr>
            </w:pPr>
            <w:r w:rsidRPr="007E369D">
              <w:rPr>
                <w:rFonts w:ascii="Arial" w:eastAsia="Times New Roman" w:hAnsi="Arial" w:cs="Arial"/>
                <w:sz w:val="24"/>
                <w:szCs w:val="24"/>
              </w:rPr>
              <w:t xml:space="preserve">16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sz w:val="24"/>
                <w:szCs w:val="24"/>
              </w:rPr>
            </w:pPr>
            <w:r w:rsidRPr="007E369D">
              <w:rPr>
                <w:rFonts w:ascii="Arial" w:eastAsia="Times New Roman" w:hAnsi="Arial" w:cs="Arial"/>
                <w:sz w:val="24"/>
                <w:szCs w:val="24"/>
              </w:rPr>
              <w:t xml:space="preserve">14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18</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17 </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21 </w:t>
            </w:r>
          </w:p>
        </w:tc>
      </w:tr>
      <w:tr w:rsidR="0020688E"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7E369D" w:rsidRDefault="0020688E" w:rsidP="0020688E">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lastRenderedPageBreak/>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182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185</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7E369D" w:rsidRDefault="0020688E" w:rsidP="0020688E">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182</w:t>
            </w:r>
          </w:p>
        </w:tc>
      </w:tr>
    </w:tbl>
    <w:p w:rsidR="0020688E" w:rsidRPr="007E369D" w:rsidRDefault="0020688E" w:rsidP="00E96463">
      <w:pPr>
        <w:rPr>
          <w:rFonts w:ascii="Arial" w:hAnsi="Arial" w:cs="Arial"/>
          <w:sz w:val="24"/>
          <w:szCs w:val="24"/>
        </w:rPr>
      </w:pPr>
    </w:p>
    <w:p w:rsidR="0036346C" w:rsidRPr="001C2769" w:rsidRDefault="0036346C" w:rsidP="001C2769">
      <w:pPr>
        <w:ind w:firstLine="0"/>
        <w:rPr>
          <w:rFonts w:ascii="Arial" w:hAnsi="Arial" w:cs="Arial"/>
          <w:b/>
          <w:sz w:val="24"/>
          <w:szCs w:val="24"/>
        </w:rPr>
      </w:pPr>
      <w:r w:rsidRPr="001C2769">
        <w:rPr>
          <w:rFonts w:ascii="Arial" w:hAnsi="Arial" w:cs="Arial"/>
          <w:b/>
          <w:sz w:val="24"/>
          <w:szCs w:val="24"/>
        </w:rPr>
        <w:t xml:space="preserve">Number of </w:t>
      </w:r>
      <w:r w:rsidR="000B7740">
        <w:rPr>
          <w:rFonts w:ascii="Arial" w:hAnsi="Arial" w:cs="Arial"/>
          <w:b/>
          <w:sz w:val="24"/>
          <w:szCs w:val="24"/>
        </w:rPr>
        <w:t>SUD</w:t>
      </w:r>
      <w:r w:rsidR="006A3A19" w:rsidRPr="001C2769">
        <w:rPr>
          <w:rFonts w:ascii="Arial" w:hAnsi="Arial" w:cs="Arial"/>
          <w:b/>
          <w:sz w:val="24"/>
          <w:szCs w:val="24"/>
        </w:rPr>
        <w:t xml:space="preserve"> Treatment</w:t>
      </w:r>
      <w:r w:rsidRPr="001C2769">
        <w:rPr>
          <w:rFonts w:ascii="Arial" w:hAnsi="Arial" w:cs="Arial"/>
          <w:b/>
          <w:sz w:val="24"/>
          <w:szCs w:val="24"/>
        </w:rPr>
        <w:t xml:space="preserve"> Centers</w:t>
      </w:r>
      <w:r w:rsidR="00DB49FD" w:rsidRPr="001C2769">
        <w:rPr>
          <w:rFonts w:ascii="Arial" w:hAnsi="Arial" w:cs="Arial"/>
          <w:b/>
          <w:sz w:val="24"/>
          <w:szCs w:val="24"/>
        </w:rPr>
        <w:t xml:space="preserve"> </w:t>
      </w:r>
      <w:r w:rsidR="000B4F02" w:rsidRPr="001C2769">
        <w:rPr>
          <w:rFonts w:ascii="Arial" w:hAnsi="Arial" w:cs="Arial"/>
          <w:b/>
          <w:sz w:val="24"/>
          <w:szCs w:val="24"/>
        </w:rPr>
        <w:t xml:space="preserve">(including </w:t>
      </w:r>
      <w:r w:rsidR="000B7740">
        <w:rPr>
          <w:rFonts w:ascii="Arial" w:hAnsi="Arial" w:cs="Arial"/>
          <w:b/>
          <w:sz w:val="24"/>
          <w:szCs w:val="24"/>
        </w:rPr>
        <w:t>SUD</w:t>
      </w:r>
      <w:r w:rsidR="000B4F02" w:rsidRPr="001C2769">
        <w:rPr>
          <w:rFonts w:ascii="Arial" w:hAnsi="Arial" w:cs="Arial"/>
          <w:b/>
          <w:sz w:val="24"/>
          <w:szCs w:val="24"/>
        </w:rPr>
        <w:t xml:space="preserve"> Inpatient </w:t>
      </w:r>
      <w:r w:rsidR="00B66051">
        <w:rPr>
          <w:rFonts w:ascii="Arial" w:hAnsi="Arial" w:cs="Arial"/>
          <w:b/>
          <w:sz w:val="24"/>
          <w:szCs w:val="24"/>
        </w:rPr>
        <w:t xml:space="preserve">and </w:t>
      </w:r>
      <w:r w:rsidR="000B4F02" w:rsidRPr="001C2769">
        <w:rPr>
          <w:rFonts w:ascii="Arial" w:hAnsi="Arial" w:cs="Arial"/>
          <w:b/>
          <w:sz w:val="24"/>
          <w:szCs w:val="24"/>
        </w:rPr>
        <w:t>Outpatient H</w:t>
      </w:r>
      <w:r w:rsidR="00DB49FD" w:rsidRPr="001C2769">
        <w:rPr>
          <w:rFonts w:ascii="Arial" w:hAnsi="Arial" w:cs="Arial"/>
          <w:b/>
          <w:sz w:val="24"/>
          <w:szCs w:val="24"/>
        </w:rPr>
        <w:t xml:space="preserve">ospitals) </w:t>
      </w:r>
      <w:r w:rsidR="00CD3AA8">
        <w:rPr>
          <w:rFonts w:ascii="Arial" w:hAnsi="Arial" w:cs="Arial"/>
          <w:b/>
          <w:sz w:val="24"/>
          <w:szCs w:val="24"/>
        </w:rPr>
        <w:t>by County</w:t>
      </w:r>
      <w:r w:rsidRPr="001C2769">
        <w:rPr>
          <w:rFonts w:ascii="Arial" w:hAnsi="Arial" w:cs="Arial"/>
          <w:b/>
          <w:sz w:val="24"/>
          <w:szCs w:val="24"/>
        </w:rPr>
        <w:t xml:space="preserve"> SFY16-SFY18</w:t>
      </w:r>
    </w:p>
    <w:tbl>
      <w:tblPr>
        <w:tblW w:w="5760" w:type="dxa"/>
        <w:tblInd w:w="-5" w:type="dxa"/>
        <w:tblLook w:val="04A0" w:firstRow="1" w:lastRow="0" w:firstColumn="1" w:lastColumn="0" w:noHBand="0" w:noVBand="1"/>
      </w:tblPr>
      <w:tblGrid>
        <w:gridCol w:w="1440"/>
        <w:gridCol w:w="1440"/>
        <w:gridCol w:w="1440"/>
        <w:gridCol w:w="1440"/>
      </w:tblGrid>
      <w:tr w:rsidR="00DB49FD" w:rsidRPr="007E369D" w:rsidTr="00716B38">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SFY18</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5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5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3</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4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4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16</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16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15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12</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13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13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3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3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13</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10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11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2</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2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8</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7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9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0</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0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5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7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8</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8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8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sz w:val="24"/>
                <w:szCs w:val="24"/>
              </w:rPr>
            </w:pPr>
            <w:r w:rsidRPr="007E369D">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sz w:val="24"/>
                <w:szCs w:val="24"/>
              </w:rPr>
            </w:pPr>
            <w:r w:rsidRPr="007E369D">
              <w:rPr>
                <w:rFonts w:ascii="Arial" w:eastAsia="Times New Roman" w:hAnsi="Arial" w:cs="Arial"/>
                <w:sz w:val="24"/>
                <w:szCs w:val="24"/>
              </w:rPr>
              <w:t>14</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sz w:val="24"/>
                <w:szCs w:val="24"/>
              </w:rPr>
            </w:pPr>
            <w:r w:rsidRPr="007E369D">
              <w:rPr>
                <w:rFonts w:ascii="Arial" w:eastAsia="Times New Roman" w:hAnsi="Arial" w:cs="Arial"/>
                <w:sz w:val="24"/>
                <w:szCs w:val="24"/>
              </w:rPr>
              <w:t xml:space="preserve">13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sz w:val="24"/>
                <w:szCs w:val="24"/>
              </w:rPr>
            </w:pPr>
            <w:r w:rsidRPr="007E369D">
              <w:rPr>
                <w:rFonts w:ascii="Arial" w:eastAsia="Times New Roman" w:hAnsi="Arial" w:cs="Arial"/>
                <w:sz w:val="24"/>
                <w:szCs w:val="24"/>
              </w:rPr>
              <w:t xml:space="preserve">12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10</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11 </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 xml:space="preserve">11 </w:t>
            </w:r>
          </w:p>
        </w:tc>
      </w:tr>
      <w:tr w:rsidR="00DB49FD" w:rsidRPr="007E369D" w:rsidTr="00716B38">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B49FD" w:rsidRPr="007E369D" w:rsidRDefault="00DB49FD" w:rsidP="00DB49FD">
            <w:pPr>
              <w:ind w:firstLine="0"/>
              <w:rPr>
                <w:rFonts w:ascii="Arial" w:eastAsia="Times New Roman" w:hAnsi="Arial" w:cs="Arial"/>
                <w:color w:val="000000"/>
                <w:sz w:val="24"/>
                <w:szCs w:val="24"/>
              </w:rPr>
            </w:pPr>
            <w:r w:rsidRPr="007E369D">
              <w:rPr>
                <w:rFonts w:ascii="Arial" w:eastAsia="Times New Roman" w:hAnsi="Arial" w:cs="Arial"/>
                <w:color w:val="000000"/>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99</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98</w:t>
            </w:r>
          </w:p>
        </w:tc>
        <w:tc>
          <w:tcPr>
            <w:tcW w:w="1440" w:type="dxa"/>
            <w:tcBorders>
              <w:top w:val="nil"/>
              <w:left w:val="nil"/>
              <w:bottom w:val="single" w:sz="4" w:space="0" w:color="auto"/>
              <w:right w:val="single" w:sz="4" w:space="0" w:color="auto"/>
            </w:tcBorders>
            <w:shd w:val="clear" w:color="000000" w:fill="FFFFFF"/>
            <w:noWrap/>
            <w:vAlign w:val="bottom"/>
            <w:hideMark/>
          </w:tcPr>
          <w:p w:rsidR="00DB49FD" w:rsidRPr="007E369D" w:rsidRDefault="00DB49FD" w:rsidP="00DB49FD">
            <w:pPr>
              <w:ind w:firstLine="0"/>
              <w:jc w:val="right"/>
              <w:rPr>
                <w:rFonts w:ascii="Arial" w:eastAsia="Times New Roman" w:hAnsi="Arial" w:cs="Arial"/>
                <w:color w:val="000000"/>
                <w:sz w:val="24"/>
                <w:szCs w:val="24"/>
              </w:rPr>
            </w:pPr>
            <w:r w:rsidRPr="007E369D">
              <w:rPr>
                <w:rFonts w:ascii="Arial" w:eastAsia="Times New Roman" w:hAnsi="Arial" w:cs="Arial"/>
                <w:color w:val="000000"/>
                <w:sz w:val="24"/>
                <w:szCs w:val="24"/>
              </w:rPr>
              <w:t>104</w:t>
            </w:r>
          </w:p>
        </w:tc>
      </w:tr>
    </w:tbl>
    <w:p w:rsidR="0020688E" w:rsidRPr="007E369D" w:rsidRDefault="0020688E" w:rsidP="00922FA7">
      <w:pPr>
        <w:rPr>
          <w:rFonts w:ascii="Arial" w:hAnsi="Arial" w:cs="Arial"/>
          <w:sz w:val="24"/>
          <w:szCs w:val="24"/>
        </w:rPr>
      </w:pPr>
    </w:p>
    <w:p w:rsidR="002D4B73" w:rsidRPr="007E369D" w:rsidRDefault="002D4B73" w:rsidP="002D4B73">
      <w:pPr>
        <w:ind w:firstLine="0"/>
        <w:rPr>
          <w:rFonts w:ascii="Arial" w:hAnsi="Arial" w:cs="Arial"/>
          <w:sz w:val="24"/>
          <w:szCs w:val="24"/>
        </w:rPr>
      </w:pPr>
      <w:r w:rsidRPr="007E369D">
        <w:rPr>
          <w:rFonts w:ascii="Arial" w:hAnsi="Arial" w:cs="Arial"/>
          <w:sz w:val="24"/>
          <w:szCs w:val="24"/>
        </w:rPr>
        <w:t xml:space="preserve">The data above for </w:t>
      </w:r>
      <w:r w:rsidR="000B7740">
        <w:rPr>
          <w:rFonts w:ascii="Arial" w:hAnsi="Arial" w:cs="Arial"/>
          <w:sz w:val="24"/>
          <w:szCs w:val="24"/>
        </w:rPr>
        <w:t>SUD</w:t>
      </w:r>
      <w:r w:rsidRPr="007E369D">
        <w:rPr>
          <w:rFonts w:ascii="Arial" w:hAnsi="Arial" w:cs="Arial"/>
          <w:sz w:val="24"/>
          <w:szCs w:val="24"/>
        </w:rPr>
        <w:t xml:space="preserve"> Treatment Centers includes the following </w:t>
      </w:r>
      <w:r w:rsidR="000B7740">
        <w:rPr>
          <w:rFonts w:ascii="Arial" w:hAnsi="Arial" w:cs="Arial"/>
          <w:sz w:val="24"/>
          <w:szCs w:val="24"/>
        </w:rPr>
        <w:t>SUD</w:t>
      </w:r>
      <w:r w:rsidRPr="007E369D">
        <w:rPr>
          <w:rFonts w:ascii="Arial" w:hAnsi="Arial" w:cs="Arial"/>
          <w:sz w:val="24"/>
          <w:szCs w:val="24"/>
        </w:rPr>
        <w:t xml:space="preserve"> treatment settings: Opioid Treatment Service Centers, Outpatient Substance Use Disorder Treatment Services, Level 3.5 – Clinically Managed High-Intensity Residential Services, Level 3.7 – Medically Monitored Intensive Inpatient Treatment, and Level 4 – Medically Managed Intensive Inpatient Treatment.</w:t>
      </w:r>
    </w:p>
    <w:p w:rsidR="0020688E" w:rsidRPr="007E369D" w:rsidRDefault="0020688E" w:rsidP="00922FA7">
      <w:pPr>
        <w:rPr>
          <w:rFonts w:ascii="Arial" w:hAnsi="Arial" w:cs="Arial"/>
          <w:sz w:val="24"/>
          <w:szCs w:val="24"/>
        </w:rPr>
      </w:pPr>
    </w:p>
    <w:p w:rsidR="00074070" w:rsidRPr="0066291B" w:rsidRDefault="0066291B" w:rsidP="0066291B">
      <w:pPr>
        <w:pStyle w:val="Heading2"/>
        <w:rPr>
          <w:rFonts w:ascii="Arial" w:eastAsiaTheme="minorHAnsi" w:hAnsi="Arial" w:cs="Arial"/>
          <w:color w:val="auto"/>
          <w:sz w:val="24"/>
          <w:u w:val="single"/>
        </w:rPr>
      </w:pPr>
      <w:bookmarkStart w:id="47" w:name="_Toc10810586"/>
      <w:bookmarkStart w:id="48" w:name="_Toc20296937"/>
      <w:r w:rsidRPr="0066291B">
        <w:rPr>
          <w:rFonts w:ascii="Arial" w:hAnsi="Arial" w:cs="Arial"/>
          <w:color w:val="auto"/>
          <w:sz w:val="24"/>
          <w:u w:val="single"/>
        </w:rPr>
        <w:t xml:space="preserve">2. </w:t>
      </w:r>
      <w:r w:rsidR="007B18AD" w:rsidRPr="0066291B">
        <w:rPr>
          <w:rFonts w:ascii="Arial" w:hAnsi="Arial" w:cs="Arial"/>
          <w:color w:val="auto"/>
          <w:sz w:val="24"/>
          <w:u w:val="single"/>
        </w:rPr>
        <w:t xml:space="preserve">Behavioral Health Servicing </w:t>
      </w:r>
      <w:r w:rsidR="00C15602" w:rsidRPr="0066291B">
        <w:rPr>
          <w:rFonts w:ascii="Arial" w:eastAsiaTheme="minorHAnsi" w:hAnsi="Arial" w:cs="Arial"/>
          <w:color w:val="auto"/>
          <w:sz w:val="24"/>
          <w:u w:val="single"/>
        </w:rPr>
        <w:t>Member/Provider</w:t>
      </w:r>
      <w:r w:rsidR="00B833D0" w:rsidRPr="0066291B">
        <w:rPr>
          <w:rFonts w:ascii="Arial" w:eastAsiaTheme="minorHAnsi" w:hAnsi="Arial" w:cs="Arial"/>
          <w:color w:val="auto"/>
          <w:sz w:val="24"/>
          <w:u w:val="single"/>
        </w:rPr>
        <w:t xml:space="preserve"> Ratios</w:t>
      </w:r>
      <w:bookmarkEnd w:id="47"/>
      <w:bookmarkEnd w:id="48"/>
    </w:p>
    <w:p w:rsidR="00074070" w:rsidRPr="00686250" w:rsidRDefault="00074070" w:rsidP="00074070">
      <w:pPr>
        <w:ind w:firstLine="0"/>
        <w:rPr>
          <w:rFonts w:ascii="Arial" w:eastAsiaTheme="minorHAnsi" w:hAnsi="Arial" w:cs="Arial"/>
          <w:b/>
          <w:sz w:val="24"/>
          <w:szCs w:val="24"/>
          <w:u w:val="single"/>
        </w:rPr>
      </w:pPr>
    </w:p>
    <w:p w:rsidR="004C528D" w:rsidRDefault="004C528D" w:rsidP="00D20626">
      <w:pPr>
        <w:ind w:firstLine="0"/>
        <w:rPr>
          <w:rFonts w:ascii="Arial" w:hAnsi="Arial" w:cs="Arial"/>
          <w:sz w:val="24"/>
          <w:szCs w:val="24"/>
        </w:rPr>
      </w:pPr>
      <w:r w:rsidRPr="004C528D">
        <w:rPr>
          <w:rFonts w:ascii="Arial" w:hAnsi="Arial" w:cs="Arial"/>
          <w:sz w:val="24"/>
          <w:szCs w:val="24"/>
        </w:rPr>
        <w:t>The member/provider ratios trended for stability over time in the following section offer context to the provider data tables above.</w:t>
      </w:r>
    </w:p>
    <w:p w:rsidR="004C528D" w:rsidRDefault="004C528D" w:rsidP="00D20626">
      <w:pPr>
        <w:ind w:firstLine="0"/>
        <w:rPr>
          <w:rFonts w:ascii="Arial" w:hAnsi="Arial" w:cs="Arial"/>
          <w:sz w:val="24"/>
          <w:szCs w:val="24"/>
        </w:rPr>
      </w:pPr>
    </w:p>
    <w:p w:rsidR="00D20626" w:rsidRPr="00686250" w:rsidRDefault="00D20626" w:rsidP="00D20626">
      <w:pPr>
        <w:ind w:firstLine="0"/>
        <w:rPr>
          <w:rFonts w:ascii="Arial" w:hAnsi="Arial" w:cs="Arial"/>
          <w:sz w:val="24"/>
          <w:szCs w:val="24"/>
        </w:rPr>
      </w:pPr>
      <w:r w:rsidRPr="00686250">
        <w:rPr>
          <w:rFonts w:ascii="Arial" w:hAnsi="Arial" w:cs="Arial"/>
          <w:sz w:val="24"/>
          <w:szCs w:val="24"/>
        </w:rPr>
        <w:t>Data source: MMIS member and provider enrollment data</w:t>
      </w:r>
    </w:p>
    <w:p w:rsidR="00582B5F" w:rsidRPr="00686250" w:rsidRDefault="00582B5F" w:rsidP="00D20626">
      <w:pPr>
        <w:ind w:firstLine="0"/>
        <w:rPr>
          <w:rFonts w:ascii="Arial" w:hAnsi="Arial" w:cs="Arial"/>
          <w:sz w:val="24"/>
          <w:szCs w:val="24"/>
        </w:rPr>
      </w:pPr>
    </w:p>
    <w:p w:rsidR="00D20626" w:rsidRPr="00686250" w:rsidRDefault="00D20626" w:rsidP="00D20626">
      <w:pPr>
        <w:ind w:firstLine="0"/>
        <w:rPr>
          <w:rFonts w:ascii="Arial" w:hAnsi="Arial" w:cs="Arial"/>
          <w:sz w:val="24"/>
          <w:szCs w:val="24"/>
        </w:rPr>
      </w:pPr>
      <w:r w:rsidRPr="00686250">
        <w:rPr>
          <w:rFonts w:ascii="Arial" w:hAnsi="Arial" w:cs="Arial"/>
          <w:sz w:val="24"/>
          <w:szCs w:val="24"/>
        </w:rPr>
        <w:t>Methodology</w:t>
      </w:r>
      <w:r w:rsidR="00514B97" w:rsidRPr="00686250">
        <w:rPr>
          <w:rFonts w:ascii="Arial" w:hAnsi="Arial" w:cs="Arial"/>
          <w:sz w:val="24"/>
          <w:szCs w:val="24"/>
        </w:rPr>
        <w:t xml:space="preserve">: </w:t>
      </w:r>
      <w:r w:rsidRPr="00686250">
        <w:rPr>
          <w:rFonts w:ascii="Arial" w:hAnsi="Arial" w:cs="Arial"/>
          <w:sz w:val="24"/>
          <w:szCs w:val="24"/>
        </w:rPr>
        <w:t xml:space="preserve">Divided the number of enrolled </w:t>
      </w:r>
      <w:r w:rsidR="004C7E5F" w:rsidRPr="00686250">
        <w:rPr>
          <w:rFonts w:ascii="Arial" w:hAnsi="Arial" w:cs="Arial"/>
          <w:sz w:val="24"/>
          <w:szCs w:val="24"/>
        </w:rPr>
        <w:t xml:space="preserve">FFS </w:t>
      </w:r>
      <w:r w:rsidRPr="00686250">
        <w:rPr>
          <w:rFonts w:ascii="Arial" w:hAnsi="Arial" w:cs="Arial"/>
          <w:sz w:val="24"/>
          <w:szCs w:val="24"/>
        </w:rPr>
        <w:t>Medicaid members in each county by the number of active, enrolled behavioral health providers</w:t>
      </w:r>
      <w:r w:rsidR="004C7E5F" w:rsidRPr="00686250">
        <w:rPr>
          <w:rFonts w:ascii="Arial" w:hAnsi="Arial" w:cs="Arial"/>
          <w:sz w:val="24"/>
          <w:szCs w:val="24"/>
        </w:rPr>
        <w:t xml:space="preserve"> in that county</w:t>
      </w:r>
      <w:r w:rsidRPr="00686250">
        <w:rPr>
          <w:rFonts w:ascii="Arial" w:hAnsi="Arial" w:cs="Arial"/>
          <w:sz w:val="24"/>
          <w:szCs w:val="24"/>
        </w:rPr>
        <w:t>.</w:t>
      </w:r>
      <w:r w:rsidR="00CC1C46" w:rsidRPr="00686250">
        <w:rPr>
          <w:rFonts w:ascii="Arial" w:hAnsi="Arial" w:cs="Arial"/>
          <w:sz w:val="24"/>
          <w:szCs w:val="24"/>
        </w:rPr>
        <w:t xml:space="preserve"> </w:t>
      </w:r>
    </w:p>
    <w:p w:rsidR="004711B0" w:rsidRPr="00686250" w:rsidRDefault="004711B0" w:rsidP="00D20626">
      <w:pPr>
        <w:ind w:firstLine="0"/>
        <w:rPr>
          <w:rFonts w:ascii="Arial" w:hAnsi="Arial" w:cs="Arial"/>
          <w:sz w:val="24"/>
          <w:szCs w:val="24"/>
        </w:rPr>
      </w:pPr>
    </w:p>
    <w:p w:rsidR="004A640B" w:rsidRPr="00FD405F" w:rsidRDefault="004A640B" w:rsidP="004A640B">
      <w:pPr>
        <w:ind w:firstLine="0"/>
        <w:rPr>
          <w:rFonts w:ascii="Arial" w:hAnsi="Arial" w:cs="Arial"/>
          <w:sz w:val="24"/>
          <w:szCs w:val="24"/>
        </w:rPr>
      </w:pPr>
      <w:r w:rsidRPr="00FD405F">
        <w:rPr>
          <w:rFonts w:ascii="Arial" w:hAnsi="Arial" w:cs="Arial"/>
          <w:sz w:val="24"/>
          <w:szCs w:val="24"/>
        </w:rPr>
        <w:t>N/A indicates</w:t>
      </w:r>
      <w:r>
        <w:rPr>
          <w:rFonts w:ascii="Arial" w:hAnsi="Arial" w:cs="Arial"/>
          <w:sz w:val="24"/>
          <w:szCs w:val="24"/>
        </w:rPr>
        <w:t xml:space="preserve"> a ratio could not be computed because</w:t>
      </w:r>
      <w:r w:rsidRPr="00FD405F">
        <w:rPr>
          <w:rFonts w:ascii="Arial" w:hAnsi="Arial" w:cs="Arial"/>
          <w:sz w:val="24"/>
          <w:szCs w:val="24"/>
        </w:rPr>
        <w:t xml:space="preserve"> there are no such providers in that </w:t>
      </w:r>
      <w:proofErr w:type="gramStart"/>
      <w:r w:rsidRPr="00FD405F">
        <w:rPr>
          <w:rFonts w:ascii="Arial" w:hAnsi="Arial" w:cs="Arial"/>
          <w:sz w:val="24"/>
          <w:szCs w:val="24"/>
        </w:rPr>
        <w:t>county</w:t>
      </w:r>
      <w:proofErr w:type="gramEnd"/>
      <w:r w:rsidRPr="00FD405F">
        <w:rPr>
          <w:rFonts w:ascii="Arial" w:hAnsi="Arial" w:cs="Arial"/>
          <w:sz w:val="24"/>
          <w:szCs w:val="24"/>
        </w:rPr>
        <w:t>.</w:t>
      </w:r>
    </w:p>
    <w:p w:rsidR="00D20626" w:rsidRPr="00686250" w:rsidRDefault="00D20626" w:rsidP="00D20626">
      <w:pPr>
        <w:ind w:firstLine="0"/>
        <w:rPr>
          <w:rFonts w:ascii="Arial" w:hAnsi="Arial" w:cs="Arial"/>
          <w:sz w:val="24"/>
          <w:szCs w:val="24"/>
        </w:rPr>
      </w:pPr>
    </w:p>
    <w:p w:rsidR="00276B17" w:rsidRPr="00686250" w:rsidRDefault="00276B17" w:rsidP="00D159CE">
      <w:pPr>
        <w:ind w:firstLine="0"/>
        <w:rPr>
          <w:rFonts w:ascii="Arial" w:hAnsi="Arial" w:cs="Arial"/>
          <w:sz w:val="24"/>
          <w:szCs w:val="24"/>
        </w:rPr>
      </w:pPr>
      <w:r w:rsidRPr="00686250">
        <w:rPr>
          <w:rFonts w:ascii="Arial" w:hAnsi="Arial" w:cs="Arial"/>
          <w:sz w:val="24"/>
          <w:szCs w:val="24"/>
        </w:rPr>
        <w:t xml:space="preserve">Note that the ratios below are based on the residence of the members and the provider counts for </w:t>
      </w:r>
      <w:r w:rsidR="00F964CE" w:rsidRPr="00686250">
        <w:rPr>
          <w:rFonts w:ascii="Arial" w:hAnsi="Arial" w:cs="Arial"/>
          <w:sz w:val="24"/>
          <w:szCs w:val="24"/>
        </w:rPr>
        <w:t>members’</w:t>
      </w:r>
      <w:r w:rsidRPr="00686250">
        <w:rPr>
          <w:rFonts w:ascii="Arial" w:hAnsi="Arial" w:cs="Arial"/>
          <w:sz w:val="24"/>
          <w:szCs w:val="24"/>
        </w:rPr>
        <w:t xml:space="preserve"> counties of residence. </w:t>
      </w:r>
      <w:r w:rsidR="002205F3" w:rsidRPr="00686250">
        <w:rPr>
          <w:rFonts w:ascii="Arial" w:hAnsi="Arial" w:cs="Arial"/>
          <w:sz w:val="24"/>
          <w:szCs w:val="24"/>
        </w:rPr>
        <w:t>Therefore,</w:t>
      </w:r>
      <w:r w:rsidRPr="00686250">
        <w:rPr>
          <w:rFonts w:ascii="Arial" w:hAnsi="Arial" w:cs="Arial"/>
          <w:sz w:val="24"/>
          <w:szCs w:val="24"/>
        </w:rPr>
        <w:t xml:space="preserve"> out</w:t>
      </w:r>
      <w:r w:rsidR="00E82FE4" w:rsidRPr="00686250">
        <w:rPr>
          <w:rFonts w:ascii="Arial" w:hAnsi="Arial" w:cs="Arial"/>
          <w:sz w:val="24"/>
          <w:szCs w:val="24"/>
        </w:rPr>
        <w:t>-of-</w:t>
      </w:r>
      <w:r w:rsidRPr="00686250">
        <w:rPr>
          <w:rFonts w:ascii="Arial" w:hAnsi="Arial" w:cs="Arial"/>
          <w:sz w:val="24"/>
          <w:szCs w:val="24"/>
        </w:rPr>
        <w:t>state providers are not included in determining the member per provider ratios.</w:t>
      </w:r>
    </w:p>
    <w:p w:rsidR="00D20626" w:rsidRPr="00686250" w:rsidRDefault="00D20626" w:rsidP="00D20626">
      <w:pPr>
        <w:ind w:firstLine="0"/>
        <w:rPr>
          <w:rFonts w:ascii="Arial" w:hAnsi="Arial" w:cs="Arial"/>
          <w:sz w:val="24"/>
          <w:szCs w:val="24"/>
        </w:rPr>
      </w:pPr>
    </w:p>
    <w:p w:rsidR="008032D4" w:rsidRPr="00686250" w:rsidRDefault="00756641" w:rsidP="008032D4">
      <w:pPr>
        <w:ind w:firstLine="0"/>
        <w:rPr>
          <w:rFonts w:ascii="Arial" w:hAnsi="Arial" w:cs="Arial"/>
          <w:sz w:val="24"/>
          <w:szCs w:val="24"/>
        </w:rPr>
      </w:pPr>
      <w:r w:rsidRPr="00686250">
        <w:rPr>
          <w:rFonts w:ascii="Arial" w:hAnsi="Arial" w:cs="Arial"/>
          <w:sz w:val="24"/>
          <w:szCs w:val="24"/>
        </w:rPr>
        <w:t xml:space="preserve">Note that members in the PCC </w:t>
      </w:r>
      <w:r w:rsidR="007442C7">
        <w:rPr>
          <w:rFonts w:ascii="Arial" w:hAnsi="Arial" w:cs="Arial"/>
          <w:sz w:val="24"/>
          <w:szCs w:val="24"/>
        </w:rPr>
        <w:t>Plan</w:t>
      </w:r>
      <w:r w:rsidR="007442C7" w:rsidRPr="00686250">
        <w:rPr>
          <w:rFonts w:ascii="Arial" w:hAnsi="Arial" w:cs="Arial"/>
          <w:sz w:val="24"/>
          <w:szCs w:val="24"/>
        </w:rPr>
        <w:t xml:space="preserve"> </w:t>
      </w:r>
      <w:r w:rsidR="00FE2DB5" w:rsidRPr="00686250">
        <w:rPr>
          <w:rFonts w:ascii="Arial" w:hAnsi="Arial" w:cs="Arial"/>
          <w:sz w:val="24"/>
          <w:szCs w:val="24"/>
        </w:rPr>
        <w:t xml:space="preserve">and those enrolled in </w:t>
      </w:r>
      <w:r w:rsidR="000573D1" w:rsidRPr="00686250">
        <w:rPr>
          <w:rFonts w:ascii="Arial" w:hAnsi="Arial" w:cs="Arial"/>
          <w:sz w:val="24"/>
          <w:szCs w:val="24"/>
        </w:rPr>
        <w:t>a Primary Care</w:t>
      </w:r>
      <w:r w:rsidR="00FE2DB5" w:rsidRPr="00686250">
        <w:rPr>
          <w:rFonts w:ascii="Arial" w:hAnsi="Arial" w:cs="Arial"/>
          <w:sz w:val="24"/>
          <w:szCs w:val="24"/>
        </w:rPr>
        <w:t xml:space="preserve"> ACO</w:t>
      </w:r>
      <w:r w:rsidRPr="00686250">
        <w:rPr>
          <w:rFonts w:ascii="Arial" w:hAnsi="Arial" w:cs="Arial"/>
          <w:sz w:val="24"/>
          <w:szCs w:val="24"/>
        </w:rPr>
        <w:t xml:space="preserve"> access behavioral health ser</w:t>
      </w:r>
      <w:r w:rsidR="00EC3047">
        <w:rPr>
          <w:rFonts w:ascii="Arial" w:hAnsi="Arial" w:cs="Arial"/>
          <w:sz w:val="24"/>
          <w:szCs w:val="24"/>
        </w:rPr>
        <w:t xml:space="preserve">vices through </w:t>
      </w:r>
      <w:r w:rsidRPr="00686250">
        <w:rPr>
          <w:rFonts w:ascii="Arial" w:hAnsi="Arial" w:cs="Arial"/>
          <w:sz w:val="24"/>
          <w:szCs w:val="24"/>
        </w:rPr>
        <w:t>MBHP.</w:t>
      </w:r>
      <w:r w:rsidR="00CC1C46" w:rsidRPr="00686250">
        <w:rPr>
          <w:rFonts w:ascii="Arial" w:hAnsi="Arial" w:cs="Arial"/>
          <w:sz w:val="24"/>
          <w:szCs w:val="24"/>
        </w:rPr>
        <w:t xml:space="preserve"> </w:t>
      </w:r>
      <w:r w:rsidRPr="00686250">
        <w:rPr>
          <w:rFonts w:ascii="Arial" w:hAnsi="Arial" w:cs="Arial"/>
          <w:sz w:val="24"/>
          <w:szCs w:val="24"/>
        </w:rPr>
        <w:t xml:space="preserve">Because the plan is capitated, MBHP providers and services are not included in this </w:t>
      </w:r>
      <w:r w:rsidR="001D1FDA" w:rsidRPr="00686250">
        <w:rPr>
          <w:rFonts w:ascii="Arial" w:hAnsi="Arial" w:cs="Arial"/>
          <w:sz w:val="24"/>
          <w:szCs w:val="24"/>
        </w:rPr>
        <w:t>AMRP</w:t>
      </w:r>
      <w:r w:rsidRPr="00686250">
        <w:rPr>
          <w:rFonts w:ascii="Arial" w:hAnsi="Arial" w:cs="Arial"/>
          <w:sz w:val="24"/>
          <w:szCs w:val="24"/>
        </w:rPr>
        <w:t>.</w:t>
      </w:r>
      <w:r w:rsidR="00CC1C46" w:rsidRPr="00686250">
        <w:rPr>
          <w:rFonts w:ascii="Arial" w:hAnsi="Arial" w:cs="Arial"/>
          <w:sz w:val="24"/>
          <w:szCs w:val="24"/>
        </w:rPr>
        <w:t xml:space="preserve"> </w:t>
      </w:r>
      <w:r w:rsidR="002205F3" w:rsidRPr="00686250">
        <w:rPr>
          <w:rFonts w:ascii="Arial" w:hAnsi="Arial" w:cs="Arial"/>
          <w:sz w:val="24"/>
          <w:szCs w:val="24"/>
        </w:rPr>
        <w:t>Therefore,</w:t>
      </w:r>
      <w:r w:rsidR="008032D4" w:rsidRPr="00686250">
        <w:rPr>
          <w:rFonts w:ascii="Arial" w:hAnsi="Arial" w:cs="Arial"/>
          <w:sz w:val="24"/>
          <w:szCs w:val="24"/>
        </w:rPr>
        <w:t xml:space="preserve"> the member counts used to create the ratios below only</w:t>
      </w:r>
      <w:r w:rsidR="008A5CCE">
        <w:rPr>
          <w:rFonts w:ascii="Arial" w:hAnsi="Arial" w:cs="Arial"/>
          <w:sz w:val="24"/>
          <w:szCs w:val="24"/>
        </w:rPr>
        <w:t xml:space="preserve"> reflect</w:t>
      </w:r>
      <w:r w:rsidR="008032D4" w:rsidRPr="00686250">
        <w:rPr>
          <w:rFonts w:ascii="Arial" w:hAnsi="Arial" w:cs="Arial"/>
          <w:sz w:val="24"/>
          <w:szCs w:val="24"/>
        </w:rPr>
        <w:t xml:space="preserve"> members who receive FFS coverage and have MassHeal</w:t>
      </w:r>
      <w:r w:rsidR="003D6D87" w:rsidRPr="00686250">
        <w:rPr>
          <w:rFonts w:ascii="Arial" w:hAnsi="Arial" w:cs="Arial"/>
          <w:sz w:val="24"/>
          <w:szCs w:val="24"/>
        </w:rPr>
        <w:t>th as their primary insurance.</w:t>
      </w:r>
    </w:p>
    <w:p w:rsidR="004E1CB5" w:rsidRPr="00686250" w:rsidRDefault="004E1CB5" w:rsidP="00074070">
      <w:pPr>
        <w:ind w:firstLine="0"/>
        <w:rPr>
          <w:rFonts w:ascii="Arial" w:eastAsiaTheme="minorHAnsi" w:hAnsi="Arial" w:cs="Arial"/>
          <w:b/>
          <w:sz w:val="24"/>
          <w:szCs w:val="24"/>
          <w:u w:val="single"/>
        </w:rPr>
      </w:pPr>
    </w:p>
    <w:p w:rsidR="0036346C" w:rsidRPr="001C2769" w:rsidRDefault="0036346C" w:rsidP="001C2769">
      <w:pPr>
        <w:ind w:firstLine="0"/>
        <w:rPr>
          <w:rFonts w:ascii="Arial" w:hAnsi="Arial" w:cs="Arial"/>
          <w:b/>
          <w:sz w:val="24"/>
        </w:rPr>
      </w:pPr>
      <w:r w:rsidRPr="001C2769">
        <w:rPr>
          <w:rFonts w:ascii="Arial" w:hAnsi="Arial" w:cs="Arial"/>
          <w:b/>
          <w:sz w:val="24"/>
        </w:rPr>
        <w:t xml:space="preserve">Number of Members per Psychologist </w:t>
      </w:r>
      <w:r w:rsidR="00CD3AA8">
        <w:rPr>
          <w:rFonts w:ascii="Arial" w:hAnsi="Arial" w:cs="Arial"/>
          <w:b/>
          <w:sz w:val="24"/>
        </w:rPr>
        <w:t>by County</w:t>
      </w:r>
      <w:r w:rsidRPr="001C2769">
        <w:rPr>
          <w:rFonts w:ascii="Arial" w:hAnsi="Arial" w:cs="Arial"/>
          <w:b/>
          <w:sz w:val="24"/>
        </w:rPr>
        <w:t xml:space="preserve"> SFY16-SFY18</w:t>
      </w:r>
    </w:p>
    <w:tbl>
      <w:tblPr>
        <w:tblW w:w="4320" w:type="dxa"/>
        <w:tblInd w:w="113" w:type="dxa"/>
        <w:tblLook w:val="04A0" w:firstRow="1" w:lastRow="0" w:firstColumn="1" w:lastColumn="0" w:noHBand="0" w:noVBand="1"/>
      </w:tblPr>
      <w:tblGrid>
        <w:gridCol w:w="1440"/>
        <w:gridCol w:w="1440"/>
        <w:gridCol w:w="1440"/>
        <w:gridCol w:w="1440"/>
      </w:tblGrid>
      <w:tr w:rsidR="0020688E" w:rsidRPr="00686250" w:rsidTr="002205F3">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688E" w:rsidRPr="00686250" w:rsidRDefault="0020688E" w:rsidP="0020688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SFY18</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0257F" w:rsidRDefault="0020688E" w:rsidP="0020688E">
            <w:pPr>
              <w:ind w:firstLine="0"/>
              <w:rPr>
                <w:rFonts w:ascii="Arial" w:eastAsia="Times New Roman" w:hAnsi="Arial" w:cs="Arial"/>
                <w:sz w:val="24"/>
                <w:szCs w:val="24"/>
              </w:rPr>
            </w:pPr>
            <w:r w:rsidRPr="0060257F">
              <w:rPr>
                <w:rFonts w:ascii="Arial" w:eastAsia="Times New Roman" w:hAnsi="Arial" w:cs="Arial"/>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132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150</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205</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0257F" w:rsidRDefault="0020688E" w:rsidP="0020688E">
            <w:pPr>
              <w:ind w:firstLine="0"/>
              <w:rPr>
                <w:rFonts w:ascii="Arial" w:eastAsia="Times New Roman" w:hAnsi="Arial" w:cs="Arial"/>
                <w:sz w:val="24"/>
                <w:szCs w:val="24"/>
              </w:rPr>
            </w:pPr>
            <w:r w:rsidRPr="0060257F">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99</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112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50</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0257F" w:rsidRDefault="0020688E" w:rsidP="0020688E">
            <w:pPr>
              <w:ind w:firstLine="0"/>
              <w:rPr>
                <w:rFonts w:ascii="Arial" w:eastAsia="Times New Roman" w:hAnsi="Arial" w:cs="Arial"/>
                <w:sz w:val="24"/>
                <w:szCs w:val="24"/>
              </w:rPr>
            </w:pPr>
            <w:r w:rsidRPr="0060257F">
              <w:rPr>
                <w:rFonts w:ascii="Arial" w:eastAsia="Times New Roman" w:hAnsi="Arial" w:cs="Arial"/>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162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132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104</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0257F" w:rsidRDefault="0020688E" w:rsidP="0020688E">
            <w:pPr>
              <w:ind w:firstLine="0"/>
              <w:rPr>
                <w:rFonts w:ascii="Arial" w:eastAsia="Times New Roman" w:hAnsi="Arial" w:cs="Arial"/>
                <w:sz w:val="24"/>
                <w:szCs w:val="24"/>
              </w:rPr>
            </w:pPr>
            <w:r w:rsidRPr="0060257F">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0257F" w:rsidRDefault="0020688E" w:rsidP="0020688E">
            <w:pPr>
              <w:ind w:firstLine="0"/>
              <w:rPr>
                <w:rFonts w:ascii="Arial" w:eastAsia="Times New Roman" w:hAnsi="Arial" w:cs="Arial"/>
                <w:sz w:val="24"/>
                <w:szCs w:val="24"/>
              </w:rPr>
            </w:pPr>
            <w:r w:rsidRPr="0060257F">
              <w:rPr>
                <w:rFonts w:ascii="Arial" w:eastAsia="Times New Roman" w:hAnsi="Arial" w:cs="Arial"/>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188</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174</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131</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0257F" w:rsidRDefault="0020688E" w:rsidP="0020688E">
            <w:pPr>
              <w:ind w:firstLine="0"/>
              <w:rPr>
                <w:rFonts w:ascii="Arial" w:eastAsia="Times New Roman" w:hAnsi="Arial" w:cs="Arial"/>
                <w:sz w:val="24"/>
                <w:szCs w:val="24"/>
              </w:rPr>
            </w:pPr>
            <w:r w:rsidRPr="0060257F">
              <w:rPr>
                <w:rFonts w:ascii="Arial" w:eastAsia="Times New Roman" w:hAnsi="Arial" w:cs="Arial"/>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186</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86250" w:rsidRDefault="0020688E" w:rsidP="0020688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582</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645</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320</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86250" w:rsidRDefault="0020688E" w:rsidP="0020688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37</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29</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17</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86250" w:rsidRDefault="0020688E" w:rsidP="0020688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134</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147</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109</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86250" w:rsidRDefault="0020688E" w:rsidP="0020688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86250" w:rsidRDefault="0020688E" w:rsidP="0020688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68</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79</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63</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86250" w:rsidRDefault="0020688E" w:rsidP="0020688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146</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153</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86250" w:rsidRDefault="0020688E" w:rsidP="0020688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113</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0257F" w:rsidRDefault="0020688E" w:rsidP="0020688E">
            <w:pPr>
              <w:ind w:firstLine="0"/>
              <w:rPr>
                <w:rFonts w:ascii="Arial" w:eastAsia="Times New Roman" w:hAnsi="Arial" w:cs="Arial"/>
                <w:sz w:val="24"/>
                <w:szCs w:val="24"/>
              </w:rPr>
            </w:pPr>
            <w:r w:rsidRPr="0060257F">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59</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51</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37</w:t>
            </w:r>
          </w:p>
        </w:tc>
      </w:tr>
      <w:tr w:rsidR="0020688E"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20688E" w:rsidRPr="0060257F" w:rsidRDefault="0020688E" w:rsidP="0020688E">
            <w:pPr>
              <w:ind w:firstLine="0"/>
              <w:rPr>
                <w:rFonts w:ascii="Arial" w:eastAsia="Times New Roman" w:hAnsi="Arial" w:cs="Arial"/>
                <w:sz w:val="24"/>
                <w:szCs w:val="24"/>
              </w:rPr>
            </w:pPr>
            <w:r w:rsidRPr="0060257F">
              <w:rPr>
                <w:rFonts w:ascii="Arial" w:eastAsia="Times New Roman" w:hAnsi="Arial" w:cs="Arial"/>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133</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128</w:t>
            </w:r>
          </w:p>
        </w:tc>
        <w:tc>
          <w:tcPr>
            <w:tcW w:w="1440" w:type="dxa"/>
            <w:tcBorders>
              <w:top w:val="nil"/>
              <w:left w:val="nil"/>
              <w:bottom w:val="single" w:sz="4" w:space="0" w:color="auto"/>
              <w:right w:val="single" w:sz="4" w:space="0" w:color="auto"/>
            </w:tcBorders>
            <w:shd w:val="clear" w:color="000000" w:fill="FFFFFF"/>
            <w:noWrap/>
            <w:vAlign w:val="bottom"/>
            <w:hideMark/>
          </w:tcPr>
          <w:p w:rsidR="0020688E" w:rsidRPr="0060257F" w:rsidRDefault="0020688E" w:rsidP="0020688E">
            <w:pPr>
              <w:ind w:firstLine="0"/>
              <w:jc w:val="right"/>
              <w:rPr>
                <w:rFonts w:ascii="Arial" w:eastAsia="Times New Roman" w:hAnsi="Arial" w:cs="Arial"/>
                <w:sz w:val="24"/>
                <w:szCs w:val="24"/>
              </w:rPr>
            </w:pPr>
            <w:r w:rsidRPr="0060257F">
              <w:rPr>
                <w:rFonts w:ascii="Arial" w:eastAsia="Times New Roman" w:hAnsi="Arial" w:cs="Arial"/>
                <w:sz w:val="24"/>
                <w:szCs w:val="24"/>
              </w:rPr>
              <w:t>87</w:t>
            </w:r>
          </w:p>
        </w:tc>
      </w:tr>
    </w:tbl>
    <w:p w:rsidR="0020688E" w:rsidRPr="00686250" w:rsidRDefault="0020688E" w:rsidP="009D6BFD">
      <w:pPr>
        <w:rPr>
          <w:rFonts w:ascii="Arial" w:hAnsi="Arial" w:cs="Arial"/>
          <w:sz w:val="24"/>
          <w:szCs w:val="24"/>
        </w:rPr>
      </w:pPr>
    </w:p>
    <w:p w:rsidR="0020688E" w:rsidRPr="00686250" w:rsidRDefault="00BA08D7" w:rsidP="002D4B73">
      <w:pPr>
        <w:ind w:firstLine="0"/>
        <w:rPr>
          <w:rFonts w:ascii="Arial" w:hAnsi="Arial" w:cs="Arial"/>
          <w:sz w:val="24"/>
          <w:szCs w:val="24"/>
        </w:rPr>
      </w:pPr>
      <w:r w:rsidRPr="00686250">
        <w:rPr>
          <w:rFonts w:ascii="Arial" w:hAnsi="Arial" w:cs="Arial"/>
          <w:sz w:val="24"/>
          <w:szCs w:val="24"/>
        </w:rPr>
        <w:t xml:space="preserve">Psychologists credentialed with MassHealth </w:t>
      </w:r>
      <w:r w:rsidR="007761D0" w:rsidRPr="00686250">
        <w:rPr>
          <w:rFonts w:ascii="Arial" w:hAnsi="Arial" w:cs="Arial"/>
          <w:sz w:val="24"/>
          <w:szCs w:val="24"/>
        </w:rPr>
        <w:t xml:space="preserve">and enrolled as individual providers may only bill for </w:t>
      </w:r>
      <w:r w:rsidRPr="00686250">
        <w:rPr>
          <w:rFonts w:ascii="Arial" w:hAnsi="Arial" w:cs="Arial"/>
          <w:sz w:val="24"/>
          <w:szCs w:val="24"/>
        </w:rPr>
        <w:t>psychological testing</w:t>
      </w:r>
      <w:r w:rsidR="007761D0" w:rsidRPr="00686250">
        <w:rPr>
          <w:rFonts w:ascii="Arial" w:hAnsi="Arial" w:cs="Arial"/>
          <w:sz w:val="24"/>
          <w:szCs w:val="24"/>
        </w:rPr>
        <w:t xml:space="preserve"> for</w:t>
      </w:r>
      <w:r w:rsidRPr="00686250">
        <w:rPr>
          <w:rFonts w:ascii="Arial" w:hAnsi="Arial" w:cs="Arial"/>
          <w:sz w:val="24"/>
          <w:szCs w:val="24"/>
        </w:rPr>
        <w:t xml:space="preserve"> FFS members. </w:t>
      </w:r>
      <w:r w:rsidR="007761D0" w:rsidRPr="00686250">
        <w:rPr>
          <w:rFonts w:ascii="Arial" w:hAnsi="Arial" w:cs="Arial"/>
          <w:sz w:val="24"/>
          <w:szCs w:val="24"/>
        </w:rPr>
        <w:t xml:space="preserve">Psychologists may also see </w:t>
      </w:r>
      <w:r w:rsidRPr="00686250">
        <w:rPr>
          <w:rFonts w:ascii="Arial" w:hAnsi="Arial" w:cs="Arial"/>
          <w:sz w:val="24"/>
          <w:szCs w:val="24"/>
        </w:rPr>
        <w:t xml:space="preserve">FFS members </w:t>
      </w:r>
      <w:r w:rsidR="007761D0" w:rsidRPr="00686250">
        <w:rPr>
          <w:rFonts w:ascii="Arial" w:hAnsi="Arial" w:cs="Arial"/>
          <w:sz w:val="24"/>
          <w:szCs w:val="24"/>
        </w:rPr>
        <w:t xml:space="preserve">when they </w:t>
      </w:r>
      <w:r w:rsidRPr="00686250">
        <w:rPr>
          <w:rFonts w:ascii="Arial" w:hAnsi="Arial" w:cs="Arial"/>
          <w:sz w:val="24"/>
          <w:szCs w:val="24"/>
        </w:rPr>
        <w:t xml:space="preserve">access traditional outpatient services through other provider types such as psychiatric outpatient hospitals, acute outpatient hospitals, mental health </w:t>
      </w:r>
      <w:r w:rsidR="00D52FBC">
        <w:rPr>
          <w:rFonts w:ascii="Arial" w:hAnsi="Arial" w:cs="Arial"/>
          <w:sz w:val="24"/>
          <w:szCs w:val="24"/>
        </w:rPr>
        <w:t>centers</w:t>
      </w:r>
      <w:r w:rsidRPr="00686250">
        <w:rPr>
          <w:rFonts w:ascii="Arial" w:hAnsi="Arial" w:cs="Arial"/>
          <w:sz w:val="24"/>
          <w:szCs w:val="24"/>
        </w:rPr>
        <w:t xml:space="preserve">, and </w:t>
      </w:r>
      <w:r w:rsidR="001E1A44">
        <w:rPr>
          <w:rFonts w:ascii="Arial" w:hAnsi="Arial" w:cs="Arial"/>
          <w:sz w:val="24"/>
          <w:szCs w:val="24"/>
        </w:rPr>
        <w:t>CHCs</w:t>
      </w:r>
      <w:r w:rsidRPr="00686250">
        <w:rPr>
          <w:rFonts w:ascii="Arial" w:hAnsi="Arial" w:cs="Arial"/>
          <w:sz w:val="24"/>
          <w:szCs w:val="24"/>
        </w:rPr>
        <w:t>.</w:t>
      </w:r>
    </w:p>
    <w:p w:rsidR="0036346C" w:rsidRPr="00686250" w:rsidRDefault="0036346C" w:rsidP="0036346C">
      <w:pPr>
        <w:ind w:firstLine="0"/>
        <w:rPr>
          <w:rFonts w:ascii="Arial" w:eastAsiaTheme="minorHAnsi" w:hAnsi="Arial" w:cs="Arial"/>
          <w:b/>
          <w:sz w:val="24"/>
          <w:szCs w:val="24"/>
          <w:u w:val="single"/>
        </w:rPr>
      </w:pPr>
    </w:p>
    <w:p w:rsidR="00BA08D7" w:rsidRPr="00686250" w:rsidRDefault="00BA08D7" w:rsidP="00BA08D7">
      <w:pPr>
        <w:ind w:firstLine="0"/>
        <w:rPr>
          <w:rFonts w:ascii="Arial" w:hAnsi="Arial" w:cs="Arial"/>
          <w:sz w:val="24"/>
          <w:szCs w:val="24"/>
        </w:rPr>
      </w:pPr>
      <w:r w:rsidRPr="00686250">
        <w:rPr>
          <w:rFonts w:ascii="Arial" w:hAnsi="Arial" w:cs="Arial"/>
          <w:sz w:val="24"/>
          <w:szCs w:val="24"/>
        </w:rPr>
        <w:t>Overall, the average number of members per psychologist for S</w:t>
      </w:r>
      <w:r w:rsidR="006A2354">
        <w:rPr>
          <w:rFonts w:ascii="Arial" w:hAnsi="Arial" w:cs="Arial"/>
          <w:sz w:val="24"/>
          <w:szCs w:val="24"/>
        </w:rPr>
        <w:t xml:space="preserve">FY16, SFY17, and SFY18 is 146. </w:t>
      </w:r>
      <w:r w:rsidRPr="00686250">
        <w:rPr>
          <w:rFonts w:ascii="Arial" w:hAnsi="Arial" w:cs="Arial"/>
          <w:sz w:val="24"/>
          <w:szCs w:val="24"/>
        </w:rPr>
        <w:t xml:space="preserve">For disabled members and non-disabled members, the average ratio of members to psychologists is 15 and 131, respectively. </w:t>
      </w:r>
    </w:p>
    <w:p w:rsidR="00BA08D7" w:rsidRPr="00686250" w:rsidRDefault="00BA08D7" w:rsidP="0036346C">
      <w:pPr>
        <w:ind w:firstLine="0"/>
        <w:rPr>
          <w:rFonts w:ascii="Arial" w:eastAsiaTheme="minorHAnsi" w:hAnsi="Arial" w:cs="Arial"/>
          <w:b/>
          <w:sz w:val="24"/>
          <w:szCs w:val="24"/>
          <w:u w:val="single"/>
        </w:rPr>
      </w:pPr>
    </w:p>
    <w:p w:rsidR="0036346C" w:rsidRPr="001C2769" w:rsidRDefault="0036346C" w:rsidP="001C2769">
      <w:pPr>
        <w:ind w:firstLine="0"/>
        <w:rPr>
          <w:rFonts w:ascii="Arial" w:hAnsi="Arial" w:cs="Arial"/>
          <w:b/>
          <w:sz w:val="24"/>
        </w:rPr>
      </w:pPr>
      <w:r w:rsidRPr="001C2769">
        <w:rPr>
          <w:rFonts w:ascii="Arial" w:hAnsi="Arial" w:cs="Arial"/>
          <w:b/>
          <w:sz w:val="24"/>
        </w:rPr>
        <w:t>Number of Members per Psychiatrist</w:t>
      </w:r>
      <w:r w:rsidR="00C7330E" w:rsidRPr="001C2769">
        <w:rPr>
          <w:rFonts w:ascii="Arial" w:hAnsi="Arial" w:cs="Arial"/>
          <w:b/>
          <w:sz w:val="24"/>
        </w:rPr>
        <w:t xml:space="preserve"> (including Psychiatric </w:t>
      </w:r>
      <w:r w:rsidR="007F61C1" w:rsidRPr="001C2769">
        <w:rPr>
          <w:rFonts w:ascii="Arial" w:hAnsi="Arial" w:cs="Arial"/>
          <w:b/>
          <w:sz w:val="24"/>
        </w:rPr>
        <w:t>C</w:t>
      </w:r>
      <w:r w:rsidR="00C7330E" w:rsidRPr="001C2769">
        <w:rPr>
          <w:rFonts w:ascii="Arial" w:hAnsi="Arial" w:cs="Arial"/>
          <w:b/>
          <w:sz w:val="24"/>
        </w:rPr>
        <w:t xml:space="preserve">linical </w:t>
      </w:r>
      <w:r w:rsidR="007F61C1" w:rsidRPr="001C2769">
        <w:rPr>
          <w:rFonts w:ascii="Arial" w:hAnsi="Arial" w:cs="Arial"/>
          <w:b/>
          <w:sz w:val="24"/>
        </w:rPr>
        <w:t>Nurse S</w:t>
      </w:r>
      <w:r w:rsidR="00C7330E" w:rsidRPr="001C2769">
        <w:rPr>
          <w:rFonts w:ascii="Arial" w:hAnsi="Arial" w:cs="Arial"/>
          <w:b/>
          <w:sz w:val="24"/>
        </w:rPr>
        <w:t xml:space="preserve">pecialists) </w:t>
      </w:r>
      <w:r w:rsidR="00CD3AA8">
        <w:rPr>
          <w:rFonts w:ascii="Arial" w:hAnsi="Arial" w:cs="Arial"/>
          <w:b/>
          <w:sz w:val="24"/>
        </w:rPr>
        <w:t>by County</w:t>
      </w:r>
      <w:r w:rsidRPr="001C2769">
        <w:rPr>
          <w:rFonts w:ascii="Arial" w:hAnsi="Arial" w:cs="Arial"/>
          <w:b/>
          <w:sz w:val="24"/>
        </w:rPr>
        <w:t xml:space="preserve"> SFY16-SFY18</w:t>
      </w:r>
    </w:p>
    <w:tbl>
      <w:tblPr>
        <w:tblW w:w="5760" w:type="dxa"/>
        <w:tblInd w:w="85" w:type="dxa"/>
        <w:tblLook w:val="04A0" w:firstRow="1" w:lastRow="0" w:firstColumn="1" w:lastColumn="0" w:noHBand="0" w:noVBand="1"/>
      </w:tblPr>
      <w:tblGrid>
        <w:gridCol w:w="1440"/>
        <w:gridCol w:w="1440"/>
        <w:gridCol w:w="1440"/>
        <w:gridCol w:w="1440"/>
      </w:tblGrid>
      <w:tr w:rsidR="00C7330E" w:rsidRPr="00686250" w:rsidTr="006A457F">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SFY18</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132</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117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103</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70</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84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44</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126</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137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108</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39</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91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63</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87</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83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63</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37</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36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28</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80</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81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51</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lastRenderedPageBreak/>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45</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50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31</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52</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49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39</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68</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76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52</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86</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97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76</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21</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20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15</w:t>
            </w:r>
          </w:p>
        </w:tc>
      </w:tr>
      <w:tr w:rsidR="00C7330E" w:rsidRPr="00686250"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686250" w:rsidRDefault="00C7330E" w:rsidP="00C7330E">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56</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 xml:space="preserve">58 </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686250" w:rsidRDefault="00C7330E" w:rsidP="00C7330E">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44</w:t>
            </w:r>
          </w:p>
        </w:tc>
      </w:tr>
    </w:tbl>
    <w:p w:rsidR="0036346C" w:rsidRPr="00686250" w:rsidRDefault="0036346C" w:rsidP="0036346C">
      <w:pPr>
        <w:ind w:firstLine="0"/>
        <w:rPr>
          <w:rFonts w:ascii="Arial" w:hAnsi="Arial" w:cs="Arial"/>
          <w:sz w:val="24"/>
          <w:szCs w:val="24"/>
        </w:rPr>
      </w:pPr>
    </w:p>
    <w:p w:rsidR="0036346C" w:rsidRPr="001C2769" w:rsidRDefault="0036346C" w:rsidP="001C2769">
      <w:pPr>
        <w:ind w:firstLine="0"/>
        <w:rPr>
          <w:rFonts w:ascii="Arial" w:hAnsi="Arial" w:cs="Arial"/>
          <w:b/>
          <w:sz w:val="24"/>
        </w:rPr>
      </w:pPr>
      <w:r w:rsidRPr="001C2769">
        <w:rPr>
          <w:rFonts w:ascii="Arial" w:hAnsi="Arial" w:cs="Arial"/>
          <w:b/>
          <w:sz w:val="24"/>
        </w:rPr>
        <w:t xml:space="preserve">Number of Members per Inpatient Psychiatric Hospital </w:t>
      </w:r>
      <w:r w:rsidR="00CD3AA8">
        <w:rPr>
          <w:rFonts w:ascii="Arial" w:hAnsi="Arial" w:cs="Arial"/>
          <w:b/>
          <w:sz w:val="24"/>
        </w:rPr>
        <w:t>by County</w:t>
      </w:r>
      <w:r w:rsidRPr="001C2769">
        <w:rPr>
          <w:rFonts w:ascii="Arial" w:hAnsi="Arial" w:cs="Arial"/>
          <w:b/>
          <w:sz w:val="24"/>
        </w:rPr>
        <w:t xml:space="preserve"> SFY16-SFY18</w:t>
      </w:r>
    </w:p>
    <w:tbl>
      <w:tblPr>
        <w:tblW w:w="4100" w:type="dxa"/>
        <w:tblInd w:w="113" w:type="dxa"/>
        <w:tblLook w:val="04A0" w:firstRow="1" w:lastRow="0" w:firstColumn="1" w:lastColumn="0" w:noHBand="0" w:noVBand="1"/>
      </w:tblPr>
      <w:tblGrid>
        <w:gridCol w:w="1440"/>
        <w:gridCol w:w="1440"/>
        <w:gridCol w:w="1440"/>
        <w:gridCol w:w="1440"/>
      </w:tblGrid>
      <w:tr w:rsidR="009046B3" w:rsidRPr="00686250" w:rsidTr="002205F3">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SFY18</w:t>
            </w:r>
          </w:p>
        </w:tc>
      </w:tr>
      <w:tr w:rsidR="009046B3"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r>
      <w:tr w:rsidR="009046B3"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r>
      <w:tr w:rsidR="009046B3"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1,704</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1,099</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794</w:t>
            </w:r>
          </w:p>
        </w:tc>
      </w:tr>
      <w:tr w:rsidR="009046B3"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r>
      <w:tr w:rsidR="009046B3"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3,008</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2,952</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4,596</w:t>
            </w:r>
          </w:p>
        </w:tc>
      </w:tr>
      <w:tr w:rsidR="009046B3"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r>
      <w:tr w:rsidR="009046B3"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r>
      <w:tr w:rsidR="009046B3"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r>
      <w:tr w:rsidR="009046B3"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9,772</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9,548</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3,708</w:t>
            </w:r>
          </w:p>
        </w:tc>
      </w:tr>
      <w:tr w:rsidR="009046B3"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r>
      <w:tr w:rsidR="009046B3"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1,996</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1,972</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1,489</w:t>
            </w:r>
          </w:p>
        </w:tc>
      </w:tr>
      <w:tr w:rsidR="009046B3" w:rsidRPr="00686250"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86250" w:rsidRDefault="009046B3" w:rsidP="009046B3">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86250" w:rsidRDefault="009046B3" w:rsidP="009046B3">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2,141</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2,004</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1,985</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1,471</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2,797</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2,692</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2,004</w:t>
            </w:r>
          </w:p>
        </w:tc>
      </w:tr>
    </w:tbl>
    <w:p w:rsidR="009046B3" w:rsidRPr="001C2769" w:rsidRDefault="009046B3" w:rsidP="001C2769">
      <w:pPr>
        <w:rPr>
          <w:rFonts w:ascii="Arial" w:hAnsi="Arial" w:cs="Arial"/>
          <w:b/>
          <w:sz w:val="24"/>
        </w:rPr>
      </w:pPr>
    </w:p>
    <w:p w:rsidR="0036346C" w:rsidRPr="001C2769" w:rsidRDefault="0036346C" w:rsidP="001C2769">
      <w:pPr>
        <w:ind w:firstLine="0"/>
        <w:rPr>
          <w:rFonts w:ascii="Arial" w:hAnsi="Arial" w:cs="Arial"/>
          <w:b/>
          <w:sz w:val="24"/>
        </w:rPr>
      </w:pPr>
      <w:r w:rsidRPr="001C2769">
        <w:rPr>
          <w:rFonts w:ascii="Arial" w:hAnsi="Arial" w:cs="Arial"/>
          <w:b/>
          <w:sz w:val="24"/>
        </w:rPr>
        <w:t xml:space="preserve">Number of Members per Outpatient Psychiatric Hospital </w:t>
      </w:r>
      <w:r w:rsidR="00CD3AA8">
        <w:rPr>
          <w:rFonts w:ascii="Arial" w:hAnsi="Arial" w:cs="Arial"/>
          <w:b/>
          <w:sz w:val="24"/>
        </w:rPr>
        <w:t>by County</w:t>
      </w:r>
      <w:r w:rsidRPr="001C2769">
        <w:rPr>
          <w:rFonts w:ascii="Arial" w:hAnsi="Arial" w:cs="Arial"/>
          <w:b/>
          <w:sz w:val="24"/>
        </w:rPr>
        <w:t xml:space="preserve"> SFY16-SFY18</w:t>
      </w:r>
    </w:p>
    <w:tbl>
      <w:tblPr>
        <w:tblW w:w="4500" w:type="dxa"/>
        <w:tblInd w:w="113" w:type="dxa"/>
        <w:tblLook w:val="04A0" w:firstRow="1" w:lastRow="0" w:firstColumn="1" w:lastColumn="0" w:noHBand="0" w:noVBand="1"/>
      </w:tblPr>
      <w:tblGrid>
        <w:gridCol w:w="1440"/>
        <w:gridCol w:w="1440"/>
        <w:gridCol w:w="1440"/>
        <w:gridCol w:w="1440"/>
      </w:tblGrid>
      <w:tr w:rsidR="0060257F" w:rsidRPr="0060257F" w:rsidTr="002205F3">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SFY18</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1,054</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1,052</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820</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1,704</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1,648</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1,192</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6,015</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5,904</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4,596</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9,772</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9,548</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3,708</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1,996</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1,972</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1,489</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2,141</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4,008</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3,970</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2,941</w:t>
            </w:r>
          </w:p>
        </w:tc>
      </w:tr>
      <w:tr w:rsidR="0060257F" w:rsidRPr="0060257F"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60257F" w:rsidRDefault="009046B3" w:rsidP="009046B3">
            <w:pPr>
              <w:ind w:firstLine="0"/>
              <w:rPr>
                <w:rFonts w:ascii="Arial" w:eastAsia="Times New Roman" w:hAnsi="Arial" w:cs="Arial"/>
                <w:sz w:val="24"/>
                <w:szCs w:val="24"/>
              </w:rPr>
            </w:pPr>
            <w:r w:rsidRPr="0060257F">
              <w:rPr>
                <w:rFonts w:ascii="Arial" w:eastAsia="Times New Roman" w:hAnsi="Arial" w:cs="Arial"/>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60257F" w:rsidRDefault="009046B3" w:rsidP="009046B3">
            <w:pPr>
              <w:ind w:firstLine="0"/>
              <w:jc w:val="right"/>
              <w:rPr>
                <w:rFonts w:ascii="Arial" w:eastAsia="Times New Roman" w:hAnsi="Arial" w:cs="Arial"/>
                <w:sz w:val="24"/>
                <w:szCs w:val="24"/>
              </w:rPr>
            </w:pPr>
            <w:r w:rsidRPr="0060257F">
              <w:rPr>
                <w:rFonts w:ascii="Arial" w:eastAsia="Times New Roman" w:hAnsi="Arial" w:cs="Arial"/>
                <w:sz w:val="24"/>
                <w:szCs w:val="24"/>
              </w:rPr>
              <w:t>N/A</w:t>
            </w:r>
          </w:p>
        </w:tc>
      </w:tr>
    </w:tbl>
    <w:p w:rsidR="009046B3" w:rsidRPr="001C2769" w:rsidRDefault="009046B3" w:rsidP="001C2769">
      <w:pPr>
        <w:rPr>
          <w:rFonts w:ascii="Arial" w:hAnsi="Arial" w:cs="Arial"/>
          <w:b/>
          <w:sz w:val="24"/>
        </w:rPr>
      </w:pPr>
    </w:p>
    <w:p w:rsidR="0036346C" w:rsidRPr="001C2769" w:rsidRDefault="0036346C" w:rsidP="001C2769">
      <w:pPr>
        <w:ind w:firstLine="0"/>
        <w:rPr>
          <w:rFonts w:ascii="Arial" w:hAnsi="Arial" w:cs="Arial"/>
          <w:b/>
          <w:sz w:val="24"/>
        </w:rPr>
      </w:pPr>
      <w:r w:rsidRPr="001C2769">
        <w:rPr>
          <w:rFonts w:ascii="Arial" w:hAnsi="Arial" w:cs="Arial"/>
          <w:b/>
          <w:sz w:val="24"/>
        </w:rPr>
        <w:t>Number of Members per Mental Health C</w:t>
      </w:r>
      <w:r w:rsidR="00D52FBC">
        <w:rPr>
          <w:rFonts w:ascii="Arial" w:hAnsi="Arial" w:cs="Arial"/>
          <w:b/>
          <w:sz w:val="24"/>
        </w:rPr>
        <w:t>enter</w:t>
      </w:r>
      <w:r w:rsidRPr="001C2769">
        <w:rPr>
          <w:rFonts w:ascii="Arial" w:hAnsi="Arial" w:cs="Arial"/>
          <w:b/>
          <w:sz w:val="24"/>
        </w:rPr>
        <w:t xml:space="preserve"> </w:t>
      </w:r>
      <w:r w:rsidR="00CD3AA8">
        <w:rPr>
          <w:rFonts w:ascii="Arial" w:hAnsi="Arial" w:cs="Arial"/>
          <w:b/>
          <w:sz w:val="24"/>
        </w:rPr>
        <w:t>by County</w:t>
      </w:r>
      <w:r w:rsidRPr="001C2769">
        <w:rPr>
          <w:rFonts w:ascii="Arial" w:hAnsi="Arial" w:cs="Arial"/>
          <w:b/>
          <w:sz w:val="24"/>
        </w:rPr>
        <w:t xml:space="preserve"> SFY16-SFY18</w:t>
      </w:r>
    </w:p>
    <w:tbl>
      <w:tblPr>
        <w:tblW w:w="4284" w:type="dxa"/>
        <w:tblInd w:w="113" w:type="dxa"/>
        <w:tblLook w:val="04A0" w:firstRow="1" w:lastRow="0" w:firstColumn="1" w:lastColumn="0" w:noHBand="0" w:noVBand="1"/>
      </w:tblPr>
      <w:tblGrid>
        <w:gridCol w:w="1440"/>
        <w:gridCol w:w="1440"/>
        <w:gridCol w:w="1440"/>
        <w:gridCol w:w="1440"/>
      </w:tblGrid>
      <w:tr w:rsidR="002205F3" w:rsidRPr="002205F3" w:rsidTr="006A457F">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SFY18</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117</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96</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68</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348</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225</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88</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227</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220</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170</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78</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91</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63</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262</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257</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230</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93</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80</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49</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146</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133</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77</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125</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120</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67</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315</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329</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275</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N/A</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307</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303</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229</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172</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153</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119</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501</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496</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420</w:t>
            </w:r>
          </w:p>
        </w:tc>
      </w:tr>
      <w:tr w:rsidR="002205F3" w:rsidRPr="002205F3" w:rsidTr="002205F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9046B3" w:rsidRPr="002205F3" w:rsidRDefault="009046B3" w:rsidP="009046B3">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311</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317</w:t>
            </w:r>
          </w:p>
        </w:tc>
        <w:tc>
          <w:tcPr>
            <w:tcW w:w="1440" w:type="dxa"/>
            <w:tcBorders>
              <w:top w:val="nil"/>
              <w:left w:val="nil"/>
              <w:bottom w:val="single" w:sz="4" w:space="0" w:color="auto"/>
              <w:right w:val="single" w:sz="4" w:space="0" w:color="auto"/>
            </w:tcBorders>
            <w:shd w:val="clear" w:color="000000" w:fill="FFFFFF"/>
            <w:noWrap/>
            <w:vAlign w:val="bottom"/>
            <w:hideMark/>
          </w:tcPr>
          <w:p w:rsidR="009046B3" w:rsidRPr="002205F3" w:rsidRDefault="009046B3" w:rsidP="009046B3">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191</w:t>
            </w:r>
          </w:p>
        </w:tc>
      </w:tr>
    </w:tbl>
    <w:p w:rsidR="009046B3" w:rsidRPr="002205F3" w:rsidRDefault="009046B3" w:rsidP="009D6BFD">
      <w:pPr>
        <w:rPr>
          <w:rFonts w:ascii="Arial" w:hAnsi="Arial" w:cs="Arial"/>
          <w:color w:val="000000" w:themeColor="text1"/>
          <w:sz w:val="24"/>
          <w:szCs w:val="24"/>
        </w:rPr>
      </w:pPr>
    </w:p>
    <w:p w:rsidR="0036346C" w:rsidRPr="001C2769" w:rsidRDefault="0036346C" w:rsidP="001C2769">
      <w:pPr>
        <w:ind w:firstLine="0"/>
        <w:rPr>
          <w:rFonts w:ascii="Arial" w:hAnsi="Arial" w:cs="Arial"/>
          <w:b/>
          <w:sz w:val="24"/>
          <w:szCs w:val="24"/>
        </w:rPr>
      </w:pPr>
      <w:r w:rsidRPr="001C2769">
        <w:rPr>
          <w:rFonts w:ascii="Arial" w:hAnsi="Arial" w:cs="Arial"/>
          <w:b/>
          <w:sz w:val="24"/>
          <w:szCs w:val="24"/>
        </w:rPr>
        <w:t xml:space="preserve">Number of Members per </w:t>
      </w:r>
      <w:r w:rsidR="000B7740">
        <w:rPr>
          <w:rFonts w:ascii="Arial" w:hAnsi="Arial" w:cs="Arial"/>
          <w:b/>
          <w:sz w:val="24"/>
          <w:szCs w:val="24"/>
        </w:rPr>
        <w:t>SUD</w:t>
      </w:r>
      <w:r w:rsidR="002D4B73" w:rsidRPr="001C2769">
        <w:rPr>
          <w:rFonts w:ascii="Arial" w:hAnsi="Arial" w:cs="Arial"/>
          <w:b/>
          <w:sz w:val="24"/>
          <w:szCs w:val="24"/>
        </w:rPr>
        <w:t xml:space="preserve"> </w:t>
      </w:r>
      <w:r w:rsidRPr="001C2769">
        <w:rPr>
          <w:rFonts w:ascii="Arial" w:hAnsi="Arial" w:cs="Arial"/>
          <w:b/>
          <w:sz w:val="24"/>
          <w:szCs w:val="24"/>
        </w:rPr>
        <w:t xml:space="preserve">Treatment Centers </w:t>
      </w:r>
      <w:r w:rsidR="007F61C1" w:rsidRPr="001C2769">
        <w:rPr>
          <w:rFonts w:ascii="Arial" w:hAnsi="Arial" w:cs="Arial"/>
          <w:b/>
          <w:sz w:val="24"/>
          <w:szCs w:val="24"/>
        </w:rPr>
        <w:t xml:space="preserve">(including </w:t>
      </w:r>
      <w:r w:rsidR="000B7740">
        <w:rPr>
          <w:rFonts w:ascii="Arial" w:hAnsi="Arial" w:cs="Arial"/>
          <w:b/>
          <w:sz w:val="24"/>
          <w:szCs w:val="24"/>
        </w:rPr>
        <w:t>SUD</w:t>
      </w:r>
      <w:r w:rsidR="00686250" w:rsidRPr="001C2769">
        <w:rPr>
          <w:rFonts w:ascii="Arial" w:hAnsi="Arial" w:cs="Arial"/>
          <w:b/>
          <w:sz w:val="24"/>
          <w:szCs w:val="24"/>
        </w:rPr>
        <w:t xml:space="preserve"> Inpatient/</w:t>
      </w:r>
      <w:r w:rsidR="005A5DE6">
        <w:rPr>
          <w:rFonts w:ascii="Arial" w:hAnsi="Arial" w:cs="Arial"/>
          <w:b/>
          <w:sz w:val="24"/>
          <w:szCs w:val="24"/>
        </w:rPr>
        <w:t xml:space="preserve"> </w:t>
      </w:r>
      <w:r w:rsidR="00686250" w:rsidRPr="001C2769">
        <w:rPr>
          <w:rFonts w:ascii="Arial" w:hAnsi="Arial" w:cs="Arial"/>
          <w:b/>
          <w:sz w:val="24"/>
          <w:szCs w:val="24"/>
        </w:rPr>
        <w:t>O</w:t>
      </w:r>
      <w:r w:rsidR="00C7330E" w:rsidRPr="001C2769">
        <w:rPr>
          <w:rFonts w:ascii="Arial" w:hAnsi="Arial" w:cs="Arial"/>
          <w:b/>
          <w:sz w:val="24"/>
          <w:szCs w:val="24"/>
        </w:rPr>
        <w:t xml:space="preserve">utpatient </w:t>
      </w:r>
      <w:r w:rsidR="00686250" w:rsidRPr="001C2769">
        <w:rPr>
          <w:rFonts w:ascii="Arial" w:hAnsi="Arial" w:cs="Arial"/>
          <w:b/>
          <w:sz w:val="24"/>
          <w:szCs w:val="24"/>
        </w:rPr>
        <w:t>H</w:t>
      </w:r>
      <w:r w:rsidR="00BC2CB5" w:rsidRPr="001C2769">
        <w:rPr>
          <w:rFonts w:ascii="Arial" w:hAnsi="Arial" w:cs="Arial"/>
          <w:b/>
          <w:sz w:val="24"/>
          <w:szCs w:val="24"/>
        </w:rPr>
        <w:t>ospitals) </w:t>
      </w:r>
      <w:r w:rsidR="00CD3AA8">
        <w:rPr>
          <w:rFonts w:ascii="Arial" w:hAnsi="Arial" w:cs="Arial"/>
          <w:b/>
          <w:sz w:val="24"/>
          <w:szCs w:val="24"/>
        </w:rPr>
        <w:t>by County</w:t>
      </w:r>
      <w:r w:rsidRPr="001C2769">
        <w:rPr>
          <w:rFonts w:ascii="Arial" w:hAnsi="Arial" w:cs="Arial"/>
          <w:b/>
          <w:sz w:val="24"/>
          <w:szCs w:val="24"/>
        </w:rPr>
        <w:t xml:space="preserve"> SFY16-SFY18</w:t>
      </w:r>
    </w:p>
    <w:tbl>
      <w:tblPr>
        <w:tblW w:w="5760" w:type="dxa"/>
        <w:tblInd w:w="103" w:type="dxa"/>
        <w:tblLook w:val="04A0" w:firstRow="1" w:lastRow="0" w:firstColumn="1" w:lastColumn="0" w:noHBand="0" w:noVBand="1"/>
      </w:tblPr>
      <w:tblGrid>
        <w:gridCol w:w="1440"/>
        <w:gridCol w:w="1440"/>
        <w:gridCol w:w="1440"/>
        <w:gridCol w:w="1440"/>
      </w:tblGrid>
      <w:tr w:rsidR="002205F3" w:rsidRPr="002205F3" w:rsidTr="006A457F">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SFY18</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211</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210</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164</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232</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169</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88</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213</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206</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159</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78</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91</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63</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501</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454</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354</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372</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107</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65</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314</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387</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204</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313</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300</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168</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1,222</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1,364</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824</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N/A</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798</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789</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425</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366</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364</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268</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573</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611</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490</w:t>
            </w:r>
          </w:p>
        </w:tc>
      </w:tr>
      <w:tr w:rsidR="002205F3" w:rsidRPr="002205F3" w:rsidTr="006A457F">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C7330E" w:rsidRPr="002205F3" w:rsidRDefault="00C7330E" w:rsidP="00C7330E">
            <w:pPr>
              <w:ind w:firstLine="0"/>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559</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489</w:t>
            </w:r>
          </w:p>
        </w:tc>
        <w:tc>
          <w:tcPr>
            <w:tcW w:w="1440" w:type="dxa"/>
            <w:tcBorders>
              <w:top w:val="nil"/>
              <w:left w:val="nil"/>
              <w:bottom w:val="single" w:sz="4" w:space="0" w:color="auto"/>
              <w:right w:val="single" w:sz="4" w:space="0" w:color="auto"/>
            </w:tcBorders>
            <w:shd w:val="clear" w:color="000000" w:fill="FFFFFF"/>
            <w:noWrap/>
            <w:vAlign w:val="bottom"/>
            <w:hideMark/>
          </w:tcPr>
          <w:p w:rsidR="00C7330E" w:rsidRPr="002205F3" w:rsidRDefault="00C7330E" w:rsidP="00C7330E">
            <w:pPr>
              <w:ind w:firstLine="0"/>
              <w:jc w:val="right"/>
              <w:rPr>
                <w:rFonts w:ascii="Arial" w:eastAsia="Times New Roman" w:hAnsi="Arial" w:cs="Arial"/>
                <w:color w:val="000000" w:themeColor="text1"/>
                <w:sz w:val="24"/>
                <w:szCs w:val="24"/>
              </w:rPr>
            </w:pPr>
            <w:r w:rsidRPr="002205F3">
              <w:rPr>
                <w:rFonts w:ascii="Arial" w:eastAsia="Times New Roman" w:hAnsi="Arial" w:cs="Arial"/>
                <w:color w:val="000000" w:themeColor="text1"/>
                <w:sz w:val="24"/>
                <w:szCs w:val="24"/>
              </w:rPr>
              <w:t>364</w:t>
            </w:r>
          </w:p>
        </w:tc>
      </w:tr>
    </w:tbl>
    <w:p w:rsidR="00C7330E" w:rsidRPr="00686250" w:rsidRDefault="00C7330E" w:rsidP="00922FA7">
      <w:pPr>
        <w:rPr>
          <w:rFonts w:ascii="Arial" w:hAnsi="Arial" w:cs="Arial"/>
          <w:sz w:val="24"/>
          <w:szCs w:val="24"/>
        </w:rPr>
      </w:pPr>
    </w:p>
    <w:p w:rsidR="004C7E5F" w:rsidRPr="00686250" w:rsidRDefault="004C7E5F" w:rsidP="004C7E5F">
      <w:pPr>
        <w:ind w:firstLine="0"/>
        <w:rPr>
          <w:rFonts w:ascii="Arial" w:eastAsia="Calibri" w:hAnsi="Arial" w:cs="Arial"/>
          <w:sz w:val="24"/>
          <w:szCs w:val="24"/>
        </w:rPr>
      </w:pPr>
      <w:r w:rsidRPr="00686250">
        <w:rPr>
          <w:rFonts w:ascii="Arial" w:eastAsia="Calibri" w:hAnsi="Arial" w:cs="Arial"/>
          <w:sz w:val="24"/>
          <w:szCs w:val="24"/>
        </w:rPr>
        <w:t>Overall review of the ratios indicates that there are sufficient numbers of behavioral health providers in most counties with some counties indicating higher than average ratios for certain provider types</w:t>
      </w:r>
      <w:r w:rsidR="00A123A1" w:rsidRPr="00686250">
        <w:rPr>
          <w:rFonts w:ascii="Arial" w:eastAsia="Calibri" w:hAnsi="Arial" w:cs="Arial"/>
          <w:sz w:val="24"/>
          <w:szCs w:val="24"/>
        </w:rPr>
        <w:t>,</w:t>
      </w:r>
      <w:r w:rsidR="00260EAC" w:rsidRPr="00686250">
        <w:rPr>
          <w:rFonts w:ascii="Arial" w:eastAsia="Calibri" w:hAnsi="Arial" w:cs="Arial"/>
          <w:sz w:val="24"/>
          <w:szCs w:val="24"/>
        </w:rPr>
        <w:t xml:space="preserve"> and other counties such</w:t>
      </w:r>
      <w:r w:rsidR="00FD084B">
        <w:rPr>
          <w:rFonts w:ascii="Arial" w:eastAsia="Calibri" w:hAnsi="Arial" w:cs="Arial"/>
          <w:sz w:val="24"/>
          <w:szCs w:val="24"/>
        </w:rPr>
        <w:t>,</w:t>
      </w:r>
      <w:r w:rsidR="00260EAC" w:rsidRPr="00686250">
        <w:rPr>
          <w:rFonts w:ascii="Arial" w:eastAsia="Calibri" w:hAnsi="Arial" w:cs="Arial"/>
          <w:sz w:val="24"/>
          <w:szCs w:val="24"/>
        </w:rPr>
        <w:t xml:space="preserve"> as Dukes, Nantucket and some counties in Western Massachusetts</w:t>
      </w:r>
      <w:r w:rsidR="00FD084B">
        <w:rPr>
          <w:rFonts w:ascii="Arial" w:eastAsia="Calibri" w:hAnsi="Arial" w:cs="Arial"/>
          <w:sz w:val="24"/>
          <w:szCs w:val="24"/>
        </w:rPr>
        <w:t>,</w:t>
      </w:r>
      <w:r w:rsidR="00260EAC" w:rsidRPr="00686250">
        <w:rPr>
          <w:rFonts w:ascii="Arial" w:eastAsia="Calibri" w:hAnsi="Arial" w:cs="Arial"/>
          <w:sz w:val="24"/>
          <w:szCs w:val="24"/>
        </w:rPr>
        <w:t xml:space="preserve"> demonstrating lower ratios</w:t>
      </w:r>
      <w:r w:rsidR="00BD77BF" w:rsidRPr="00686250">
        <w:rPr>
          <w:rFonts w:ascii="Arial" w:eastAsia="Calibri" w:hAnsi="Arial" w:cs="Arial"/>
          <w:sz w:val="24"/>
          <w:szCs w:val="24"/>
        </w:rPr>
        <w:t xml:space="preserve"> for certain provider types</w:t>
      </w:r>
      <w:r w:rsidR="002C37D2">
        <w:rPr>
          <w:rFonts w:ascii="Arial" w:eastAsia="Calibri" w:hAnsi="Arial" w:cs="Arial"/>
          <w:sz w:val="24"/>
          <w:szCs w:val="24"/>
        </w:rPr>
        <w:t>. N</w:t>
      </w:r>
      <w:r w:rsidRPr="00686250">
        <w:rPr>
          <w:rFonts w:ascii="Arial" w:eastAsia="Calibri" w:hAnsi="Arial" w:cs="Arial"/>
          <w:sz w:val="24"/>
          <w:szCs w:val="24"/>
        </w:rPr>
        <w:t>ote that members needing particular services may be seen in another county.</w:t>
      </w:r>
      <w:r w:rsidR="004C528D" w:rsidRPr="004C528D">
        <w:t xml:space="preserve"> </w:t>
      </w:r>
      <w:r w:rsidR="004C528D">
        <w:rPr>
          <w:rFonts w:ascii="Arial" w:hAnsi="Arial" w:cs="Arial"/>
          <w:sz w:val="24"/>
        </w:rPr>
        <w:t>In addition, t</w:t>
      </w:r>
      <w:r w:rsidR="004C528D" w:rsidRPr="004C528D">
        <w:rPr>
          <w:rFonts w:ascii="Arial" w:eastAsia="Calibri" w:hAnsi="Arial" w:cs="Arial"/>
          <w:sz w:val="24"/>
          <w:szCs w:val="24"/>
        </w:rPr>
        <w:t>he agency is not aware of significant access to care issues based on member feedback received at our CSC.</w:t>
      </w:r>
    </w:p>
    <w:p w:rsidR="004C7E5F" w:rsidRPr="00686250" w:rsidRDefault="004C7E5F" w:rsidP="004C7E5F">
      <w:pPr>
        <w:ind w:firstLine="0"/>
        <w:rPr>
          <w:rFonts w:ascii="Arial" w:eastAsia="Calibri" w:hAnsi="Arial" w:cs="Arial"/>
          <w:sz w:val="24"/>
          <w:szCs w:val="24"/>
        </w:rPr>
      </w:pPr>
    </w:p>
    <w:p w:rsidR="00074070" w:rsidRPr="0066291B" w:rsidRDefault="0066291B" w:rsidP="0066291B">
      <w:pPr>
        <w:pStyle w:val="Heading2"/>
        <w:rPr>
          <w:rFonts w:ascii="Arial" w:hAnsi="Arial" w:cs="Arial"/>
          <w:color w:val="auto"/>
          <w:sz w:val="24"/>
          <w:szCs w:val="24"/>
          <w:u w:val="single"/>
        </w:rPr>
      </w:pPr>
      <w:bookmarkStart w:id="49" w:name="_Toc10810587"/>
      <w:bookmarkStart w:id="50" w:name="_Toc20296938"/>
      <w:r>
        <w:rPr>
          <w:rFonts w:ascii="Arial" w:hAnsi="Arial" w:cs="Arial"/>
          <w:color w:val="auto"/>
          <w:sz w:val="24"/>
          <w:szCs w:val="24"/>
          <w:u w:val="single"/>
        </w:rPr>
        <w:t>3</w:t>
      </w:r>
      <w:r w:rsidR="007A502F" w:rsidRPr="0066291B">
        <w:rPr>
          <w:rFonts w:ascii="Arial" w:hAnsi="Arial" w:cs="Arial"/>
          <w:color w:val="auto"/>
          <w:sz w:val="24"/>
          <w:szCs w:val="24"/>
          <w:u w:val="single"/>
        </w:rPr>
        <w:t>.</w:t>
      </w:r>
      <w:r w:rsidR="00074070" w:rsidRPr="0066291B">
        <w:rPr>
          <w:rFonts w:ascii="Arial" w:hAnsi="Arial" w:cs="Arial"/>
          <w:color w:val="auto"/>
          <w:sz w:val="24"/>
          <w:szCs w:val="24"/>
          <w:u w:val="single"/>
        </w:rPr>
        <w:t xml:space="preserve"> Utilization</w:t>
      </w:r>
      <w:r w:rsidR="00415600" w:rsidRPr="0066291B">
        <w:rPr>
          <w:rFonts w:ascii="Arial" w:hAnsi="Arial" w:cs="Arial"/>
          <w:color w:val="auto"/>
          <w:sz w:val="24"/>
          <w:szCs w:val="24"/>
          <w:u w:val="single"/>
        </w:rPr>
        <w:t xml:space="preserve"> of Behavioral Health Care Services</w:t>
      </w:r>
      <w:bookmarkEnd w:id="49"/>
      <w:bookmarkEnd w:id="50"/>
    </w:p>
    <w:p w:rsidR="003916D7" w:rsidRPr="00686250" w:rsidRDefault="003916D7" w:rsidP="003916D7">
      <w:pPr>
        <w:ind w:firstLine="0"/>
        <w:rPr>
          <w:rFonts w:ascii="Arial" w:hAnsi="Arial" w:cs="Arial"/>
          <w:sz w:val="24"/>
          <w:szCs w:val="24"/>
        </w:rPr>
      </w:pPr>
    </w:p>
    <w:p w:rsidR="00756641" w:rsidRPr="00686250" w:rsidRDefault="00756641" w:rsidP="00756641">
      <w:pPr>
        <w:ind w:firstLine="0"/>
        <w:rPr>
          <w:rFonts w:ascii="Arial" w:hAnsi="Arial" w:cs="Arial"/>
          <w:sz w:val="24"/>
          <w:szCs w:val="24"/>
        </w:rPr>
      </w:pPr>
      <w:r w:rsidRPr="00686250">
        <w:rPr>
          <w:rFonts w:ascii="Arial" w:hAnsi="Arial" w:cs="Arial"/>
          <w:sz w:val="24"/>
          <w:szCs w:val="24"/>
        </w:rPr>
        <w:t>Data source: MMIS member enrollment data and MMIS claims data</w:t>
      </w:r>
    </w:p>
    <w:p w:rsidR="00CC2B38" w:rsidRPr="00686250" w:rsidRDefault="00CC2B38" w:rsidP="00756641">
      <w:pPr>
        <w:ind w:firstLine="0"/>
        <w:rPr>
          <w:rFonts w:ascii="Arial" w:hAnsi="Arial" w:cs="Arial"/>
          <w:sz w:val="24"/>
          <w:szCs w:val="24"/>
        </w:rPr>
      </w:pPr>
    </w:p>
    <w:p w:rsidR="00887FC6" w:rsidRPr="00686250" w:rsidRDefault="00756641" w:rsidP="00887FC6">
      <w:pPr>
        <w:ind w:firstLine="0"/>
        <w:rPr>
          <w:rFonts w:ascii="Arial" w:hAnsi="Arial" w:cs="Arial"/>
          <w:sz w:val="24"/>
          <w:szCs w:val="24"/>
        </w:rPr>
      </w:pPr>
      <w:r w:rsidRPr="00686250">
        <w:rPr>
          <w:rFonts w:ascii="Arial" w:hAnsi="Arial" w:cs="Arial"/>
          <w:sz w:val="24"/>
          <w:szCs w:val="24"/>
        </w:rPr>
        <w:t>Methodology:</w:t>
      </w:r>
      <w:r w:rsidR="00CC1C46" w:rsidRPr="00686250">
        <w:rPr>
          <w:rFonts w:ascii="Arial" w:hAnsi="Arial" w:cs="Arial"/>
          <w:sz w:val="24"/>
          <w:szCs w:val="24"/>
        </w:rPr>
        <w:t xml:space="preserve"> </w:t>
      </w:r>
      <w:r w:rsidRPr="00686250">
        <w:rPr>
          <w:rFonts w:ascii="Arial" w:hAnsi="Arial" w:cs="Arial"/>
          <w:sz w:val="24"/>
          <w:szCs w:val="24"/>
        </w:rPr>
        <w:t xml:space="preserve">Number of members </w:t>
      </w:r>
      <w:r w:rsidR="00005858" w:rsidRPr="00686250">
        <w:rPr>
          <w:rFonts w:ascii="Arial" w:hAnsi="Arial" w:cs="Arial"/>
          <w:sz w:val="24"/>
          <w:szCs w:val="24"/>
        </w:rPr>
        <w:t xml:space="preserve">residing in a county </w:t>
      </w:r>
      <w:r w:rsidRPr="00686250">
        <w:rPr>
          <w:rFonts w:ascii="Arial" w:hAnsi="Arial" w:cs="Arial"/>
          <w:sz w:val="24"/>
          <w:szCs w:val="24"/>
        </w:rPr>
        <w:t>divided by episodes of care</w:t>
      </w:r>
      <w:r w:rsidR="00005858" w:rsidRPr="00686250">
        <w:rPr>
          <w:rFonts w:ascii="Arial" w:hAnsi="Arial" w:cs="Arial"/>
          <w:sz w:val="24"/>
          <w:szCs w:val="24"/>
        </w:rPr>
        <w:t xml:space="preserve"> provided by providers in that county</w:t>
      </w:r>
      <w:r w:rsidRPr="00686250">
        <w:rPr>
          <w:rFonts w:ascii="Arial" w:hAnsi="Arial" w:cs="Arial"/>
          <w:sz w:val="24"/>
          <w:szCs w:val="24"/>
        </w:rPr>
        <w:t>, multiplied by 1,000</w:t>
      </w:r>
      <w:r w:rsidR="00CC2B38" w:rsidRPr="00686250">
        <w:rPr>
          <w:rFonts w:ascii="Arial" w:hAnsi="Arial" w:cs="Arial"/>
          <w:sz w:val="24"/>
          <w:szCs w:val="24"/>
        </w:rPr>
        <w:t xml:space="preserve">. </w:t>
      </w:r>
      <w:r w:rsidRPr="00686250">
        <w:rPr>
          <w:rFonts w:ascii="Arial" w:hAnsi="Arial" w:cs="Arial"/>
          <w:sz w:val="24"/>
          <w:szCs w:val="24"/>
        </w:rPr>
        <w:t>The methodology for determining utilization was using MMIS data to determine the number of episodes of care, defined as the number of times that the same member, under any circumst</w:t>
      </w:r>
      <w:r w:rsidR="00535BFA" w:rsidRPr="00686250">
        <w:rPr>
          <w:rFonts w:ascii="Arial" w:hAnsi="Arial" w:cs="Arial"/>
          <w:sz w:val="24"/>
          <w:szCs w:val="24"/>
        </w:rPr>
        <w:t>ance, visits the same provider i</w:t>
      </w:r>
      <w:r w:rsidRPr="00686250">
        <w:rPr>
          <w:rFonts w:ascii="Arial" w:hAnsi="Arial" w:cs="Arial"/>
          <w:sz w:val="24"/>
          <w:szCs w:val="24"/>
        </w:rPr>
        <w:t xml:space="preserve">n the same </w:t>
      </w:r>
      <w:r w:rsidR="00535BFA" w:rsidRPr="00686250">
        <w:rPr>
          <w:rFonts w:ascii="Arial" w:hAnsi="Arial" w:cs="Arial"/>
          <w:sz w:val="24"/>
          <w:szCs w:val="24"/>
        </w:rPr>
        <w:t>year</w:t>
      </w:r>
      <w:r w:rsidR="00686250">
        <w:rPr>
          <w:rFonts w:ascii="Arial" w:hAnsi="Arial" w:cs="Arial"/>
          <w:sz w:val="24"/>
          <w:szCs w:val="24"/>
        </w:rPr>
        <w:t xml:space="preserve">. </w:t>
      </w:r>
      <w:r w:rsidR="00887FC6" w:rsidRPr="00686250">
        <w:rPr>
          <w:rFonts w:ascii="Arial" w:hAnsi="Arial" w:cs="Arial"/>
          <w:sz w:val="24"/>
          <w:szCs w:val="24"/>
        </w:rPr>
        <w:t>We converted the measure to be per 1,000 (multiplied by 1,000) so all data was on the same scale and therefore comparable.  Members are defined as FFS members with MassHealth as primary coverage.</w:t>
      </w:r>
      <w:r w:rsidR="005D2E48" w:rsidRPr="00686250">
        <w:rPr>
          <w:rFonts w:ascii="Arial" w:hAnsi="Arial" w:cs="Arial"/>
          <w:sz w:val="24"/>
          <w:szCs w:val="24"/>
        </w:rPr>
        <w:t xml:space="preserve"> Additional considerations:</w:t>
      </w:r>
    </w:p>
    <w:p w:rsidR="00887FC6" w:rsidRPr="00686250" w:rsidRDefault="00887FC6" w:rsidP="00887FC6">
      <w:pPr>
        <w:ind w:firstLine="0"/>
        <w:rPr>
          <w:rFonts w:ascii="Arial" w:hAnsi="Arial" w:cs="Arial"/>
          <w:sz w:val="24"/>
          <w:szCs w:val="24"/>
        </w:rPr>
      </w:pPr>
    </w:p>
    <w:p w:rsidR="004A640B" w:rsidRPr="00FD405F" w:rsidRDefault="004A640B" w:rsidP="004A640B">
      <w:pPr>
        <w:pStyle w:val="ListParagraph"/>
        <w:numPr>
          <w:ilvl w:val="0"/>
          <w:numId w:val="28"/>
        </w:numPr>
        <w:rPr>
          <w:rFonts w:ascii="Arial" w:hAnsi="Arial" w:cs="Arial"/>
          <w:sz w:val="24"/>
          <w:szCs w:val="24"/>
        </w:rPr>
      </w:pPr>
      <w:r w:rsidRPr="00FD405F">
        <w:rPr>
          <w:rFonts w:ascii="Arial" w:hAnsi="Arial" w:cs="Arial"/>
          <w:sz w:val="24"/>
          <w:szCs w:val="24"/>
        </w:rPr>
        <w:t xml:space="preserve">N/A indicates </w:t>
      </w:r>
      <w:r>
        <w:rPr>
          <w:rFonts w:ascii="Arial" w:hAnsi="Arial" w:cs="Arial"/>
          <w:sz w:val="24"/>
          <w:szCs w:val="24"/>
        </w:rPr>
        <w:t>utilization could not be computed because there were no services utilized</w:t>
      </w:r>
      <w:r w:rsidRPr="00FD405F">
        <w:rPr>
          <w:rFonts w:ascii="Arial" w:hAnsi="Arial" w:cs="Arial"/>
          <w:sz w:val="24"/>
          <w:szCs w:val="24"/>
        </w:rPr>
        <w:t xml:space="preserve"> for such service in that </w:t>
      </w:r>
      <w:proofErr w:type="gramStart"/>
      <w:r w:rsidRPr="00FD405F">
        <w:rPr>
          <w:rFonts w:ascii="Arial" w:hAnsi="Arial" w:cs="Arial"/>
          <w:sz w:val="24"/>
          <w:szCs w:val="24"/>
        </w:rPr>
        <w:t>county</w:t>
      </w:r>
      <w:proofErr w:type="gramEnd"/>
      <w:r w:rsidRPr="00FD405F">
        <w:rPr>
          <w:rFonts w:ascii="Arial" w:hAnsi="Arial" w:cs="Arial"/>
          <w:sz w:val="24"/>
          <w:szCs w:val="24"/>
        </w:rPr>
        <w:t xml:space="preserve">. </w:t>
      </w:r>
    </w:p>
    <w:p w:rsidR="00D827C1" w:rsidRPr="00686250" w:rsidRDefault="00D827C1" w:rsidP="00756641">
      <w:pPr>
        <w:ind w:firstLine="0"/>
        <w:rPr>
          <w:rFonts w:ascii="Arial" w:hAnsi="Arial" w:cs="Arial"/>
          <w:sz w:val="24"/>
          <w:szCs w:val="24"/>
        </w:rPr>
      </w:pPr>
    </w:p>
    <w:p w:rsidR="0081769B" w:rsidRPr="00686250" w:rsidRDefault="0081769B" w:rsidP="005675A1">
      <w:pPr>
        <w:pStyle w:val="ListParagraph"/>
        <w:numPr>
          <w:ilvl w:val="0"/>
          <w:numId w:val="31"/>
        </w:numPr>
        <w:rPr>
          <w:rFonts w:ascii="Arial" w:hAnsi="Arial" w:cs="Arial"/>
          <w:sz w:val="24"/>
          <w:szCs w:val="24"/>
        </w:rPr>
      </w:pPr>
      <w:r w:rsidRPr="00686250">
        <w:rPr>
          <w:rFonts w:ascii="Arial" w:hAnsi="Arial" w:cs="Arial"/>
          <w:sz w:val="24"/>
          <w:szCs w:val="24"/>
        </w:rPr>
        <w:t xml:space="preserve">The episode of care data in the utilization section was calculated based on the location of the provider; </w:t>
      </w:r>
      <w:r w:rsidR="00BD77BF" w:rsidRPr="00686250">
        <w:rPr>
          <w:rFonts w:ascii="Arial" w:hAnsi="Arial" w:cs="Arial"/>
          <w:sz w:val="24"/>
          <w:szCs w:val="24"/>
        </w:rPr>
        <w:t xml:space="preserve">note that </w:t>
      </w:r>
      <w:r w:rsidRPr="00686250">
        <w:rPr>
          <w:rFonts w:ascii="Arial" w:hAnsi="Arial" w:cs="Arial"/>
          <w:sz w:val="24"/>
          <w:szCs w:val="24"/>
        </w:rPr>
        <w:t>members can seek care in other counties.</w:t>
      </w:r>
    </w:p>
    <w:p w:rsidR="0081769B" w:rsidRPr="00686250" w:rsidRDefault="0081769B" w:rsidP="00756641">
      <w:pPr>
        <w:ind w:firstLine="0"/>
        <w:rPr>
          <w:rFonts w:ascii="Arial" w:hAnsi="Arial" w:cs="Arial"/>
          <w:sz w:val="24"/>
          <w:szCs w:val="24"/>
        </w:rPr>
      </w:pPr>
    </w:p>
    <w:p w:rsidR="00C12307" w:rsidRPr="00686250" w:rsidRDefault="00E82FE4" w:rsidP="005675A1">
      <w:pPr>
        <w:pStyle w:val="ListParagraph"/>
        <w:numPr>
          <w:ilvl w:val="0"/>
          <w:numId w:val="31"/>
        </w:numPr>
        <w:rPr>
          <w:rFonts w:ascii="Arial" w:hAnsi="Arial" w:cs="Arial"/>
          <w:sz w:val="24"/>
          <w:szCs w:val="24"/>
        </w:rPr>
      </w:pPr>
      <w:r w:rsidRPr="00686250">
        <w:rPr>
          <w:rFonts w:ascii="Arial" w:hAnsi="Arial" w:cs="Arial"/>
          <w:sz w:val="24"/>
          <w:szCs w:val="24"/>
        </w:rPr>
        <w:t>Out-of-</w:t>
      </w:r>
      <w:r w:rsidR="00C12307" w:rsidRPr="00686250">
        <w:rPr>
          <w:rFonts w:ascii="Arial" w:hAnsi="Arial" w:cs="Arial"/>
          <w:sz w:val="24"/>
          <w:szCs w:val="24"/>
        </w:rPr>
        <w:t>state utiliz</w:t>
      </w:r>
      <w:r w:rsidR="006F4E3C">
        <w:rPr>
          <w:rFonts w:ascii="Arial" w:hAnsi="Arial" w:cs="Arial"/>
          <w:sz w:val="24"/>
          <w:szCs w:val="24"/>
        </w:rPr>
        <w:t xml:space="preserve">ation data is excluded because </w:t>
      </w:r>
      <w:r w:rsidR="00F964CE" w:rsidRPr="00686250">
        <w:rPr>
          <w:rFonts w:ascii="Arial" w:hAnsi="Arial" w:cs="Arial"/>
          <w:sz w:val="24"/>
          <w:szCs w:val="24"/>
        </w:rPr>
        <w:t>there is not a consistent or statistically appropriate way to calculate a ratio of MassHealth members to out-of-state providers</w:t>
      </w:r>
      <w:r w:rsidR="00C12307" w:rsidRPr="00686250">
        <w:rPr>
          <w:rFonts w:ascii="Arial" w:hAnsi="Arial" w:cs="Arial"/>
          <w:sz w:val="24"/>
          <w:szCs w:val="24"/>
        </w:rPr>
        <w:t>.</w:t>
      </w:r>
    </w:p>
    <w:p w:rsidR="00C12307" w:rsidRPr="00686250" w:rsidRDefault="00C12307" w:rsidP="00756641">
      <w:pPr>
        <w:ind w:firstLine="0"/>
        <w:rPr>
          <w:rFonts w:ascii="Arial" w:hAnsi="Arial" w:cs="Arial"/>
          <w:sz w:val="24"/>
          <w:szCs w:val="24"/>
        </w:rPr>
      </w:pPr>
    </w:p>
    <w:p w:rsidR="00B73EDB" w:rsidRDefault="00E03B5B" w:rsidP="00B73EDB">
      <w:pPr>
        <w:pStyle w:val="ListParagraph"/>
        <w:numPr>
          <w:ilvl w:val="0"/>
          <w:numId w:val="31"/>
        </w:numPr>
        <w:rPr>
          <w:rFonts w:ascii="Arial" w:hAnsi="Arial" w:cs="Arial"/>
          <w:sz w:val="24"/>
          <w:szCs w:val="24"/>
        </w:rPr>
      </w:pPr>
      <w:r w:rsidRPr="00B73EDB">
        <w:rPr>
          <w:rFonts w:ascii="Arial" w:hAnsi="Arial" w:cs="Arial"/>
          <w:sz w:val="24"/>
          <w:szCs w:val="24"/>
        </w:rPr>
        <w:t xml:space="preserve">Psychologists and psychiatrists may </w:t>
      </w:r>
      <w:r w:rsidR="00B73EDB" w:rsidRPr="00B73EDB">
        <w:rPr>
          <w:rFonts w:ascii="Arial" w:hAnsi="Arial" w:cs="Arial"/>
          <w:sz w:val="24"/>
          <w:szCs w:val="24"/>
        </w:rPr>
        <w:t xml:space="preserve">be facility-based </w:t>
      </w:r>
      <w:r w:rsidR="00B66051">
        <w:rPr>
          <w:rFonts w:ascii="Arial" w:hAnsi="Arial" w:cs="Arial"/>
          <w:sz w:val="24"/>
          <w:szCs w:val="24"/>
        </w:rPr>
        <w:t>clinicians</w:t>
      </w:r>
      <w:r w:rsidR="00B66051" w:rsidRPr="00B73EDB">
        <w:rPr>
          <w:rFonts w:ascii="Arial" w:hAnsi="Arial" w:cs="Arial"/>
          <w:sz w:val="24"/>
          <w:szCs w:val="24"/>
        </w:rPr>
        <w:t xml:space="preserve"> </w:t>
      </w:r>
      <w:r w:rsidR="00B73EDB" w:rsidRPr="00B73EDB">
        <w:rPr>
          <w:rFonts w:ascii="Arial" w:hAnsi="Arial" w:cs="Arial"/>
          <w:sz w:val="24"/>
          <w:szCs w:val="24"/>
        </w:rPr>
        <w:t xml:space="preserve">who do not practice independently and may only be affiliated with a hospital or mental health </w:t>
      </w:r>
      <w:r w:rsidR="00D52FBC">
        <w:rPr>
          <w:rFonts w:ascii="Arial" w:hAnsi="Arial" w:cs="Arial"/>
          <w:sz w:val="24"/>
          <w:szCs w:val="24"/>
        </w:rPr>
        <w:t>center</w:t>
      </w:r>
      <w:r w:rsidR="00B73EDB" w:rsidRPr="00B73EDB">
        <w:rPr>
          <w:rFonts w:ascii="Arial" w:hAnsi="Arial" w:cs="Arial"/>
          <w:sz w:val="24"/>
          <w:szCs w:val="24"/>
        </w:rPr>
        <w:t xml:space="preserve">. Therefore, because they are not all individually enrolled as billing providers with MassHealth, they are not reflected in the data below and, as a result, the provider counts may </w:t>
      </w:r>
      <w:r w:rsidR="00F2329F">
        <w:rPr>
          <w:rFonts w:ascii="Arial" w:hAnsi="Arial" w:cs="Arial"/>
          <w:sz w:val="24"/>
          <w:szCs w:val="24"/>
        </w:rPr>
        <w:t>underestimate the number of clinicians providing services</w:t>
      </w:r>
      <w:r w:rsidR="00B73EDB" w:rsidRPr="00B73EDB">
        <w:rPr>
          <w:rFonts w:ascii="Arial" w:hAnsi="Arial" w:cs="Arial"/>
          <w:sz w:val="24"/>
          <w:szCs w:val="24"/>
        </w:rPr>
        <w:t xml:space="preserve">. </w:t>
      </w:r>
    </w:p>
    <w:p w:rsidR="00B73EDB" w:rsidRPr="00B73EDB" w:rsidRDefault="00B73EDB" w:rsidP="00B73EDB">
      <w:pPr>
        <w:pStyle w:val="ListParagraph"/>
        <w:rPr>
          <w:rFonts w:ascii="Arial" w:hAnsi="Arial" w:cs="Arial"/>
          <w:sz w:val="24"/>
          <w:szCs w:val="24"/>
        </w:rPr>
      </w:pPr>
    </w:p>
    <w:p w:rsidR="00870C63" w:rsidRPr="00686250" w:rsidRDefault="00756641" w:rsidP="005675A1">
      <w:pPr>
        <w:pStyle w:val="ListParagraph"/>
        <w:numPr>
          <w:ilvl w:val="0"/>
          <w:numId w:val="31"/>
        </w:numPr>
        <w:rPr>
          <w:rFonts w:ascii="Arial" w:hAnsi="Arial" w:cs="Arial"/>
          <w:sz w:val="24"/>
          <w:szCs w:val="24"/>
        </w:rPr>
      </w:pPr>
      <w:r w:rsidRPr="00686250">
        <w:rPr>
          <w:rFonts w:ascii="Arial" w:hAnsi="Arial" w:cs="Arial"/>
          <w:sz w:val="24"/>
          <w:szCs w:val="24"/>
        </w:rPr>
        <w:t xml:space="preserve">Note that, </w:t>
      </w:r>
      <w:r w:rsidR="00C869F0" w:rsidRPr="00686250">
        <w:rPr>
          <w:rFonts w:ascii="Arial" w:hAnsi="Arial" w:cs="Arial"/>
          <w:sz w:val="24"/>
          <w:szCs w:val="24"/>
        </w:rPr>
        <w:t xml:space="preserve">for providers in this section, </w:t>
      </w:r>
      <w:r w:rsidRPr="00686250">
        <w:rPr>
          <w:rFonts w:ascii="Arial" w:hAnsi="Arial" w:cs="Arial"/>
          <w:sz w:val="24"/>
          <w:szCs w:val="24"/>
        </w:rPr>
        <w:t>we attributed all billing done by a particular provider type to the category o</w:t>
      </w:r>
      <w:r w:rsidR="00BB2ED5" w:rsidRPr="00686250">
        <w:rPr>
          <w:rFonts w:ascii="Arial" w:hAnsi="Arial" w:cs="Arial"/>
          <w:sz w:val="24"/>
          <w:szCs w:val="24"/>
        </w:rPr>
        <w:t>f care of the billing provider.</w:t>
      </w:r>
    </w:p>
    <w:p w:rsidR="001C2769" w:rsidRDefault="001C2769" w:rsidP="001C2769">
      <w:pPr>
        <w:ind w:firstLine="0"/>
        <w:rPr>
          <w:rFonts w:ascii="Arial" w:hAnsi="Arial" w:cs="Arial"/>
          <w:sz w:val="24"/>
          <w:szCs w:val="24"/>
        </w:rPr>
      </w:pPr>
    </w:p>
    <w:p w:rsidR="0036346C" w:rsidRPr="001C2769" w:rsidRDefault="0036346C" w:rsidP="001C2769">
      <w:pPr>
        <w:ind w:firstLine="0"/>
        <w:rPr>
          <w:rFonts w:ascii="Arial" w:hAnsi="Arial" w:cs="Arial"/>
          <w:b/>
          <w:sz w:val="24"/>
        </w:rPr>
      </w:pPr>
      <w:r w:rsidRPr="001C2769">
        <w:rPr>
          <w:rFonts w:ascii="Arial" w:hAnsi="Arial" w:cs="Arial"/>
          <w:b/>
          <w:sz w:val="24"/>
        </w:rPr>
        <w:t>Behavioral Health Episodes of Care per 1,000 Members between SFY16- SFY18</w:t>
      </w:r>
    </w:p>
    <w:tbl>
      <w:tblPr>
        <w:tblW w:w="4735" w:type="dxa"/>
        <w:tblInd w:w="148" w:type="dxa"/>
        <w:tblLook w:val="04A0" w:firstRow="1" w:lastRow="0" w:firstColumn="1" w:lastColumn="0" w:noHBand="0" w:noVBand="1"/>
      </w:tblPr>
      <w:tblGrid>
        <w:gridCol w:w="1377"/>
        <w:gridCol w:w="1000"/>
        <w:gridCol w:w="1000"/>
        <w:gridCol w:w="1358"/>
      </w:tblGrid>
      <w:tr w:rsidR="009B2EA4" w:rsidRPr="00686250" w:rsidTr="006A457F">
        <w:trPr>
          <w:trHeight w:val="300"/>
          <w:tblHeader/>
        </w:trPr>
        <w:tc>
          <w:tcPr>
            <w:tcW w:w="1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2EA4" w:rsidRPr="00686250" w:rsidRDefault="009B2EA4" w:rsidP="009B2EA4">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County</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rsidR="009B2EA4" w:rsidRPr="00686250" w:rsidRDefault="009B2EA4" w:rsidP="009B2EA4">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SFY16</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rsidR="009B2EA4" w:rsidRPr="00686250" w:rsidRDefault="009B2EA4" w:rsidP="009B2EA4">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SFY17</w:t>
            </w:r>
          </w:p>
        </w:tc>
        <w:tc>
          <w:tcPr>
            <w:tcW w:w="1358" w:type="dxa"/>
            <w:tcBorders>
              <w:top w:val="single" w:sz="4" w:space="0" w:color="auto"/>
              <w:left w:val="nil"/>
              <w:bottom w:val="single" w:sz="4" w:space="0" w:color="auto"/>
              <w:right w:val="single" w:sz="4" w:space="0" w:color="auto"/>
            </w:tcBorders>
            <w:shd w:val="clear" w:color="000000" w:fill="FFFFFF"/>
            <w:noWrap/>
            <w:vAlign w:val="bottom"/>
            <w:hideMark/>
          </w:tcPr>
          <w:p w:rsidR="009B2EA4" w:rsidRPr="00686250" w:rsidRDefault="009B2EA4" w:rsidP="009B2EA4">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SFY18</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Barnstable</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1,398</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1,734</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5,866</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Berkshire</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5,746</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7,834</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23,136</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Bristol</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3,609</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3,855</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11,486</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Dukes</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1,538</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1,934</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2,540</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Essex</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1,315</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2,243</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5,901</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Franklin</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2,683</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3,888</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13,701</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Hampden</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2,454</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4,469</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13,059</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Hampshire</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706</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1,224</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5,452</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Middlesex</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658</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806</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1,921</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lastRenderedPageBreak/>
              <w:t>Nantucket</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N/A</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N/A</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N/A</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Norfolk</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566</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635</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1,089</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Plymouth</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2,107</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2,879</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7,542</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Suffolk</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717</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1,153</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3,728</w:t>
            </w:r>
          </w:p>
        </w:tc>
      </w:tr>
      <w:tr w:rsidR="009B2EA4" w:rsidRPr="00686250" w:rsidTr="006A457F">
        <w:trPr>
          <w:trHeight w:val="300"/>
        </w:trPr>
        <w:tc>
          <w:tcPr>
            <w:tcW w:w="1377" w:type="dxa"/>
            <w:tcBorders>
              <w:top w:val="nil"/>
              <w:left w:val="single" w:sz="4" w:space="0" w:color="auto"/>
              <w:bottom w:val="single" w:sz="4" w:space="0" w:color="auto"/>
              <w:right w:val="single" w:sz="4" w:space="0" w:color="auto"/>
            </w:tcBorders>
            <w:shd w:val="clear" w:color="000000" w:fill="FFFFFF"/>
            <w:noWrap/>
            <w:vAlign w:val="bottom"/>
            <w:hideMark/>
          </w:tcPr>
          <w:p w:rsidR="009B2EA4" w:rsidRPr="00250280" w:rsidRDefault="009B2EA4" w:rsidP="009B2EA4">
            <w:pPr>
              <w:ind w:firstLine="0"/>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Worcester</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2,669</w:t>
            </w:r>
          </w:p>
        </w:tc>
        <w:tc>
          <w:tcPr>
            <w:tcW w:w="1000"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4,005</w:t>
            </w:r>
          </w:p>
        </w:tc>
        <w:tc>
          <w:tcPr>
            <w:tcW w:w="1358" w:type="dxa"/>
            <w:tcBorders>
              <w:top w:val="nil"/>
              <w:left w:val="nil"/>
              <w:bottom w:val="single" w:sz="4" w:space="0" w:color="auto"/>
              <w:right w:val="single" w:sz="4" w:space="0" w:color="auto"/>
            </w:tcBorders>
            <w:shd w:val="clear" w:color="000000" w:fill="FFFFFF"/>
            <w:noWrap/>
            <w:vAlign w:val="bottom"/>
            <w:hideMark/>
          </w:tcPr>
          <w:p w:rsidR="009B2EA4" w:rsidRPr="00250280" w:rsidRDefault="009B2EA4" w:rsidP="009B2EA4">
            <w:pPr>
              <w:ind w:firstLine="0"/>
              <w:jc w:val="right"/>
              <w:rPr>
                <w:rFonts w:ascii="Arial" w:eastAsia="Times New Roman" w:hAnsi="Arial" w:cs="Arial"/>
                <w:color w:val="000000" w:themeColor="text1"/>
                <w:sz w:val="24"/>
                <w:szCs w:val="24"/>
              </w:rPr>
            </w:pPr>
            <w:r w:rsidRPr="00250280">
              <w:rPr>
                <w:rFonts w:ascii="Arial" w:eastAsia="Times New Roman" w:hAnsi="Arial" w:cs="Arial"/>
                <w:color w:val="000000" w:themeColor="text1"/>
                <w:sz w:val="24"/>
                <w:szCs w:val="24"/>
              </w:rPr>
              <w:t>8,971</w:t>
            </w:r>
          </w:p>
        </w:tc>
      </w:tr>
    </w:tbl>
    <w:p w:rsidR="009B2EA4" w:rsidRPr="00686250" w:rsidRDefault="009B2EA4" w:rsidP="007243EB">
      <w:pPr>
        <w:rPr>
          <w:rFonts w:ascii="Arial" w:hAnsi="Arial" w:cs="Arial"/>
          <w:sz w:val="24"/>
          <w:szCs w:val="24"/>
        </w:rPr>
      </w:pPr>
    </w:p>
    <w:p w:rsidR="00C77FA5" w:rsidRPr="00686250" w:rsidRDefault="00C77FA5" w:rsidP="00D20626">
      <w:pPr>
        <w:ind w:firstLine="0"/>
        <w:rPr>
          <w:rFonts w:ascii="Arial" w:hAnsi="Arial" w:cs="Arial"/>
          <w:sz w:val="24"/>
          <w:szCs w:val="24"/>
        </w:rPr>
      </w:pPr>
      <w:r w:rsidRPr="00686250">
        <w:rPr>
          <w:rFonts w:ascii="Arial" w:hAnsi="Arial" w:cs="Arial"/>
          <w:sz w:val="24"/>
          <w:szCs w:val="24"/>
        </w:rPr>
        <w:t>*Non-zero numeric references less than 11 and related compl</w:t>
      </w:r>
      <w:r w:rsidR="008267C8">
        <w:rPr>
          <w:rFonts w:ascii="Arial" w:hAnsi="Arial" w:cs="Arial"/>
          <w:sz w:val="24"/>
          <w:szCs w:val="24"/>
        </w:rPr>
        <w:t>e</w:t>
      </w:r>
      <w:r w:rsidRPr="00686250">
        <w:rPr>
          <w:rFonts w:ascii="Arial" w:hAnsi="Arial" w:cs="Arial"/>
          <w:sz w:val="24"/>
          <w:szCs w:val="24"/>
        </w:rPr>
        <w:t xml:space="preserve">mentary data fields have been masked, withheld, or aggregated to protect </w:t>
      </w:r>
      <w:r w:rsidR="00FE2AC9" w:rsidRPr="00686250">
        <w:rPr>
          <w:rFonts w:ascii="Arial" w:hAnsi="Arial" w:cs="Arial"/>
          <w:sz w:val="24"/>
          <w:szCs w:val="24"/>
        </w:rPr>
        <w:t xml:space="preserve">member </w:t>
      </w:r>
      <w:r w:rsidRPr="00686250">
        <w:rPr>
          <w:rFonts w:ascii="Arial" w:hAnsi="Arial" w:cs="Arial"/>
          <w:sz w:val="24"/>
          <w:szCs w:val="24"/>
        </w:rPr>
        <w:t>confidentiality.</w:t>
      </w:r>
    </w:p>
    <w:p w:rsidR="00C77FA5" w:rsidRPr="00686250" w:rsidRDefault="00C77FA5" w:rsidP="00D20626">
      <w:pPr>
        <w:ind w:firstLine="0"/>
        <w:rPr>
          <w:rFonts w:ascii="Arial" w:hAnsi="Arial" w:cs="Arial"/>
          <w:sz w:val="24"/>
          <w:szCs w:val="24"/>
        </w:rPr>
      </w:pPr>
    </w:p>
    <w:p w:rsidR="00474511" w:rsidRPr="00686250" w:rsidRDefault="00A60CCB" w:rsidP="00C869F0">
      <w:pPr>
        <w:ind w:firstLine="0"/>
        <w:rPr>
          <w:rFonts w:ascii="Arial" w:hAnsi="Arial" w:cs="Arial"/>
          <w:sz w:val="24"/>
          <w:szCs w:val="24"/>
        </w:rPr>
      </w:pPr>
      <w:r w:rsidRPr="00686250">
        <w:rPr>
          <w:rFonts w:ascii="Arial" w:hAnsi="Arial" w:cs="Arial"/>
          <w:sz w:val="24"/>
          <w:szCs w:val="24"/>
        </w:rPr>
        <w:t>Compared with SFY16, SFY17 and SFY18 demonstrated an increase in the number of episodes</w:t>
      </w:r>
      <w:r w:rsidR="00AB7BDA" w:rsidRPr="00686250">
        <w:rPr>
          <w:rFonts w:ascii="Arial" w:hAnsi="Arial" w:cs="Arial"/>
          <w:sz w:val="24"/>
          <w:szCs w:val="24"/>
        </w:rPr>
        <w:t xml:space="preserve"> of care</w:t>
      </w:r>
      <w:r w:rsidRPr="00686250">
        <w:rPr>
          <w:rFonts w:ascii="Arial" w:hAnsi="Arial" w:cs="Arial"/>
          <w:sz w:val="24"/>
          <w:szCs w:val="24"/>
        </w:rPr>
        <w:t xml:space="preserve"> by 39% and 165%, respectively. A higher percentage of members were eligible for MBHP enrollment during SFY18, resulting in a decrease in FFS members from SFY16. </w:t>
      </w:r>
      <w:r w:rsidR="00AD6D8D">
        <w:rPr>
          <w:rFonts w:ascii="Arial" w:hAnsi="Arial" w:cs="Arial"/>
          <w:sz w:val="24"/>
          <w:szCs w:val="24"/>
        </w:rPr>
        <w:t xml:space="preserve">Increased utilization may be attributed to expanded </w:t>
      </w:r>
      <w:r w:rsidR="00B07318">
        <w:rPr>
          <w:rFonts w:ascii="Arial" w:hAnsi="Arial" w:cs="Arial"/>
          <w:sz w:val="24"/>
          <w:szCs w:val="24"/>
        </w:rPr>
        <w:t>behavioral health</w:t>
      </w:r>
      <w:r w:rsidR="00AD6D8D">
        <w:rPr>
          <w:rFonts w:ascii="Arial" w:hAnsi="Arial" w:cs="Arial"/>
          <w:sz w:val="24"/>
          <w:szCs w:val="24"/>
        </w:rPr>
        <w:t xml:space="preserve"> services. </w:t>
      </w:r>
      <w:r w:rsidRPr="00686250">
        <w:rPr>
          <w:rFonts w:ascii="Arial" w:hAnsi="Arial" w:cs="Arial"/>
          <w:sz w:val="24"/>
          <w:szCs w:val="24"/>
        </w:rPr>
        <w:t>These two factors account for the demonstrated in</w:t>
      </w:r>
      <w:r w:rsidR="00AB7BDA" w:rsidRPr="00686250">
        <w:rPr>
          <w:rFonts w:ascii="Arial" w:hAnsi="Arial" w:cs="Arial"/>
          <w:sz w:val="24"/>
          <w:szCs w:val="24"/>
        </w:rPr>
        <w:t xml:space="preserve">crease in </w:t>
      </w:r>
      <w:r w:rsidRPr="00686250">
        <w:rPr>
          <w:rFonts w:ascii="Arial" w:hAnsi="Arial" w:cs="Arial"/>
          <w:sz w:val="24"/>
          <w:szCs w:val="24"/>
        </w:rPr>
        <w:t>member</w:t>
      </w:r>
      <w:r w:rsidR="00AB7BDA" w:rsidRPr="00686250">
        <w:rPr>
          <w:rFonts w:ascii="Arial" w:hAnsi="Arial" w:cs="Arial"/>
          <w:sz w:val="24"/>
          <w:szCs w:val="24"/>
        </w:rPr>
        <w:t xml:space="preserve"> utilization as defined above</w:t>
      </w:r>
      <w:r w:rsidRPr="00686250">
        <w:rPr>
          <w:rFonts w:ascii="Arial" w:hAnsi="Arial" w:cs="Arial"/>
          <w:sz w:val="24"/>
          <w:szCs w:val="24"/>
        </w:rPr>
        <w:t>.</w:t>
      </w:r>
      <w:r w:rsidR="00D67970">
        <w:rPr>
          <w:rFonts w:ascii="Arial" w:hAnsi="Arial" w:cs="Arial"/>
          <w:sz w:val="24"/>
          <w:szCs w:val="24"/>
        </w:rPr>
        <w:t xml:space="preserve"> </w:t>
      </w:r>
      <w:r w:rsidR="00C869F0" w:rsidRPr="00686250">
        <w:rPr>
          <w:rFonts w:ascii="Arial" w:hAnsi="Arial" w:cs="Arial"/>
          <w:sz w:val="24"/>
          <w:szCs w:val="24"/>
        </w:rPr>
        <w:t>Residents of Nantucket County</w:t>
      </w:r>
      <w:r w:rsidR="002476C2" w:rsidRPr="00686250">
        <w:rPr>
          <w:rFonts w:ascii="Arial" w:hAnsi="Arial" w:cs="Arial"/>
          <w:sz w:val="24"/>
          <w:szCs w:val="24"/>
        </w:rPr>
        <w:t>,</w:t>
      </w:r>
      <w:r w:rsidR="00C869F0" w:rsidRPr="00686250">
        <w:rPr>
          <w:rFonts w:ascii="Arial" w:hAnsi="Arial" w:cs="Arial"/>
          <w:sz w:val="24"/>
          <w:szCs w:val="24"/>
        </w:rPr>
        <w:t xml:space="preserve"> while not able to access services </w:t>
      </w:r>
      <w:r w:rsidR="00400D75" w:rsidRPr="00686250">
        <w:rPr>
          <w:rFonts w:ascii="Arial" w:hAnsi="Arial" w:cs="Arial"/>
          <w:sz w:val="24"/>
          <w:szCs w:val="24"/>
        </w:rPr>
        <w:t xml:space="preserve">provided by individually-enrolled providers </w:t>
      </w:r>
      <w:r w:rsidR="00C869F0" w:rsidRPr="00686250">
        <w:rPr>
          <w:rFonts w:ascii="Arial" w:hAnsi="Arial" w:cs="Arial"/>
          <w:sz w:val="24"/>
          <w:szCs w:val="24"/>
        </w:rPr>
        <w:t xml:space="preserve">in Nantucket County, are able to access </w:t>
      </w:r>
      <w:r w:rsidR="00400D75" w:rsidRPr="00686250">
        <w:rPr>
          <w:rFonts w:ascii="Arial" w:hAnsi="Arial" w:cs="Arial"/>
          <w:sz w:val="24"/>
          <w:szCs w:val="24"/>
        </w:rPr>
        <w:t xml:space="preserve">those </w:t>
      </w:r>
      <w:r w:rsidR="00C869F0" w:rsidRPr="00686250">
        <w:rPr>
          <w:rFonts w:ascii="Arial" w:hAnsi="Arial" w:cs="Arial"/>
          <w:sz w:val="24"/>
          <w:szCs w:val="24"/>
        </w:rPr>
        <w:t xml:space="preserve">services </w:t>
      </w:r>
      <w:r w:rsidR="001A0954" w:rsidRPr="00686250">
        <w:rPr>
          <w:rFonts w:ascii="Arial" w:hAnsi="Arial" w:cs="Arial"/>
          <w:sz w:val="24"/>
          <w:szCs w:val="24"/>
        </w:rPr>
        <w:t>from facility</w:t>
      </w:r>
      <w:r w:rsidR="009639B3">
        <w:rPr>
          <w:rFonts w:ascii="Arial" w:hAnsi="Arial" w:cs="Arial"/>
          <w:sz w:val="24"/>
          <w:szCs w:val="24"/>
        </w:rPr>
        <w:t>-</w:t>
      </w:r>
      <w:r w:rsidR="001A0954" w:rsidRPr="00686250">
        <w:rPr>
          <w:rFonts w:ascii="Arial" w:hAnsi="Arial" w:cs="Arial"/>
          <w:sz w:val="24"/>
          <w:szCs w:val="24"/>
        </w:rPr>
        <w:t>based providers</w:t>
      </w:r>
      <w:r w:rsidR="00CE6814" w:rsidRPr="00686250">
        <w:rPr>
          <w:rFonts w:ascii="Arial" w:hAnsi="Arial" w:cs="Arial"/>
          <w:sz w:val="24"/>
          <w:szCs w:val="24"/>
        </w:rPr>
        <w:t xml:space="preserve"> </w:t>
      </w:r>
      <w:r w:rsidR="000E65EE" w:rsidRPr="00686250">
        <w:rPr>
          <w:rFonts w:ascii="Arial" w:hAnsi="Arial" w:cs="Arial"/>
          <w:sz w:val="24"/>
          <w:szCs w:val="24"/>
        </w:rPr>
        <w:t xml:space="preserve">located </w:t>
      </w:r>
      <w:r w:rsidR="00CE6814" w:rsidRPr="00686250">
        <w:rPr>
          <w:rFonts w:ascii="Arial" w:hAnsi="Arial" w:cs="Arial"/>
          <w:sz w:val="24"/>
          <w:szCs w:val="24"/>
        </w:rPr>
        <w:t xml:space="preserve">at hospitals and </w:t>
      </w:r>
      <w:r w:rsidR="001E1A44">
        <w:rPr>
          <w:rFonts w:ascii="Arial" w:hAnsi="Arial" w:cs="Arial"/>
          <w:sz w:val="24"/>
          <w:szCs w:val="24"/>
        </w:rPr>
        <w:t>CHCs</w:t>
      </w:r>
      <w:r w:rsidR="000E65EE" w:rsidRPr="00686250">
        <w:rPr>
          <w:rFonts w:ascii="Arial" w:hAnsi="Arial" w:cs="Arial"/>
          <w:sz w:val="24"/>
          <w:szCs w:val="24"/>
        </w:rPr>
        <w:t>,</w:t>
      </w:r>
      <w:r w:rsidR="001A0954" w:rsidRPr="00686250">
        <w:rPr>
          <w:rFonts w:ascii="Arial" w:hAnsi="Arial" w:cs="Arial"/>
          <w:sz w:val="24"/>
          <w:szCs w:val="24"/>
        </w:rPr>
        <w:t xml:space="preserve"> as well as </w:t>
      </w:r>
      <w:r w:rsidR="00BD77BF" w:rsidRPr="00686250">
        <w:rPr>
          <w:rFonts w:ascii="Arial" w:hAnsi="Arial" w:cs="Arial"/>
          <w:sz w:val="24"/>
          <w:szCs w:val="24"/>
        </w:rPr>
        <w:t xml:space="preserve">from </w:t>
      </w:r>
      <w:r w:rsidR="000E65EE" w:rsidRPr="00686250">
        <w:rPr>
          <w:rFonts w:ascii="Arial" w:hAnsi="Arial" w:cs="Arial"/>
          <w:sz w:val="24"/>
          <w:szCs w:val="24"/>
        </w:rPr>
        <w:t xml:space="preserve">providers located </w:t>
      </w:r>
      <w:r w:rsidR="00C869F0" w:rsidRPr="00686250">
        <w:rPr>
          <w:rFonts w:ascii="Arial" w:hAnsi="Arial" w:cs="Arial"/>
          <w:sz w:val="24"/>
          <w:szCs w:val="24"/>
        </w:rPr>
        <w:t>in other counties in Massachusetts</w:t>
      </w:r>
      <w:r w:rsidR="000E65EE" w:rsidRPr="00686250">
        <w:rPr>
          <w:rFonts w:ascii="Arial" w:hAnsi="Arial" w:cs="Arial"/>
          <w:sz w:val="24"/>
          <w:szCs w:val="24"/>
        </w:rPr>
        <w:t>.</w:t>
      </w:r>
      <w:r w:rsidR="00AD1E57" w:rsidRPr="00686250">
        <w:rPr>
          <w:rFonts w:ascii="Arial" w:hAnsi="Arial" w:cs="Arial"/>
          <w:sz w:val="24"/>
          <w:szCs w:val="24"/>
        </w:rPr>
        <w:t xml:space="preserve"> </w:t>
      </w:r>
      <w:r w:rsidR="009639B3">
        <w:rPr>
          <w:rFonts w:ascii="Arial" w:hAnsi="Arial" w:cs="Arial"/>
          <w:sz w:val="24"/>
          <w:szCs w:val="24"/>
        </w:rPr>
        <w:t>As previously stated, t</w:t>
      </w:r>
      <w:r w:rsidR="00AD1E57" w:rsidRPr="00686250">
        <w:rPr>
          <w:rFonts w:ascii="Arial" w:hAnsi="Arial" w:cs="Arial"/>
          <w:sz w:val="24"/>
          <w:szCs w:val="24"/>
        </w:rPr>
        <w:t xml:space="preserve">his pattern </w:t>
      </w:r>
      <w:r w:rsidR="009639B3">
        <w:rPr>
          <w:rFonts w:ascii="Arial" w:hAnsi="Arial" w:cs="Arial"/>
          <w:sz w:val="24"/>
          <w:szCs w:val="24"/>
        </w:rPr>
        <w:t xml:space="preserve">can be seen </w:t>
      </w:r>
      <w:r w:rsidR="00AD1E57" w:rsidRPr="00686250">
        <w:rPr>
          <w:rFonts w:ascii="Arial" w:hAnsi="Arial" w:cs="Arial"/>
          <w:sz w:val="24"/>
          <w:szCs w:val="24"/>
        </w:rPr>
        <w:t xml:space="preserve">for </w:t>
      </w:r>
      <w:r w:rsidR="009639B3">
        <w:rPr>
          <w:rFonts w:ascii="Arial" w:hAnsi="Arial" w:cs="Arial"/>
          <w:sz w:val="24"/>
          <w:szCs w:val="24"/>
        </w:rPr>
        <w:t>other</w:t>
      </w:r>
      <w:r w:rsidR="00AD1E57" w:rsidRPr="00686250">
        <w:rPr>
          <w:rFonts w:ascii="Arial" w:hAnsi="Arial" w:cs="Arial"/>
          <w:sz w:val="24"/>
          <w:szCs w:val="24"/>
        </w:rPr>
        <w:t xml:space="preserve"> MassHealth members seen across the Commonwealth</w:t>
      </w:r>
      <w:r w:rsidR="009639B3">
        <w:rPr>
          <w:rFonts w:ascii="Arial" w:hAnsi="Arial" w:cs="Arial"/>
          <w:sz w:val="24"/>
          <w:szCs w:val="24"/>
        </w:rPr>
        <w:t xml:space="preserve"> in certain instances</w:t>
      </w:r>
      <w:r w:rsidR="00AD1E57" w:rsidRPr="00686250">
        <w:rPr>
          <w:rFonts w:ascii="Arial" w:hAnsi="Arial" w:cs="Arial"/>
          <w:sz w:val="24"/>
          <w:szCs w:val="24"/>
        </w:rPr>
        <w:t>.</w:t>
      </w:r>
    </w:p>
    <w:p w:rsidR="00066E6F" w:rsidRPr="00DA770C" w:rsidRDefault="00066E6F" w:rsidP="00DA770C">
      <w:pPr>
        <w:ind w:left="360" w:firstLine="0"/>
      </w:pPr>
    </w:p>
    <w:p w:rsidR="0027782F" w:rsidRPr="00686250" w:rsidRDefault="0027782F" w:rsidP="0027782F">
      <w:pPr>
        <w:ind w:firstLine="0"/>
        <w:rPr>
          <w:rFonts w:ascii="Arial" w:hAnsi="Arial" w:cs="Arial"/>
          <w:sz w:val="24"/>
          <w:szCs w:val="24"/>
        </w:rPr>
      </w:pPr>
      <w:r w:rsidRPr="00686250">
        <w:rPr>
          <w:rFonts w:ascii="Arial" w:hAnsi="Arial" w:cs="Arial"/>
          <w:sz w:val="24"/>
          <w:szCs w:val="24"/>
        </w:rPr>
        <w:t>Overall, behavioral health providers provided on average 4,288 episodes of care per 1,000 members in SFY16, SFY17, and SFY18. For disabled members and non-disabled members, behavioral health providers provided on average 7,028 episodes of care per 1,000 members and 4,066 episodes of care per 1,000 members, respectively.</w:t>
      </w:r>
    </w:p>
    <w:p w:rsidR="0027782F" w:rsidRPr="00686250" w:rsidRDefault="0027782F" w:rsidP="0027782F">
      <w:pPr>
        <w:rPr>
          <w:rFonts w:ascii="Arial" w:hAnsi="Arial" w:cs="Arial"/>
          <w:sz w:val="24"/>
          <w:szCs w:val="24"/>
        </w:rPr>
      </w:pPr>
    </w:p>
    <w:p w:rsidR="008102B3" w:rsidRPr="0066291B" w:rsidRDefault="009F7DBA" w:rsidP="0066291B">
      <w:pPr>
        <w:pStyle w:val="Heading2"/>
        <w:rPr>
          <w:rFonts w:ascii="Arial" w:hAnsi="Arial" w:cs="Arial"/>
          <w:color w:val="auto"/>
          <w:sz w:val="24"/>
          <w:u w:val="single"/>
        </w:rPr>
      </w:pPr>
      <w:bookmarkStart w:id="51" w:name="_Toc10810588"/>
      <w:bookmarkStart w:id="52" w:name="_Toc20296939"/>
      <w:r>
        <w:rPr>
          <w:rFonts w:ascii="Arial" w:hAnsi="Arial" w:cs="Arial"/>
          <w:color w:val="auto"/>
          <w:sz w:val="24"/>
          <w:u w:val="single"/>
        </w:rPr>
        <w:t>4</w:t>
      </w:r>
      <w:r w:rsidR="008102B3" w:rsidRPr="0066291B">
        <w:rPr>
          <w:rFonts w:ascii="Arial" w:hAnsi="Arial" w:cs="Arial"/>
          <w:color w:val="auto"/>
          <w:sz w:val="24"/>
          <w:u w:val="single"/>
        </w:rPr>
        <w:t xml:space="preserve">. Comparison </w:t>
      </w:r>
      <w:r w:rsidR="002B5017" w:rsidRPr="0066291B">
        <w:rPr>
          <w:rFonts w:ascii="Arial" w:hAnsi="Arial" w:cs="Arial"/>
          <w:color w:val="auto"/>
          <w:sz w:val="24"/>
          <w:u w:val="single"/>
        </w:rPr>
        <w:t>A</w:t>
      </w:r>
      <w:r w:rsidR="008102B3" w:rsidRPr="0066291B">
        <w:rPr>
          <w:rFonts w:ascii="Arial" w:hAnsi="Arial" w:cs="Arial"/>
          <w:color w:val="auto"/>
          <w:sz w:val="24"/>
          <w:u w:val="single"/>
        </w:rPr>
        <w:t xml:space="preserve">nalysis of Medicaid </w:t>
      </w:r>
      <w:r w:rsidR="002B5017" w:rsidRPr="0066291B">
        <w:rPr>
          <w:rFonts w:ascii="Arial" w:hAnsi="Arial" w:cs="Arial"/>
          <w:color w:val="auto"/>
          <w:sz w:val="24"/>
          <w:u w:val="single"/>
        </w:rPr>
        <w:t>P</w:t>
      </w:r>
      <w:r w:rsidR="008102B3" w:rsidRPr="0066291B">
        <w:rPr>
          <w:rFonts w:ascii="Arial" w:hAnsi="Arial" w:cs="Arial"/>
          <w:color w:val="auto"/>
          <w:sz w:val="24"/>
          <w:u w:val="single"/>
        </w:rPr>
        <w:t xml:space="preserve">ayment </w:t>
      </w:r>
      <w:r w:rsidR="002B5017" w:rsidRPr="0066291B">
        <w:rPr>
          <w:rFonts w:ascii="Arial" w:hAnsi="Arial" w:cs="Arial"/>
          <w:color w:val="auto"/>
          <w:sz w:val="24"/>
          <w:u w:val="single"/>
        </w:rPr>
        <w:t>R</w:t>
      </w:r>
      <w:r w:rsidR="008102B3" w:rsidRPr="0066291B">
        <w:rPr>
          <w:rFonts w:ascii="Arial" w:hAnsi="Arial" w:cs="Arial"/>
          <w:color w:val="auto"/>
          <w:sz w:val="24"/>
          <w:u w:val="single"/>
        </w:rPr>
        <w:t xml:space="preserve">ates to Medicare </w:t>
      </w:r>
      <w:r w:rsidR="009A771A">
        <w:rPr>
          <w:rFonts w:ascii="Arial" w:hAnsi="Arial" w:cs="Arial"/>
          <w:color w:val="auto"/>
          <w:sz w:val="24"/>
          <w:u w:val="single"/>
        </w:rPr>
        <w:t xml:space="preserve">Payment Rates </w:t>
      </w:r>
      <w:r w:rsidR="002B5017" w:rsidRPr="0066291B">
        <w:rPr>
          <w:rFonts w:ascii="Arial" w:hAnsi="Arial" w:cs="Arial"/>
          <w:color w:val="auto"/>
          <w:sz w:val="24"/>
          <w:u w:val="single"/>
        </w:rPr>
        <w:t>for Behavioral Health Services</w:t>
      </w:r>
      <w:bookmarkEnd w:id="51"/>
      <w:bookmarkEnd w:id="52"/>
    </w:p>
    <w:p w:rsidR="00FB1395" w:rsidRPr="00686250" w:rsidRDefault="00FB1395" w:rsidP="00FB1395">
      <w:pPr>
        <w:ind w:firstLine="0"/>
        <w:rPr>
          <w:rFonts w:ascii="Arial" w:hAnsi="Arial" w:cs="Arial"/>
          <w:sz w:val="24"/>
          <w:szCs w:val="24"/>
        </w:rPr>
      </w:pPr>
    </w:p>
    <w:p w:rsidR="00156257" w:rsidRPr="00686250" w:rsidRDefault="00156257" w:rsidP="00156257">
      <w:pPr>
        <w:ind w:firstLine="0"/>
        <w:rPr>
          <w:rFonts w:ascii="Arial" w:hAnsi="Arial" w:cs="Arial"/>
          <w:sz w:val="24"/>
          <w:szCs w:val="24"/>
        </w:rPr>
      </w:pPr>
      <w:proofErr w:type="spellStart"/>
      <w:r w:rsidRPr="00686250">
        <w:rPr>
          <w:rFonts w:ascii="Arial" w:hAnsi="Arial" w:cs="Arial"/>
          <w:sz w:val="24"/>
          <w:szCs w:val="24"/>
        </w:rPr>
        <w:t>MassHealth’s</w:t>
      </w:r>
      <w:proofErr w:type="spellEnd"/>
      <w:r w:rsidRPr="00686250">
        <w:rPr>
          <w:rFonts w:ascii="Arial" w:hAnsi="Arial" w:cs="Arial"/>
          <w:sz w:val="24"/>
          <w:szCs w:val="24"/>
        </w:rPr>
        <w:t xml:space="preserve"> payment rate analysis includes a comparison of Medicaid and Medicare 2018 rates for behavioral health services. The analysis found that Massachusetts Medicaid FFS behavioral health rates </w:t>
      </w:r>
      <w:r w:rsidR="009A771A">
        <w:rPr>
          <w:rFonts w:ascii="Arial" w:hAnsi="Arial" w:cs="Arial"/>
          <w:sz w:val="24"/>
          <w:szCs w:val="24"/>
        </w:rPr>
        <w:t>we</w:t>
      </w:r>
      <w:r w:rsidRPr="00686250">
        <w:rPr>
          <w:rFonts w:ascii="Arial" w:hAnsi="Arial" w:cs="Arial"/>
          <w:sz w:val="24"/>
          <w:szCs w:val="24"/>
        </w:rPr>
        <w:t xml:space="preserve">re an average of 68.6% of Medicare in 2018. </w:t>
      </w:r>
    </w:p>
    <w:p w:rsidR="00156257" w:rsidRPr="00686250" w:rsidRDefault="00156257" w:rsidP="00156257">
      <w:pPr>
        <w:ind w:firstLine="0"/>
        <w:rPr>
          <w:rFonts w:ascii="Arial" w:hAnsi="Arial" w:cs="Arial"/>
          <w:sz w:val="20"/>
          <w:szCs w:val="20"/>
        </w:rPr>
      </w:pPr>
    </w:p>
    <w:tbl>
      <w:tblPr>
        <w:tblW w:w="8206" w:type="dxa"/>
        <w:tblInd w:w="93" w:type="dxa"/>
        <w:tblLook w:val="04A0" w:firstRow="1" w:lastRow="0" w:firstColumn="1" w:lastColumn="0" w:noHBand="0" w:noVBand="1"/>
      </w:tblPr>
      <w:tblGrid>
        <w:gridCol w:w="960"/>
        <w:gridCol w:w="3220"/>
        <w:gridCol w:w="1469"/>
        <w:gridCol w:w="1348"/>
        <w:gridCol w:w="1209"/>
      </w:tblGrid>
      <w:tr w:rsidR="00156257" w:rsidRPr="00686250" w:rsidTr="00E62A0B">
        <w:trPr>
          <w:trHeight w:val="315"/>
          <w:tblHeader/>
        </w:trPr>
        <w:tc>
          <w:tcPr>
            <w:tcW w:w="96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156257" w:rsidRPr="00686250" w:rsidRDefault="00156257" w:rsidP="00A97022">
            <w:pPr>
              <w:ind w:firstLine="0"/>
              <w:jc w:val="center"/>
              <w:rPr>
                <w:rFonts w:ascii="Arial" w:eastAsia="Times New Roman" w:hAnsi="Arial" w:cs="Arial"/>
                <w:b/>
                <w:color w:val="000000"/>
                <w:sz w:val="20"/>
                <w:szCs w:val="20"/>
              </w:rPr>
            </w:pPr>
            <w:r w:rsidRPr="00686250">
              <w:rPr>
                <w:rFonts w:ascii="Arial" w:eastAsia="Times New Roman" w:hAnsi="Arial" w:cs="Arial"/>
                <w:b/>
                <w:color w:val="000000"/>
                <w:sz w:val="20"/>
                <w:szCs w:val="20"/>
              </w:rPr>
              <w:t>HCPCS</w:t>
            </w:r>
          </w:p>
        </w:tc>
        <w:tc>
          <w:tcPr>
            <w:tcW w:w="3220" w:type="dxa"/>
            <w:tcBorders>
              <w:top w:val="single" w:sz="4" w:space="0" w:color="4F81BD"/>
              <w:left w:val="nil"/>
              <w:bottom w:val="single" w:sz="4" w:space="0" w:color="4F81BD"/>
              <w:right w:val="single" w:sz="4" w:space="0" w:color="4F81BD"/>
            </w:tcBorders>
            <w:shd w:val="clear" w:color="auto" w:fill="auto"/>
            <w:noWrap/>
            <w:vAlign w:val="bottom"/>
            <w:hideMark/>
          </w:tcPr>
          <w:p w:rsidR="00156257" w:rsidRPr="00686250" w:rsidRDefault="00156257" w:rsidP="00A97022">
            <w:pPr>
              <w:ind w:firstLine="0"/>
              <w:jc w:val="center"/>
              <w:rPr>
                <w:rFonts w:ascii="Arial" w:eastAsia="Times New Roman" w:hAnsi="Arial" w:cs="Arial"/>
                <w:color w:val="000000"/>
                <w:sz w:val="20"/>
                <w:szCs w:val="20"/>
              </w:rPr>
            </w:pPr>
            <w:r w:rsidRPr="00686250">
              <w:rPr>
                <w:rFonts w:ascii="Arial" w:eastAsia="Times New Roman" w:hAnsi="Arial" w:cs="Arial"/>
                <w:b/>
                <w:bCs/>
                <w:color w:val="000000"/>
                <w:sz w:val="20"/>
                <w:szCs w:val="20"/>
              </w:rPr>
              <w:t>Behavioral Health Code Description</w:t>
            </w:r>
          </w:p>
        </w:tc>
        <w:tc>
          <w:tcPr>
            <w:tcW w:w="1469" w:type="dxa"/>
            <w:tcBorders>
              <w:top w:val="single" w:sz="4" w:space="0" w:color="4F81BD"/>
              <w:left w:val="nil"/>
              <w:bottom w:val="single" w:sz="4" w:space="0" w:color="4F81BD"/>
              <w:right w:val="single" w:sz="4" w:space="0" w:color="4F81BD"/>
            </w:tcBorders>
            <w:shd w:val="clear" w:color="auto" w:fill="auto"/>
            <w:noWrap/>
            <w:vAlign w:val="bottom"/>
            <w:hideMark/>
          </w:tcPr>
          <w:p w:rsidR="00156257" w:rsidRPr="00686250" w:rsidRDefault="00156257" w:rsidP="00E62A0B">
            <w:pPr>
              <w:ind w:firstLine="0"/>
              <w:jc w:val="center"/>
              <w:rPr>
                <w:rFonts w:ascii="Arial" w:eastAsia="Times New Roman" w:hAnsi="Arial" w:cs="Arial"/>
                <w:color w:val="000000"/>
                <w:sz w:val="20"/>
                <w:szCs w:val="20"/>
              </w:rPr>
            </w:pPr>
            <w:r w:rsidRPr="00686250">
              <w:rPr>
                <w:rFonts w:ascii="Arial" w:hAnsi="Arial" w:cs="Arial"/>
                <w:b/>
                <w:bCs/>
                <w:color w:val="000000"/>
                <w:sz w:val="20"/>
                <w:szCs w:val="20"/>
              </w:rPr>
              <w:t>2018 Mass. Medicare Non</w:t>
            </w:r>
            <w:r w:rsidR="009639B3">
              <w:rPr>
                <w:rFonts w:ascii="Arial" w:hAnsi="Arial" w:cs="Arial"/>
                <w:b/>
                <w:bCs/>
                <w:color w:val="000000"/>
                <w:sz w:val="20"/>
                <w:szCs w:val="20"/>
              </w:rPr>
              <w:t>-</w:t>
            </w:r>
            <w:r w:rsidRPr="00686250">
              <w:rPr>
                <w:rFonts w:ascii="Arial" w:hAnsi="Arial" w:cs="Arial"/>
                <w:b/>
                <w:bCs/>
                <w:color w:val="000000"/>
                <w:sz w:val="20"/>
                <w:szCs w:val="20"/>
              </w:rPr>
              <w:t>Facility Rate- Statewide Average</w:t>
            </w:r>
          </w:p>
        </w:tc>
        <w:tc>
          <w:tcPr>
            <w:tcW w:w="1348" w:type="dxa"/>
            <w:tcBorders>
              <w:top w:val="single" w:sz="4" w:space="0" w:color="4F81BD"/>
              <w:left w:val="nil"/>
              <w:bottom w:val="single" w:sz="4" w:space="0" w:color="4F81BD"/>
              <w:right w:val="single" w:sz="4" w:space="0" w:color="4F81BD"/>
            </w:tcBorders>
            <w:shd w:val="clear" w:color="auto" w:fill="auto"/>
            <w:noWrap/>
            <w:vAlign w:val="bottom"/>
            <w:hideMark/>
          </w:tcPr>
          <w:p w:rsidR="00156257" w:rsidRPr="00686250" w:rsidRDefault="00156257" w:rsidP="00E62A0B">
            <w:pPr>
              <w:ind w:firstLine="0"/>
              <w:jc w:val="center"/>
              <w:rPr>
                <w:rFonts w:ascii="Arial" w:eastAsia="Times New Roman" w:hAnsi="Arial" w:cs="Arial"/>
                <w:color w:val="000000"/>
                <w:sz w:val="20"/>
                <w:szCs w:val="20"/>
              </w:rPr>
            </w:pPr>
            <w:r w:rsidRPr="00686250">
              <w:rPr>
                <w:rFonts w:ascii="Arial" w:hAnsi="Arial" w:cs="Arial"/>
                <w:b/>
                <w:bCs/>
                <w:color w:val="000000"/>
                <w:sz w:val="20"/>
                <w:szCs w:val="20"/>
              </w:rPr>
              <w:t>2018 Mass. Medicaid Rate</w:t>
            </w:r>
          </w:p>
        </w:tc>
        <w:tc>
          <w:tcPr>
            <w:tcW w:w="1209" w:type="dxa"/>
            <w:tcBorders>
              <w:top w:val="single" w:sz="4" w:space="0" w:color="4F81BD"/>
              <w:left w:val="nil"/>
              <w:bottom w:val="single" w:sz="4" w:space="0" w:color="4F81BD"/>
              <w:right w:val="single" w:sz="4" w:space="0" w:color="4F81BD"/>
            </w:tcBorders>
            <w:shd w:val="clear" w:color="auto" w:fill="auto"/>
            <w:noWrap/>
            <w:vAlign w:val="bottom"/>
            <w:hideMark/>
          </w:tcPr>
          <w:p w:rsidR="00156257" w:rsidRPr="00686250" w:rsidRDefault="00156257" w:rsidP="00E62A0B">
            <w:pPr>
              <w:ind w:firstLine="0"/>
              <w:jc w:val="center"/>
              <w:rPr>
                <w:rFonts w:ascii="Arial" w:eastAsia="Times New Roman" w:hAnsi="Arial" w:cs="Arial"/>
                <w:b/>
                <w:color w:val="000000"/>
                <w:sz w:val="20"/>
                <w:szCs w:val="20"/>
              </w:rPr>
            </w:pPr>
            <w:r w:rsidRPr="00686250">
              <w:rPr>
                <w:rFonts w:ascii="Arial" w:hAnsi="Arial" w:cs="Arial"/>
                <w:b/>
                <w:bCs/>
                <w:color w:val="000000"/>
                <w:sz w:val="20"/>
                <w:szCs w:val="20"/>
              </w:rPr>
              <w:t>Mass. Medicaid Payment as % of Medicare</w:t>
            </w:r>
          </w:p>
        </w:tc>
      </w:tr>
      <w:tr w:rsidR="00156257" w:rsidRPr="00686250" w:rsidDel="000C5AE8" w:rsidTr="00A97022">
        <w:trPr>
          <w:trHeight w:val="630"/>
        </w:trPr>
        <w:tc>
          <w:tcPr>
            <w:tcW w:w="960" w:type="dxa"/>
            <w:tcBorders>
              <w:top w:val="double" w:sz="6" w:space="0" w:color="4F81BD"/>
              <w:left w:val="single" w:sz="4" w:space="0" w:color="4F81BD"/>
              <w:bottom w:val="single" w:sz="4" w:space="0" w:color="4F81BD"/>
              <w:right w:val="single" w:sz="4" w:space="0" w:color="4F81BD"/>
            </w:tcBorders>
            <w:shd w:val="clear" w:color="auto" w:fill="auto"/>
            <w:noWrap/>
            <w:vAlign w:val="bottom"/>
          </w:tcPr>
          <w:p w:rsidR="00156257" w:rsidRPr="00686250" w:rsidDel="000C5AE8" w:rsidRDefault="00156257" w:rsidP="00E62A0B">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90791</w:t>
            </w:r>
          </w:p>
        </w:tc>
        <w:tc>
          <w:tcPr>
            <w:tcW w:w="3220" w:type="dxa"/>
            <w:tcBorders>
              <w:top w:val="double" w:sz="6" w:space="0" w:color="4F81BD"/>
              <w:left w:val="nil"/>
              <w:bottom w:val="single" w:sz="4" w:space="0" w:color="4F81BD"/>
              <w:right w:val="single" w:sz="4" w:space="0" w:color="4F81BD"/>
            </w:tcBorders>
            <w:shd w:val="clear" w:color="auto" w:fill="auto"/>
            <w:vAlign w:val="bottom"/>
          </w:tcPr>
          <w:p w:rsidR="00156257" w:rsidRPr="00686250" w:rsidDel="000C5AE8"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Psychiatric diagnostic evaluation</w:t>
            </w:r>
          </w:p>
        </w:tc>
        <w:tc>
          <w:tcPr>
            <w:tcW w:w="1469" w:type="dxa"/>
            <w:tcBorders>
              <w:top w:val="nil"/>
              <w:left w:val="nil"/>
              <w:bottom w:val="single" w:sz="4" w:space="0" w:color="4F81BD"/>
              <w:right w:val="single" w:sz="4" w:space="0" w:color="0070C0"/>
            </w:tcBorders>
            <w:shd w:val="clear" w:color="auto" w:fill="auto"/>
            <w:noWrap/>
            <w:vAlign w:val="center"/>
          </w:tcPr>
          <w:p w:rsidR="00156257" w:rsidRPr="00686250" w:rsidDel="000C5AE8"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$144.63</w:t>
            </w:r>
          </w:p>
        </w:tc>
        <w:tc>
          <w:tcPr>
            <w:tcW w:w="1348" w:type="dxa"/>
            <w:tcBorders>
              <w:top w:val="nil"/>
              <w:left w:val="nil"/>
              <w:bottom w:val="single" w:sz="4" w:space="0" w:color="4F81BD"/>
              <w:right w:val="single" w:sz="4" w:space="0" w:color="0070C0"/>
            </w:tcBorders>
            <w:shd w:val="clear" w:color="auto" w:fill="auto"/>
            <w:noWrap/>
            <w:vAlign w:val="center"/>
          </w:tcPr>
          <w:p w:rsidR="00156257" w:rsidRPr="00686250" w:rsidDel="000C5AE8"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$94.18</w:t>
            </w:r>
          </w:p>
        </w:tc>
        <w:tc>
          <w:tcPr>
            <w:tcW w:w="1209" w:type="dxa"/>
            <w:tcBorders>
              <w:top w:val="nil"/>
              <w:left w:val="nil"/>
              <w:bottom w:val="single" w:sz="4" w:space="0" w:color="4F81BD"/>
              <w:right w:val="single" w:sz="4" w:space="0" w:color="0070C0"/>
            </w:tcBorders>
            <w:shd w:val="clear" w:color="auto" w:fill="auto"/>
            <w:noWrap/>
            <w:vAlign w:val="center"/>
          </w:tcPr>
          <w:p w:rsidR="00156257" w:rsidRPr="00686250" w:rsidDel="000C5AE8"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65.1%</w:t>
            </w:r>
          </w:p>
        </w:tc>
      </w:tr>
      <w:tr w:rsidR="00156257" w:rsidRPr="00686250" w:rsidDel="000C5AE8" w:rsidTr="00A97022">
        <w:trPr>
          <w:trHeight w:val="630"/>
        </w:trPr>
        <w:tc>
          <w:tcPr>
            <w:tcW w:w="960" w:type="dxa"/>
            <w:tcBorders>
              <w:top w:val="double" w:sz="6" w:space="0" w:color="4F81BD"/>
              <w:left w:val="single" w:sz="4" w:space="0" w:color="4F81BD"/>
              <w:bottom w:val="single" w:sz="4" w:space="0" w:color="4F81BD"/>
              <w:right w:val="single" w:sz="4" w:space="0" w:color="4F81BD"/>
            </w:tcBorders>
            <w:shd w:val="clear" w:color="auto" w:fill="auto"/>
            <w:noWrap/>
            <w:vAlign w:val="bottom"/>
          </w:tcPr>
          <w:p w:rsidR="00156257" w:rsidRPr="00686250" w:rsidDel="000C5AE8" w:rsidRDefault="00156257" w:rsidP="00E62A0B">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90832</w:t>
            </w:r>
          </w:p>
        </w:tc>
        <w:tc>
          <w:tcPr>
            <w:tcW w:w="3220" w:type="dxa"/>
            <w:tcBorders>
              <w:top w:val="double" w:sz="6" w:space="0" w:color="4F81BD"/>
              <w:left w:val="nil"/>
              <w:bottom w:val="single" w:sz="4" w:space="0" w:color="4F81BD"/>
              <w:right w:val="single" w:sz="4" w:space="0" w:color="4F81BD"/>
            </w:tcBorders>
            <w:shd w:val="clear" w:color="auto" w:fill="auto"/>
            <w:vAlign w:val="bottom"/>
          </w:tcPr>
          <w:p w:rsidR="00156257" w:rsidRPr="00686250" w:rsidDel="000C5AE8"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Psychotherapy, 30 minutes with patient</w:t>
            </w:r>
          </w:p>
        </w:tc>
        <w:tc>
          <w:tcPr>
            <w:tcW w:w="1469" w:type="dxa"/>
            <w:tcBorders>
              <w:top w:val="nil"/>
              <w:left w:val="nil"/>
              <w:bottom w:val="single" w:sz="4" w:space="0" w:color="4F81BD"/>
              <w:right w:val="single" w:sz="4" w:space="0" w:color="0070C0"/>
            </w:tcBorders>
            <w:shd w:val="clear" w:color="auto" w:fill="auto"/>
            <w:noWrap/>
            <w:vAlign w:val="center"/>
          </w:tcPr>
          <w:p w:rsidR="00156257" w:rsidRPr="00686250" w:rsidDel="000C5AE8"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$70.00</w:t>
            </w:r>
          </w:p>
        </w:tc>
        <w:tc>
          <w:tcPr>
            <w:tcW w:w="1348" w:type="dxa"/>
            <w:tcBorders>
              <w:top w:val="nil"/>
              <w:left w:val="nil"/>
              <w:bottom w:val="single" w:sz="4" w:space="0" w:color="4F81BD"/>
              <w:right w:val="single" w:sz="4" w:space="0" w:color="0070C0"/>
            </w:tcBorders>
            <w:shd w:val="clear" w:color="auto" w:fill="auto"/>
            <w:noWrap/>
            <w:vAlign w:val="center"/>
          </w:tcPr>
          <w:p w:rsidR="00156257" w:rsidRPr="00686250" w:rsidDel="000C5AE8"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$36.37</w:t>
            </w:r>
          </w:p>
        </w:tc>
        <w:tc>
          <w:tcPr>
            <w:tcW w:w="1209" w:type="dxa"/>
            <w:tcBorders>
              <w:top w:val="nil"/>
              <w:left w:val="nil"/>
              <w:bottom w:val="single" w:sz="4" w:space="0" w:color="4F81BD"/>
              <w:right w:val="single" w:sz="4" w:space="0" w:color="0070C0"/>
            </w:tcBorders>
            <w:shd w:val="clear" w:color="auto" w:fill="auto"/>
            <w:noWrap/>
            <w:vAlign w:val="center"/>
          </w:tcPr>
          <w:p w:rsidR="00156257" w:rsidRPr="00686250" w:rsidDel="000C5AE8"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52.0%</w:t>
            </w:r>
          </w:p>
        </w:tc>
      </w:tr>
      <w:tr w:rsidR="00156257" w:rsidRPr="00686250" w:rsidTr="00A97022">
        <w:trPr>
          <w:trHeight w:val="300"/>
        </w:trPr>
        <w:tc>
          <w:tcPr>
            <w:tcW w:w="960" w:type="dxa"/>
            <w:tcBorders>
              <w:top w:val="nil"/>
              <w:left w:val="single" w:sz="4" w:space="0" w:color="4F81BD"/>
              <w:bottom w:val="single" w:sz="4" w:space="0" w:color="4F81BD"/>
              <w:right w:val="single" w:sz="4" w:space="0" w:color="4F81BD"/>
            </w:tcBorders>
            <w:shd w:val="clear" w:color="auto" w:fill="auto"/>
            <w:noWrap/>
            <w:vAlign w:val="bottom"/>
            <w:hideMark/>
          </w:tcPr>
          <w:p w:rsidR="00156257" w:rsidRPr="00686250" w:rsidRDefault="00156257" w:rsidP="00E62A0B">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90833</w:t>
            </w:r>
          </w:p>
        </w:tc>
        <w:tc>
          <w:tcPr>
            <w:tcW w:w="3220" w:type="dxa"/>
            <w:tcBorders>
              <w:top w:val="nil"/>
              <w:left w:val="nil"/>
              <w:bottom w:val="single" w:sz="4" w:space="0" w:color="4F81BD"/>
              <w:right w:val="single" w:sz="4" w:space="0" w:color="4F81BD"/>
            </w:tcBorders>
            <w:shd w:val="clear" w:color="auto" w:fill="auto"/>
            <w:noWrap/>
            <w:vAlign w:val="bottom"/>
            <w:hideMark/>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 xml:space="preserve">Psychotherapy 30 minutes with patient when performed with an </w:t>
            </w:r>
            <w:r w:rsidRPr="00686250">
              <w:rPr>
                <w:rFonts w:ascii="Arial" w:eastAsia="Times New Roman" w:hAnsi="Arial" w:cs="Arial"/>
                <w:bCs/>
                <w:color w:val="000000"/>
                <w:sz w:val="20"/>
                <w:szCs w:val="20"/>
              </w:rPr>
              <w:lastRenderedPageBreak/>
              <w:t>evaluation management service</w:t>
            </w:r>
          </w:p>
        </w:tc>
        <w:tc>
          <w:tcPr>
            <w:tcW w:w="1469"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lastRenderedPageBreak/>
              <w:t>$73.31</w:t>
            </w:r>
          </w:p>
        </w:tc>
        <w:tc>
          <w:tcPr>
            <w:tcW w:w="1348"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$36.37</w:t>
            </w:r>
          </w:p>
        </w:tc>
        <w:tc>
          <w:tcPr>
            <w:tcW w:w="1209"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49.6%</w:t>
            </w:r>
          </w:p>
        </w:tc>
      </w:tr>
      <w:tr w:rsidR="00156257" w:rsidRPr="00686250" w:rsidTr="00A97022">
        <w:trPr>
          <w:trHeight w:val="300"/>
        </w:trPr>
        <w:tc>
          <w:tcPr>
            <w:tcW w:w="960" w:type="dxa"/>
            <w:tcBorders>
              <w:top w:val="nil"/>
              <w:left w:val="single" w:sz="4" w:space="0" w:color="4F81BD"/>
              <w:bottom w:val="single" w:sz="4" w:space="0" w:color="4F81BD"/>
              <w:right w:val="single" w:sz="4" w:space="0" w:color="4F81BD"/>
            </w:tcBorders>
            <w:shd w:val="clear" w:color="auto" w:fill="auto"/>
            <w:noWrap/>
            <w:vAlign w:val="bottom"/>
            <w:hideMark/>
          </w:tcPr>
          <w:p w:rsidR="00156257" w:rsidRPr="00686250" w:rsidRDefault="00156257" w:rsidP="00E62A0B">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lastRenderedPageBreak/>
              <w:t>90834</w:t>
            </w:r>
          </w:p>
        </w:tc>
        <w:tc>
          <w:tcPr>
            <w:tcW w:w="3220" w:type="dxa"/>
            <w:tcBorders>
              <w:top w:val="nil"/>
              <w:left w:val="nil"/>
              <w:bottom w:val="single" w:sz="4" w:space="0" w:color="4F81BD"/>
              <w:right w:val="single" w:sz="4" w:space="0" w:color="4F81BD"/>
            </w:tcBorders>
            <w:shd w:val="clear" w:color="auto" w:fill="auto"/>
            <w:noWrap/>
            <w:vAlign w:val="bottom"/>
            <w:hideMark/>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Psychotherapy, 45 minutes</w:t>
            </w:r>
          </w:p>
        </w:tc>
        <w:tc>
          <w:tcPr>
            <w:tcW w:w="1469"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$93.60</w:t>
            </w:r>
          </w:p>
        </w:tc>
        <w:tc>
          <w:tcPr>
            <w:tcW w:w="1348"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$72.73</w:t>
            </w:r>
          </w:p>
        </w:tc>
        <w:tc>
          <w:tcPr>
            <w:tcW w:w="1209"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77.7%</w:t>
            </w:r>
          </w:p>
        </w:tc>
      </w:tr>
      <w:tr w:rsidR="00156257" w:rsidRPr="00686250" w:rsidTr="00D67970">
        <w:trPr>
          <w:trHeight w:val="540"/>
        </w:trPr>
        <w:tc>
          <w:tcPr>
            <w:tcW w:w="960" w:type="dxa"/>
            <w:tcBorders>
              <w:top w:val="nil"/>
              <w:left w:val="single" w:sz="4" w:space="0" w:color="4F81BD"/>
              <w:bottom w:val="single" w:sz="4" w:space="0" w:color="4F81BD"/>
              <w:right w:val="single" w:sz="4" w:space="0" w:color="4F81BD"/>
            </w:tcBorders>
            <w:shd w:val="clear" w:color="auto" w:fill="auto"/>
            <w:noWrap/>
            <w:vAlign w:val="bottom"/>
            <w:hideMark/>
          </w:tcPr>
          <w:p w:rsidR="00156257" w:rsidRPr="00686250" w:rsidRDefault="00156257" w:rsidP="00E62A0B">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90836</w:t>
            </w:r>
          </w:p>
        </w:tc>
        <w:tc>
          <w:tcPr>
            <w:tcW w:w="3220" w:type="dxa"/>
            <w:tcBorders>
              <w:top w:val="nil"/>
              <w:left w:val="nil"/>
              <w:bottom w:val="single" w:sz="4" w:space="0" w:color="4F81BD"/>
              <w:right w:val="single" w:sz="4" w:space="0" w:color="4F81BD"/>
            </w:tcBorders>
            <w:shd w:val="clear" w:color="auto" w:fill="auto"/>
            <w:vAlign w:val="bottom"/>
            <w:hideMark/>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Psychotherapy, 45 minutes with patient when performed with an evaluation and management service</w:t>
            </w:r>
          </w:p>
        </w:tc>
        <w:tc>
          <w:tcPr>
            <w:tcW w:w="1469"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$92.39</w:t>
            </w:r>
          </w:p>
        </w:tc>
        <w:tc>
          <w:tcPr>
            <w:tcW w:w="1348"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$72.73</w:t>
            </w:r>
          </w:p>
        </w:tc>
        <w:tc>
          <w:tcPr>
            <w:tcW w:w="1209" w:type="dxa"/>
            <w:tcBorders>
              <w:top w:val="nil"/>
              <w:left w:val="nil"/>
              <w:bottom w:val="single" w:sz="4" w:space="0" w:color="4F81BD"/>
              <w:right w:val="single" w:sz="4" w:space="0" w:color="4F81BD"/>
            </w:tcBorders>
            <w:shd w:val="clear" w:color="auto" w:fill="auto"/>
            <w:vAlign w:val="center"/>
            <w:hideMark/>
          </w:tcPr>
          <w:p w:rsidR="00156257" w:rsidRPr="00D67970" w:rsidRDefault="00156257" w:rsidP="00D67970">
            <w:pPr>
              <w:ind w:firstLine="0"/>
              <w:jc w:val="center"/>
              <w:rPr>
                <w:rFonts w:ascii="Arial" w:hAnsi="Arial" w:cs="Arial"/>
                <w:sz w:val="20"/>
                <w:szCs w:val="20"/>
              </w:rPr>
            </w:pPr>
            <w:r w:rsidRPr="00686250">
              <w:rPr>
                <w:rFonts w:ascii="Arial" w:hAnsi="Arial" w:cs="Arial"/>
                <w:color w:val="000000"/>
                <w:sz w:val="20"/>
                <w:szCs w:val="20"/>
              </w:rPr>
              <w:t>78.7%</w:t>
            </w:r>
          </w:p>
        </w:tc>
      </w:tr>
      <w:tr w:rsidR="00156257" w:rsidRPr="00686250" w:rsidTr="00A97022">
        <w:trPr>
          <w:trHeight w:val="315"/>
        </w:trPr>
        <w:tc>
          <w:tcPr>
            <w:tcW w:w="960" w:type="dxa"/>
            <w:tcBorders>
              <w:top w:val="nil"/>
              <w:left w:val="single" w:sz="4" w:space="0" w:color="4F81BD"/>
              <w:bottom w:val="single" w:sz="4" w:space="0" w:color="4F81BD"/>
              <w:right w:val="single" w:sz="4" w:space="0" w:color="4F81BD"/>
            </w:tcBorders>
            <w:shd w:val="clear" w:color="auto" w:fill="auto"/>
            <w:noWrap/>
            <w:vAlign w:val="bottom"/>
            <w:hideMark/>
          </w:tcPr>
          <w:p w:rsidR="00156257" w:rsidRPr="00686250" w:rsidRDefault="00156257" w:rsidP="00E62A0B">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90847</w:t>
            </w:r>
          </w:p>
        </w:tc>
        <w:tc>
          <w:tcPr>
            <w:tcW w:w="3220" w:type="dxa"/>
            <w:tcBorders>
              <w:top w:val="nil"/>
              <w:left w:val="nil"/>
              <w:bottom w:val="single" w:sz="4" w:space="0" w:color="4F81BD"/>
              <w:right w:val="single" w:sz="4" w:space="0" w:color="4F81BD"/>
            </w:tcBorders>
            <w:shd w:val="clear" w:color="auto" w:fill="auto"/>
            <w:noWrap/>
            <w:vAlign w:val="bottom"/>
            <w:hideMark/>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Family psychotherapy</w:t>
            </w:r>
          </w:p>
        </w:tc>
        <w:tc>
          <w:tcPr>
            <w:tcW w:w="1469"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$117.63</w:t>
            </w:r>
          </w:p>
        </w:tc>
        <w:tc>
          <w:tcPr>
            <w:tcW w:w="1348"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D67970">
            <w:pPr>
              <w:rPr>
                <w:rFonts w:ascii="Arial" w:eastAsia="Times New Roman" w:hAnsi="Arial" w:cs="Arial"/>
                <w:bCs/>
                <w:color w:val="000000"/>
                <w:sz w:val="20"/>
                <w:szCs w:val="20"/>
              </w:rPr>
            </w:pPr>
            <w:r w:rsidRPr="00686250">
              <w:rPr>
                <w:rFonts w:ascii="Arial" w:hAnsi="Arial" w:cs="Arial"/>
                <w:color w:val="000000"/>
                <w:sz w:val="20"/>
                <w:szCs w:val="20"/>
              </w:rPr>
              <w:t>$77.28</w:t>
            </w:r>
          </w:p>
        </w:tc>
        <w:tc>
          <w:tcPr>
            <w:tcW w:w="1209"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65.7%</w:t>
            </w:r>
          </w:p>
        </w:tc>
      </w:tr>
      <w:tr w:rsidR="00156257" w:rsidRPr="00686250" w:rsidTr="00A97022">
        <w:trPr>
          <w:trHeight w:val="315"/>
        </w:trPr>
        <w:tc>
          <w:tcPr>
            <w:tcW w:w="960" w:type="dxa"/>
            <w:tcBorders>
              <w:top w:val="double" w:sz="6" w:space="0" w:color="4F81BD"/>
              <w:left w:val="single" w:sz="4" w:space="0" w:color="4F81BD"/>
              <w:bottom w:val="single" w:sz="4" w:space="0" w:color="4F81BD"/>
              <w:right w:val="single" w:sz="4" w:space="0" w:color="4F81BD"/>
            </w:tcBorders>
            <w:shd w:val="clear" w:color="auto" w:fill="auto"/>
            <w:noWrap/>
            <w:vAlign w:val="bottom"/>
            <w:hideMark/>
          </w:tcPr>
          <w:p w:rsidR="00156257" w:rsidRPr="00686250" w:rsidRDefault="00156257" w:rsidP="00E62A0B">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96101</w:t>
            </w:r>
          </w:p>
        </w:tc>
        <w:tc>
          <w:tcPr>
            <w:tcW w:w="3220" w:type="dxa"/>
            <w:tcBorders>
              <w:top w:val="double" w:sz="6" w:space="0" w:color="4F81BD"/>
              <w:left w:val="nil"/>
              <w:bottom w:val="single" w:sz="4" w:space="0" w:color="4F81BD"/>
              <w:right w:val="single" w:sz="4" w:space="0" w:color="4F81BD"/>
            </w:tcBorders>
            <w:shd w:val="clear" w:color="auto" w:fill="auto"/>
            <w:noWrap/>
            <w:vAlign w:val="bottom"/>
            <w:hideMark/>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Psychological testing</w:t>
            </w:r>
          </w:p>
        </w:tc>
        <w:tc>
          <w:tcPr>
            <w:tcW w:w="1469" w:type="dxa"/>
            <w:tcBorders>
              <w:top w:val="double" w:sz="6" w:space="0" w:color="4F81BD"/>
              <w:left w:val="nil"/>
              <w:bottom w:val="single" w:sz="4" w:space="0" w:color="4F81BD"/>
              <w:right w:val="single" w:sz="4" w:space="0" w:color="4F81BD"/>
            </w:tcBorders>
            <w:shd w:val="clear" w:color="auto" w:fill="auto"/>
            <w:noWrap/>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$88.82</w:t>
            </w:r>
          </w:p>
        </w:tc>
        <w:tc>
          <w:tcPr>
            <w:tcW w:w="1348" w:type="dxa"/>
            <w:tcBorders>
              <w:top w:val="double" w:sz="6" w:space="0" w:color="4F81BD"/>
              <w:left w:val="nil"/>
              <w:bottom w:val="single" w:sz="4" w:space="0" w:color="4F81BD"/>
              <w:right w:val="single" w:sz="4" w:space="0" w:color="4F81BD"/>
            </w:tcBorders>
            <w:shd w:val="clear" w:color="auto" w:fill="auto"/>
            <w:noWrap/>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$74.94</w:t>
            </w:r>
          </w:p>
        </w:tc>
        <w:tc>
          <w:tcPr>
            <w:tcW w:w="1209" w:type="dxa"/>
            <w:tcBorders>
              <w:top w:val="double" w:sz="6" w:space="0" w:color="4F81BD"/>
              <w:left w:val="nil"/>
              <w:bottom w:val="single" w:sz="4" w:space="0" w:color="4F81BD"/>
              <w:right w:val="single" w:sz="4" w:space="0" w:color="4F81BD"/>
            </w:tcBorders>
            <w:shd w:val="clear" w:color="auto" w:fill="auto"/>
            <w:noWrap/>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84.4%</w:t>
            </w:r>
          </w:p>
        </w:tc>
      </w:tr>
      <w:tr w:rsidR="00156257" w:rsidRPr="00686250" w:rsidTr="00A97022">
        <w:trPr>
          <w:trHeight w:val="315"/>
        </w:trPr>
        <w:tc>
          <w:tcPr>
            <w:tcW w:w="960" w:type="dxa"/>
            <w:tcBorders>
              <w:top w:val="nil"/>
              <w:left w:val="single" w:sz="4" w:space="0" w:color="4F81BD"/>
              <w:bottom w:val="single" w:sz="4" w:space="0" w:color="4F81BD"/>
              <w:right w:val="single" w:sz="4" w:space="0" w:color="4F81BD"/>
            </w:tcBorders>
            <w:shd w:val="clear" w:color="auto" w:fill="auto"/>
            <w:noWrap/>
            <w:vAlign w:val="bottom"/>
            <w:hideMark/>
          </w:tcPr>
          <w:p w:rsidR="00156257" w:rsidRPr="00686250" w:rsidRDefault="00156257" w:rsidP="00E62A0B">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96118</w:t>
            </w:r>
          </w:p>
        </w:tc>
        <w:tc>
          <w:tcPr>
            <w:tcW w:w="3220" w:type="dxa"/>
            <w:tcBorders>
              <w:top w:val="nil"/>
              <w:left w:val="nil"/>
              <w:bottom w:val="single" w:sz="4" w:space="0" w:color="4F81BD"/>
              <w:right w:val="single" w:sz="4" w:space="0" w:color="4F81BD"/>
            </w:tcBorders>
            <w:shd w:val="clear" w:color="auto" w:fill="auto"/>
            <w:noWrap/>
            <w:vAlign w:val="bottom"/>
            <w:hideMark/>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Neurological testing</w:t>
            </w:r>
          </w:p>
        </w:tc>
        <w:tc>
          <w:tcPr>
            <w:tcW w:w="1469"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$106.22</w:t>
            </w:r>
          </w:p>
        </w:tc>
        <w:tc>
          <w:tcPr>
            <w:tcW w:w="1348"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$74.94</w:t>
            </w:r>
          </w:p>
        </w:tc>
        <w:tc>
          <w:tcPr>
            <w:tcW w:w="1209" w:type="dxa"/>
            <w:tcBorders>
              <w:top w:val="nil"/>
              <w:left w:val="nil"/>
              <w:bottom w:val="single" w:sz="4" w:space="0" w:color="4F81BD"/>
              <w:right w:val="single" w:sz="4" w:space="0" w:color="4F81BD"/>
            </w:tcBorders>
            <w:shd w:val="clear" w:color="auto" w:fill="auto"/>
            <w:vAlign w:val="center"/>
            <w:hideMark/>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70.6%</w:t>
            </w:r>
          </w:p>
        </w:tc>
      </w:tr>
      <w:tr w:rsidR="00156257" w:rsidRPr="00686250" w:rsidTr="00A97022">
        <w:trPr>
          <w:trHeight w:val="315"/>
        </w:trPr>
        <w:tc>
          <w:tcPr>
            <w:tcW w:w="960" w:type="dxa"/>
            <w:tcBorders>
              <w:top w:val="nil"/>
              <w:left w:val="single" w:sz="4" w:space="0" w:color="4F81BD"/>
              <w:bottom w:val="single" w:sz="4" w:space="0" w:color="4F81BD"/>
              <w:right w:val="single" w:sz="4" w:space="0" w:color="4F81BD"/>
            </w:tcBorders>
            <w:shd w:val="clear" w:color="auto" w:fill="auto"/>
            <w:noWrap/>
            <w:vAlign w:val="bottom"/>
          </w:tcPr>
          <w:p w:rsidR="00156257" w:rsidRPr="00686250" w:rsidRDefault="00156257" w:rsidP="00E62A0B">
            <w:pPr>
              <w:ind w:firstLine="0"/>
              <w:jc w:val="center"/>
              <w:rPr>
                <w:rFonts w:ascii="Arial" w:eastAsia="Times New Roman" w:hAnsi="Arial" w:cs="Arial"/>
                <w:bCs/>
                <w:color w:val="000000"/>
                <w:sz w:val="20"/>
                <w:szCs w:val="20"/>
              </w:rPr>
            </w:pPr>
            <w:r w:rsidRPr="00686250">
              <w:rPr>
                <w:rFonts w:ascii="Arial" w:eastAsia="Times New Roman" w:hAnsi="Arial" w:cs="Arial"/>
                <w:b/>
                <w:bCs/>
                <w:color w:val="000000"/>
                <w:sz w:val="20"/>
                <w:szCs w:val="20"/>
              </w:rPr>
              <w:t>All Codes</w:t>
            </w:r>
          </w:p>
        </w:tc>
        <w:tc>
          <w:tcPr>
            <w:tcW w:w="3220" w:type="dxa"/>
            <w:tcBorders>
              <w:top w:val="nil"/>
              <w:left w:val="nil"/>
              <w:bottom w:val="single" w:sz="4" w:space="0" w:color="4F81BD"/>
              <w:right w:val="single" w:sz="4" w:space="0" w:color="4F81BD"/>
            </w:tcBorders>
            <w:shd w:val="clear" w:color="auto" w:fill="auto"/>
            <w:noWrap/>
            <w:vAlign w:val="bottom"/>
          </w:tcPr>
          <w:p w:rsidR="00156257" w:rsidRPr="00686250" w:rsidRDefault="00156257" w:rsidP="00E62A0B">
            <w:pPr>
              <w:ind w:firstLine="0"/>
              <w:jc w:val="center"/>
              <w:rPr>
                <w:rFonts w:ascii="Arial" w:eastAsia="Times New Roman" w:hAnsi="Arial" w:cs="Arial"/>
                <w:bCs/>
                <w:color w:val="000000"/>
                <w:sz w:val="20"/>
                <w:szCs w:val="20"/>
              </w:rPr>
            </w:pPr>
            <w:r w:rsidRPr="00686250">
              <w:rPr>
                <w:rFonts w:ascii="Arial" w:eastAsia="Times New Roman" w:hAnsi="Arial" w:cs="Arial"/>
                <w:b/>
                <w:bCs/>
                <w:color w:val="000000"/>
                <w:sz w:val="20"/>
                <w:szCs w:val="20"/>
              </w:rPr>
              <w:t>Total Behavioral Health Average</w:t>
            </w:r>
          </w:p>
        </w:tc>
        <w:tc>
          <w:tcPr>
            <w:tcW w:w="1469"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hAnsi="Arial" w:cs="Arial"/>
                <w:color w:val="000000"/>
                <w:sz w:val="20"/>
                <w:szCs w:val="20"/>
              </w:rPr>
            </w:pPr>
            <w:r w:rsidRPr="00686250">
              <w:rPr>
                <w:rFonts w:ascii="Arial" w:hAnsi="Arial" w:cs="Arial"/>
                <w:b/>
                <w:bCs/>
                <w:color w:val="000000"/>
                <w:sz w:val="20"/>
                <w:szCs w:val="20"/>
              </w:rPr>
              <w:t>$98.32</w:t>
            </w:r>
          </w:p>
        </w:tc>
        <w:tc>
          <w:tcPr>
            <w:tcW w:w="1348"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hAnsi="Arial" w:cs="Arial"/>
                <w:color w:val="000000"/>
                <w:sz w:val="20"/>
                <w:szCs w:val="20"/>
              </w:rPr>
            </w:pPr>
            <w:r w:rsidRPr="00686250">
              <w:rPr>
                <w:rFonts w:ascii="Arial" w:hAnsi="Arial" w:cs="Arial"/>
                <w:b/>
                <w:bCs/>
                <w:color w:val="000000"/>
                <w:sz w:val="20"/>
                <w:szCs w:val="20"/>
              </w:rPr>
              <w:t>$67.44</w:t>
            </w:r>
          </w:p>
        </w:tc>
        <w:tc>
          <w:tcPr>
            <w:tcW w:w="1209"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hAnsi="Arial" w:cs="Arial"/>
                <w:color w:val="000000"/>
                <w:sz w:val="20"/>
                <w:szCs w:val="20"/>
              </w:rPr>
            </w:pPr>
            <w:r w:rsidRPr="00686250">
              <w:rPr>
                <w:rFonts w:ascii="Arial" w:hAnsi="Arial" w:cs="Arial"/>
                <w:b/>
                <w:bCs/>
                <w:color w:val="000000"/>
                <w:sz w:val="20"/>
                <w:szCs w:val="20"/>
              </w:rPr>
              <w:t>68.6%</w:t>
            </w:r>
          </w:p>
        </w:tc>
      </w:tr>
    </w:tbl>
    <w:p w:rsidR="00686250" w:rsidRPr="00DA770C" w:rsidRDefault="00686250" w:rsidP="00DA770C">
      <w:pPr>
        <w:ind w:left="360" w:firstLine="0"/>
      </w:pPr>
    </w:p>
    <w:p w:rsidR="00C7773F" w:rsidRPr="00A945FF" w:rsidRDefault="00687ED0" w:rsidP="00A945FF">
      <w:pPr>
        <w:pStyle w:val="Heading1"/>
        <w:rPr>
          <w:rFonts w:ascii="Arial" w:hAnsi="Arial" w:cs="Arial"/>
        </w:rPr>
      </w:pPr>
      <w:bookmarkStart w:id="53" w:name="_Toc20296940"/>
      <w:bookmarkStart w:id="54" w:name="_Toc10810589"/>
      <w:r w:rsidRPr="00A945FF">
        <w:rPr>
          <w:rFonts w:ascii="Arial" w:hAnsi="Arial" w:cs="Arial"/>
        </w:rPr>
        <w:t>S</w:t>
      </w:r>
      <w:r w:rsidR="00065F27" w:rsidRPr="00A945FF">
        <w:rPr>
          <w:rFonts w:ascii="Arial" w:hAnsi="Arial" w:cs="Arial"/>
        </w:rPr>
        <w:t xml:space="preserve">ection 5: </w:t>
      </w:r>
      <w:r w:rsidR="00C7773F" w:rsidRPr="00A945FF">
        <w:rPr>
          <w:rFonts w:ascii="Arial" w:hAnsi="Arial" w:cs="Arial"/>
        </w:rPr>
        <w:t xml:space="preserve">Review Analysis </w:t>
      </w:r>
      <w:r w:rsidR="00143254">
        <w:rPr>
          <w:rFonts w:ascii="Arial" w:hAnsi="Arial" w:cs="Arial"/>
        </w:rPr>
        <w:t>of Perinatal Services</w:t>
      </w:r>
      <w:r w:rsidR="00F676CE">
        <w:rPr>
          <w:rStyle w:val="FootnoteReference"/>
          <w:rFonts w:ascii="Arial" w:hAnsi="Arial" w:cs="Arial"/>
        </w:rPr>
        <w:footnoteReference w:id="9"/>
      </w:r>
      <w:bookmarkEnd w:id="53"/>
      <w:r w:rsidR="00143254">
        <w:rPr>
          <w:rFonts w:ascii="Arial" w:hAnsi="Arial" w:cs="Arial"/>
        </w:rPr>
        <w:t xml:space="preserve"> </w:t>
      </w:r>
      <w:bookmarkEnd w:id="54"/>
    </w:p>
    <w:p w:rsidR="001B2D8F" w:rsidRDefault="001B2D8F" w:rsidP="001B2D8F">
      <w:pPr>
        <w:ind w:firstLine="0"/>
      </w:pPr>
    </w:p>
    <w:p w:rsidR="00914B8B" w:rsidRPr="0066291B" w:rsidRDefault="007A502F" w:rsidP="0066291B">
      <w:pPr>
        <w:pStyle w:val="Heading2"/>
        <w:rPr>
          <w:rFonts w:ascii="Arial" w:hAnsi="Arial" w:cs="Arial"/>
          <w:color w:val="auto"/>
          <w:sz w:val="24"/>
          <w:szCs w:val="24"/>
          <w:u w:val="single"/>
        </w:rPr>
      </w:pPr>
      <w:bookmarkStart w:id="55" w:name="_Toc10810590"/>
      <w:bookmarkStart w:id="56" w:name="_Toc20296941"/>
      <w:r w:rsidRPr="0066291B">
        <w:rPr>
          <w:rFonts w:ascii="Arial" w:hAnsi="Arial" w:cs="Arial"/>
          <w:color w:val="auto"/>
          <w:sz w:val="24"/>
          <w:szCs w:val="24"/>
          <w:u w:val="single"/>
        </w:rPr>
        <w:t xml:space="preserve">1. </w:t>
      </w:r>
      <w:r w:rsidR="00914B8B" w:rsidRPr="0066291B">
        <w:rPr>
          <w:rFonts w:ascii="Arial" w:hAnsi="Arial" w:cs="Arial"/>
          <w:color w:val="auto"/>
          <w:sz w:val="24"/>
          <w:szCs w:val="24"/>
          <w:u w:val="single"/>
        </w:rPr>
        <w:t xml:space="preserve">Availability of </w:t>
      </w:r>
      <w:r w:rsidR="00E03B5B" w:rsidRPr="0066291B">
        <w:rPr>
          <w:rFonts w:ascii="Arial" w:hAnsi="Arial" w:cs="Arial"/>
          <w:color w:val="auto"/>
          <w:sz w:val="24"/>
          <w:szCs w:val="24"/>
          <w:u w:val="single"/>
        </w:rPr>
        <w:t xml:space="preserve">Physicians with an </w:t>
      </w:r>
      <w:r w:rsidR="00131EE0" w:rsidRPr="00131EE0">
        <w:rPr>
          <w:rFonts w:ascii="Arial" w:hAnsi="Arial" w:cs="Arial"/>
          <w:color w:val="auto"/>
          <w:sz w:val="24"/>
          <w:szCs w:val="24"/>
          <w:u w:val="single"/>
        </w:rPr>
        <w:t>Obstetrics</w:t>
      </w:r>
      <w:r w:rsidR="00E03B5B" w:rsidRPr="0066291B">
        <w:rPr>
          <w:rFonts w:ascii="Arial" w:hAnsi="Arial" w:cs="Arial"/>
          <w:color w:val="auto"/>
          <w:sz w:val="24"/>
          <w:szCs w:val="24"/>
          <w:u w:val="single"/>
        </w:rPr>
        <w:t xml:space="preserve"> Specialty</w:t>
      </w:r>
      <w:r w:rsidR="00E47233" w:rsidRPr="0066291B">
        <w:rPr>
          <w:rFonts w:ascii="Arial" w:hAnsi="Arial" w:cs="Arial"/>
          <w:color w:val="auto"/>
          <w:sz w:val="24"/>
          <w:szCs w:val="24"/>
          <w:u w:val="single"/>
        </w:rPr>
        <w:t xml:space="preserve"> </w:t>
      </w:r>
      <w:r w:rsidR="00E03B5B" w:rsidRPr="0066291B">
        <w:rPr>
          <w:rFonts w:ascii="Arial" w:hAnsi="Arial" w:cs="Arial"/>
          <w:color w:val="auto"/>
          <w:sz w:val="24"/>
          <w:szCs w:val="24"/>
          <w:u w:val="single"/>
        </w:rPr>
        <w:t>and Nurse Midwives</w:t>
      </w:r>
      <w:bookmarkEnd w:id="55"/>
      <w:bookmarkEnd w:id="56"/>
    </w:p>
    <w:p w:rsidR="00CE6814" w:rsidRPr="00686250" w:rsidRDefault="00CE6814" w:rsidP="00D20626">
      <w:pPr>
        <w:ind w:firstLine="0"/>
        <w:rPr>
          <w:rFonts w:ascii="Arial" w:hAnsi="Arial" w:cs="Arial"/>
          <w:sz w:val="24"/>
          <w:szCs w:val="24"/>
        </w:rPr>
      </w:pPr>
    </w:p>
    <w:p w:rsidR="00EF67AE" w:rsidRPr="00514DA0" w:rsidRDefault="00EF67AE" w:rsidP="00514DA0">
      <w:pPr>
        <w:ind w:firstLine="0"/>
        <w:rPr>
          <w:rFonts w:ascii="Arial" w:hAnsi="Arial" w:cs="Arial"/>
          <w:sz w:val="24"/>
          <w:szCs w:val="24"/>
        </w:rPr>
      </w:pPr>
      <w:r w:rsidRPr="00514DA0">
        <w:rPr>
          <w:rFonts w:ascii="Arial" w:hAnsi="Arial" w:cs="Arial"/>
          <w:sz w:val="24"/>
          <w:szCs w:val="24"/>
        </w:rPr>
        <w:t xml:space="preserve">In this section of the </w:t>
      </w:r>
      <w:r w:rsidR="001D1FDA" w:rsidRPr="00514DA0">
        <w:rPr>
          <w:rFonts w:ascii="Arial" w:hAnsi="Arial" w:cs="Arial"/>
          <w:sz w:val="24"/>
          <w:szCs w:val="24"/>
        </w:rPr>
        <w:t>AMRP</w:t>
      </w:r>
      <w:r w:rsidR="003C77F1" w:rsidRPr="00514DA0">
        <w:rPr>
          <w:rFonts w:ascii="Arial" w:hAnsi="Arial" w:cs="Arial"/>
          <w:sz w:val="24"/>
          <w:szCs w:val="24"/>
        </w:rPr>
        <w:t xml:space="preserve"> </w:t>
      </w:r>
      <w:r w:rsidRPr="00514DA0">
        <w:rPr>
          <w:rFonts w:ascii="Arial" w:hAnsi="Arial" w:cs="Arial"/>
          <w:sz w:val="24"/>
          <w:szCs w:val="24"/>
        </w:rPr>
        <w:t>MassHealth present</w:t>
      </w:r>
      <w:r w:rsidR="007B09D3" w:rsidRPr="00514DA0">
        <w:rPr>
          <w:rFonts w:ascii="Arial" w:hAnsi="Arial" w:cs="Arial"/>
          <w:sz w:val="24"/>
          <w:szCs w:val="24"/>
        </w:rPr>
        <w:t>s</w:t>
      </w:r>
      <w:r w:rsidRPr="00514DA0">
        <w:rPr>
          <w:rFonts w:ascii="Arial" w:hAnsi="Arial" w:cs="Arial"/>
          <w:sz w:val="24"/>
          <w:szCs w:val="24"/>
        </w:rPr>
        <w:t xml:space="preserve"> the required data on the number of enrolled </w:t>
      </w:r>
      <w:r w:rsidRPr="004B36EF">
        <w:rPr>
          <w:rFonts w:ascii="Arial" w:hAnsi="Arial" w:cs="Arial"/>
          <w:sz w:val="24"/>
          <w:szCs w:val="24"/>
        </w:rPr>
        <w:t>providers</w:t>
      </w:r>
      <w:r w:rsidR="00514DA0" w:rsidRPr="004B36EF">
        <w:rPr>
          <w:rFonts w:ascii="Arial" w:hAnsi="Arial" w:cs="Arial"/>
          <w:sz w:val="24"/>
          <w:szCs w:val="24"/>
        </w:rPr>
        <w:t xml:space="preserve">, including self-identified physicians with an </w:t>
      </w:r>
      <w:r w:rsidR="00131EE0">
        <w:rPr>
          <w:rFonts w:ascii="Arial" w:hAnsi="Arial" w:cs="Arial"/>
          <w:sz w:val="24"/>
          <w:szCs w:val="24"/>
        </w:rPr>
        <w:t>o</w:t>
      </w:r>
      <w:r w:rsidR="00131EE0" w:rsidRPr="00131EE0">
        <w:rPr>
          <w:rFonts w:ascii="Arial" w:hAnsi="Arial" w:cs="Arial"/>
          <w:sz w:val="24"/>
          <w:szCs w:val="24"/>
        </w:rPr>
        <w:t>bstetrics</w:t>
      </w:r>
      <w:r w:rsidR="00514DA0" w:rsidRPr="004B36EF">
        <w:rPr>
          <w:rFonts w:ascii="Arial" w:hAnsi="Arial" w:cs="Arial"/>
          <w:sz w:val="24"/>
          <w:szCs w:val="24"/>
        </w:rPr>
        <w:t xml:space="preserve"> specialty and certified nurse midwives, excluding physicians who deliver gynecology-only services.</w:t>
      </w:r>
      <w:r w:rsidR="00514DA0" w:rsidRPr="00514DA0">
        <w:rPr>
          <w:rFonts w:ascii="Arial" w:hAnsi="Arial" w:cs="Arial"/>
          <w:sz w:val="24"/>
          <w:szCs w:val="24"/>
        </w:rPr>
        <w:t xml:space="preserve"> </w:t>
      </w:r>
    </w:p>
    <w:p w:rsidR="00944A33" w:rsidRPr="00686250" w:rsidRDefault="00944A33" w:rsidP="00D20626">
      <w:pPr>
        <w:ind w:firstLine="0"/>
        <w:rPr>
          <w:rFonts w:ascii="Arial" w:hAnsi="Arial" w:cs="Arial"/>
          <w:sz w:val="24"/>
          <w:szCs w:val="24"/>
        </w:rPr>
      </w:pPr>
    </w:p>
    <w:p w:rsidR="00D20626" w:rsidRDefault="00D20626" w:rsidP="00D20626">
      <w:pPr>
        <w:ind w:firstLine="0"/>
        <w:rPr>
          <w:rFonts w:ascii="Arial" w:hAnsi="Arial" w:cs="Arial"/>
          <w:sz w:val="24"/>
          <w:szCs w:val="24"/>
        </w:rPr>
      </w:pPr>
      <w:r w:rsidRPr="00686250">
        <w:rPr>
          <w:rFonts w:ascii="Arial" w:hAnsi="Arial" w:cs="Arial"/>
          <w:sz w:val="24"/>
          <w:szCs w:val="24"/>
        </w:rPr>
        <w:t>Data source: MMIS provider enrollment data</w:t>
      </w:r>
    </w:p>
    <w:p w:rsidR="00514DA0" w:rsidRPr="00686250" w:rsidRDefault="00514DA0" w:rsidP="00D20626">
      <w:pPr>
        <w:ind w:firstLine="0"/>
        <w:rPr>
          <w:rFonts w:ascii="Arial" w:hAnsi="Arial" w:cs="Arial"/>
          <w:sz w:val="24"/>
          <w:szCs w:val="24"/>
        </w:rPr>
      </w:pPr>
    </w:p>
    <w:p w:rsidR="00514DA0" w:rsidRPr="00514DA0" w:rsidRDefault="00514DA0" w:rsidP="00D20626">
      <w:pPr>
        <w:ind w:firstLine="0"/>
        <w:rPr>
          <w:rFonts w:ascii="Times New Roman" w:eastAsia="Times New Roman" w:hAnsi="Times New Roman" w:cs="Times New Roman"/>
          <w:sz w:val="24"/>
          <w:szCs w:val="24"/>
        </w:rPr>
      </w:pPr>
      <w:r w:rsidRPr="00686250">
        <w:rPr>
          <w:rFonts w:ascii="Arial" w:hAnsi="Arial" w:cs="Arial"/>
          <w:sz w:val="24"/>
          <w:szCs w:val="24"/>
        </w:rPr>
        <w:t>Providers are defined as physicians with a</w:t>
      </w:r>
      <w:r>
        <w:rPr>
          <w:rFonts w:ascii="Arial" w:hAnsi="Arial" w:cs="Arial"/>
          <w:sz w:val="24"/>
          <w:szCs w:val="24"/>
        </w:rPr>
        <w:t xml:space="preserve"> self-identified </w:t>
      </w:r>
      <w:r w:rsidR="00131EE0">
        <w:rPr>
          <w:rFonts w:ascii="Arial" w:hAnsi="Arial" w:cs="Arial"/>
          <w:sz w:val="24"/>
          <w:szCs w:val="24"/>
        </w:rPr>
        <w:t>o</w:t>
      </w:r>
      <w:r w:rsidR="00131EE0" w:rsidRPr="00131EE0">
        <w:rPr>
          <w:rFonts w:ascii="Arial" w:hAnsi="Arial" w:cs="Arial"/>
          <w:sz w:val="24"/>
          <w:szCs w:val="24"/>
        </w:rPr>
        <w:t>bstetrics</w:t>
      </w:r>
      <w:r w:rsidRPr="00686250">
        <w:rPr>
          <w:rFonts w:ascii="Arial" w:hAnsi="Arial" w:cs="Arial"/>
          <w:sz w:val="24"/>
          <w:szCs w:val="24"/>
        </w:rPr>
        <w:t xml:space="preserve"> specialty and certified nurse midwives, excluding physicians who deliver gynecology-only services.</w:t>
      </w:r>
      <w:r>
        <w:rPr>
          <w:rFonts w:ascii="Arial" w:hAnsi="Arial" w:cs="Arial"/>
          <w:sz w:val="24"/>
          <w:szCs w:val="24"/>
        </w:rPr>
        <w:t xml:space="preserve"> </w:t>
      </w:r>
      <w:r w:rsidR="00143254">
        <w:rPr>
          <w:rFonts w:ascii="Arial" w:hAnsi="Arial" w:cs="Arial"/>
          <w:sz w:val="24"/>
          <w:szCs w:val="24"/>
        </w:rPr>
        <w:t>A</w:t>
      </w:r>
      <w:r w:rsidR="004C35C4" w:rsidRPr="004C35C4">
        <w:rPr>
          <w:rFonts w:ascii="Arial" w:hAnsi="Arial" w:cs="Arial"/>
          <w:sz w:val="24"/>
          <w:szCs w:val="24"/>
        </w:rPr>
        <w:t xml:space="preserve"> provider’s identification with a specialty is self-reported data in </w:t>
      </w:r>
      <w:proofErr w:type="spellStart"/>
      <w:r w:rsidR="004C35C4" w:rsidRPr="004C35C4">
        <w:rPr>
          <w:rFonts w:ascii="Arial" w:hAnsi="Arial" w:cs="Arial"/>
          <w:sz w:val="24"/>
          <w:szCs w:val="24"/>
        </w:rPr>
        <w:t>MassHealth’s</w:t>
      </w:r>
      <w:proofErr w:type="spellEnd"/>
      <w:r w:rsidR="004C35C4" w:rsidRPr="004C35C4">
        <w:rPr>
          <w:rFonts w:ascii="Arial" w:hAnsi="Arial" w:cs="Arial"/>
          <w:sz w:val="24"/>
          <w:szCs w:val="24"/>
        </w:rPr>
        <w:t xml:space="preserve"> MMIS and therefore may not represent a complete accounting </w:t>
      </w:r>
      <w:r w:rsidR="004C35C4">
        <w:rPr>
          <w:rFonts w:ascii="Arial" w:hAnsi="Arial" w:cs="Arial"/>
          <w:sz w:val="24"/>
          <w:szCs w:val="24"/>
        </w:rPr>
        <w:t xml:space="preserve">of </w:t>
      </w:r>
      <w:r w:rsidR="004C35C4" w:rsidRPr="004C35C4">
        <w:rPr>
          <w:rFonts w:ascii="Arial" w:hAnsi="Arial" w:cs="Arial"/>
          <w:sz w:val="24"/>
          <w:szCs w:val="24"/>
        </w:rPr>
        <w:t xml:space="preserve">physicians </w:t>
      </w:r>
      <w:r w:rsidR="00143254">
        <w:rPr>
          <w:rFonts w:ascii="Arial" w:hAnsi="Arial" w:cs="Arial"/>
          <w:sz w:val="24"/>
          <w:szCs w:val="24"/>
        </w:rPr>
        <w:t>that provide obstetric services</w:t>
      </w:r>
      <w:r w:rsidR="004C35C4">
        <w:rPr>
          <w:rFonts w:ascii="Arial" w:hAnsi="Arial" w:cs="Arial"/>
          <w:sz w:val="24"/>
          <w:szCs w:val="24"/>
        </w:rPr>
        <w:t>.</w:t>
      </w:r>
    </w:p>
    <w:p w:rsidR="00514DA0" w:rsidRDefault="00514DA0" w:rsidP="00D20626">
      <w:pPr>
        <w:ind w:firstLine="0"/>
        <w:rPr>
          <w:rFonts w:ascii="Arial" w:hAnsi="Arial" w:cs="Arial"/>
          <w:sz w:val="24"/>
          <w:szCs w:val="24"/>
        </w:rPr>
      </w:pPr>
    </w:p>
    <w:p w:rsidR="007A6026" w:rsidRPr="00686250" w:rsidRDefault="00D20626" w:rsidP="00D20626">
      <w:pPr>
        <w:ind w:firstLine="0"/>
        <w:rPr>
          <w:rFonts w:ascii="Arial" w:hAnsi="Arial" w:cs="Arial"/>
          <w:sz w:val="24"/>
          <w:szCs w:val="24"/>
        </w:rPr>
      </w:pPr>
      <w:r w:rsidRPr="00686250">
        <w:rPr>
          <w:rFonts w:ascii="Arial" w:hAnsi="Arial" w:cs="Arial"/>
          <w:sz w:val="24"/>
          <w:szCs w:val="24"/>
        </w:rPr>
        <w:t>Methodology</w:t>
      </w:r>
      <w:r w:rsidR="00514B97" w:rsidRPr="00686250">
        <w:rPr>
          <w:rFonts w:ascii="Arial" w:hAnsi="Arial" w:cs="Arial"/>
          <w:sz w:val="24"/>
          <w:szCs w:val="24"/>
        </w:rPr>
        <w:t>:</w:t>
      </w:r>
      <w:r w:rsidRPr="00686250">
        <w:rPr>
          <w:rFonts w:ascii="Arial" w:hAnsi="Arial" w:cs="Arial"/>
          <w:sz w:val="24"/>
          <w:szCs w:val="24"/>
        </w:rPr>
        <w:t xml:space="preserve"> In order to determine the number of </w:t>
      </w:r>
      <w:r w:rsidR="00514DA0">
        <w:rPr>
          <w:rFonts w:ascii="Arial" w:hAnsi="Arial" w:cs="Arial"/>
          <w:sz w:val="24"/>
          <w:szCs w:val="24"/>
        </w:rPr>
        <w:t xml:space="preserve">such </w:t>
      </w:r>
      <w:r w:rsidRPr="00686250">
        <w:rPr>
          <w:rFonts w:ascii="Arial" w:hAnsi="Arial" w:cs="Arial"/>
          <w:sz w:val="24"/>
          <w:szCs w:val="24"/>
        </w:rPr>
        <w:t>providers</w:t>
      </w:r>
      <w:r w:rsidR="004711B0" w:rsidRPr="00686250">
        <w:rPr>
          <w:rFonts w:ascii="Arial" w:hAnsi="Arial" w:cs="Arial"/>
          <w:sz w:val="24"/>
          <w:szCs w:val="24"/>
        </w:rPr>
        <w:t xml:space="preserve"> trended over time</w:t>
      </w:r>
      <w:r w:rsidRPr="00686250">
        <w:rPr>
          <w:rFonts w:ascii="Arial" w:hAnsi="Arial" w:cs="Arial"/>
          <w:sz w:val="24"/>
          <w:szCs w:val="24"/>
        </w:rPr>
        <w:t>, we ran the number of active</w:t>
      </w:r>
      <w:r w:rsidR="006A2354">
        <w:rPr>
          <w:rFonts w:ascii="Arial" w:hAnsi="Arial" w:cs="Arial"/>
          <w:sz w:val="24"/>
          <w:szCs w:val="24"/>
        </w:rPr>
        <w:t xml:space="preserve"> </w:t>
      </w:r>
      <w:r w:rsidRPr="00686250">
        <w:rPr>
          <w:rFonts w:ascii="Arial" w:hAnsi="Arial" w:cs="Arial"/>
          <w:sz w:val="24"/>
          <w:szCs w:val="24"/>
        </w:rPr>
        <w:t xml:space="preserve">billing providers in MMIS </w:t>
      </w:r>
      <w:r w:rsidR="004C35C4" w:rsidRPr="00BE7B4F">
        <w:rPr>
          <w:rFonts w:ascii="Arial" w:hAnsi="Arial" w:cs="Arial"/>
          <w:sz w:val="24"/>
          <w:szCs w:val="24"/>
        </w:rPr>
        <w:t xml:space="preserve">for each specialty included in the AMRP by county. </w:t>
      </w:r>
      <w:r w:rsidR="004C35C4">
        <w:rPr>
          <w:rFonts w:ascii="Arial" w:hAnsi="Arial" w:cs="Arial"/>
          <w:sz w:val="24"/>
          <w:szCs w:val="24"/>
        </w:rPr>
        <w:t>Providers were</w:t>
      </w:r>
      <w:r w:rsidRPr="00686250">
        <w:rPr>
          <w:rFonts w:ascii="Arial" w:hAnsi="Arial" w:cs="Arial"/>
          <w:sz w:val="24"/>
          <w:szCs w:val="24"/>
        </w:rPr>
        <w:t xml:space="preserve"> unduplicated over </w:t>
      </w:r>
      <w:r w:rsidR="007B09D3" w:rsidRPr="00686250">
        <w:rPr>
          <w:rFonts w:ascii="Arial" w:hAnsi="Arial" w:cs="Arial"/>
          <w:sz w:val="24"/>
          <w:szCs w:val="24"/>
        </w:rPr>
        <w:t xml:space="preserve">each </w:t>
      </w:r>
      <w:r w:rsidRPr="00686250">
        <w:rPr>
          <w:rFonts w:ascii="Arial" w:hAnsi="Arial" w:cs="Arial"/>
          <w:sz w:val="24"/>
          <w:szCs w:val="24"/>
        </w:rPr>
        <w:t>full fiscal year for SFY1</w:t>
      </w:r>
      <w:r w:rsidR="00391FA5" w:rsidRPr="00686250">
        <w:rPr>
          <w:rFonts w:ascii="Arial" w:hAnsi="Arial" w:cs="Arial"/>
          <w:sz w:val="24"/>
          <w:szCs w:val="24"/>
        </w:rPr>
        <w:t>6</w:t>
      </w:r>
      <w:r w:rsidRPr="00686250">
        <w:rPr>
          <w:rFonts w:ascii="Arial" w:hAnsi="Arial" w:cs="Arial"/>
          <w:sz w:val="24"/>
          <w:szCs w:val="24"/>
        </w:rPr>
        <w:t>, SFY1</w:t>
      </w:r>
      <w:r w:rsidR="00391FA5" w:rsidRPr="00686250">
        <w:rPr>
          <w:rFonts w:ascii="Arial" w:hAnsi="Arial" w:cs="Arial"/>
          <w:sz w:val="24"/>
          <w:szCs w:val="24"/>
        </w:rPr>
        <w:t>7</w:t>
      </w:r>
      <w:r w:rsidRPr="00686250">
        <w:rPr>
          <w:rFonts w:ascii="Arial" w:hAnsi="Arial" w:cs="Arial"/>
          <w:sz w:val="24"/>
          <w:szCs w:val="24"/>
        </w:rPr>
        <w:t xml:space="preserve"> and SFY1</w:t>
      </w:r>
      <w:r w:rsidR="00391FA5" w:rsidRPr="00686250">
        <w:rPr>
          <w:rFonts w:ascii="Arial" w:hAnsi="Arial" w:cs="Arial"/>
          <w:sz w:val="24"/>
          <w:szCs w:val="24"/>
        </w:rPr>
        <w:t>8</w:t>
      </w:r>
      <w:r w:rsidRPr="00686250">
        <w:rPr>
          <w:rFonts w:ascii="Arial" w:hAnsi="Arial" w:cs="Arial"/>
          <w:sz w:val="24"/>
          <w:szCs w:val="24"/>
        </w:rPr>
        <w:t>.</w:t>
      </w:r>
    </w:p>
    <w:p w:rsidR="004C35C4" w:rsidRDefault="004C35C4" w:rsidP="00EF67AE">
      <w:pPr>
        <w:ind w:firstLine="0"/>
        <w:rPr>
          <w:rFonts w:ascii="Arial" w:hAnsi="Arial" w:cs="Arial"/>
          <w:sz w:val="24"/>
          <w:szCs w:val="24"/>
        </w:rPr>
      </w:pPr>
    </w:p>
    <w:p w:rsidR="008549DF" w:rsidRPr="001B12FB" w:rsidRDefault="008549DF" w:rsidP="008549DF">
      <w:pPr>
        <w:ind w:firstLine="0"/>
        <w:rPr>
          <w:rFonts w:ascii="Arial" w:hAnsi="Arial" w:cs="Arial"/>
          <w:b/>
          <w:sz w:val="24"/>
          <w:szCs w:val="24"/>
        </w:rPr>
      </w:pPr>
      <w:r w:rsidRPr="00CB1711">
        <w:rPr>
          <w:rFonts w:ascii="Arial" w:hAnsi="Arial" w:cs="Arial"/>
          <w:sz w:val="24"/>
          <w:szCs w:val="24"/>
        </w:rPr>
        <w:t>Out-of-state</w:t>
      </w:r>
      <w:r w:rsidRPr="00CB1711" w:rsidDel="00E01522">
        <w:rPr>
          <w:rFonts w:ascii="Arial" w:hAnsi="Arial" w:cs="Arial"/>
          <w:sz w:val="24"/>
          <w:szCs w:val="24"/>
        </w:rPr>
        <w:t xml:space="preserve"> </w:t>
      </w:r>
      <w:r w:rsidRPr="00CB1711">
        <w:rPr>
          <w:rFonts w:ascii="Arial" w:hAnsi="Arial" w:cs="Arial"/>
          <w:sz w:val="24"/>
          <w:szCs w:val="24"/>
        </w:rPr>
        <w:t>provider information is included for individual physician</w:t>
      </w:r>
      <w:r>
        <w:rPr>
          <w:rFonts w:ascii="Arial" w:hAnsi="Arial" w:cs="Arial"/>
          <w:sz w:val="24"/>
          <w:szCs w:val="24"/>
        </w:rPr>
        <w:t>s</w:t>
      </w:r>
      <w:r w:rsidRPr="00CB1711">
        <w:rPr>
          <w:rFonts w:ascii="Arial" w:hAnsi="Arial" w:cs="Arial"/>
          <w:sz w:val="24"/>
          <w:szCs w:val="24"/>
        </w:rPr>
        <w:t xml:space="preserve"> </w:t>
      </w:r>
      <w:r w:rsidRPr="00686250">
        <w:rPr>
          <w:rFonts w:ascii="Arial" w:hAnsi="Arial" w:cs="Arial"/>
          <w:sz w:val="24"/>
          <w:szCs w:val="24"/>
        </w:rPr>
        <w:t xml:space="preserve">with an </w:t>
      </w:r>
      <w:r>
        <w:rPr>
          <w:rFonts w:ascii="Arial" w:hAnsi="Arial" w:cs="Arial"/>
          <w:sz w:val="24"/>
          <w:szCs w:val="24"/>
        </w:rPr>
        <w:t>o</w:t>
      </w:r>
      <w:r w:rsidRPr="00131EE0">
        <w:rPr>
          <w:rFonts w:ascii="Arial" w:hAnsi="Arial" w:cs="Arial"/>
          <w:sz w:val="24"/>
          <w:szCs w:val="24"/>
        </w:rPr>
        <w:t>bstetrics</w:t>
      </w:r>
      <w:r w:rsidRPr="00686250">
        <w:rPr>
          <w:rFonts w:ascii="Arial" w:hAnsi="Arial" w:cs="Arial"/>
          <w:sz w:val="24"/>
          <w:szCs w:val="24"/>
        </w:rPr>
        <w:t xml:space="preserve"> specialty and certified nurse midwives </w:t>
      </w:r>
      <w:r w:rsidRPr="00CB1711">
        <w:rPr>
          <w:rFonts w:ascii="Arial" w:hAnsi="Arial" w:cs="Arial"/>
          <w:sz w:val="24"/>
          <w:szCs w:val="24"/>
        </w:rPr>
        <w:t>because those providers are eligible to enroll with MassHealth</w:t>
      </w:r>
      <w:r>
        <w:rPr>
          <w:rFonts w:ascii="Arial" w:hAnsi="Arial" w:cs="Arial"/>
          <w:sz w:val="24"/>
          <w:szCs w:val="24"/>
        </w:rPr>
        <w:t xml:space="preserve"> </w:t>
      </w:r>
      <w:r w:rsidRPr="00686250">
        <w:rPr>
          <w:rFonts w:ascii="Arial" w:hAnsi="Arial" w:cs="Arial"/>
          <w:sz w:val="24"/>
          <w:szCs w:val="24"/>
        </w:rPr>
        <w:t>and to deliver pre- and post-natal care</w:t>
      </w:r>
      <w:r w:rsidR="00F676CE">
        <w:rPr>
          <w:rFonts w:ascii="Arial" w:hAnsi="Arial" w:cs="Arial"/>
          <w:sz w:val="24"/>
          <w:szCs w:val="24"/>
        </w:rPr>
        <w:t>, including labor and delivery</w:t>
      </w:r>
      <w:r w:rsidRPr="00686250">
        <w:rPr>
          <w:rFonts w:ascii="Arial" w:hAnsi="Arial" w:cs="Arial"/>
          <w:sz w:val="24"/>
          <w:szCs w:val="24"/>
        </w:rPr>
        <w:t>.</w:t>
      </w:r>
      <w:r>
        <w:rPr>
          <w:rFonts w:ascii="Arial" w:hAnsi="Arial" w:cs="Arial"/>
          <w:sz w:val="24"/>
          <w:szCs w:val="24"/>
        </w:rPr>
        <w:t xml:space="preserve"> </w:t>
      </w:r>
      <w:r w:rsidRPr="00CB1711">
        <w:rPr>
          <w:rFonts w:ascii="Arial" w:hAnsi="Arial" w:cs="Arial"/>
          <w:sz w:val="24"/>
          <w:szCs w:val="24"/>
        </w:rPr>
        <w:t>Although providers may enroll from any state, o</w:t>
      </w:r>
      <w:r w:rsidR="005417D5">
        <w:rPr>
          <w:rFonts w:ascii="Arial" w:hAnsi="Arial" w:cs="Arial"/>
          <w:sz w:val="24"/>
          <w:szCs w:val="24"/>
        </w:rPr>
        <w:t xml:space="preserve">ut-of-state provider enrollment </w:t>
      </w:r>
      <w:r w:rsidRPr="00CB1711">
        <w:rPr>
          <w:rFonts w:ascii="Arial" w:hAnsi="Arial" w:cs="Arial"/>
          <w:sz w:val="24"/>
          <w:szCs w:val="24"/>
        </w:rPr>
        <w:t>particularly allows members who live near the state border to access a greater range of providers for care.</w:t>
      </w:r>
    </w:p>
    <w:p w:rsidR="008549DF" w:rsidRDefault="008549DF" w:rsidP="00EF67AE">
      <w:pPr>
        <w:ind w:firstLine="0"/>
        <w:rPr>
          <w:rFonts w:ascii="Arial" w:hAnsi="Arial" w:cs="Arial"/>
          <w:sz w:val="24"/>
          <w:szCs w:val="24"/>
        </w:rPr>
      </w:pPr>
    </w:p>
    <w:p w:rsidR="001921BC" w:rsidRPr="001C2769" w:rsidRDefault="001921BC" w:rsidP="001C2769">
      <w:pPr>
        <w:ind w:firstLine="0"/>
        <w:rPr>
          <w:rFonts w:ascii="Arial" w:hAnsi="Arial" w:cs="Arial"/>
          <w:b/>
          <w:sz w:val="24"/>
        </w:rPr>
      </w:pPr>
      <w:r w:rsidRPr="001C2769">
        <w:rPr>
          <w:rFonts w:ascii="Arial" w:hAnsi="Arial" w:cs="Arial"/>
          <w:b/>
          <w:sz w:val="24"/>
        </w:rPr>
        <w:t xml:space="preserve">Number of Physicians with an </w:t>
      </w:r>
      <w:r w:rsidR="00131EE0" w:rsidRPr="00A26993">
        <w:rPr>
          <w:rFonts w:ascii="Arial" w:hAnsi="Arial" w:cs="Arial"/>
          <w:b/>
          <w:sz w:val="24"/>
          <w:szCs w:val="24"/>
        </w:rPr>
        <w:t>Obstetrics</w:t>
      </w:r>
      <w:r w:rsidRPr="001C2769">
        <w:rPr>
          <w:rFonts w:ascii="Arial" w:hAnsi="Arial" w:cs="Arial"/>
          <w:b/>
          <w:sz w:val="24"/>
        </w:rPr>
        <w:t xml:space="preserve"> Specialty and Nurse Midwives </w:t>
      </w:r>
      <w:r w:rsidR="00CD3AA8">
        <w:rPr>
          <w:rFonts w:ascii="Arial" w:hAnsi="Arial" w:cs="Arial"/>
          <w:b/>
          <w:sz w:val="24"/>
        </w:rPr>
        <w:t>by County</w:t>
      </w:r>
      <w:r w:rsidRPr="001C2769">
        <w:rPr>
          <w:rFonts w:ascii="Arial" w:hAnsi="Arial" w:cs="Arial"/>
          <w:b/>
          <w:sz w:val="24"/>
        </w:rPr>
        <w:t xml:space="preserve"> SFY16-SFY18</w:t>
      </w:r>
    </w:p>
    <w:tbl>
      <w:tblPr>
        <w:tblW w:w="4360" w:type="dxa"/>
        <w:tblInd w:w="113" w:type="dxa"/>
        <w:tblLook w:val="04A0" w:firstRow="1" w:lastRow="0" w:firstColumn="1" w:lastColumn="0" w:noHBand="0" w:noVBand="1"/>
      </w:tblPr>
      <w:tblGrid>
        <w:gridCol w:w="1440"/>
        <w:gridCol w:w="1440"/>
        <w:gridCol w:w="1440"/>
        <w:gridCol w:w="1440"/>
      </w:tblGrid>
      <w:tr w:rsidR="009639B3" w:rsidRPr="009639B3" w:rsidTr="009639B3">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SFY18</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26</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22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25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12</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13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12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56</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57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56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0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76</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68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65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4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4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62</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60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62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13</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15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13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170</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176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168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2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4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103</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103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101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43344B" w:rsidP="00A208F4">
            <w:pPr>
              <w:ind w:firstLine="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Out-of-state</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5</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6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22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47</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36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36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311</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320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315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134</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140 </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143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A208F4" w:rsidRPr="009639B3" w:rsidRDefault="00A208F4" w:rsidP="00A208F4">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Total</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1,022</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1,023</w:t>
            </w:r>
          </w:p>
        </w:tc>
        <w:tc>
          <w:tcPr>
            <w:tcW w:w="1440" w:type="dxa"/>
            <w:tcBorders>
              <w:top w:val="nil"/>
              <w:left w:val="nil"/>
              <w:bottom w:val="single" w:sz="4" w:space="0" w:color="auto"/>
              <w:right w:val="single" w:sz="4" w:space="0" w:color="auto"/>
            </w:tcBorders>
            <w:shd w:val="clear" w:color="000000" w:fill="FFFFFF"/>
            <w:noWrap/>
            <w:vAlign w:val="bottom"/>
            <w:hideMark/>
          </w:tcPr>
          <w:p w:rsidR="00A208F4" w:rsidRPr="009639B3" w:rsidRDefault="00A208F4" w:rsidP="00A208F4">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1,026</w:t>
            </w:r>
          </w:p>
        </w:tc>
      </w:tr>
    </w:tbl>
    <w:p w:rsidR="007B6E50" w:rsidRPr="00DA770C" w:rsidRDefault="007B6E50" w:rsidP="00DA770C">
      <w:pPr>
        <w:ind w:left="360" w:firstLine="0"/>
      </w:pPr>
    </w:p>
    <w:p w:rsidR="00E94F36" w:rsidRPr="008D20B2" w:rsidRDefault="0066291B" w:rsidP="008D20B2">
      <w:pPr>
        <w:pStyle w:val="Heading2"/>
        <w:rPr>
          <w:rFonts w:ascii="Arial" w:hAnsi="Arial" w:cs="Arial"/>
          <w:color w:val="auto"/>
          <w:sz w:val="24"/>
          <w:u w:val="single"/>
        </w:rPr>
      </w:pPr>
      <w:bookmarkStart w:id="57" w:name="_Toc10810591"/>
      <w:bookmarkStart w:id="58" w:name="_Toc20296942"/>
      <w:r w:rsidRPr="008D20B2">
        <w:rPr>
          <w:rFonts w:ascii="Arial" w:hAnsi="Arial" w:cs="Arial"/>
          <w:color w:val="auto"/>
          <w:sz w:val="24"/>
          <w:u w:val="single"/>
        </w:rPr>
        <w:t xml:space="preserve">2. </w:t>
      </w:r>
      <w:r w:rsidR="008C42B4" w:rsidRPr="008D20B2">
        <w:rPr>
          <w:rFonts w:ascii="Arial" w:hAnsi="Arial" w:cs="Arial"/>
          <w:color w:val="auto"/>
          <w:sz w:val="24"/>
          <w:u w:val="single"/>
        </w:rPr>
        <w:t>Physicians with an</w:t>
      </w:r>
      <w:r w:rsidR="008C42B4" w:rsidRPr="00A26993">
        <w:rPr>
          <w:rFonts w:ascii="Arial" w:hAnsi="Arial" w:cs="Arial"/>
          <w:color w:val="auto"/>
          <w:sz w:val="24"/>
          <w:u w:val="single"/>
        </w:rPr>
        <w:t xml:space="preserve"> </w:t>
      </w:r>
      <w:r w:rsidR="00131EE0" w:rsidRPr="00A26993">
        <w:rPr>
          <w:rFonts w:ascii="Arial" w:hAnsi="Arial" w:cs="Arial"/>
          <w:color w:val="auto"/>
          <w:sz w:val="24"/>
          <w:szCs w:val="24"/>
          <w:u w:val="single"/>
        </w:rPr>
        <w:t>Obstetrics</w:t>
      </w:r>
      <w:r w:rsidR="00570BEC" w:rsidRPr="00A26993">
        <w:rPr>
          <w:rFonts w:ascii="Arial" w:hAnsi="Arial" w:cs="Arial"/>
          <w:color w:val="auto"/>
          <w:sz w:val="24"/>
          <w:u w:val="single"/>
        </w:rPr>
        <w:t xml:space="preserve"> </w:t>
      </w:r>
      <w:r w:rsidR="00570BEC" w:rsidRPr="008D20B2">
        <w:rPr>
          <w:rFonts w:ascii="Arial" w:hAnsi="Arial" w:cs="Arial"/>
          <w:color w:val="auto"/>
          <w:sz w:val="24"/>
          <w:u w:val="single"/>
        </w:rPr>
        <w:t>Specialty and Nurse Midwif</w:t>
      </w:r>
      <w:r w:rsidR="00E47233" w:rsidRPr="008D20B2">
        <w:rPr>
          <w:rFonts w:ascii="Arial" w:hAnsi="Arial" w:cs="Arial"/>
          <w:color w:val="auto"/>
          <w:sz w:val="24"/>
          <w:u w:val="single"/>
        </w:rPr>
        <w:t>e</w:t>
      </w:r>
      <w:r w:rsidR="00E47233" w:rsidRPr="008D20B2" w:rsidDel="00E47233">
        <w:rPr>
          <w:rFonts w:ascii="Arial" w:hAnsi="Arial" w:cs="Arial"/>
          <w:color w:val="auto"/>
          <w:sz w:val="24"/>
          <w:u w:val="single"/>
        </w:rPr>
        <w:t xml:space="preserve"> </w:t>
      </w:r>
      <w:r w:rsidR="00C15602" w:rsidRPr="008D20B2">
        <w:rPr>
          <w:rFonts w:ascii="Arial" w:hAnsi="Arial" w:cs="Arial"/>
          <w:color w:val="auto"/>
          <w:sz w:val="24"/>
          <w:u w:val="single"/>
        </w:rPr>
        <w:t>Member/</w:t>
      </w:r>
      <w:r w:rsidR="00E264ED" w:rsidRPr="008D20B2">
        <w:rPr>
          <w:rFonts w:ascii="Arial" w:hAnsi="Arial" w:cs="Arial"/>
          <w:color w:val="auto"/>
          <w:sz w:val="24"/>
          <w:u w:val="single"/>
        </w:rPr>
        <w:t xml:space="preserve"> </w:t>
      </w:r>
      <w:r w:rsidR="00C15602" w:rsidRPr="008D20B2">
        <w:rPr>
          <w:rFonts w:ascii="Arial" w:hAnsi="Arial" w:cs="Arial"/>
          <w:color w:val="auto"/>
          <w:sz w:val="24"/>
          <w:u w:val="single"/>
        </w:rPr>
        <w:t>Provider</w:t>
      </w:r>
      <w:r w:rsidR="00CC2B38" w:rsidRPr="008D20B2">
        <w:rPr>
          <w:rFonts w:ascii="Arial" w:hAnsi="Arial" w:cs="Arial"/>
          <w:color w:val="auto"/>
          <w:sz w:val="24"/>
          <w:u w:val="single"/>
        </w:rPr>
        <w:t xml:space="preserve"> R</w:t>
      </w:r>
      <w:r w:rsidR="00E94F36" w:rsidRPr="008D20B2">
        <w:rPr>
          <w:rFonts w:ascii="Arial" w:hAnsi="Arial" w:cs="Arial"/>
          <w:color w:val="auto"/>
          <w:sz w:val="24"/>
          <w:u w:val="single"/>
        </w:rPr>
        <w:t>atios</w:t>
      </w:r>
      <w:bookmarkEnd w:id="57"/>
      <w:bookmarkEnd w:id="58"/>
    </w:p>
    <w:p w:rsidR="00D20626" w:rsidRPr="00686250" w:rsidRDefault="00D20626" w:rsidP="003D6D87">
      <w:pPr>
        <w:ind w:firstLine="0"/>
        <w:rPr>
          <w:rFonts w:ascii="Arial" w:hAnsi="Arial" w:cs="Arial"/>
          <w:sz w:val="24"/>
          <w:szCs w:val="24"/>
        </w:rPr>
      </w:pPr>
    </w:p>
    <w:p w:rsidR="004C528D" w:rsidRDefault="004C528D" w:rsidP="00D20626">
      <w:pPr>
        <w:ind w:firstLine="0"/>
        <w:rPr>
          <w:rFonts w:ascii="Arial" w:hAnsi="Arial" w:cs="Arial"/>
          <w:sz w:val="24"/>
          <w:szCs w:val="24"/>
        </w:rPr>
      </w:pPr>
      <w:r w:rsidRPr="004C528D">
        <w:rPr>
          <w:rFonts w:ascii="Arial" w:hAnsi="Arial" w:cs="Arial"/>
          <w:sz w:val="24"/>
          <w:szCs w:val="24"/>
        </w:rPr>
        <w:t>The member/provider ratios trended for stability over time in the following section offer context to the provider data tables above.</w:t>
      </w:r>
    </w:p>
    <w:p w:rsidR="004C528D" w:rsidRDefault="004C528D" w:rsidP="00D20626">
      <w:pPr>
        <w:ind w:firstLine="0"/>
        <w:rPr>
          <w:rFonts w:ascii="Arial" w:hAnsi="Arial" w:cs="Arial"/>
          <w:sz w:val="24"/>
          <w:szCs w:val="24"/>
        </w:rPr>
      </w:pPr>
    </w:p>
    <w:p w:rsidR="00D20626" w:rsidRPr="00686250" w:rsidRDefault="00D20626" w:rsidP="00D20626">
      <w:pPr>
        <w:ind w:firstLine="0"/>
        <w:rPr>
          <w:rFonts w:ascii="Arial" w:hAnsi="Arial" w:cs="Arial"/>
          <w:sz w:val="24"/>
          <w:szCs w:val="24"/>
        </w:rPr>
      </w:pPr>
      <w:r w:rsidRPr="00686250">
        <w:rPr>
          <w:rFonts w:ascii="Arial" w:hAnsi="Arial" w:cs="Arial"/>
          <w:sz w:val="24"/>
          <w:szCs w:val="24"/>
        </w:rPr>
        <w:t>Data source: MMIS member and provider enrollment data</w:t>
      </w:r>
    </w:p>
    <w:p w:rsidR="00CC2B38" w:rsidRPr="00686250" w:rsidRDefault="00CC2B38" w:rsidP="00D20626">
      <w:pPr>
        <w:ind w:firstLine="0"/>
        <w:rPr>
          <w:rFonts w:ascii="Arial" w:hAnsi="Arial" w:cs="Arial"/>
          <w:sz w:val="24"/>
          <w:szCs w:val="24"/>
        </w:rPr>
      </w:pPr>
    </w:p>
    <w:p w:rsidR="00D20626" w:rsidRPr="00686250" w:rsidRDefault="00D20626" w:rsidP="00D20626">
      <w:pPr>
        <w:ind w:firstLine="0"/>
        <w:rPr>
          <w:rFonts w:ascii="Arial" w:hAnsi="Arial" w:cs="Arial"/>
          <w:sz w:val="24"/>
          <w:szCs w:val="24"/>
        </w:rPr>
      </w:pPr>
      <w:r w:rsidRPr="00686250">
        <w:rPr>
          <w:rFonts w:ascii="Arial" w:hAnsi="Arial" w:cs="Arial"/>
          <w:sz w:val="24"/>
          <w:szCs w:val="24"/>
        </w:rPr>
        <w:t>Methodology</w:t>
      </w:r>
      <w:r w:rsidR="00514B97" w:rsidRPr="00686250">
        <w:rPr>
          <w:rFonts w:ascii="Arial" w:hAnsi="Arial" w:cs="Arial"/>
          <w:sz w:val="24"/>
          <w:szCs w:val="24"/>
        </w:rPr>
        <w:t xml:space="preserve">: </w:t>
      </w:r>
      <w:r w:rsidR="00056AC7" w:rsidRPr="00686250">
        <w:rPr>
          <w:rFonts w:ascii="Arial" w:hAnsi="Arial" w:cs="Arial"/>
          <w:sz w:val="24"/>
          <w:szCs w:val="24"/>
        </w:rPr>
        <w:t>T</w:t>
      </w:r>
      <w:r w:rsidRPr="00686250">
        <w:rPr>
          <w:rFonts w:ascii="Arial" w:hAnsi="Arial" w:cs="Arial"/>
          <w:sz w:val="24"/>
          <w:szCs w:val="24"/>
        </w:rPr>
        <w:t>he number of enrolled eligible Medicaid members in each county</w:t>
      </w:r>
      <w:r w:rsidR="0013265E" w:rsidRPr="00686250">
        <w:rPr>
          <w:rFonts w:ascii="Arial" w:hAnsi="Arial" w:cs="Arial"/>
          <w:sz w:val="24"/>
          <w:szCs w:val="24"/>
        </w:rPr>
        <w:t>, divided</w:t>
      </w:r>
      <w:r w:rsidRPr="00686250">
        <w:rPr>
          <w:rFonts w:ascii="Arial" w:hAnsi="Arial" w:cs="Arial"/>
          <w:sz w:val="24"/>
          <w:szCs w:val="24"/>
        </w:rPr>
        <w:t xml:space="preserve"> by the number of active, enrolled providers</w:t>
      </w:r>
      <w:r w:rsidR="00E47233" w:rsidRPr="00686250">
        <w:rPr>
          <w:rFonts w:ascii="Arial" w:hAnsi="Arial" w:cs="Arial"/>
          <w:sz w:val="24"/>
          <w:szCs w:val="24"/>
        </w:rPr>
        <w:t xml:space="preserve"> </w:t>
      </w:r>
      <w:r w:rsidR="00DD1785" w:rsidRPr="00686250">
        <w:rPr>
          <w:rFonts w:ascii="Arial" w:hAnsi="Arial" w:cs="Arial"/>
          <w:sz w:val="24"/>
          <w:szCs w:val="24"/>
        </w:rPr>
        <w:t>in that county</w:t>
      </w:r>
      <w:r w:rsidR="003D6D87" w:rsidRPr="00686250">
        <w:rPr>
          <w:rFonts w:ascii="Arial" w:hAnsi="Arial" w:cs="Arial"/>
          <w:sz w:val="24"/>
          <w:szCs w:val="24"/>
        </w:rPr>
        <w:t>.</w:t>
      </w:r>
    </w:p>
    <w:p w:rsidR="00D20626" w:rsidRPr="00686250" w:rsidRDefault="00D20626" w:rsidP="00D20626">
      <w:pPr>
        <w:ind w:firstLine="0"/>
        <w:rPr>
          <w:rFonts w:ascii="Arial" w:hAnsi="Arial" w:cs="Arial"/>
          <w:sz w:val="24"/>
          <w:szCs w:val="24"/>
        </w:rPr>
      </w:pPr>
    </w:p>
    <w:p w:rsidR="00056AC7" w:rsidRPr="00686250" w:rsidRDefault="00056AC7" w:rsidP="00D20626">
      <w:pPr>
        <w:ind w:firstLine="0"/>
        <w:rPr>
          <w:rFonts w:ascii="Arial" w:hAnsi="Arial" w:cs="Arial"/>
          <w:sz w:val="24"/>
          <w:szCs w:val="24"/>
        </w:rPr>
      </w:pPr>
      <w:r w:rsidRPr="00686250">
        <w:rPr>
          <w:rFonts w:ascii="Arial" w:hAnsi="Arial" w:cs="Arial"/>
          <w:sz w:val="24"/>
          <w:szCs w:val="24"/>
        </w:rPr>
        <w:t>E</w:t>
      </w:r>
      <w:r w:rsidR="00D20626" w:rsidRPr="00686250">
        <w:rPr>
          <w:rFonts w:ascii="Arial" w:hAnsi="Arial" w:cs="Arial"/>
          <w:sz w:val="24"/>
          <w:szCs w:val="24"/>
        </w:rPr>
        <w:t>ligible members are defined as PCC plan members</w:t>
      </w:r>
      <w:r w:rsidR="004E26BD" w:rsidRPr="00686250">
        <w:rPr>
          <w:rFonts w:ascii="Arial" w:hAnsi="Arial" w:cs="Arial"/>
          <w:sz w:val="24"/>
          <w:szCs w:val="24"/>
        </w:rPr>
        <w:t>, member</w:t>
      </w:r>
      <w:r w:rsidR="00A873C1" w:rsidRPr="00686250">
        <w:rPr>
          <w:rFonts w:ascii="Arial" w:hAnsi="Arial" w:cs="Arial"/>
          <w:sz w:val="24"/>
          <w:szCs w:val="24"/>
        </w:rPr>
        <w:t>s</w:t>
      </w:r>
      <w:r w:rsidR="004E26BD" w:rsidRPr="00686250">
        <w:rPr>
          <w:rFonts w:ascii="Arial" w:hAnsi="Arial" w:cs="Arial"/>
          <w:sz w:val="24"/>
          <w:szCs w:val="24"/>
        </w:rPr>
        <w:t xml:space="preserve"> enrolled with </w:t>
      </w:r>
      <w:r w:rsidR="00A873C1" w:rsidRPr="00686250">
        <w:rPr>
          <w:rFonts w:ascii="Arial" w:hAnsi="Arial" w:cs="Arial"/>
          <w:sz w:val="24"/>
          <w:szCs w:val="24"/>
        </w:rPr>
        <w:t xml:space="preserve">a Primary Care </w:t>
      </w:r>
      <w:r w:rsidR="004E26BD" w:rsidRPr="00686250">
        <w:rPr>
          <w:rFonts w:ascii="Arial" w:hAnsi="Arial" w:cs="Arial"/>
          <w:sz w:val="24"/>
          <w:szCs w:val="24"/>
        </w:rPr>
        <w:t>ACO</w:t>
      </w:r>
      <w:r w:rsidR="00D20626" w:rsidRPr="00686250">
        <w:rPr>
          <w:rFonts w:ascii="Arial" w:hAnsi="Arial" w:cs="Arial"/>
          <w:sz w:val="24"/>
          <w:szCs w:val="24"/>
        </w:rPr>
        <w:t xml:space="preserve"> and FFS members with MassHealth as primary coverage who are female and age </w:t>
      </w:r>
      <w:r w:rsidR="00E47233" w:rsidRPr="00686250">
        <w:rPr>
          <w:rFonts w:ascii="Arial" w:hAnsi="Arial" w:cs="Arial"/>
          <w:sz w:val="24"/>
          <w:szCs w:val="24"/>
        </w:rPr>
        <w:t>15-44</w:t>
      </w:r>
      <w:r w:rsidR="00F70A32">
        <w:rPr>
          <w:rFonts w:ascii="Arial" w:hAnsi="Arial" w:cs="Arial"/>
          <w:sz w:val="24"/>
          <w:szCs w:val="24"/>
        </w:rPr>
        <w:t>. This</w:t>
      </w:r>
      <w:r w:rsidR="0023588D" w:rsidRPr="00686250">
        <w:rPr>
          <w:rFonts w:ascii="Arial" w:hAnsi="Arial" w:cs="Arial"/>
          <w:sz w:val="24"/>
          <w:szCs w:val="24"/>
        </w:rPr>
        <w:t xml:space="preserve"> correspond</w:t>
      </w:r>
      <w:r w:rsidR="00F70A32">
        <w:rPr>
          <w:rFonts w:ascii="Arial" w:hAnsi="Arial" w:cs="Arial"/>
          <w:sz w:val="24"/>
          <w:szCs w:val="24"/>
        </w:rPr>
        <w:t>s to</w:t>
      </w:r>
      <w:r w:rsidR="0023588D" w:rsidRPr="00686250">
        <w:rPr>
          <w:rFonts w:ascii="Arial" w:hAnsi="Arial" w:cs="Arial"/>
          <w:sz w:val="24"/>
          <w:szCs w:val="24"/>
        </w:rPr>
        <w:t xml:space="preserve"> the CDC and Massachusetts Department of Public Health definitions of women of reproductive age.</w:t>
      </w:r>
      <w:r w:rsidR="00CC1C46" w:rsidRPr="00686250">
        <w:rPr>
          <w:rFonts w:ascii="Arial" w:hAnsi="Arial" w:cs="Arial"/>
          <w:sz w:val="24"/>
          <w:szCs w:val="24"/>
        </w:rPr>
        <w:t xml:space="preserve"> </w:t>
      </w:r>
      <w:r w:rsidR="0023588D" w:rsidRPr="00686250">
        <w:rPr>
          <w:rFonts w:ascii="Arial" w:hAnsi="Arial" w:cs="Arial"/>
          <w:sz w:val="24"/>
          <w:szCs w:val="24"/>
        </w:rPr>
        <w:t>While t</w:t>
      </w:r>
      <w:r w:rsidRPr="00686250">
        <w:rPr>
          <w:rFonts w:ascii="Arial" w:hAnsi="Arial" w:cs="Arial"/>
          <w:sz w:val="24"/>
          <w:szCs w:val="24"/>
        </w:rPr>
        <w:t>hese members are considered to be of reproductive age with the potential for pregnancy</w:t>
      </w:r>
      <w:r w:rsidR="0023588D" w:rsidRPr="00686250">
        <w:rPr>
          <w:rFonts w:ascii="Arial" w:hAnsi="Arial" w:cs="Arial"/>
          <w:sz w:val="24"/>
          <w:szCs w:val="24"/>
        </w:rPr>
        <w:t xml:space="preserve">, </w:t>
      </w:r>
      <w:r w:rsidRPr="00686250">
        <w:rPr>
          <w:rFonts w:ascii="Arial" w:hAnsi="Arial" w:cs="Arial"/>
          <w:sz w:val="24"/>
          <w:szCs w:val="24"/>
        </w:rPr>
        <w:t xml:space="preserve">not all </w:t>
      </w:r>
      <w:r w:rsidR="00C22A24">
        <w:rPr>
          <w:rFonts w:ascii="Arial" w:hAnsi="Arial" w:cs="Arial"/>
          <w:sz w:val="24"/>
          <w:szCs w:val="24"/>
        </w:rPr>
        <w:t>are</w:t>
      </w:r>
      <w:r w:rsidRPr="00686250">
        <w:rPr>
          <w:rFonts w:ascii="Arial" w:hAnsi="Arial" w:cs="Arial"/>
          <w:sz w:val="24"/>
          <w:szCs w:val="24"/>
        </w:rPr>
        <w:t xml:space="preserve"> pregnant</w:t>
      </w:r>
      <w:r w:rsidR="0023588D" w:rsidRPr="00686250">
        <w:rPr>
          <w:rFonts w:ascii="Arial" w:hAnsi="Arial" w:cs="Arial"/>
          <w:sz w:val="24"/>
          <w:szCs w:val="24"/>
        </w:rPr>
        <w:t>.</w:t>
      </w:r>
    </w:p>
    <w:p w:rsidR="0056151B" w:rsidRDefault="0056151B" w:rsidP="00D20626">
      <w:pPr>
        <w:ind w:firstLine="0"/>
        <w:rPr>
          <w:rFonts w:ascii="Arial" w:hAnsi="Arial" w:cs="Arial"/>
          <w:sz w:val="24"/>
          <w:szCs w:val="24"/>
        </w:rPr>
      </w:pPr>
    </w:p>
    <w:p w:rsidR="004A640B" w:rsidRPr="00FD405F" w:rsidRDefault="004A640B" w:rsidP="004A640B">
      <w:pPr>
        <w:ind w:firstLine="0"/>
        <w:rPr>
          <w:rFonts w:ascii="Arial" w:hAnsi="Arial" w:cs="Arial"/>
          <w:sz w:val="24"/>
          <w:szCs w:val="24"/>
        </w:rPr>
      </w:pPr>
      <w:r w:rsidRPr="00FD405F">
        <w:rPr>
          <w:rFonts w:ascii="Arial" w:hAnsi="Arial" w:cs="Arial"/>
          <w:sz w:val="24"/>
          <w:szCs w:val="24"/>
        </w:rPr>
        <w:t>N/A indicates</w:t>
      </w:r>
      <w:r>
        <w:rPr>
          <w:rFonts w:ascii="Arial" w:hAnsi="Arial" w:cs="Arial"/>
          <w:sz w:val="24"/>
          <w:szCs w:val="24"/>
        </w:rPr>
        <w:t xml:space="preserve"> a ratio could not be computed because</w:t>
      </w:r>
      <w:r w:rsidRPr="00FD405F">
        <w:rPr>
          <w:rFonts w:ascii="Arial" w:hAnsi="Arial" w:cs="Arial"/>
          <w:sz w:val="24"/>
          <w:szCs w:val="24"/>
        </w:rPr>
        <w:t xml:space="preserve"> there are no such providers in that </w:t>
      </w:r>
      <w:proofErr w:type="gramStart"/>
      <w:r w:rsidRPr="00FD405F">
        <w:rPr>
          <w:rFonts w:ascii="Arial" w:hAnsi="Arial" w:cs="Arial"/>
          <w:sz w:val="24"/>
          <w:szCs w:val="24"/>
        </w:rPr>
        <w:t>county</w:t>
      </w:r>
      <w:proofErr w:type="gramEnd"/>
      <w:r w:rsidRPr="00FD405F">
        <w:rPr>
          <w:rFonts w:ascii="Arial" w:hAnsi="Arial" w:cs="Arial"/>
          <w:sz w:val="24"/>
          <w:szCs w:val="24"/>
        </w:rPr>
        <w:t>.</w:t>
      </w:r>
    </w:p>
    <w:p w:rsidR="00FF472E" w:rsidRDefault="00FF472E" w:rsidP="00D20626">
      <w:pPr>
        <w:ind w:firstLine="0"/>
        <w:rPr>
          <w:rFonts w:ascii="Arial" w:hAnsi="Arial" w:cs="Arial"/>
          <w:sz w:val="24"/>
          <w:szCs w:val="24"/>
        </w:rPr>
      </w:pPr>
    </w:p>
    <w:p w:rsidR="00D20626" w:rsidRPr="00686250" w:rsidRDefault="009A3A09" w:rsidP="00D20626">
      <w:pPr>
        <w:ind w:firstLine="0"/>
        <w:rPr>
          <w:rFonts w:ascii="Arial" w:hAnsi="Arial" w:cs="Arial"/>
          <w:sz w:val="24"/>
          <w:szCs w:val="24"/>
        </w:rPr>
      </w:pPr>
      <w:r w:rsidRPr="00686250">
        <w:rPr>
          <w:rFonts w:ascii="Arial" w:hAnsi="Arial" w:cs="Arial"/>
          <w:sz w:val="24"/>
          <w:szCs w:val="24"/>
        </w:rPr>
        <w:lastRenderedPageBreak/>
        <w:t>T</w:t>
      </w:r>
      <w:r w:rsidR="00276B17" w:rsidRPr="00686250">
        <w:rPr>
          <w:rFonts w:ascii="Arial" w:hAnsi="Arial" w:cs="Arial"/>
          <w:sz w:val="24"/>
          <w:szCs w:val="24"/>
        </w:rPr>
        <w:t xml:space="preserve">he ratios below are based on the residence of the members and the provider counts for </w:t>
      </w:r>
      <w:r w:rsidR="007B09D3" w:rsidRPr="00686250">
        <w:rPr>
          <w:rFonts w:ascii="Arial" w:hAnsi="Arial" w:cs="Arial"/>
          <w:sz w:val="24"/>
          <w:szCs w:val="24"/>
        </w:rPr>
        <w:t>members’</w:t>
      </w:r>
      <w:r w:rsidR="00276B17" w:rsidRPr="00686250">
        <w:rPr>
          <w:rFonts w:ascii="Arial" w:hAnsi="Arial" w:cs="Arial"/>
          <w:sz w:val="24"/>
          <w:szCs w:val="24"/>
        </w:rPr>
        <w:t xml:space="preserve"> counties of residence. Therefore</w:t>
      </w:r>
      <w:r w:rsidR="009639B3">
        <w:rPr>
          <w:rFonts w:ascii="Arial" w:hAnsi="Arial" w:cs="Arial"/>
          <w:sz w:val="24"/>
          <w:szCs w:val="24"/>
        </w:rPr>
        <w:t>,</w:t>
      </w:r>
      <w:r w:rsidR="00276B17" w:rsidRPr="00686250">
        <w:rPr>
          <w:rFonts w:ascii="Arial" w:hAnsi="Arial" w:cs="Arial"/>
          <w:sz w:val="24"/>
          <w:szCs w:val="24"/>
        </w:rPr>
        <w:t xml:space="preserve"> out</w:t>
      </w:r>
      <w:r w:rsidR="004B468B" w:rsidRPr="00686250">
        <w:rPr>
          <w:rFonts w:ascii="Arial" w:hAnsi="Arial" w:cs="Arial"/>
          <w:sz w:val="24"/>
          <w:szCs w:val="24"/>
        </w:rPr>
        <w:t>-</w:t>
      </w:r>
      <w:r w:rsidR="00276B17" w:rsidRPr="00686250">
        <w:rPr>
          <w:rFonts w:ascii="Arial" w:hAnsi="Arial" w:cs="Arial"/>
          <w:sz w:val="24"/>
          <w:szCs w:val="24"/>
        </w:rPr>
        <w:t>of</w:t>
      </w:r>
      <w:r w:rsidR="004B468B" w:rsidRPr="00686250">
        <w:rPr>
          <w:rFonts w:ascii="Arial" w:hAnsi="Arial" w:cs="Arial"/>
          <w:sz w:val="24"/>
          <w:szCs w:val="24"/>
        </w:rPr>
        <w:t>-</w:t>
      </w:r>
      <w:r w:rsidR="00276B17" w:rsidRPr="00686250">
        <w:rPr>
          <w:rFonts w:ascii="Arial" w:hAnsi="Arial" w:cs="Arial"/>
          <w:sz w:val="24"/>
          <w:szCs w:val="24"/>
        </w:rPr>
        <w:t>state providers are not included in determining the member per provider ratios.</w:t>
      </w:r>
    </w:p>
    <w:p w:rsidR="00485965" w:rsidRPr="00686250" w:rsidRDefault="00485965" w:rsidP="00D20626">
      <w:pPr>
        <w:ind w:firstLine="0"/>
        <w:rPr>
          <w:rFonts w:ascii="Arial" w:hAnsi="Arial" w:cs="Arial"/>
          <w:sz w:val="24"/>
          <w:szCs w:val="24"/>
        </w:rPr>
      </w:pPr>
    </w:p>
    <w:p w:rsidR="00F2329F" w:rsidRPr="007E369D" w:rsidRDefault="00485965" w:rsidP="00F2329F">
      <w:pPr>
        <w:ind w:firstLine="0"/>
        <w:rPr>
          <w:rFonts w:ascii="Arial" w:hAnsi="Arial" w:cs="Arial"/>
          <w:sz w:val="24"/>
          <w:szCs w:val="24"/>
        </w:rPr>
      </w:pPr>
      <w:r w:rsidRPr="00686250">
        <w:rPr>
          <w:rFonts w:ascii="Arial" w:hAnsi="Arial" w:cs="Arial"/>
          <w:sz w:val="24"/>
          <w:szCs w:val="24"/>
        </w:rPr>
        <w:t xml:space="preserve">In addition, many </w:t>
      </w:r>
      <w:r w:rsidR="00F2329F" w:rsidRPr="002C37D2">
        <w:rPr>
          <w:rFonts w:ascii="Arial" w:hAnsi="Arial" w:cs="Arial"/>
          <w:sz w:val="24"/>
        </w:rPr>
        <w:t xml:space="preserve">physicians with an </w:t>
      </w:r>
      <w:r w:rsidR="00131EE0" w:rsidRPr="002C37D2">
        <w:rPr>
          <w:rFonts w:ascii="Arial" w:hAnsi="Arial" w:cs="Arial"/>
          <w:sz w:val="24"/>
          <w:szCs w:val="24"/>
        </w:rPr>
        <w:t>obstetrics</w:t>
      </w:r>
      <w:r w:rsidR="00F2329F" w:rsidRPr="002C37D2">
        <w:rPr>
          <w:rFonts w:ascii="Arial" w:hAnsi="Arial" w:cs="Arial"/>
          <w:sz w:val="24"/>
        </w:rPr>
        <w:t xml:space="preserve"> specialty and nurse midwi</w:t>
      </w:r>
      <w:r w:rsidR="00F676CE" w:rsidRPr="002C37D2">
        <w:rPr>
          <w:rFonts w:ascii="Arial" w:hAnsi="Arial" w:cs="Arial"/>
          <w:sz w:val="24"/>
        </w:rPr>
        <w:t>v</w:t>
      </w:r>
      <w:r w:rsidR="00F2329F" w:rsidRPr="002C37D2">
        <w:rPr>
          <w:rFonts w:ascii="Arial" w:hAnsi="Arial" w:cs="Arial"/>
          <w:sz w:val="24"/>
        </w:rPr>
        <w:t>es</w:t>
      </w:r>
      <w:r w:rsidR="00F2329F">
        <w:rPr>
          <w:rFonts w:ascii="Arial" w:hAnsi="Arial" w:cs="Arial"/>
          <w:sz w:val="24"/>
          <w:u w:val="single"/>
        </w:rPr>
        <w:t xml:space="preserve"> </w:t>
      </w:r>
      <w:r w:rsidR="00F2329F" w:rsidRPr="00B73EDB">
        <w:rPr>
          <w:rFonts w:ascii="Arial" w:hAnsi="Arial" w:cs="Arial"/>
          <w:sz w:val="24"/>
          <w:szCs w:val="24"/>
        </w:rPr>
        <w:t xml:space="preserve">may be </w:t>
      </w:r>
      <w:r w:rsidR="00F2329F">
        <w:rPr>
          <w:rFonts w:ascii="Arial" w:hAnsi="Arial" w:cs="Arial"/>
          <w:sz w:val="24"/>
          <w:szCs w:val="24"/>
        </w:rPr>
        <w:t>facility</w:t>
      </w:r>
      <w:r w:rsidR="00F2329F" w:rsidRPr="00B73EDB">
        <w:rPr>
          <w:rFonts w:ascii="Arial" w:hAnsi="Arial" w:cs="Arial"/>
          <w:sz w:val="24"/>
          <w:szCs w:val="24"/>
        </w:rPr>
        <w:t xml:space="preserve">-based </w:t>
      </w:r>
      <w:r w:rsidR="00F2329F">
        <w:rPr>
          <w:rFonts w:ascii="Arial" w:hAnsi="Arial" w:cs="Arial"/>
          <w:sz w:val="24"/>
          <w:szCs w:val="24"/>
        </w:rPr>
        <w:t>clinicians</w:t>
      </w:r>
      <w:r w:rsidR="00F2329F" w:rsidRPr="00B73EDB">
        <w:rPr>
          <w:rFonts w:ascii="Arial" w:hAnsi="Arial" w:cs="Arial"/>
          <w:sz w:val="24"/>
          <w:szCs w:val="24"/>
        </w:rPr>
        <w:t xml:space="preserve"> who do not practice independently and may only be affiliated with a hospital</w:t>
      </w:r>
      <w:r w:rsidR="00F2329F">
        <w:rPr>
          <w:rFonts w:ascii="Arial" w:hAnsi="Arial" w:cs="Arial"/>
          <w:sz w:val="24"/>
          <w:szCs w:val="24"/>
        </w:rPr>
        <w:t xml:space="preserve"> or </w:t>
      </w:r>
      <w:r w:rsidR="001E1A44">
        <w:rPr>
          <w:rFonts w:ascii="Arial" w:hAnsi="Arial" w:cs="Arial"/>
          <w:sz w:val="24"/>
          <w:szCs w:val="24"/>
        </w:rPr>
        <w:t>CHCs</w:t>
      </w:r>
      <w:r w:rsidR="00F2329F" w:rsidRPr="00B73EDB">
        <w:rPr>
          <w:rFonts w:ascii="Arial" w:hAnsi="Arial" w:cs="Arial"/>
          <w:sz w:val="24"/>
          <w:szCs w:val="24"/>
        </w:rPr>
        <w:t xml:space="preserve">. Therefore, because they are not all individually enrolled as billing providers with MassHealth, they are not reflected in the data below and, as a result, the provider counts </w:t>
      </w:r>
      <w:r w:rsidR="00F2329F">
        <w:rPr>
          <w:rFonts w:ascii="Arial" w:hAnsi="Arial" w:cs="Arial"/>
          <w:sz w:val="24"/>
          <w:szCs w:val="24"/>
        </w:rPr>
        <w:t xml:space="preserve">may underestimate the number of </w:t>
      </w:r>
      <w:r w:rsidR="00813D52">
        <w:rPr>
          <w:rFonts w:ascii="Arial" w:hAnsi="Arial" w:cs="Arial"/>
          <w:sz w:val="24"/>
          <w:szCs w:val="24"/>
        </w:rPr>
        <w:t xml:space="preserve">actual </w:t>
      </w:r>
      <w:r w:rsidR="00F2329F">
        <w:rPr>
          <w:rFonts w:ascii="Arial" w:hAnsi="Arial" w:cs="Arial"/>
          <w:sz w:val="24"/>
          <w:szCs w:val="24"/>
        </w:rPr>
        <w:t>clinicians providing services</w:t>
      </w:r>
      <w:r w:rsidR="00F2329F" w:rsidRPr="00B73EDB">
        <w:rPr>
          <w:rFonts w:ascii="Arial" w:hAnsi="Arial" w:cs="Arial"/>
          <w:sz w:val="24"/>
          <w:szCs w:val="24"/>
        </w:rPr>
        <w:t>.</w:t>
      </w:r>
    </w:p>
    <w:p w:rsidR="00485965" w:rsidRPr="00686250" w:rsidRDefault="00485965" w:rsidP="00485965">
      <w:pPr>
        <w:ind w:firstLine="0"/>
        <w:rPr>
          <w:rFonts w:ascii="Arial" w:hAnsi="Arial" w:cs="Arial"/>
          <w:sz w:val="24"/>
          <w:szCs w:val="24"/>
        </w:rPr>
      </w:pPr>
    </w:p>
    <w:p w:rsidR="001921BC" w:rsidRPr="001C2769" w:rsidRDefault="001921BC" w:rsidP="001C2769">
      <w:pPr>
        <w:ind w:firstLine="0"/>
        <w:rPr>
          <w:rFonts w:ascii="Arial" w:hAnsi="Arial" w:cs="Arial"/>
          <w:b/>
          <w:sz w:val="24"/>
        </w:rPr>
      </w:pPr>
      <w:r w:rsidRPr="001C2769">
        <w:rPr>
          <w:rFonts w:ascii="Arial" w:hAnsi="Arial" w:cs="Arial"/>
          <w:b/>
          <w:sz w:val="24"/>
        </w:rPr>
        <w:t xml:space="preserve">Number of Members per Providers (Physicians with an </w:t>
      </w:r>
      <w:r w:rsidR="00131EE0">
        <w:rPr>
          <w:rFonts w:ascii="Arial" w:hAnsi="Arial" w:cs="Arial"/>
          <w:b/>
          <w:sz w:val="24"/>
        </w:rPr>
        <w:t>O</w:t>
      </w:r>
      <w:r w:rsidR="00131EE0" w:rsidRPr="00131EE0">
        <w:rPr>
          <w:rFonts w:ascii="Arial" w:hAnsi="Arial" w:cs="Arial"/>
          <w:b/>
          <w:sz w:val="24"/>
        </w:rPr>
        <w:t>bstetrics</w:t>
      </w:r>
      <w:r w:rsidRPr="001C2769">
        <w:rPr>
          <w:rFonts w:ascii="Arial" w:hAnsi="Arial" w:cs="Arial"/>
          <w:b/>
          <w:sz w:val="24"/>
        </w:rPr>
        <w:t xml:space="preserve"> Specialty and Nurse Midwives)</w:t>
      </w:r>
    </w:p>
    <w:tbl>
      <w:tblPr>
        <w:tblW w:w="3904" w:type="dxa"/>
        <w:tblInd w:w="113" w:type="dxa"/>
        <w:tblLook w:val="04A0" w:firstRow="1" w:lastRow="0" w:firstColumn="1" w:lastColumn="0" w:noHBand="0" w:noVBand="1"/>
      </w:tblPr>
      <w:tblGrid>
        <w:gridCol w:w="1440"/>
        <w:gridCol w:w="1440"/>
        <w:gridCol w:w="1440"/>
        <w:gridCol w:w="1440"/>
      </w:tblGrid>
      <w:tr w:rsidR="00797449" w:rsidRPr="00686250" w:rsidTr="009639B3">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7449" w:rsidRPr="00686250" w:rsidRDefault="00797449" w:rsidP="00797449">
            <w:pPr>
              <w:ind w:firstLine="0"/>
              <w:rPr>
                <w:rFonts w:ascii="Arial" w:eastAsia="Times New Roman" w:hAnsi="Arial" w:cs="Arial"/>
                <w:color w:val="000000"/>
                <w:sz w:val="24"/>
                <w:szCs w:val="24"/>
              </w:rPr>
            </w:pPr>
            <w:r w:rsidRPr="00686250">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97449" w:rsidRPr="00686250" w:rsidRDefault="00797449" w:rsidP="00797449">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SFY16</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97449" w:rsidRPr="00686250" w:rsidRDefault="00797449" w:rsidP="00797449">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SFY17</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797449" w:rsidRPr="00686250" w:rsidRDefault="00797449" w:rsidP="00797449">
            <w:pPr>
              <w:ind w:firstLine="0"/>
              <w:jc w:val="right"/>
              <w:rPr>
                <w:rFonts w:ascii="Arial" w:eastAsia="Times New Roman" w:hAnsi="Arial" w:cs="Arial"/>
                <w:color w:val="000000"/>
                <w:sz w:val="24"/>
                <w:szCs w:val="24"/>
              </w:rPr>
            </w:pPr>
            <w:r w:rsidRPr="00686250">
              <w:rPr>
                <w:rFonts w:ascii="Arial" w:eastAsia="Times New Roman" w:hAnsi="Arial" w:cs="Arial"/>
                <w:color w:val="000000"/>
                <w:sz w:val="24"/>
                <w:szCs w:val="24"/>
              </w:rPr>
              <w:t>SFY18</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Barnstable</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94</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100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192 </w:t>
            </w:r>
          </w:p>
          <w:p w:rsidR="006D367E" w:rsidRDefault="006D367E" w:rsidP="00797449">
            <w:pPr>
              <w:ind w:firstLine="0"/>
              <w:jc w:val="right"/>
              <w:rPr>
                <w:rFonts w:ascii="Arial" w:eastAsia="Times New Roman" w:hAnsi="Arial" w:cs="Arial"/>
                <w:color w:val="000000" w:themeColor="text1"/>
                <w:sz w:val="24"/>
                <w:szCs w:val="24"/>
              </w:rPr>
            </w:pPr>
          </w:p>
          <w:p w:rsidR="006D367E" w:rsidRPr="009639B3" w:rsidRDefault="006D367E" w:rsidP="00797449">
            <w:pPr>
              <w:ind w:firstLine="0"/>
              <w:jc w:val="right"/>
              <w:rPr>
                <w:rFonts w:ascii="Arial" w:eastAsia="Times New Roman" w:hAnsi="Arial" w:cs="Arial"/>
                <w:color w:val="000000" w:themeColor="text1"/>
                <w:sz w:val="24"/>
                <w:szCs w:val="24"/>
              </w:rPr>
            </w:pP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Berkshire</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159</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130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56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Bristol</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157</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148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193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Dukes</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184</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243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N/A</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Essex</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161</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176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234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Franklin</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254</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300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598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Hampden</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154</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156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114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Hampshire</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110</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96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200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Middlesex</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74</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70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57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Nantucket</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98</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62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68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Norfolk</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52</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52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48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Plymouth</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137</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170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196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Suffolk</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49</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46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51 </w:t>
            </w:r>
          </w:p>
        </w:tc>
      </w:tr>
      <w:tr w:rsidR="009639B3" w:rsidRPr="009639B3" w:rsidTr="009639B3">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797449" w:rsidRPr="009639B3" w:rsidRDefault="00797449" w:rsidP="00797449">
            <w:pPr>
              <w:ind w:firstLine="0"/>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Worcester</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97</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92 </w:t>
            </w:r>
          </w:p>
        </w:tc>
        <w:tc>
          <w:tcPr>
            <w:tcW w:w="1440" w:type="dxa"/>
            <w:tcBorders>
              <w:top w:val="nil"/>
              <w:left w:val="nil"/>
              <w:bottom w:val="single" w:sz="4" w:space="0" w:color="auto"/>
              <w:right w:val="single" w:sz="4" w:space="0" w:color="auto"/>
            </w:tcBorders>
            <w:shd w:val="clear" w:color="000000" w:fill="FFFFFF"/>
            <w:noWrap/>
            <w:vAlign w:val="bottom"/>
            <w:hideMark/>
          </w:tcPr>
          <w:p w:rsidR="00797449" w:rsidRPr="009639B3" w:rsidRDefault="00797449" w:rsidP="00797449">
            <w:pPr>
              <w:ind w:firstLine="0"/>
              <w:jc w:val="right"/>
              <w:rPr>
                <w:rFonts w:ascii="Arial" w:eastAsia="Times New Roman" w:hAnsi="Arial" w:cs="Arial"/>
                <w:color w:val="000000" w:themeColor="text1"/>
                <w:sz w:val="24"/>
                <w:szCs w:val="24"/>
              </w:rPr>
            </w:pPr>
            <w:r w:rsidRPr="009639B3">
              <w:rPr>
                <w:rFonts w:ascii="Arial" w:eastAsia="Times New Roman" w:hAnsi="Arial" w:cs="Arial"/>
                <w:color w:val="000000" w:themeColor="text1"/>
                <w:sz w:val="24"/>
                <w:szCs w:val="24"/>
              </w:rPr>
              <w:t xml:space="preserve">140 </w:t>
            </w:r>
          </w:p>
        </w:tc>
      </w:tr>
    </w:tbl>
    <w:p w:rsidR="00797449" w:rsidRPr="00686250" w:rsidRDefault="00797449" w:rsidP="006864AF">
      <w:pPr>
        <w:rPr>
          <w:rFonts w:ascii="Arial" w:hAnsi="Arial" w:cs="Arial"/>
          <w:sz w:val="24"/>
          <w:szCs w:val="24"/>
        </w:rPr>
      </w:pPr>
    </w:p>
    <w:p w:rsidR="00905A7C" w:rsidRPr="00686250" w:rsidRDefault="00E45E8C" w:rsidP="00905A7C">
      <w:pPr>
        <w:ind w:firstLine="0"/>
        <w:rPr>
          <w:rFonts w:ascii="Arial" w:hAnsi="Arial" w:cs="Arial"/>
          <w:sz w:val="24"/>
          <w:szCs w:val="24"/>
        </w:rPr>
      </w:pPr>
      <w:r w:rsidRPr="00686250">
        <w:rPr>
          <w:rFonts w:ascii="Arial" w:hAnsi="Arial" w:cs="Arial"/>
          <w:sz w:val="24"/>
          <w:szCs w:val="24"/>
        </w:rPr>
        <w:t xml:space="preserve">The table above demonstrates </w:t>
      </w:r>
      <w:r w:rsidR="00294828" w:rsidRPr="00686250">
        <w:rPr>
          <w:rFonts w:ascii="Arial" w:hAnsi="Arial" w:cs="Arial"/>
          <w:sz w:val="24"/>
          <w:szCs w:val="24"/>
        </w:rPr>
        <w:t>the ratio of members to providers delivering perinatal care</w:t>
      </w:r>
      <w:r w:rsidR="00905A7C" w:rsidRPr="00686250">
        <w:rPr>
          <w:rFonts w:ascii="Arial" w:hAnsi="Arial" w:cs="Arial"/>
          <w:sz w:val="24"/>
          <w:szCs w:val="24"/>
        </w:rPr>
        <w:t>, as required by CMS</w:t>
      </w:r>
      <w:r w:rsidR="00294828" w:rsidRPr="00686250">
        <w:rPr>
          <w:rFonts w:ascii="Arial" w:hAnsi="Arial" w:cs="Arial"/>
          <w:sz w:val="24"/>
          <w:szCs w:val="24"/>
        </w:rPr>
        <w:t>.</w:t>
      </w:r>
      <w:r w:rsidR="00CC1C46" w:rsidRPr="00686250">
        <w:rPr>
          <w:rFonts w:ascii="Arial" w:hAnsi="Arial" w:cs="Arial"/>
          <w:sz w:val="24"/>
          <w:szCs w:val="24"/>
        </w:rPr>
        <w:t xml:space="preserve"> </w:t>
      </w:r>
      <w:r w:rsidR="008B7DED" w:rsidRPr="00686250">
        <w:rPr>
          <w:rFonts w:ascii="Arial" w:hAnsi="Arial" w:cs="Arial"/>
          <w:sz w:val="24"/>
          <w:szCs w:val="24"/>
        </w:rPr>
        <w:t xml:space="preserve">Although there is not an established access standard for </w:t>
      </w:r>
      <w:r w:rsidR="0082356E" w:rsidRPr="00686250">
        <w:rPr>
          <w:rFonts w:ascii="Arial" w:hAnsi="Arial" w:cs="Arial"/>
          <w:sz w:val="24"/>
          <w:szCs w:val="24"/>
        </w:rPr>
        <w:t>pre- and post-natal provider</w:t>
      </w:r>
      <w:r w:rsidR="007761D0" w:rsidRPr="00686250">
        <w:rPr>
          <w:rFonts w:ascii="Arial" w:hAnsi="Arial" w:cs="Arial"/>
          <w:sz w:val="24"/>
          <w:szCs w:val="24"/>
        </w:rPr>
        <w:t>s</w:t>
      </w:r>
      <w:r w:rsidR="0082356E" w:rsidRPr="00686250">
        <w:rPr>
          <w:rFonts w:ascii="Arial" w:hAnsi="Arial" w:cs="Arial"/>
          <w:sz w:val="24"/>
          <w:szCs w:val="24"/>
        </w:rPr>
        <w:t xml:space="preserve"> </w:t>
      </w:r>
      <w:r w:rsidR="008B7DED" w:rsidRPr="00686250">
        <w:rPr>
          <w:rFonts w:ascii="Arial" w:hAnsi="Arial" w:cs="Arial"/>
          <w:sz w:val="24"/>
          <w:szCs w:val="24"/>
        </w:rPr>
        <w:t xml:space="preserve">referenced above, the ratios </w:t>
      </w:r>
      <w:r w:rsidR="0082356E" w:rsidRPr="00686250">
        <w:rPr>
          <w:rFonts w:ascii="Arial" w:hAnsi="Arial" w:cs="Arial"/>
          <w:sz w:val="24"/>
          <w:szCs w:val="24"/>
        </w:rPr>
        <w:t xml:space="preserve">listed above </w:t>
      </w:r>
      <w:r w:rsidR="008B7DED" w:rsidRPr="00686250">
        <w:rPr>
          <w:rFonts w:ascii="Arial" w:hAnsi="Arial" w:cs="Arial"/>
          <w:sz w:val="24"/>
          <w:szCs w:val="24"/>
        </w:rPr>
        <w:t xml:space="preserve">indicate sufficient access </w:t>
      </w:r>
      <w:r w:rsidR="005977AF" w:rsidRPr="00686250">
        <w:rPr>
          <w:rFonts w:ascii="Arial" w:hAnsi="Arial" w:cs="Arial"/>
          <w:sz w:val="24"/>
          <w:szCs w:val="24"/>
        </w:rPr>
        <w:t xml:space="preserve">to </w:t>
      </w:r>
      <w:r w:rsidR="0082356E" w:rsidRPr="00686250">
        <w:rPr>
          <w:rFonts w:ascii="Arial" w:hAnsi="Arial" w:cs="Arial"/>
          <w:sz w:val="24"/>
          <w:szCs w:val="24"/>
        </w:rPr>
        <w:t>such providers.</w:t>
      </w:r>
    </w:p>
    <w:p w:rsidR="00E54FC5" w:rsidRPr="00686250" w:rsidRDefault="00E54FC5" w:rsidP="00905A7C">
      <w:pPr>
        <w:ind w:firstLine="0"/>
        <w:rPr>
          <w:rFonts w:ascii="Arial" w:hAnsi="Arial" w:cs="Arial"/>
          <w:sz w:val="24"/>
          <w:szCs w:val="24"/>
        </w:rPr>
      </w:pPr>
    </w:p>
    <w:p w:rsidR="008563A4" w:rsidRPr="008D20B2" w:rsidRDefault="008D20B2" w:rsidP="008D20B2">
      <w:pPr>
        <w:pStyle w:val="Heading2"/>
        <w:rPr>
          <w:rFonts w:ascii="Arial" w:hAnsi="Arial" w:cs="Arial"/>
          <w:color w:val="auto"/>
          <w:sz w:val="24"/>
          <w:u w:val="single"/>
        </w:rPr>
      </w:pPr>
      <w:bookmarkStart w:id="59" w:name="_Toc10810592"/>
      <w:bookmarkStart w:id="60" w:name="_Toc20296943"/>
      <w:r w:rsidRPr="008D20B2">
        <w:rPr>
          <w:rFonts w:ascii="Arial" w:hAnsi="Arial" w:cs="Arial"/>
          <w:color w:val="auto"/>
          <w:sz w:val="24"/>
          <w:u w:val="single"/>
        </w:rPr>
        <w:t>3</w:t>
      </w:r>
      <w:r w:rsidR="007A502F" w:rsidRPr="008D20B2">
        <w:rPr>
          <w:rFonts w:ascii="Arial" w:hAnsi="Arial" w:cs="Arial"/>
          <w:color w:val="auto"/>
          <w:sz w:val="24"/>
          <w:u w:val="single"/>
        </w:rPr>
        <w:t xml:space="preserve">. </w:t>
      </w:r>
      <w:r w:rsidR="00914B8B" w:rsidRPr="008D20B2">
        <w:rPr>
          <w:rFonts w:ascii="Arial" w:hAnsi="Arial" w:cs="Arial"/>
          <w:color w:val="auto"/>
          <w:sz w:val="24"/>
          <w:u w:val="single"/>
        </w:rPr>
        <w:t>Utilization</w:t>
      </w:r>
      <w:r w:rsidR="00415600" w:rsidRPr="008D20B2">
        <w:rPr>
          <w:rFonts w:ascii="Arial" w:hAnsi="Arial" w:cs="Arial"/>
          <w:color w:val="auto"/>
          <w:sz w:val="24"/>
          <w:u w:val="single"/>
        </w:rPr>
        <w:t xml:space="preserve"> of </w:t>
      </w:r>
      <w:r w:rsidR="00143254">
        <w:rPr>
          <w:rFonts w:ascii="Arial" w:hAnsi="Arial" w:cs="Arial"/>
          <w:color w:val="auto"/>
          <w:sz w:val="24"/>
          <w:u w:val="single"/>
        </w:rPr>
        <w:t>Perinatal</w:t>
      </w:r>
      <w:r w:rsidR="008563A4" w:rsidRPr="008D20B2">
        <w:rPr>
          <w:rFonts w:ascii="Arial" w:hAnsi="Arial" w:cs="Arial"/>
          <w:color w:val="auto"/>
          <w:sz w:val="24"/>
          <w:u w:val="single"/>
        </w:rPr>
        <w:t xml:space="preserve"> </w:t>
      </w:r>
      <w:r w:rsidR="00415600" w:rsidRPr="008D20B2">
        <w:rPr>
          <w:rFonts w:ascii="Arial" w:hAnsi="Arial" w:cs="Arial"/>
          <w:color w:val="auto"/>
          <w:sz w:val="24"/>
          <w:u w:val="single"/>
        </w:rPr>
        <w:t>Services</w:t>
      </w:r>
      <w:bookmarkEnd w:id="59"/>
      <w:bookmarkEnd w:id="60"/>
    </w:p>
    <w:p w:rsidR="00C56A05" w:rsidRPr="00686250" w:rsidRDefault="00C56A05" w:rsidP="00E94F36">
      <w:pPr>
        <w:ind w:firstLine="0"/>
        <w:rPr>
          <w:rFonts w:ascii="Arial" w:hAnsi="Arial" w:cs="Arial"/>
          <w:b/>
          <w:sz w:val="24"/>
          <w:szCs w:val="24"/>
          <w:u w:val="single"/>
        </w:rPr>
      </w:pPr>
    </w:p>
    <w:p w:rsidR="0042214F" w:rsidRPr="00686250" w:rsidRDefault="0042214F" w:rsidP="0042214F">
      <w:pPr>
        <w:ind w:firstLine="0"/>
        <w:rPr>
          <w:rFonts w:ascii="Arial" w:hAnsi="Arial" w:cs="Arial"/>
          <w:sz w:val="24"/>
          <w:szCs w:val="24"/>
        </w:rPr>
      </w:pPr>
      <w:r w:rsidRPr="00686250">
        <w:rPr>
          <w:rFonts w:ascii="Arial" w:hAnsi="Arial" w:cs="Arial"/>
          <w:sz w:val="24"/>
          <w:szCs w:val="24"/>
        </w:rPr>
        <w:t>Data source: MMIS member enrollment data and MMIS claims data</w:t>
      </w:r>
    </w:p>
    <w:p w:rsidR="00CC2B38" w:rsidRPr="00686250" w:rsidRDefault="00CC2B38" w:rsidP="0042214F">
      <w:pPr>
        <w:ind w:firstLine="0"/>
        <w:rPr>
          <w:rFonts w:ascii="Arial" w:hAnsi="Arial" w:cs="Arial"/>
          <w:sz w:val="24"/>
          <w:szCs w:val="24"/>
        </w:rPr>
      </w:pPr>
    </w:p>
    <w:p w:rsidR="0042214F" w:rsidRPr="00686250" w:rsidRDefault="0042214F" w:rsidP="0042214F">
      <w:pPr>
        <w:ind w:firstLine="0"/>
        <w:rPr>
          <w:rFonts w:ascii="Arial" w:hAnsi="Arial" w:cs="Arial"/>
          <w:sz w:val="24"/>
          <w:szCs w:val="24"/>
        </w:rPr>
      </w:pPr>
      <w:r w:rsidRPr="00686250">
        <w:rPr>
          <w:rFonts w:ascii="Arial" w:hAnsi="Arial" w:cs="Arial"/>
          <w:sz w:val="24"/>
          <w:szCs w:val="24"/>
        </w:rPr>
        <w:t>Methodology:</w:t>
      </w:r>
      <w:r w:rsidR="00CC1C46" w:rsidRPr="00686250">
        <w:rPr>
          <w:rFonts w:ascii="Arial" w:hAnsi="Arial" w:cs="Arial"/>
          <w:sz w:val="24"/>
          <w:szCs w:val="24"/>
        </w:rPr>
        <w:t xml:space="preserve"> </w:t>
      </w:r>
      <w:r w:rsidRPr="00686250">
        <w:rPr>
          <w:rFonts w:ascii="Arial" w:hAnsi="Arial" w:cs="Arial"/>
          <w:sz w:val="24"/>
          <w:szCs w:val="24"/>
        </w:rPr>
        <w:t xml:space="preserve">Number of members residing in a county divided by number of claims for </w:t>
      </w:r>
      <w:r w:rsidR="00143254">
        <w:rPr>
          <w:rFonts w:ascii="Arial" w:hAnsi="Arial" w:cs="Arial"/>
          <w:sz w:val="24"/>
          <w:szCs w:val="24"/>
        </w:rPr>
        <w:t>perinatal</w:t>
      </w:r>
      <w:r w:rsidRPr="00686250">
        <w:rPr>
          <w:rFonts w:ascii="Arial" w:hAnsi="Arial" w:cs="Arial"/>
          <w:sz w:val="24"/>
          <w:szCs w:val="24"/>
        </w:rPr>
        <w:t xml:space="preserve"> services</w:t>
      </w:r>
      <w:r w:rsidR="00143254">
        <w:rPr>
          <w:rFonts w:ascii="Arial" w:hAnsi="Arial" w:cs="Arial"/>
          <w:sz w:val="24"/>
          <w:szCs w:val="24"/>
        </w:rPr>
        <w:t>, which includes</w:t>
      </w:r>
      <w:r w:rsidR="006002E5" w:rsidRPr="00686250">
        <w:rPr>
          <w:rFonts w:ascii="Arial" w:hAnsi="Arial" w:cs="Arial"/>
          <w:sz w:val="24"/>
          <w:szCs w:val="24"/>
        </w:rPr>
        <w:t xml:space="preserve"> </w:t>
      </w:r>
      <w:r w:rsidR="00143254">
        <w:rPr>
          <w:rFonts w:ascii="Arial" w:hAnsi="Arial" w:cs="Arial"/>
          <w:sz w:val="24"/>
          <w:szCs w:val="24"/>
        </w:rPr>
        <w:t xml:space="preserve">pre-natal care, </w:t>
      </w:r>
      <w:r w:rsidR="006002E5" w:rsidRPr="00686250">
        <w:rPr>
          <w:rFonts w:ascii="Arial" w:hAnsi="Arial" w:cs="Arial"/>
          <w:sz w:val="24"/>
          <w:szCs w:val="24"/>
        </w:rPr>
        <w:t>labor and delivery</w:t>
      </w:r>
      <w:r w:rsidR="00143254">
        <w:rPr>
          <w:rFonts w:ascii="Arial" w:hAnsi="Arial" w:cs="Arial"/>
          <w:sz w:val="24"/>
          <w:szCs w:val="24"/>
        </w:rPr>
        <w:t xml:space="preserve">, as well as post-partum services furnished </w:t>
      </w:r>
      <w:r w:rsidRPr="00686250">
        <w:rPr>
          <w:rFonts w:ascii="Arial" w:hAnsi="Arial" w:cs="Arial"/>
          <w:sz w:val="24"/>
          <w:szCs w:val="24"/>
        </w:rPr>
        <w:t>by providers in that county</w:t>
      </w:r>
      <w:r w:rsidR="009639B3">
        <w:rPr>
          <w:rFonts w:ascii="Arial" w:hAnsi="Arial" w:cs="Arial"/>
          <w:sz w:val="24"/>
          <w:szCs w:val="24"/>
        </w:rPr>
        <w:t xml:space="preserve">. </w:t>
      </w:r>
      <w:r w:rsidR="006002E5" w:rsidRPr="00686250">
        <w:rPr>
          <w:rFonts w:ascii="Arial" w:hAnsi="Arial" w:cs="Arial"/>
          <w:sz w:val="24"/>
          <w:szCs w:val="24"/>
        </w:rPr>
        <w:t xml:space="preserve">Note that </w:t>
      </w:r>
      <w:r w:rsidR="00CC2B38" w:rsidRPr="00686250">
        <w:rPr>
          <w:rFonts w:ascii="Arial" w:hAnsi="Arial" w:cs="Arial"/>
          <w:sz w:val="24"/>
          <w:szCs w:val="24"/>
        </w:rPr>
        <w:t>in this section</w:t>
      </w:r>
      <w:r w:rsidR="006002E5" w:rsidRPr="00686250">
        <w:rPr>
          <w:rFonts w:ascii="Arial" w:hAnsi="Arial" w:cs="Arial"/>
          <w:sz w:val="24"/>
          <w:szCs w:val="24"/>
        </w:rPr>
        <w:t>, we did not use the same episodes of care per 1,000 members</w:t>
      </w:r>
      <w:r w:rsidR="002B5017" w:rsidRPr="00686250">
        <w:rPr>
          <w:rFonts w:ascii="Arial" w:hAnsi="Arial" w:cs="Arial"/>
          <w:sz w:val="24"/>
          <w:szCs w:val="24"/>
        </w:rPr>
        <w:t xml:space="preserve"> </w:t>
      </w:r>
      <w:r w:rsidR="006002E5" w:rsidRPr="00686250">
        <w:rPr>
          <w:rFonts w:ascii="Arial" w:hAnsi="Arial" w:cs="Arial"/>
          <w:sz w:val="24"/>
          <w:szCs w:val="24"/>
        </w:rPr>
        <w:t>methodology</w:t>
      </w:r>
      <w:r w:rsidR="00576899">
        <w:rPr>
          <w:rFonts w:ascii="Arial" w:hAnsi="Arial" w:cs="Arial"/>
          <w:sz w:val="24"/>
          <w:szCs w:val="24"/>
        </w:rPr>
        <w:t xml:space="preserve"> utilized in other sections</w:t>
      </w:r>
      <w:r w:rsidR="008129D1" w:rsidRPr="00686250">
        <w:rPr>
          <w:rFonts w:ascii="Arial" w:hAnsi="Arial" w:cs="Arial"/>
          <w:sz w:val="24"/>
          <w:szCs w:val="24"/>
        </w:rPr>
        <w:t xml:space="preserve"> </w:t>
      </w:r>
      <w:r w:rsidR="006202EE" w:rsidRPr="00686250">
        <w:rPr>
          <w:rFonts w:ascii="Arial" w:hAnsi="Arial" w:cs="Arial"/>
          <w:sz w:val="24"/>
          <w:szCs w:val="24"/>
        </w:rPr>
        <w:t>because</w:t>
      </w:r>
      <w:r w:rsidR="0002460F">
        <w:rPr>
          <w:rFonts w:ascii="Arial" w:hAnsi="Arial" w:cs="Arial"/>
          <w:sz w:val="24"/>
          <w:szCs w:val="24"/>
        </w:rPr>
        <w:t>, to be valid,</w:t>
      </w:r>
      <w:r w:rsidR="006202EE" w:rsidRPr="00686250">
        <w:rPr>
          <w:rFonts w:ascii="Arial" w:hAnsi="Arial" w:cs="Arial"/>
          <w:sz w:val="24"/>
          <w:szCs w:val="24"/>
        </w:rPr>
        <w:t xml:space="preserve"> </w:t>
      </w:r>
      <w:r w:rsidR="0002460F">
        <w:rPr>
          <w:rFonts w:ascii="Arial" w:hAnsi="Arial" w:cs="Arial"/>
          <w:sz w:val="24"/>
          <w:szCs w:val="24"/>
        </w:rPr>
        <w:t xml:space="preserve">MassHealth would need to know </w:t>
      </w:r>
      <w:r w:rsidR="006202EE" w:rsidRPr="00686250">
        <w:rPr>
          <w:rFonts w:ascii="Arial" w:hAnsi="Arial" w:cs="Arial"/>
          <w:sz w:val="24"/>
          <w:szCs w:val="24"/>
        </w:rPr>
        <w:t xml:space="preserve">the number of pregnant </w:t>
      </w:r>
      <w:r w:rsidR="006202EE" w:rsidRPr="00686250">
        <w:rPr>
          <w:rFonts w:ascii="Arial" w:hAnsi="Arial" w:cs="Arial"/>
          <w:sz w:val="24"/>
          <w:szCs w:val="24"/>
        </w:rPr>
        <w:lastRenderedPageBreak/>
        <w:t>women to accurately convey the denominator</w:t>
      </w:r>
      <w:r w:rsidR="006002E5" w:rsidRPr="00686250">
        <w:rPr>
          <w:rFonts w:ascii="Arial" w:hAnsi="Arial" w:cs="Arial"/>
          <w:sz w:val="24"/>
          <w:szCs w:val="24"/>
        </w:rPr>
        <w:t>.</w:t>
      </w:r>
      <w:r w:rsidR="00CC1C46" w:rsidRPr="00686250">
        <w:rPr>
          <w:rFonts w:ascii="Arial" w:hAnsi="Arial" w:cs="Arial"/>
          <w:sz w:val="24"/>
          <w:szCs w:val="24"/>
        </w:rPr>
        <w:t xml:space="preserve"> </w:t>
      </w:r>
      <w:r w:rsidR="0023588D" w:rsidRPr="00686250">
        <w:rPr>
          <w:rFonts w:ascii="Arial" w:hAnsi="Arial" w:cs="Arial"/>
          <w:sz w:val="24"/>
          <w:szCs w:val="24"/>
        </w:rPr>
        <w:t>Also, b</w:t>
      </w:r>
      <w:r w:rsidR="006202EE" w:rsidRPr="00686250">
        <w:rPr>
          <w:rFonts w:ascii="Arial" w:hAnsi="Arial" w:cs="Arial"/>
          <w:sz w:val="24"/>
          <w:szCs w:val="24"/>
        </w:rPr>
        <w:t xml:space="preserve">ecause </w:t>
      </w:r>
      <w:r w:rsidR="004B468B" w:rsidRPr="00686250">
        <w:rPr>
          <w:rFonts w:ascii="Arial" w:hAnsi="Arial" w:cs="Arial"/>
          <w:sz w:val="24"/>
          <w:szCs w:val="24"/>
        </w:rPr>
        <w:t xml:space="preserve">the care of pregnant members </w:t>
      </w:r>
      <w:r w:rsidR="001B4B94" w:rsidRPr="00686250">
        <w:rPr>
          <w:rFonts w:ascii="Arial" w:hAnsi="Arial" w:cs="Arial"/>
          <w:sz w:val="24"/>
          <w:szCs w:val="24"/>
        </w:rPr>
        <w:t>is often</w:t>
      </w:r>
      <w:r w:rsidR="004B468B" w:rsidRPr="00686250">
        <w:rPr>
          <w:rFonts w:ascii="Arial" w:hAnsi="Arial" w:cs="Arial"/>
          <w:sz w:val="24"/>
          <w:szCs w:val="24"/>
        </w:rPr>
        <w:t xml:space="preserve"> billed through a global service code at the time of delivery</w:t>
      </w:r>
      <w:r w:rsidR="0023588D" w:rsidRPr="00686250">
        <w:rPr>
          <w:rFonts w:ascii="Arial" w:hAnsi="Arial" w:cs="Arial"/>
          <w:sz w:val="24"/>
          <w:szCs w:val="24"/>
        </w:rPr>
        <w:t>,</w:t>
      </w:r>
      <w:r w:rsidR="00D6050B" w:rsidRPr="00686250">
        <w:rPr>
          <w:rFonts w:ascii="Arial" w:hAnsi="Arial" w:cs="Arial"/>
          <w:sz w:val="24"/>
          <w:szCs w:val="24"/>
        </w:rPr>
        <w:t xml:space="preserve"> </w:t>
      </w:r>
      <w:r w:rsidR="001B4B94" w:rsidRPr="00686250">
        <w:rPr>
          <w:rFonts w:ascii="Arial" w:hAnsi="Arial" w:cs="Arial"/>
          <w:sz w:val="24"/>
          <w:szCs w:val="24"/>
        </w:rPr>
        <w:t xml:space="preserve">the </w:t>
      </w:r>
      <w:r w:rsidR="004B468B" w:rsidRPr="00686250">
        <w:rPr>
          <w:rFonts w:ascii="Arial" w:hAnsi="Arial" w:cs="Arial"/>
          <w:sz w:val="24"/>
          <w:szCs w:val="24"/>
        </w:rPr>
        <w:t xml:space="preserve">specific dates of service for care throughout their pregnancy </w:t>
      </w:r>
      <w:r w:rsidR="001B4B94" w:rsidRPr="00686250">
        <w:rPr>
          <w:rFonts w:ascii="Arial" w:hAnsi="Arial" w:cs="Arial"/>
          <w:sz w:val="24"/>
          <w:szCs w:val="24"/>
        </w:rPr>
        <w:t xml:space="preserve">and postpartum </w:t>
      </w:r>
      <w:r w:rsidR="0002460F">
        <w:rPr>
          <w:rFonts w:ascii="Arial" w:hAnsi="Arial" w:cs="Arial"/>
          <w:sz w:val="24"/>
          <w:szCs w:val="24"/>
        </w:rPr>
        <w:t xml:space="preserve">care </w:t>
      </w:r>
      <w:r w:rsidR="0023588D" w:rsidRPr="00686250">
        <w:rPr>
          <w:rFonts w:ascii="Arial" w:hAnsi="Arial" w:cs="Arial"/>
          <w:sz w:val="24"/>
          <w:szCs w:val="24"/>
        </w:rPr>
        <w:t xml:space="preserve">are </w:t>
      </w:r>
      <w:r w:rsidR="001B4B94" w:rsidRPr="00686250">
        <w:rPr>
          <w:rFonts w:ascii="Arial" w:hAnsi="Arial" w:cs="Arial"/>
          <w:sz w:val="24"/>
          <w:szCs w:val="24"/>
        </w:rPr>
        <w:t xml:space="preserve">unavailable </w:t>
      </w:r>
      <w:r w:rsidR="004B468B" w:rsidRPr="00686250">
        <w:rPr>
          <w:rFonts w:ascii="Arial" w:hAnsi="Arial" w:cs="Arial"/>
          <w:sz w:val="24"/>
          <w:szCs w:val="24"/>
        </w:rPr>
        <w:t>through claims</w:t>
      </w:r>
      <w:r w:rsidR="0023588D" w:rsidRPr="00686250">
        <w:rPr>
          <w:rFonts w:ascii="Arial" w:hAnsi="Arial" w:cs="Arial"/>
          <w:sz w:val="24"/>
          <w:szCs w:val="24"/>
        </w:rPr>
        <w:t xml:space="preserve"> data</w:t>
      </w:r>
      <w:r w:rsidR="003D6D87" w:rsidRPr="00686250">
        <w:rPr>
          <w:rFonts w:ascii="Arial" w:hAnsi="Arial" w:cs="Arial"/>
          <w:sz w:val="24"/>
          <w:szCs w:val="24"/>
        </w:rPr>
        <w:t>.</w:t>
      </w:r>
      <w:r w:rsidR="005D2E48" w:rsidRPr="00686250">
        <w:rPr>
          <w:rFonts w:ascii="Arial" w:hAnsi="Arial" w:cs="Arial"/>
          <w:sz w:val="24"/>
          <w:szCs w:val="24"/>
        </w:rPr>
        <w:t xml:space="preserve"> Additional considerations:</w:t>
      </w:r>
    </w:p>
    <w:p w:rsidR="005E7F0B" w:rsidRPr="00686250" w:rsidRDefault="005E7F0B" w:rsidP="0042214F">
      <w:pPr>
        <w:ind w:firstLine="0"/>
        <w:rPr>
          <w:rFonts w:ascii="Arial" w:hAnsi="Arial" w:cs="Arial"/>
          <w:sz w:val="24"/>
          <w:szCs w:val="24"/>
        </w:rPr>
      </w:pPr>
    </w:p>
    <w:p w:rsidR="0042214F" w:rsidRPr="00686250" w:rsidRDefault="0042214F" w:rsidP="005675A1">
      <w:pPr>
        <w:pStyle w:val="ListParagraph"/>
        <w:numPr>
          <w:ilvl w:val="0"/>
          <w:numId w:val="32"/>
        </w:numPr>
        <w:rPr>
          <w:rFonts w:ascii="Arial" w:hAnsi="Arial" w:cs="Arial"/>
          <w:sz w:val="24"/>
          <w:szCs w:val="24"/>
        </w:rPr>
      </w:pPr>
      <w:r w:rsidRPr="00686250">
        <w:rPr>
          <w:rFonts w:ascii="Arial" w:hAnsi="Arial" w:cs="Arial"/>
          <w:sz w:val="24"/>
          <w:szCs w:val="24"/>
        </w:rPr>
        <w:t xml:space="preserve">The utilization </w:t>
      </w:r>
      <w:r w:rsidR="006002E5" w:rsidRPr="00686250">
        <w:rPr>
          <w:rFonts w:ascii="Arial" w:hAnsi="Arial" w:cs="Arial"/>
          <w:sz w:val="24"/>
          <w:szCs w:val="24"/>
        </w:rPr>
        <w:t>data</w:t>
      </w:r>
      <w:r w:rsidRPr="00686250">
        <w:rPr>
          <w:rFonts w:ascii="Arial" w:hAnsi="Arial" w:cs="Arial"/>
          <w:sz w:val="24"/>
          <w:szCs w:val="24"/>
        </w:rPr>
        <w:t xml:space="preserve"> was calculated based on the location of the provider; members can seek care in counties</w:t>
      </w:r>
      <w:r w:rsidR="003C77F1" w:rsidRPr="00686250">
        <w:rPr>
          <w:rFonts w:ascii="Arial" w:hAnsi="Arial" w:cs="Arial"/>
          <w:sz w:val="24"/>
          <w:szCs w:val="24"/>
        </w:rPr>
        <w:t xml:space="preserve"> other than their county of residence</w:t>
      </w:r>
      <w:r w:rsidRPr="00686250">
        <w:rPr>
          <w:rFonts w:ascii="Arial" w:hAnsi="Arial" w:cs="Arial"/>
          <w:sz w:val="24"/>
          <w:szCs w:val="24"/>
        </w:rPr>
        <w:t>.</w:t>
      </w:r>
    </w:p>
    <w:p w:rsidR="00C56A05" w:rsidRPr="00686250" w:rsidRDefault="00C56A05" w:rsidP="00E94F36">
      <w:pPr>
        <w:ind w:firstLine="0"/>
        <w:rPr>
          <w:rFonts w:ascii="Arial" w:hAnsi="Arial" w:cs="Arial"/>
          <w:b/>
          <w:sz w:val="24"/>
          <w:szCs w:val="24"/>
          <w:u w:val="single"/>
        </w:rPr>
      </w:pPr>
    </w:p>
    <w:p w:rsidR="00A51DFD" w:rsidRPr="00686250" w:rsidRDefault="00A51DFD" w:rsidP="005675A1">
      <w:pPr>
        <w:pStyle w:val="ListParagraph"/>
        <w:numPr>
          <w:ilvl w:val="0"/>
          <w:numId w:val="32"/>
        </w:numPr>
        <w:rPr>
          <w:rFonts w:ascii="Arial" w:hAnsi="Arial" w:cs="Arial"/>
          <w:sz w:val="24"/>
          <w:szCs w:val="24"/>
        </w:rPr>
      </w:pPr>
      <w:r w:rsidRPr="00686250">
        <w:rPr>
          <w:rFonts w:ascii="Arial" w:hAnsi="Arial" w:cs="Arial"/>
          <w:sz w:val="24"/>
          <w:szCs w:val="24"/>
        </w:rPr>
        <w:t>Out</w:t>
      </w:r>
      <w:r w:rsidR="00131F58" w:rsidRPr="00686250">
        <w:rPr>
          <w:rFonts w:ascii="Arial" w:hAnsi="Arial" w:cs="Arial"/>
          <w:sz w:val="24"/>
          <w:szCs w:val="24"/>
        </w:rPr>
        <w:t>-</w:t>
      </w:r>
      <w:r w:rsidRPr="00686250">
        <w:rPr>
          <w:rFonts w:ascii="Arial" w:hAnsi="Arial" w:cs="Arial"/>
          <w:sz w:val="24"/>
          <w:szCs w:val="24"/>
        </w:rPr>
        <w:t>of</w:t>
      </w:r>
      <w:r w:rsidR="00131F58" w:rsidRPr="00686250">
        <w:rPr>
          <w:rFonts w:ascii="Arial" w:hAnsi="Arial" w:cs="Arial"/>
          <w:sz w:val="24"/>
          <w:szCs w:val="24"/>
        </w:rPr>
        <w:t>-</w:t>
      </w:r>
      <w:r w:rsidRPr="00686250">
        <w:rPr>
          <w:rFonts w:ascii="Arial" w:hAnsi="Arial" w:cs="Arial"/>
          <w:sz w:val="24"/>
          <w:szCs w:val="24"/>
        </w:rPr>
        <w:t xml:space="preserve">state utilization data is excluded because </w:t>
      </w:r>
      <w:r w:rsidR="003C77F1" w:rsidRPr="00686250">
        <w:rPr>
          <w:rFonts w:ascii="Arial" w:hAnsi="Arial" w:cs="Arial"/>
          <w:sz w:val="24"/>
          <w:szCs w:val="24"/>
        </w:rPr>
        <w:t>there is not a consistent or statistically appropriate way to calculate a ratio of MassHealth members to out-of-state providers</w:t>
      </w:r>
      <w:r w:rsidRPr="00686250">
        <w:rPr>
          <w:rFonts w:ascii="Arial" w:hAnsi="Arial" w:cs="Arial"/>
          <w:sz w:val="24"/>
          <w:szCs w:val="24"/>
        </w:rPr>
        <w:t>.</w:t>
      </w:r>
    </w:p>
    <w:p w:rsidR="00A51DFD" w:rsidRPr="00686250" w:rsidRDefault="00A51DFD" w:rsidP="00E94F36">
      <w:pPr>
        <w:ind w:firstLine="0"/>
        <w:rPr>
          <w:rFonts w:ascii="Arial" w:hAnsi="Arial" w:cs="Arial"/>
          <w:b/>
          <w:sz w:val="24"/>
          <w:szCs w:val="24"/>
          <w:u w:val="single"/>
        </w:rPr>
      </w:pPr>
    </w:p>
    <w:p w:rsidR="003D6D87" w:rsidRPr="00686250" w:rsidRDefault="006002E5" w:rsidP="005675A1">
      <w:pPr>
        <w:pStyle w:val="ListParagraph"/>
        <w:numPr>
          <w:ilvl w:val="0"/>
          <w:numId w:val="32"/>
        </w:numPr>
        <w:rPr>
          <w:rFonts w:ascii="Arial" w:hAnsi="Arial" w:cs="Arial"/>
          <w:sz w:val="24"/>
          <w:szCs w:val="24"/>
        </w:rPr>
      </w:pPr>
      <w:r w:rsidRPr="00686250">
        <w:rPr>
          <w:rFonts w:ascii="Arial" w:hAnsi="Arial" w:cs="Arial"/>
          <w:sz w:val="24"/>
          <w:szCs w:val="24"/>
        </w:rPr>
        <w:t>As abo</w:t>
      </w:r>
      <w:r w:rsidR="009A3A09" w:rsidRPr="00686250">
        <w:rPr>
          <w:rFonts w:ascii="Arial" w:hAnsi="Arial" w:cs="Arial"/>
          <w:sz w:val="24"/>
          <w:szCs w:val="24"/>
        </w:rPr>
        <w:t>ve, members are defined as PCC P</w:t>
      </w:r>
      <w:r w:rsidRPr="00686250">
        <w:rPr>
          <w:rFonts w:ascii="Arial" w:hAnsi="Arial" w:cs="Arial"/>
          <w:sz w:val="24"/>
          <w:szCs w:val="24"/>
        </w:rPr>
        <w:t>lan members</w:t>
      </w:r>
      <w:r w:rsidR="00C63067" w:rsidRPr="00686250">
        <w:rPr>
          <w:rFonts w:ascii="Arial" w:hAnsi="Arial" w:cs="Arial"/>
          <w:sz w:val="24"/>
          <w:szCs w:val="24"/>
        </w:rPr>
        <w:t xml:space="preserve">, members enrolled </w:t>
      </w:r>
      <w:r w:rsidR="000573D1" w:rsidRPr="00686250">
        <w:rPr>
          <w:rFonts w:ascii="Arial" w:hAnsi="Arial" w:cs="Arial"/>
          <w:sz w:val="24"/>
          <w:szCs w:val="24"/>
        </w:rPr>
        <w:t>in a Primary Care ACO</w:t>
      </w:r>
      <w:r w:rsidRPr="00686250">
        <w:rPr>
          <w:rFonts w:ascii="Arial" w:hAnsi="Arial" w:cs="Arial"/>
          <w:sz w:val="24"/>
          <w:szCs w:val="24"/>
        </w:rPr>
        <w:t xml:space="preserve"> and FFS members with MassHealth as primary coverage who are female and age </w:t>
      </w:r>
      <w:r w:rsidR="008114BE" w:rsidRPr="00686250">
        <w:rPr>
          <w:rFonts w:ascii="Arial" w:hAnsi="Arial" w:cs="Arial"/>
          <w:sz w:val="24"/>
          <w:szCs w:val="24"/>
        </w:rPr>
        <w:t>15-44</w:t>
      </w:r>
      <w:r w:rsidR="00CC2B38" w:rsidRPr="00686250">
        <w:rPr>
          <w:rFonts w:ascii="Arial" w:hAnsi="Arial" w:cs="Arial"/>
          <w:sz w:val="24"/>
          <w:szCs w:val="24"/>
        </w:rPr>
        <w:t>.</w:t>
      </w:r>
      <w:r w:rsidR="00CF5595" w:rsidRPr="00686250">
        <w:rPr>
          <w:rFonts w:ascii="Arial" w:hAnsi="Arial" w:cs="Arial"/>
          <w:sz w:val="24"/>
          <w:szCs w:val="24"/>
        </w:rPr>
        <w:t xml:space="preserve"> </w:t>
      </w:r>
      <w:r w:rsidR="00D42AEC" w:rsidRPr="00686250">
        <w:rPr>
          <w:rFonts w:ascii="Arial" w:hAnsi="Arial" w:cs="Arial"/>
          <w:sz w:val="24"/>
          <w:szCs w:val="24"/>
        </w:rPr>
        <w:t>Note these members are not necessarily all pregnant.</w:t>
      </w:r>
    </w:p>
    <w:p w:rsidR="003D6D87" w:rsidRPr="00686250" w:rsidRDefault="003D6D87" w:rsidP="00DB3552">
      <w:pPr>
        <w:ind w:firstLine="0"/>
        <w:rPr>
          <w:rFonts w:ascii="Arial" w:hAnsi="Arial" w:cs="Arial"/>
          <w:sz w:val="24"/>
          <w:szCs w:val="24"/>
        </w:rPr>
      </w:pPr>
    </w:p>
    <w:p w:rsidR="00152750" w:rsidRPr="002C37D2" w:rsidRDefault="00152750" w:rsidP="002C37D2">
      <w:pPr>
        <w:pStyle w:val="NoSpacing"/>
        <w:ind w:firstLine="0"/>
        <w:rPr>
          <w:rFonts w:ascii="Arial" w:hAnsi="Arial" w:cs="Arial"/>
          <w:b/>
          <w:sz w:val="24"/>
        </w:rPr>
      </w:pPr>
      <w:r w:rsidRPr="002C37D2">
        <w:rPr>
          <w:rFonts w:ascii="Arial" w:hAnsi="Arial" w:cs="Arial"/>
          <w:b/>
          <w:sz w:val="24"/>
        </w:rPr>
        <w:t xml:space="preserve">Number of Members Utilizing </w:t>
      </w:r>
      <w:r w:rsidR="00E2464F" w:rsidRPr="002C37D2">
        <w:rPr>
          <w:rFonts w:ascii="Arial" w:hAnsi="Arial" w:cs="Arial"/>
          <w:b/>
          <w:sz w:val="24"/>
        </w:rPr>
        <w:t xml:space="preserve">Perinatal </w:t>
      </w:r>
      <w:r w:rsidRPr="002C37D2">
        <w:rPr>
          <w:rFonts w:ascii="Arial" w:hAnsi="Arial" w:cs="Arial"/>
          <w:b/>
          <w:sz w:val="24"/>
        </w:rPr>
        <w:t>Services between SFY16- SFY18</w:t>
      </w:r>
    </w:p>
    <w:tbl>
      <w:tblPr>
        <w:tblW w:w="9360" w:type="dxa"/>
        <w:tblInd w:w="113" w:type="dxa"/>
        <w:tblLook w:val="04A0" w:firstRow="1" w:lastRow="0" w:firstColumn="1" w:lastColumn="0" w:noHBand="0" w:noVBand="1"/>
      </w:tblPr>
      <w:tblGrid>
        <w:gridCol w:w="2217"/>
        <w:gridCol w:w="1875"/>
        <w:gridCol w:w="1756"/>
        <w:gridCol w:w="1756"/>
        <w:gridCol w:w="1756"/>
      </w:tblGrid>
      <w:tr w:rsidR="00152750" w:rsidRPr="00152750" w:rsidTr="00170FA4">
        <w:trPr>
          <w:trHeight w:val="300"/>
          <w:tblHeader/>
        </w:trPr>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jc w:val="center"/>
              <w:rPr>
                <w:rFonts w:ascii="Arial" w:eastAsia="Times New Roman" w:hAnsi="Arial" w:cs="Arial"/>
                <w:b/>
                <w:color w:val="000000"/>
              </w:rPr>
            </w:pPr>
            <w:r w:rsidRPr="00152750">
              <w:rPr>
                <w:rFonts w:ascii="Arial" w:eastAsia="Times New Roman" w:hAnsi="Arial" w:cs="Arial"/>
                <w:b/>
                <w:color w:val="000000"/>
              </w:rPr>
              <w:t>Region</w:t>
            </w:r>
          </w:p>
        </w:tc>
        <w:tc>
          <w:tcPr>
            <w:tcW w:w="1875" w:type="dxa"/>
            <w:tcBorders>
              <w:top w:val="single" w:sz="4" w:space="0" w:color="auto"/>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jc w:val="center"/>
              <w:rPr>
                <w:rFonts w:ascii="Arial" w:eastAsia="Times New Roman" w:hAnsi="Arial" w:cs="Arial"/>
                <w:b/>
                <w:color w:val="000000"/>
              </w:rPr>
            </w:pPr>
            <w:r w:rsidRPr="00152750">
              <w:rPr>
                <w:rFonts w:ascii="Arial" w:eastAsia="Times New Roman" w:hAnsi="Arial" w:cs="Arial"/>
                <w:b/>
                <w:color w:val="000000"/>
              </w:rPr>
              <w:t>Service</w:t>
            </w:r>
          </w:p>
        </w:tc>
        <w:tc>
          <w:tcPr>
            <w:tcW w:w="1756" w:type="dxa"/>
            <w:tcBorders>
              <w:top w:val="single" w:sz="4" w:space="0" w:color="auto"/>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jc w:val="center"/>
              <w:rPr>
                <w:rFonts w:ascii="Arial" w:eastAsia="Times New Roman" w:hAnsi="Arial" w:cs="Arial"/>
                <w:b/>
                <w:color w:val="000000"/>
              </w:rPr>
            </w:pPr>
            <w:r w:rsidRPr="00152750">
              <w:rPr>
                <w:rFonts w:ascii="Arial" w:eastAsia="Times New Roman" w:hAnsi="Arial" w:cs="Arial"/>
                <w:b/>
                <w:color w:val="000000"/>
              </w:rPr>
              <w:t>SFY16 (# of Members)</w:t>
            </w:r>
          </w:p>
        </w:tc>
        <w:tc>
          <w:tcPr>
            <w:tcW w:w="1756" w:type="dxa"/>
            <w:tcBorders>
              <w:top w:val="single" w:sz="4" w:space="0" w:color="auto"/>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jc w:val="center"/>
              <w:rPr>
                <w:rFonts w:ascii="Arial" w:eastAsia="Times New Roman" w:hAnsi="Arial" w:cs="Arial"/>
                <w:b/>
                <w:color w:val="000000"/>
              </w:rPr>
            </w:pPr>
            <w:r w:rsidRPr="00152750">
              <w:rPr>
                <w:rFonts w:ascii="Arial" w:eastAsia="Times New Roman" w:hAnsi="Arial" w:cs="Arial"/>
                <w:b/>
                <w:color w:val="000000"/>
              </w:rPr>
              <w:t>SFY17 (# of Members)</w:t>
            </w:r>
          </w:p>
        </w:tc>
        <w:tc>
          <w:tcPr>
            <w:tcW w:w="1756" w:type="dxa"/>
            <w:tcBorders>
              <w:top w:val="single" w:sz="4" w:space="0" w:color="auto"/>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jc w:val="center"/>
              <w:rPr>
                <w:rFonts w:ascii="Arial" w:eastAsia="Times New Roman" w:hAnsi="Arial" w:cs="Arial"/>
                <w:b/>
                <w:color w:val="000000"/>
              </w:rPr>
            </w:pPr>
            <w:r w:rsidRPr="00152750">
              <w:rPr>
                <w:rFonts w:ascii="Arial" w:eastAsia="Times New Roman" w:hAnsi="Arial" w:cs="Arial"/>
                <w:b/>
                <w:color w:val="000000"/>
              </w:rPr>
              <w:t>SFY18 (# of Members)</w:t>
            </w:r>
          </w:p>
        </w:tc>
      </w:tr>
      <w:tr w:rsidR="00152750" w:rsidRPr="00152750" w:rsidTr="00170FA4">
        <w:trPr>
          <w:trHeight w:val="300"/>
        </w:trPr>
        <w:tc>
          <w:tcPr>
            <w:tcW w:w="2217" w:type="dxa"/>
            <w:vMerge w:val="restart"/>
            <w:tcBorders>
              <w:top w:val="nil"/>
              <w:left w:val="single" w:sz="4" w:space="0" w:color="auto"/>
              <w:bottom w:val="single" w:sz="4" w:space="0" w:color="auto"/>
              <w:right w:val="single" w:sz="4" w:space="0" w:color="auto"/>
            </w:tcBorders>
            <w:shd w:val="clear" w:color="000000" w:fill="FFFFFF"/>
            <w:noWrap/>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Cape and Islands</w:t>
            </w: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Delivery and Postpartum</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5A02A7">
            <w:pPr>
              <w:spacing w:after="240"/>
              <w:ind w:firstLine="0"/>
              <w:rPr>
                <w:rFonts w:ascii="Arial" w:hAnsi="Arial" w:cs="Arial"/>
              </w:rPr>
            </w:pPr>
            <w:r w:rsidRPr="00152750">
              <w:rPr>
                <w:rFonts w:ascii="Arial" w:hAnsi="Arial" w:cs="Arial"/>
              </w:rPr>
              <w:t>31</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5A02A7">
            <w:pPr>
              <w:spacing w:after="240"/>
              <w:ind w:firstLine="0"/>
              <w:rPr>
                <w:rFonts w:ascii="Arial" w:hAnsi="Arial" w:cs="Arial"/>
              </w:rPr>
            </w:pPr>
            <w:r w:rsidRPr="00152750">
              <w:rPr>
                <w:rFonts w:ascii="Arial" w:hAnsi="Arial" w:cs="Arial"/>
              </w:rPr>
              <w:t>17</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5A02A7">
            <w:pPr>
              <w:spacing w:after="240"/>
              <w:ind w:firstLine="0"/>
              <w:rPr>
                <w:rFonts w:ascii="Arial" w:hAnsi="Arial" w:cs="Arial"/>
              </w:rPr>
            </w:pPr>
            <w:r w:rsidRPr="00152750">
              <w:rPr>
                <w:rFonts w:ascii="Arial" w:hAnsi="Arial" w:cs="Arial"/>
              </w:rPr>
              <w:t>39</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Delivery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13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16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22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Other</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27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39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Postpartum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17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11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and Delivery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27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18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31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11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10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Delivery, and Postpartum</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59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66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98 </w:t>
            </w:r>
          </w:p>
        </w:tc>
      </w:tr>
      <w:tr w:rsidR="00152750" w:rsidRPr="00152750" w:rsidTr="00170FA4">
        <w:trPr>
          <w:trHeight w:val="300"/>
        </w:trPr>
        <w:tc>
          <w:tcPr>
            <w:tcW w:w="2217" w:type="dxa"/>
            <w:vMerge w:val="restart"/>
            <w:tcBorders>
              <w:top w:val="nil"/>
              <w:left w:val="single" w:sz="4" w:space="0" w:color="auto"/>
              <w:bottom w:val="single" w:sz="4" w:space="0" w:color="auto"/>
              <w:right w:val="single" w:sz="4" w:space="0" w:color="auto"/>
            </w:tcBorders>
            <w:shd w:val="clear" w:color="000000" w:fill="FFFFFF"/>
            <w:noWrap/>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Central</w:t>
            </w: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Delivery and Postpartum</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109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74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78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Delivery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52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41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80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Other</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303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300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447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Postpartum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16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20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13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Prenatal and </w:t>
            </w:r>
            <w:r w:rsidRPr="00152750">
              <w:rPr>
                <w:rFonts w:ascii="Arial" w:eastAsia="Times New Roman" w:hAnsi="Arial" w:cs="Arial"/>
                <w:color w:val="000000"/>
              </w:rPr>
              <w:lastRenderedPageBreak/>
              <w:t>Delivery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lastRenderedPageBreak/>
              <w:t xml:space="preserve">*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15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28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28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50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Delivery, and Postpartum</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587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608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729 </w:t>
            </w:r>
          </w:p>
        </w:tc>
      </w:tr>
      <w:tr w:rsidR="00152750" w:rsidRPr="00152750" w:rsidTr="00170FA4">
        <w:trPr>
          <w:trHeight w:val="300"/>
        </w:trPr>
        <w:tc>
          <w:tcPr>
            <w:tcW w:w="2217" w:type="dxa"/>
            <w:vMerge w:val="restart"/>
            <w:tcBorders>
              <w:top w:val="nil"/>
              <w:left w:val="single" w:sz="4" w:space="0" w:color="auto"/>
              <w:bottom w:val="single" w:sz="4" w:space="0" w:color="auto"/>
              <w:right w:val="single" w:sz="4" w:space="0" w:color="auto"/>
            </w:tcBorders>
            <w:shd w:val="clear" w:color="000000" w:fill="FFFFFF"/>
            <w:noWrap/>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Greater/Metro Boston</w:t>
            </w: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Delivery and Postpartum</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307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321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454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Delivery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327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385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497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Other</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877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1,030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1,271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Postpartum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34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24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35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and Delivery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67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67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78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168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162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191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Delivery, and Postpartum</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1,631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1,862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2,100 </w:t>
            </w:r>
          </w:p>
        </w:tc>
      </w:tr>
      <w:tr w:rsidR="00152750" w:rsidRPr="00152750" w:rsidTr="00170FA4">
        <w:trPr>
          <w:trHeight w:val="300"/>
        </w:trPr>
        <w:tc>
          <w:tcPr>
            <w:tcW w:w="2217" w:type="dxa"/>
            <w:vMerge w:val="restart"/>
            <w:tcBorders>
              <w:top w:val="nil"/>
              <w:left w:val="single" w:sz="4" w:space="0" w:color="auto"/>
              <w:bottom w:val="single" w:sz="4" w:space="0" w:color="auto"/>
              <w:right w:val="single" w:sz="4" w:space="0" w:color="auto"/>
            </w:tcBorders>
            <w:shd w:val="clear" w:color="000000" w:fill="FFFFFF"/>
            <w:noWrap/>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Southeastern</w:t>
            </w: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Delivery and Postpartum</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150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155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156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Delivery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17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19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39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Other</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165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154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247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Postpartum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and Delivery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12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44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37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97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Delivery, and Postpartum</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648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576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652 </w:t>
            </w:r>
          </w:p>
        </w:tc>
      </w:tr>
      <w:tr w:rsidR="00152750" w:rsidRPr="00152750" w:rsidTr="00170FA4">
        <w:trPr>
          <w:trHeight w:val="300"/>
        </w:trPr>
        <w:tc>
          <w:tcPr>
            <w:tcW w:w="2217" w:type="dxa"/>
            <w:vMerge w:val="restart"/>
            <w:tcBorders>
              <w:top w:val="nil"/>
              <w:left w:val="single" w:sz="4" w:space="0" w:color="auto"/>
              <w:bottom w:val="single" w:sz="4" w:space="0" w:color="auto"/>
              <w:right w:val="single" w:sz="4" w:space="0" w:color="auto"/>
            </w:tcBorders>
            <w:shd w:val="clear" w:color="000000" w:fill="FFFFFF"/>
            <w:noWrap/>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Western</w:t>
            </w: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Delivery and Postpartum</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66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68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103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Delivery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25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13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13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Other</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295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294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323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Postpartum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and Delivery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only</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67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60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145 </w:t>
            </w:r>
          </w:p>
        </w:tc>
      </w:tr>
      <w:tr w:rsidR="00152750" w:rsidRPr="00152750" w:rsidTr="00170FA4">
        <w:trPr>
          <w:trHeight w:val="300"/>
        </w:trPr>
        <w:tc>
          <w:tcPr>
            <w:tcW w:w="2217" w:type="dxa"/>
            <w:vMerge/>
            <w:tcBorders>
              <w:top w:val="nil"/>
              <w:left w:val="single" w:sz="4" w:space="0" w:color="auto"/>
              <w:bottom w:val="single" w:sz="4" w:space="0" w:color="auto"/>
              <w:right w:val="single" w:sz="4" w:space="0" w:color="auto"/>
            </w:tcBorders>
            <w:vAlign w:val="center"/>
            <w:hideMark/>
          </w:tcPr>
          <w:p w:rsidR="00152750" w:rsidRPr="00152750" w:rsidRDefault="00152750" w:rsidP="00152750">
            <w:pPr>
              <w:spacing w:after="240"/>
              <w:ind w:firstLine="0"/>
              <w:rPr>
                <w:rFonts w:ascii="Arial" w:eastAsia="Times New Roman" w:hAnsi="Arial" w:cs="Arial"/>
                <w:color w:val="000000"/>
              </w:rPr>
            </w:pPr>
          </w:p>
        </w:tc>
        <w:tc>
          <w:tcPr>
            <w:tcW w:w="1875"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Prenatal, Delivery, and Postpartum</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482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499 </w:t>
            </w:r>
          </w:p>
        </w:tc>
        <w:tc>
          <w:tcPr>
            <w:tcW w:w="1756" w:type="dxa"/>
            <w:tcBorders>
              <w:top w:val="nil"/>
              <w:left w:val="nil"/>
              <w:bottom w:val="single" w:sz="4" w:space="0" w:color="auto"/>
              <w:right w:val="single" w:sz="4" w:space="0" w:color="auto"/>
            </w:tcBorders>
            <w:shd w:val="clear" w:color="000000" w:fill="FFFFFF"/>
            <w:noWrap/>
            <w:vAlign w:val="bottom"/>
            <w:hideMark/>
          </w:tcPr>
          <w:p w:rsidR="00152750" w:rsidRPr="00152750" w:rsidRDefault="00152750" w:rsidP="00152750">
            <w:pPr>
              <w:spacing w:after="240"/>
              <w:ind w:firstLine="0"/>
              <w:rPr>
                <w:rFonts w:ascii="Arial" w:eastAsia="Times New Roman" w:hAnsi="Arial" w:cs="Arial"/>
                <w:color w:val="000000"/>
              </w:rPr>
            </w:pPr>
            <w:r w:rsidRPr="00152750">
              <w:rPr>
                <w:rFonts w:ascii="Arial" w:eastAsia="Times New Roman" w:hAnsi="Arial" w:cs="Arial"/>
                <w:color w:val="000000"/>
              </w:rPr>
              <w:t xml:space="preserve">513 </w:t>
            </w:r>
          </w:p>
        </w:tc>
      </w:tr>
    </w:tbl>
    <w:p w:rsidR="00152750" w:rsidRPr="009F7DBA" w:rsidRDefault="00152750" w:rsidP="009F7DBA">
      <w:pPr>
        <w:rPr>
          <w:rFonts w:ascii="Arial" w:hAnsi="Arial" w:cs="Arial"/>
          <w:sz w:val="24"/>
        </w:rPr>
      </w:pPr>
    </w:p>
    <w:p w:rsidR="00F8662A" w:rsidRDefault="00C77FA5" w:rsidP="00F8662A">
      <w:pPr>
        <w:ind w:firstLine="0"/>
        <w:rPr>
          <w:rFonts w:ascii="Arial" w:hAnsi="Arial" w:cs="Arial"/>
          <w:sz w:val="24"/>
        </w:rPr>
      </w:pPr>
      <w:r w:rsidRPr="009F7DBA">
        <w:rPr>
          <w:rFonts w:ascii="Arial" w:hAnsi="Arial" w:cs="Arial"/>
          <w:sz w:val="24"/>
        </w:rPr>
        <w:t>*Non-zero numeric references less than 11 and related compl</w:t>
      </w:r>
      <w:r w:rsidR="0002460F">
        <w:rPr>
          <w:rFonts w:ascii="Arial" w:hAnsi="Arial" w:cs="Arial"/>
          <w:sz w:val="24"/>
        </w:rPr>
        <w:t>e</w:t>
      </w:r>
      <w:r w:rsidRPr="009F7DBA">
        <w:rPr>
          <w:rFonts w:ascii="Arial" w:hAnsi="Arial" w:cs="Arial"/>
          <w:sz w:val="24"/>
        </w:rPr>
        <w:t xml:space="preserve">mentary data fields have been masked, withheld, or aggregated to protect </w:t>
      </w:r>
      <w:r w:rsidR="00FE2AC9" w:rsidRPr="009F7DBA">
        <w:rPr>
          <w:rFonts w:ascii="Arial" w:hAnsi="Arial" w:cs="Arial"/>
          <w:sz w:val="24"/>
        </w:rPr>
        <w:t xml:space="preserve">member </w:t>
      </w:r>
      <w:r w:rsidR="00F8662A">
        <w:rPr>
          <w:rFonts w:ascii="Arial" w:hAnsi="Arial" w:cs="Arial"/>
          <w:sz w:val="24"/>
        </w:rPr>
        <w:t>confidentiality.</w:t>
      </w:r>
    </w:p>
    <w:p w:rsidR="00F8662A" w:rsidRDefault="00F8662A" w:rsidP="00F8662A">
      <w:pPr>
        <w:ind w:firstLine="0"/>
        <w:rPr>
          <w:rFonts w:ascii="Arial" w:hAnsi="Arial" w:cs="Arial"/>
          <w:sz w:val="24"/>
        </w:rPr>
      </w:pPr>
    </w:p>
    <w:p w:rsidR="00F8662A" w:rsidRPr="00F8662A" w:rsidRDefault="00F8662A" w:rsidP="00F8662A">
      <w:pPr>
        <w:ind w:firstLine="0"/>
        <w:rPr>
          <w:rFonts w:ascii="Arial" w:hAnsi="Arial" w:cs="Arial"/>
          <w:sz w:val="24"/>
        </w:rPr>
      </w:pPr>
      <w:r w:rsidRPr="00686250">
        <w:rPr>
          <w:rFonts w:ascii="Arial" w:hAnsi="Arial" w:cs="Arial"/>
          <w:sz w:val="24"/>
          <w:szCs w:val="24"/>
        </w:rPr>
        <w:t xml:space="preserve">The member utilization table shows that, based on billed claims for the three </w:t>
      </w:r>
      <w:r>
        <w:rPr>
          <w:rFonts w:ascii="Arial" w:hAnsi="Arial" w:cs="Arial"/>
          <w:sz w:val="24"/>
          <w:szCs w:val="24"/>
        </w:rPr>
        <w:t xml:space="preserve">state fiscal </w:t>
      </w:r>
      <w:r w:rsidRPr="00686250">
        <w:rPr>
          <w:rFonts w:ascii="Arial" w:hAnsi="Arial" w:cs="Arial"/>
          <w:sz w:val="24"/>
          <w:szCs w:val="24"/>
        </w:rPr>
        <w:t xml:space="preserve">years </w:t>
      </w:r>
      <w:r>
        <w:rPr>
          <w:rFonts w:ascii="Arial" w:hAnsi="Arial" w:cs="Arial"/>
          <w:sz w:val="24"/>
          <w:szCs w:val="24"/>
        </w:rPr>
        <w:t>above</w:t>
      </w:r>
      <w:r w:rsidRPr="00686250">
        <w:rPr>
          <w:rFonts w:ascii="Arial" w:hAnsi="Arial" w:cs="Arial"/>
          <w:sz w:val="24"/>
          <w:szCs w:val="24"/>
        </w:rPr>
        <w:t>, between 48%-52% of eligible members as defined above received delivery, pre-natal, and post</w:t>
      </w:r>
      <w:r w:rsidR="00E1077D">
        <w:rPr>
          <w:rFonts w:ascii="Arial" w:hAnsi="Arial" w:cs="Arial"/>
          <w:sz w:val="24"/>
          <w:szCs w:val="24"/>
        </w:rPr>
        <w:t>partum</w:t>
      </w:r>
      <w:r w:rsidR="000D3D06">
        <w:rPr>
          <w:rFonts w:ascii="Arial" w:hAnsi="Arial" w:cs="Arial"/>
          <w:sz w:val="24"/>
          <w:szCs w:val="24"/>
        </w:rPr>
        <w:t xml:space="preserve"> </w:t>
      </w:r>
      <w:r w:rsidRPr="00686250">
        <w:rPr>
          <w:rFonts w:ascii="Arial" w:hAnsi="Arial" w:cs="Arial"/>
          <w:sz w:val="24"/>
          <w:szCs w:val="24"/>
        </w:rPr>
        <w:t xml:space="preserve">care. It appears that about </w:t>
      </w:r>
      <w:r w:rsidR="00BD45CC">
        <w:rPr>
          <w:rFonts w:ascii="Arial" w:hAnsi="Arial" w:cs="Arial"/>
          <w:sz w:val="24"/>
          <w:szCs w:val="24"/>
        </w:rPr>
        <w:t>5</w:t>
      </w:r>
      <w:r w:rsidRPr="00686250">
        <w:rPr>
          <w:rFonts w:ascii="Arial" w:hAnsi="Arial" w:cs="Arial"/>
          <w:sz w:val="24"/>
          <w:szCs w:val="24"/>
        </w:rPr>
        <w:t>% of the members received a pre-natal only service. However, the billing for these singular service codes may be related to</w:t>
      </w:r>
      <w:r w:rsidR="00E1077D">
        <w:rPr>
          <w:rFonts w:ascii="Arial" w:hAnsi="Arial" w:cs="Arial"/>
          <w:sz w:val="24"/>
          <w:szCs w:val="24"/>
        </w:rPr>
        <w:t xml:space="preserve"> clinical issues (such as miscarriage, or changing to a higher risk clinician) or administrative issues (</w:t>
      </w:r>
      <w:r w:rsidR="0037031C">
        <w:rPr>
          <w:rFonts w:ascii="Arial" w:hAnsi="Arial" w:cs="Arial"/>
          <w:sz w:val="24"/>
          <w:szCs w:val="24"/>
        </w:rPr>
        <w:t xml:space="preserve">such </w:t>
      </w:r>
      <w:r w:rsidR="00E1077D">
        <w:rPr>
          <w:rFonts w:ascii="Arial" w:hAnsi="Arial" w:cs="Arial"/>
          <w:sz w:val="24"/>
          <w:szCs w:val="24"/>
        </w:rPr>
        <w:t>as</w:t>
      </w:r>
      <w:r w:rsidRPr="00686250">
        <w:rPr>
          <w:rFonts w:ascii="Arial" w:hAnsi="Arial" w:cs="Arial"/>
          <w:sz w:val="24"/>
          <w:szCs w:val="24"/>
        </w:rPr>
        <w:t xml:space="preserve"> the timing of the member’s enrollment with or disenrollment from the PCC Plan, a Primary Care ACO, or FFS, and entry into other organizations for managed care</w:t>
      </w:r>
      <w:r w:rsidR="00E1077D">
        <w:rPr>
          <w:rFonts w:ascii="Arial" w:hAnsi="Arial" w:cs="Arial"/>
          <w:sz w:val="24"/>
          <w:szCs w:val="24"/>
        </w:rPr>
        <w:t>)</w:t>
      </w:r>
      <w:r w:rsidRPr="00686250">
        <w:rPr>
          <w:rFonts w:ascii="Arial" w:hAnsi="Arial" w:cs="Arial"/>
          <w:sz w:val="24"/>
          <w:szCs w:val="24"/>
        </w:rPr>
        <w:t>.</w:t>
      </w:r>
    </w:p>
    <w:p w:rsidR="00D14E70" w:rsidRPr="00686250" w:rsidRDefault="00143254" w:rsidP="00D14E70">
      <w:pPr>
        <w:spacing w:before="120"/>
        <w:ind w:firstLine="0"/>
        <w:rPr>
          <w:rFonts w:ascii="Arial" w:hAnsi="Arial" w:cs="Arial"/>
          <w:sz w:val="24"/>
          <w:szCs w:val="24"/>
        </w:rPr>
      </w:pPr>
      <w:r w:rsidRPr="00686250">
        <w:rPr>
          <w:rFonts w:ascii="Arial" w:hAnsi="Arial" w:cs="Arial"/>
          <w:sz w:val="24"/>
          <w:szCs w:val="24"/>
        </w:rPr>
        <w:t>Peri</w:t>
      </w:r>
      <w:r>
        <w:rPr>
          <w:rFonts w:ascii="Arial" w:hAnsi="Arial" w:cs="Arial"/>
          <w:sz w:val="24"/>
          <w:szCs w:val="24"/>
        </w:rPr>
        <w:t>natal</w:t>
      </w:r>
      <w:r w:rsidRPr="00686250">
        <w:rPr>
          <w:rFonts w:ascii="Arial" w:hAnsi="Arial" w:cs="Arial"/>
          <w:sz w:val="24"/>
          <w:szCs w:val="24"/>
        </w:rPr>
        <w:t xml:space="preserve"> </w:t>
      </w:r>
      <w:r w:rsidR="00D14E70" w:rsidRPr="00686250">
        <w:rPr>
          <w:rFonts w:ascii="Arial" w:hAnsi="Arial" w:cs="Arial"/>
          <w:sz w:val="24"/>
          <w:szCs w:val="24"/>
        </w:rPr>
        <w:t>care can be billed via a bundle, and that is the manner in which the vast majority of providers bill the service. Thus</w:t>
      </w:r>
      <w:r w:rsidR="00D77A9A">
        <w:rPr>
          <w:rFonts w:ascii="Arial" w:hAnsi="Arial" w:cs="Arial"/>
          <w:sz w:val="24"/>
          <w:szCs w:val="24"/>
        </w:rPr>
        <w:t>,</w:t>
      </w:r>
      <w:r w:rsidR="00D14E70" w:rsidRPr="00686250">
        <w:rPr>
          <w:rFonts w:ascii="Arial" w:hAnsi="Arial" w:cs="Arial"/>
          <w:sz w:val="24"/>
          <w:szCs w:val="24"/>
        </w:rPr>
        <w:t xml:space="preserve"> two proxy measure</w:t>
      </w:r>
      <w:r w:rsidR="00B51FDA" w:rsidRPr="00686250">
        <w:rPr>
          <w:rFonts w:ascii="Arial" w:hAnsi="Arial" w:cs="Arial"/>
          <w:sz w:val="24"/>
          <w:szCs w:val="24"/>
        </w:rPr>
        <w:t>s</w:t>
      </w:r>
      <w:r w:rsidR="00D14E70" w:rsidRPr="00686250">
        <w:rPr>
          <w:rFonts w:ascii="Arial" w:hAnsi="Arial" w:cs="Arial"/>
          <w:sz w:val="24"/>
          <w:szCs w:val="24"/>
        </w:rPr>
        <w:t xml:space="preserve"> of continuity of care </w:t>
      </w:r>
      <w:r w:rsidR="0002460F">
        <w:rPr>
          <w:rFonts w:ascii="Arial" w:hAnsi="Arial" w:cs="Arial"/>
          <w:sz w:val="24"/>
          <w:szCs w:val="24"/>
        </w:rPr>
        <w:t>-</w:t>
      </w:r>
      <w:r w:rsidR="0002460F" w:rsidRPr="0002460F">
        <w:rPr>
          <w:rFonts w:ascii="Arial" w:hAnsi="Arial" w:cs="Arial"/>
          <w:sz w:val="24"/>
          <w:szCs w:val="24"/>
        </w:rPr>
        <w:t xml:space="preserve"> </w:t>
      </w:r>
      <w:r w:rsidR="0002460F">
        <w:rPr>
          <w:rFonts w:ascii="Arial" w:hAnsi="Arial" w:cs="Arial"/>
          <w:sz w:val="24"/>
          <w:szCs w:val="24"/>
        </w:rPr>
        <w:t xml:space="preserve">complete bundle billing </w:t>
      </w:r>
      <w:r w:rsidR="00E1077D">
        <w:rPr>
          <w:rFonts w:ascii="Arial" w:hAnsi="Arial" w:cs="Arial"/>
          <w:sz w:val="24"/>
          <w:szCs w:val="24"/>
        </w:rPr>
        <w:t xml:space="preserve">(prenatal, delivery and postpartum) </w:t>
      </w:r>
      <w:r w:rsidR="0002460F">
        <w:rPr>
          <w:rFonts w:ascii="Arial" w:hAnsi="Arial" w:cs="Arial"/>
          <w:sz w:val="24"/>
          <w:szCs w:val="24"/>
        </w:rPr>
        <w:t xml:space="preserve">and delivery-only billing - </w:t>
      </w:r>
      <w:r w:rsidR="00D14E70" w:rsidRPr="00686250">
        <w:rPr>
          <w:rFonts w:ascii="Arial" w:hAnsi="Arial" w:cs="Arial"/>
          <w:sz w:val="24"/>
          <w:szCs w:val="24"/>
        </w:rPr>
        <w:t>we</w:t>
      </w:r>
      <w:r w:rsidR="00B51FDA" w:rsidRPr="00686250">
        <w:rPr>
          <w:rFonts w:ascii="Arial" w:hAnsi="Arial" w:cs="Arial"/>
          <w:sz w:val="24"/>
          <w:szCs w:val="24"/>
        </w:rPr>
        <w:t>re</w:t>
      </w:r>
      <w:r w:rsidR="00D14E70" w:rsidRPr="00686250">
        <w:rPr>
          <w:rFonts w:ascii="Arial" w:hAnsi="Arial" w:cs="Arial"/>
          <w:sz w:val="24"/>
          <w:szCs w:val="24"/>
        </w:rPr>
        <w:t xml:space="preserve"> taken from the MassHealth FFS delivery data to see whether there might be regional variation in care. In </w:t>
      </w:r>
      <w:r w:rsidR="005A02A7">
        <w:rPr>
          <w:rFonts w:ascii="Arial" w:hAnsi="Arial" w:cs="Arial"/>
          <w:sz w:val="24"/>
          <w:szCs w:val="24"/>
        </w:rPr>
        <w:t>the table</w:t>
      </w:r>
      <w:r w:rsidR="00D14E70" w:rsidRPr="00686250">
        <w:rPr>
          <w:rFonts w:ascii="Arial" w:hAnsi="Arial" w:cs="Arial"/>
          <w:sz w:val="24"/>
          <w:szCs w:val="24"/>
        </w:rPr>
        <w:t xml:space="preserve"> </w:t>
      </w:r>
      <w:r w:rsidR="00973B12" w:rsidRPr="00686250">
        <w:rPr>
          <w:rFonts w:ascii="Arial" w:hAnsi="Arial" w:cs="Arial"/>
          <w:sz w:val="24"/>
          <w:szCs w:val="24"/>
        </w:rPr>
        <w:t>above</w:t>
      </w:r>
      <w:r w:rsidR="00D14E70" w:rsidRPr="00686250">
        <w:rPr>
          <w:rFonts w:ascii="Arial" w:hAnsi="Arial" w:cs="Arial"/>
          <w:sz w:val="24"/>
          <w:szCs w:val="24"/>
        </w:rPr>
        <w:t xml:space="preserve">, the regions of care were analyzed for sites which billed for </w:t>
      </w:r>
      <w:r w:rsidR="00973B12" w:rsidRPr="00686250">
        <w:rPr>
          <w:rFonts w:ascii="Arial" w:hAnsi="Arial" w:cs="Arial"/>
          <w:sz w:val="24"/>
          <w:szCs w:val="24"/>
        </w:rPr>
        <w:t xml:space="preserve">(a) </w:t>
      </w:r>
      <w:r w:rsidR="00D14E70" w:rsidRPr="00686250">
        <w:rPr>
          <w:rFonts w:ascii="Arial" w:hAnsi="Arial" w:cs="Arial"/>
          <w:sz w:val="24"/>
          <w:szCs w:val="24"/>
        </w:rPr>
        <w:t>the complete bundle</w:t>
      </w:r>
      <w:r w:rsidR="0002460F">
        <w:rPr>
          <w:rFonts w:ascii="Arial" w:hAnsi="Arial" w:cs="Arial"/>
          <w:sz w:val="24"/>
          <w:szCs w:val="24"/>
        </w:rPr>
        <w:t xml:space="preserve"> of services</w:t>
      </w:r>
      <w:r w:rsidR="00D14E70" w:rsidRPr="00686250">
        <w:rPr>
          <w:rFonts w:ascii="Arial" w:hAnsi="Arial" w:cs="Arial"/>
          <w:sz w:val="24"/>
          <w:szCs w:val="24"/>
        </w:rPr>
        <w:t xml:space="preserve"> (prenatal, delivery, and postpartum care) from the same site</w:t>
      </w:r>
      <w:r w:rsidR="0002460F">
        <w:rPr>
          <w:rFonts w:ascii="Arial" w:hAnsi="Arial" w:cs="Arial"/>
          <w:sz w:val="24"/>
          <w:szCs w:val="24"/>
        </w:rPr>
        <w:t xml:space="preserve">; and </w:t>
      </w:r>
      <w:r w:rsidR="00973B12" w:rsidRPr="00686250">
        <w:rPr>
          <w:rFonts w:ascii="Arial" w:hAnsi="Arial" w:cs="Arial"/>
          <w:sz w:val="24"/>
          <w:szCs w:val="24"/>
        </w:rPr>
        <w:t>(b)</w:t>
      </w:r>
      <w:r w:rsidR="00D14E70" w:rsidRPr="00686250">
        <w:rPr>
          <w:rFonts w:ascii="Arial" w:hAnsi="Arial" w:cs="Arial"/>
          <w:sz w:val="24"/>
          <w:szCs w:val="24"/>
        </w:rPr>
        <w:t xml:space="preserve"> delivery</w:t>
      </w:r>
      <w:r w:rsidR="0002460F">
        <w:rPr>
          <w:rFonts w:ascii="Arial" w:hAnsi="Arial" w:cs="Arial"/>
          <w:sz w:val="24"/>
          <w:szCs w:val="24"/>
        </w:rPr>
        <w:t>-</w:t>
      </w:r>
      <w:r w:rsidR="00D14E70" w:rsidRPr="00686250">
        <w:rPr>
          <w:rFonts w:ascii="Arial" w:hAnsi="Arial" w:cs="Arial"/>
          <w:sz w:val="24"/>
          <w:szCs w:val="24"/>
        </w:rPr>
        <w:t xml:space="preserve">only claims. </w:t>
      </w:r>
    </w:p>
    <w:p w:rsidR="00D14E70" w:rsidRDefault="00D14E70" w:rsidP="00D14E70">
      <w:pPr>
        <w:spacing w:before="120"/>
        <w:ind w:firstLine="0"/>
        <w:rPr>
          <w:rFonts w:ascii="Arial" w:hAnsi="Arial" w:cs="Arial"/>
          <w:sz w:val="24"/>
          <w:szCs w:val="24"/>
        </w:rPr>
      </w:pPr>
      <w:r w:rsidRPr="00686250">
        <w:rPr>
          <w:rFonts w:ascii="Arial" w:hAnsi="Arial" w:cs="Arial"/>
          <w:sz w:val="24"/>
          <w:szCs w:val="24"/>
        </w:rPr>
        <w:t>The two measures taken together were evaluated as a proxy for the continuity of care in a single care system. It is understandable that clinical circumstances may call for a disruption in continuity (</w:t>
      </w:r>
      <w:r w:rsidR="007B6E50" w:rsidRPr="00686250">
        <w:rPr>
          <w:rFonts w:ascii="Arial" w:hAnsi="Arial" w:cs="Arial"/>
          <w:sz w:val="24"/>
          <w:szCs w:val="24"/>
        </w:rPr>
        <w:t>e.g.</w:t>
      </w:r>
      <w:r w:rsidRPr="00686250">
        <w:rPr>
          <w:rFonts w:ascii="Arial" w:hAnsi="Arial" w:cs="Arial"/>
          <w:sz w:val="24"/>
          <w:szCs w:val="24"/>
        </w:rPr>
        <w:t xml:space="preserve"> precipitous birth outside of usual site of care</w:t>
      </w:r>
      <w:r w:rsidR="00973B12" w:rsidRPr="00686250">
        <w:rPr>
          <w:rFonts w:ascii="Arial" w:hAnsi="Arial" w:cs="Arial"/>
          <w:sz w:val="24"/>
          <w:szCs w:val="24"/>
        </w:rPr>
        <w:t>, or a complication that required transfer to a hospital with specific expertise</w:t>
      </w:r>
      <w:r w:rsidRPr="00686250">
        <w:rPr>
          <w:rFonts w:ascii="Arial" w:hAnsi="Arial" w:cs="Arial"/>
          <w:sz w:val="24"/>
          <w:szCs w:val="24"/>
        </w:rPr>
        <w:t xml:space="preserve">). </w:t>
      </w:r>
      <w:r w:rsidR="00973B12" w:rsidRPr="00686250">
        <w:rPr>
          <w:rFonts w:ascii="Arial" w:hAnsi="Arial" w:cs="Arial"/>
          <w:sz w:val="24"/>
          <w:szCs w:val="24"/>
        </w:rPr>
        <w:t>For SFY16- SFY18, a</w:t>
      </w:r>
      <w:r w:rsidRPr="00686250">
        <w:rPr>
          <w:rFonts w:ascii="Arial" w:hAnsi="Arial" w:cs="Arial"/>
          <w:sz w:val="24"/>
          <w:szCs w:val="24"/>
        </w:rPr>
        <w:t xml:space="preserve">ll the rates of </w:t>
      </w:r>
      <w:r w:rsidR="00973B12" w:rsidRPr="00686250">
        <w:rPr>
          <w:rFonts w:ascii="Arial" w:hAnsi="Arial" w:cs="Arial"/>
          <w:sz w:val="24"/>
          <w:szCs w:val="24"/>
        </w:rPr>
        <w:t>complete b</w:t>
      </w:r>
      <w:r w:rsidRPr="00686250">
        <w:rPr>
          <w:rFonts w:ascii="Arial" w:hAnsi="Arial" w:cs="Arial"/>
          <w:sz w:val="24"/>
          <w:szCs w:val="24"/>
        </w:rPr>
        <w:t xml:space="preserve">undled </w:t>
      </w:r>
      <w:r w:rsidR="0002460F">
        <w:rPr>
          <w:rFonts w:ascii="Arial" w:hAnsi="Arial" w:cs="Arial"/>
          <w:sz w:val="24"/>
          <w:szCs w:val="24"/>
        </w:rPr>
        <w:t>c</w:t>
      </w:r>
      <w:r w:rsidRPr="00686250">
        <w:rPr>
          <w:rFonts w:ascii="Arial" w:hAnsi="Arial" w:cs="Arial"/>
          <w:sz w:val="24"/>
          <w:szCs w:val="24"/>
        </w:rPr>
        <w:t xml:space="preserve">are in four of the five regions was high (over 60%) and consistent between regions. The single outlier was Cape </w:t>
      </w:r>
      <w:r w:rsidR="00B51FDA" w:rsidRPr="00686250">
        <w:rPr>
          <w:rFonts w:ascii="Arial" w:hAnsi="Arial" w:cs="Arial"/>
          <w:sz w:val="24"/>
          <w:szCs w:val="24"/>
        </w:rPr>
        <w:t xml:space="preserve">Cod </w:t>
      </w:r>
      <w:r w:rsidRPr="00686250">
        <w:rPr>
          <w:rFonts w:ascii="Arial" w:hAnsi="Arial" w:cs="Arial"/>
          <w:sz w:val="24"/>
          <w:szCs w:val="24"/>
        </w:rPr>
        <w:t>and the Islands which had the smallest percentage of births in the bundle (46.4%), and a correspond</w:t>
      </w:r>
      <w:r w:rsidR="00E264ED">
        <w:rPr>
          <w:rFonts w:ascii="Arial" w:hAnsi="Arial" w:cs="Arial"/>
          <w:sz w:val="24"/>
          <w:szCs w:val="24"/>
        </w:rPr>
        <w:t>ingly higher number of delivery-</w:t>
      </w:r>
      <w:r w:rsidRPr="00686250">
        <w:rPr>
          <w:rFonts w:ascii="Arial" w:hAnsi="Arial" w:cs="Arial"/>
          <w:sz w:val="24"/>
          <w:szCs w:val="24"/>
        </w:rPr>
        <w:t>only claims (10.4%) which may be expected due to its r</w:t>
      </w:r>
      <w:r w:rsidR="00E264ED">
        <w:rPr>
          <w:rFonts w:ascii="Arial" w:hAnsi="Arial" w:cs="Arial"/>
          <w:sz w:val="24"/>
          <w:szCs w:val="24"/>
        </w:rPr>
        <w:t xml:space="preserve">elative geographic isolation. </w:t>
      </w:r>
      <w:r w:rsidRPr="00686250">
        <w:rPr>
          <w:rFonts w:ascii="Arial" w:hAnsi="Arial" w:cs="Arial"/>
          <w:sz w:val="24"/>
          <w:szCs w:val="24"/>
        </w:rPr>
        <w:t xml:space="preserve">Urban centers with hospital expertise for higher </w:t>
      </w:r>
      <w:r w:rsidRPr="00686250">
        <w:rPr>
          <w:rFonts w:ascii="Arial" w:hAnsi="Arial" w:cs="Arial"/>
          <w:sz w:val="24"/>
          <w:szCs w:val="24"/>
        </w:rPr>
        <w:lastRenderedPageBreak/>
        <w:t xml:space="preserve">levels of </w:t>
      </w:r>
      <w:proofErr w:type="spellStart"/>
      <w:r w:rsidRPr="00686250">
        <w:rPr>
          <w:rFonts w:ascii="Arial" w:hAnsi="Arial" w:cs="Arial"/>
          <w:sz w:val="24"/>
          <w:szCs w:val="24"/>
        </w:rPr>
        <w:t>peripartum</w:t>
      </w:r>
      <w:proofErr w:type="spellEnd"/>
      <w:r w:rsidRPr="00686250">
        <w:rPr>
          <w:rFonts w:ascii="Arial" w:hAnsi="Arial" w:cs="Arial"/>
          <w:sz w:val="24"/>
          <w:szCs w:val="24"/>
        </w:rPr>
        <w:t xml:space="preserve"> acuity in Boston and Worcester (Central</w:t>
      </w:r>
      <w:r w:rsidR="00060ABF">
        <w:rPr>
          <w:rFonts w:ascii="Arial" w:hAnsi="Arial" w:cs="Arial"/>
          <w:sz w:val="24"/>
          <w:szCs w:val="24"/>
        </w:rPr>
        <w:t xml:space="preserve"> Mass</w:t>
      </w:r>
      <w:r w:rsidRPr="00686250">
        <w:rPr>
          <w:rFonts w:ascii="Arial" w:hAnsi="Arial" w:cs="Arial"/>
          <w:sz w:val="24"/>
          <w:szCs w:val="24"/>
        </w:rPr>
        <w:t>) likely account for the higher delivery</w:t>
      </w:r>
      <w:r w:rsidR="00437F78">
        <w:rPr>
          <w:rFonts w:ascii="Arial" w:hAnsi="Arial" w:cs="Arial"/>
          <w:sz w:val="24"/>
          <w:szCs w:val="24"/>
        </w:rPr>
        <w:t>-</w:t>
      </w:r>
      <w:r w:rsidRPr="00686250">
        <w:rPr>
          <w:rFonts w:ascii="Arial" w:hAnsi="Arial" w:cs="Arial"/>
          <w:sz w:val="24"/>
          <w:szCs w:val="24"/>
        </w:rPr>
        <w:t>only rates in those regions.</w:t>
      </w:r>
    </w:p>
    <w:p w:rsidR="00FF472E" w:rsidRDefault="00FF472E" w:rsidP="00D14E70">
      <w:pPr>
        <w:spacing w:before="120"/>
        <w:ind w:firstLine="0"/>
        <w:rPr>
          <w:rFonts w:ascii="Arial" w:hAnsi="Arial" w:cs="Arial"/>
          <w:sz w:val="24"/>
          <w:szCs w:val="24"/>
        </w:rPr>
      </w:pPr>
    </w:p>
    <w:p w:rsidR="00D14E70" w:rsidRPr="00A779BD" w:rsidRDefault="00D14E70" w:rsidP="00D14E70">
      <w:pPr>
        <w:spacing w:before="120"/>
        <w:ind w:firstLine="0"/>
        <w:rPr>
          <w:rFonts w:ascii="Arial" w:hAnsi="Arial" w:cs="Arial"/>
          <w:b/>
          <w:sz w:val="24"/>
          <w:szCs w:val="24"/>
          <w:u w:val="single"/>
        </w:rPr>
      </w:pPr>
      <w:r w:rsidRPr="00A779BD">
        <w:rPr>
          <w:rFonts w:ascii="Arial" w:hAnsi="Arial" w:cs="Arial"/>
          <w:b/>
          <w:sz w:val="24"/>
          <w:szCs w:val="24"/>
          <w:u w:val="single"/>
        </w:rPr>
        <w:t xml:space="preserve">Regional Variation in Perinatal Bundled Care Claims </w:t>
      </w:r>
    </w:p>
    <w:p w:rsidR="00066E6F" w:rsidRPr="00E264ED" w:rsidRDefault="00066E6F" w:rsidP="00D16413">
      <w:pPr>
        <w:ind w:firstLine="0"/>
        <w:rPr>
          <w:rFonts w:ascii="Arial" w:eastAsia="Calibri" w:hAnsi="Arial" w:cs="Arial"/>
          <w:sz w:val="24"/>
          <w:szCs w:val="24"/>
        </w:rPr>
      </w:pPr>
    </w:p>
    <w:p w:rsidR="00B70BC4" w:rsidRPr="00686250" w:rsidRDefault="00025623" w:rsidP="00EA2832">
      <w:pPr>
        <w:spacing w:before="120"/>
        <w:ind w:firstLine="0"/>
        <w:rPr>
          <w:rFonts w:ascii="Arial" w:hAnsi="Arial" w:cs="Arial"/>
          <w:sz w:val="24"/>
          <w:szCs w:val="24"/>
        </w:rPr>
      </w:pPr>
      <w:r w:rsidRPr="00686250">
        <w:rPr>
          <w:rFonts w:ascii="Arial" w:hAnsi="Arial" w:cs="Arial"/>
          <w:sz w:val="24"/>
          <w:szCs w:val="24"/>
        </w:rPr>
        <w:t xml:space="preserve">The </w:t>
      </w:r>
      <w:r w:rsidR="00173551" w:rsidRPr="00686250">
        <w:rPr>
          <w:rFonts w:ascii="Arial" w:hAnsi="Arial" w:cs="Arial"/>
          <w:sz w:val="24"/>
          <w:szCs w:val="24"/>
        </w:rPr>
        <w:t xml:space="preserve">table </w:t>
      </w:r>
      <w:r w:rsidRPr="00686250">
        <w:rPr>
          <w:rFonts w:ascii="Arial" w:hAnsi="Arial" w:cs="Arial"/>
          <w:sz w:val="24"/>
          <w:szCs w:val="24"/>
        </w:rPr>
        <w:t>below provides the name of the counties associated with each geographic description.</w:t>
      </w:r>
    </w:p>
    <w:p w:rsidR="003E5DFA" w:rsidRPr="00686250" w:rsidRDefault="003E5DFA" w:rsidP="001B7C0C">
      <w:pPr>
        <w:ind w:firstLine="0"/>
        <w:rPr>
          <w:rFonts w:ascii="Arial" w:hAnsi="Arial" w:cs="Arial"/>
          <w:sz w:val="24"/>
          <w:szCs w:val="24"/>
        </w:rPr>
      </w:pPr>
    </w:p>
    <w:tbl>
      <w:tblPr>
        <w:tblW w:w="87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252"/>
      </w:tblGrid>
      <w:tr w:rsidR="00B70BC4" w:rsidRPr="00686250" w:rsidTr="00D10404">
        <w:trPr>
          <w:trHeight w:val="718"/>
          <w:tblHeader/>
        </w:trPr>
        <w:tc>
          <w:tcPr>
            <w:tcW w:w="1372" w:type="dxa"/>
            <w:shd w:val="clear" w:color="000000" w:fill="FFFFFF" w:themeFill="background1"/>
            <w:vAlign w:val="center"/>
            <w:hideMark/>
          </w:tcPr>
          <w:p w:rsidR="00B70BC4" w:rsidRPr="00E264ED" w:rsidRDefault="00B70BC4" w:rsidP="00043183">
            <w:pPr>
              <w:pStyle w:val="Subtitle"/>
              <w:rPr>
                <w:rFonts w:ascii="Arial" w:hAnsi="Arial" w:cs="Arial"/>
                <w:b/>
                <w:sz w:val="22"/>
              </w:rPr>
            </w:pPr>
            <w:r w:rsidRPr="00E264ED">
              <w:rPr>
                <w:rFonts w:ascii="Arial" w:hAnsi="Arial" w:cs="Arial"/>
                <w:b/>
                <w:sz w:val="22"/>
              </w:rPr>
              <w:t>Geographic Description</w:t>
            </w:r>
          </w:p>
        </w:tc>
        <w:tc>
          <w:tcPr>
            <w:tcW w:w="0" w:type="auto"/>
            <w:shd w:val="clear" w:color="000000" w:fill="FFFFFF" w:themeFill="background1"/>
            <w:vAlign w:val="center"/>
            <w:hideMark/>
          </w:tcPr>
          <w:p w:rsidR="00B70BC4" w:rsidRPr="00E264ED" w:rsidRDefault="00B70BC4" w:rsidP="00043183">
            <w:pPr>
              <w:pStyle w:val="Subtitle"/>
              <w:rPr>
                <w:rFonts w:ascii="Arial" w:hAnsi="Arial" w:cs="Arial"/>
                <w:b/>
                <w:sz w:val="22"/>
              </w:rPr>
            </w:pPr>
            <w:r w:rsidRPr="00E264ED">
              <w:rPr>
                <w:rFonts w:ascii="Arial" w:hAnsi="Arial" w:cs="Arial"/>
                <w:b/>
                <w:sz w:val="22"/>
              </w:rPr>
              <w:t xml:space="preserve">Associated Counties </w:t>
            </w:r>
          </w:p>
        </w:tc>
      </w:tr>
      <w:tr w:rsidR="00B70BC4" w:rsidRPr="00686250" w:rsidTr="00D10404">
        <w:trPr>
          <w:trHeight w:val="313"/>
        </w:trPr>
        <w:tc>
          <w:tcPr>
            <w:tcW w:w="1372" w:type="dxa"/>
            <w:shd w:val="clear" w:color="auto" w:fill="auto"/>
            <w:vAlign w:val="center"/>
            <w:hideMark/>
          </w:tcPr>
          <w:p w:rsidR="00B70BC4" w:rsidRPr="00E264ED" w:rsidRDefault="00B70BC4" w:rsidP="00B70BC4">
            <w:pPr>
              <w:ind w:firstLine="0"/>
              <w:jc w:val="center"/>
              <w:rPr>
                <w:rFonts w:ascii="Arial" w:eastAsia="Times New Roman" w:hAnsi="Arial" w:cs="Arial"/>
                <w:color w:val="000000"/>
              </w:rPr>
            </w:pPr>
            <w:r w:rsidRPr="00E264ED">
              <w:rPr>
                <w:rFonts w:ascii="Arial" w:eastAsia="Times New Roman" w:hAnsi="Arial" w:cs="Arial"/>
                <w:color w:val="000000"/>
              </w:rPr>
              <w:t>Western Mass</w:t>
            </w:r>
          </w:p>
        </w:tc>
        <w:tc>
          <w:tcPr>
            <w:tcW w:w="7531" w:type="dxa"/>
            <w:shd w:val="clear" w:color="auto" w:fill="auto"/>
            <w:vAlign w:val="center"/>
            <w:hideMark/>
          </w:tcPr>
          <w:p w:rsidR="00B70BC4" w:rsidRPr="00E264ED" w:rsidRDefault="00B70BC4" w:rsidP="00D76815">
            <w:pPr>
              <w:ind w:firstLine="0"/>
              <w:rPr>
                <w:rFonts w:ascii="Arial" w:eastAsia="Times New Roman" w:hAnsi="Arial" w:cs="Arial"/>
                <w:color w:val="000000"/>
              </w:rPr>
            </w:pPr>
            <w:r w:rsidRPr="00E264ED">
              <w:rPr>
                <w:rFonts w:ascii="Arial" w:eastAsia="Times New Roman" w:hAnsi="Arial" w:cs="Arial"/>
                <w:color w:val="000000"/>
              </w:rPr>
              <w:t>Berkshire, Franklin, Hampshire, Hampden</w:t>
            </w:r>
          </w:p>
        </w:tc>
      </w:tr>
      <w:tr w:rsidR="00B70BC4" w:rsidRPr="00686250" w:rsidTr="00D10404">
        <w:trPr>
          <w:trHeight w:val="313"/>
        </w:trPr>
        <w:tc>
          <w:tcPr>
            <w:tcW w:w="1372" w:type="dxa"/>
            <w:vAlign w:val="center"/>
            <w:hideMark/>
          </w:tcPr>
          <w:p w:rsidR="00B70BC4" w:rsidRPr="00E264ED" w:rsidRDefault="00B70BC4" w:rsidP="00B70BC4">
            <w:pPr>
              <w:ind w:firstLine="0"/>
              <w:jc w:val="center"/>
              <w:rPr>
                <w:rFonts w:ascii="Arial" w:eastAsia="Times New Roman" w:hAnsi="Arial" w:cs="Arial"/>
                <w:color w:val="000000"/>
              </w:rPr>
            </w:pPr>
            <w:r w:rsidRPr="00E264ED">
              <w:rPr>
                <w:rFonts w:ascii="Arial" w:eastAsia="Times New Roman" w:hAnsi="Arial" w:cs="Arial"/>
                <w:color w:val="000000"/>
              </w:rPr>
              <w:t>Central Mass</w:t>
            </w:r>
          </w:p>
        </w:tc>
        <w:tc>
          <w:tcPr>
            <w:tcW w:w="7531" w:type="dxa"/>
            <w:shd w:val="clear" w:color="auto" w:fill="auto"/>
            <w:vAlign w:val="center"/>
            <w:hideMark/>
          </w:tcPr>
          <w:p w:rsidR="00B70BC4" w:rsidRPr="00E264ED" w:rsidRDefault="00B70BC4" w:rsidP="00D76815">
            <w:pPr>
              <w:ind w:firstLine="0"/>
              <w:rPr>
                <w:rFonts w:ascii="Arial" w:eastAsia="Times New Roman" w:hAnsi="Arial" w:cs="Arial"/>
                <w:color w:val="000000"/>
              </w:rPr>
            </w:pPr>
            <w:r w:rsidRPr="00E264ED">
              <w:rPr>
                <w:rFonts w:ascii="Arial" w:eastAsia="Times New Roman" w:hAnsi="Arial" w:cs="Arial"/>
                <w:color w:val="000000"/>
              </w:rPr>
              <w:t>Worcester</w:t>
            </w:r>
          </w:p>
        </w:tc>
      </w:tr>
      <w:tr w:rsidR="006C0F07" w:rsidRPr="00686250" w:rsidTr="00D10404">
        <w:trPr>
          <w:trHeight w:val="313"/>
        </w:trPr>
        <w:tc>
          <w:tcPr>
            <w:tcW w:w="1372" w:type="dxa"/>
            <w:vAlign w:val="center"/>
          </w:tcPr>
          <w:p w:rsidR="006C0F07" w:rsidRPr="00E264ED" w:rsidRDefault="00575A03" w:rsidP="00B70BC4">
            <w:pPr>
              <w:ind w:firstLine="0"/>
              <w:jc w:val="center"/>
              <w:rPr>
                <w:rFonts w:ascii="Arial" w:eastAsia="Times New Roman" w:hAnsi="Arial" w:cs="Arial"/>
                <w:color w:val="000000"/>
              </w:rPr>
            </w:pPr>
            <w:r w:rsidRPr="00E264ED">
              <w:rPr>
                <w:rFonts w:ascii="Arial" w:eastAsia="Times New Roman" w:hAnsi="Arial" w:cs="Arial"/>
                <w:color w:val="000000"/>
              </w:rPr>
              <w:t>Cape and Islands</w:t>
            </w:r>
          </w:p>
        </w:tc>
        <w:tc>
          <w:tcPr>
            <w:tcW w:w="7531" w:type="dxa"/>
            <w:shd w:val="clear" w:color="auto" w:fill="auto"/>
            <w:vAlign w:val="center"/>
          </w:tcPr>
          <w:p w:rsidR="006C0F07" w:rsidRPr="00E264ED" w:rsidRDefault="00575A03" w:rsidP="00D76815">
            <w:pPr>
              <w:ind w:firstLine="0"/>
              <w:rPr>
                <w:rFonts w:ascii="Arial" w:eastAsia="Times New Roman" w:hAnsi="Arial" w:cs="Arial"/>
                <w:color w:val="000000"/>
              </w:rPr>
            </w:pPr>
            <w:r w:rsidRPr="00E264ED">
              <w:rPr>
                <w:rFonts w:ascii="Arial" w:eastAsia="Times New Roman" w:hAnsi="Arial" w:cs="Arial"/>
                <w:color w:val="000000"/>
              </w:rPr>
              <w:t>Barnstable, Dukes, Nantucket</w:t>
            </w:r>
          </w:p>
        </w:tc>
      </w:tr>
      <w:tr w:rsidR="00575A03" w:rsidRPr="00686250" w:rsidTr="00D10404">
        <w:trPr>
          <w:trHeight w:val="313"/>
        </w:trPr>
        <w:tc>
          <w:tcPr>
            <w:tcW w:w="1372" w:type="dxa"/>
            <w:vAlign w:val="center"/>
          </w:tcPr>
          <w:p w:rsidR="00575A03" w:rsidRPr="00E264ED" w:rsidRDefault="00760F16" w:rsidP="00B70BC4">
            <w:pPr>
              <w:ind w:firstLine="0"/>
              <w:jc w:val="center"/>
              <w:rPr>
                <w:rFonts w:ascii="Arial" w:eastAsia="Times New Roman" w:hAnsi="Arial" w:cs="Arial"/>
                <w:color w:val="000000"/>
              </w:rPr>
            </w:pPr>
            <w:r w:rsidRPr="00E264ED">
              <w:rPr>
                <w:rFonts w:ascii="Arial" w:eastAsia="Times New Roman" w:hAnsi="Arial" w:cs="Arial"/>
                <w:color w:val="000000"/>
              </w:rPr>
              <w:t>Greater Metro</w:t>
            </w:r>
            <w:r w:rsidR="00575A03" w:rsidRPr="00E264ED">
              <w:rPr>
                <w:rFonts w:ascii="Arial" w:eastAsia="Times New Roman" w:hAnsi="Arial" w:cs="Arial"/>
                <w:color w:val="000000"/>
              </w:rPr>
              <w:t xml:space="preserve"> Boston</w:t>
            </w:r>
          </w:p>
        </w:tc>
        <w:tc>
          <w:tcPr>
            <w:tcW w:w="7531" w:type="dxa"/>
            <w:shd w:val="clear" w:color="auto" w:fill="auto"/>
            <w:vAlign w:val="center"/>
          </w:tcPr>
          <w:p w:rsidR="00575A03" w:rsidRPr="00E264ED" w:rsidRDefault="00575A03" w:rsidP="00575A03">
            <w:pPr>
              <w:ind w:firstLine="0"/>
              <w:rPr>
                <w:rFonts w:ascii="Arial" w:eastAsia="Times New Roman" w:hAnsi="Arial" w:cs="Arial"/>
                <w:color w:val="000000"/>
              </w:rPr>
            </w:pPr>
            <w:r w:rsidRPr="00E264ED">
              <w:rPr>
                <w:rFonts w:ascii="Arial" w:eastAsia="Times New Roman" w:hAnsi="Arial" w:cs="Arial"/>
                <w:color w:val="000000"/>
              </w:rPr>
              <w:t>Essex, Middlesex, Norfolk, Suffolk</w:t>
            </w:r>
          </w:p>
        </w:tc>
      </w:tr>
      <w:tr w:rsidR="00B70BC4" w:rsidRPr="00686250" w:rsidTr="00D10404">
        <w:trPr>
          <w:trHeight w:val="313"/>
        </w:trPr>
        <w:tc>
          <w:tcPr>
            <w:tcW w:w="1372" w:type="dxa"/>
            <w:vAlign w:val="center"/>
          </w:tcPr>
          <w:p w:rsidR="00B70BC4" w:rsidRPr="00E264ED" w:rsidRDefault="00575A03" w:rsidP="00025623">
            <w:pPr>
              <w:ind w:firstLine="0"/>
              <w:jc w:val="center"/>
              <w:rPr>
                <w:rFonts w:ascii="Arial" w:eastAsia="Times New Roman" w:hAnsi="Arial" w:cs="Arial"/>
                <w:color w:val="000000"/>
              </w:rPr>
            </w:pPr>
            <w:r w:rsidRPr="00E264ED">
              <w:rPr>
                <w:rFonts w:ascii="Arial" w:eastAsia="Times New Roman" w:hAnsi="Arial" w:cs="Arial"/>
                <w:color w:val="000000"/>
              </w:rPr>
              <w:t>Southeastern Mass</w:t>
            </w:r>
          </w:p>
        </w:tc>
        <w:tc>
          <w:tcPr>
            <w:tcW w:w="7531" w:type="dxa"/>
            <w:shd w:val="clear" w:color="auto" w:fill="auto"/>
            <w:vAlign w:val="center"/>
          </w:tcPr>
          <w:p w:rsidR="00B70BC4" w:rsidRPr="00E264ED" w:rsidRDefault="00575A03" w:rsidP="00D76815">
            <w:pPr>
              <w:ind w:firstLine="0"/>
              <w:rPr>
                <w:rFonts w:ascii="Arial" w:eastAsia="Times New Roman" w:hAnsi="Arial" w:cs="Arial"/>
                <w:color w:val="000000"/>
              </w:rPr>
            </w:pPr>
            <w:r w:rsidRPr="00E264ED">
              <w:rPr>
                <w:rFonts w:ascii="Arial" w:eastAsia="Times New Roman" w:hAnsi="Arial" w:cs="Arial"/>
                <w:color w:val="000000"/>
              </w:rPr>
              <w:t>Bristol, Plymouth</w:t>
            </w:r>
          </w:p>
        </w:tc>
      </w:tr>
    </w:tbl>
    <w:p w:rsidR="005E3744" w:rsidRPr="00686250" w:rsidRDefault="005E3744" w:rsidP="00845E80">
      <w:pPr>
        <w:ind w:firstLine="0"/>
        <w:rPr>
          <w:rFonts w:ascii="Arial" w:eastAsia="Calibri" w:hAnsi="Arial" w:cs="Arial"/>
          <w:sz w:val="24"/>
          <w:szCs w:val="24"/>
        </w:rPr>
      </w:pPr>
    </w:p>
    <w:p w:rsidR="003032DE" w:rsidRPr="00A779BD" w:rsidRDefault="003032DE" w:rsidP="00845E80">
      <w:pPr>
        <w:ind w:firstLine="0"/>
        <w:rPr>
          <w:rFonts w:ascii="Arial" w:eastAsia="Calibri" w:hAnsi="Arial" w:cs="Arial"/>
          <w:sz w:val="24"/>
          <w:szCs w:val="24"/>
          <w:u w:val="single"/>
        </w:rPr>
      </w:pPr>
      <w:r w:rsidRPr="00A779BD">
        <w:rPr>
          <w:rFonts w:ascii="Arial" w:hAnsi="Arial" w:cs="Arial"/>
          <w:b/>
          <w:sz w:val="24"/>
          <w:szCs w:val="24"/>
          <w:u w:val="single"/>
        </w:rPr>
        <w:t xml:space="preserve">Descriptions of Pre-and Post-Natal Utilization Codes </w:t>
      </w:r>
    </w:p>
    <w:p w:rsidR="003032DE" w:rsidRPr="00686250" w:rsidRDefault="003032DE" w:rsidP="00845E80">
      <w:pPr>
        <w:ind w:firstLine="0"/>
        <w:rPr>
          <w:rFonts w:ascii="Arial" w:eastAsia="Calibri" w:hAnsi="Arial" w:cs="Arial"/>
          <w:sz w:val="24"/>
          <w:szCs w:val="24"/>
        </w:rPr>
      </w:pPr>
    </w:p>
    <w:p w:rsidR="00845E80" w:rsidRPr="00686250" w:rsidRDefault="00845E80" w:rsidP="00845E80">
      <w:pPr>
        <w:ind w:firstLine="0"/>
        <w:rPr>
          <w:rFonts w:ascii="Arial" w:eastAsia="Calibri" w:hAnsi="Arial" w:cs="Arial"/>
          <w:sz w:val="24"/>
          <w:szCs w:val="24"/>
        </w:rPr>
      </w:pPr>
      <w:r w:rsidRPr="00686250">
        <w:rPr>
          <w:rFonts w:ascii="Arial" w:eastAsia="Calibri" w:hAnsi="Arial" w:cs="Arial"/>
          <w:sz w:val="24"/>
          <w:szCs w:val="24"/>
        </w:rPr>
        <w:t>The key below describes the procedures associated with each category of service:</w:t>
      </w:r>
    </w:p>
    <w:p w:rsidR="004054D7" w:rsidRPr="00686250" w:rsidRDefault="004054D7" w:rsidP="00845E80">
      <w:pPr>
        <w:ind w:firstLine="0"/>
        <w:rPr>
          <w:rFonts w:ascii="Arial" w:eastAsia="Calibri" w:hAnsi="Arial" w:cs="Arial"/>
          <w:sz w:val="24"/>
          <w:szCs w:val="24"/>
        </w:rPr>
      </w:pPr>
    </w:p>
    <w:tbl>
      <w:tblPr>
        <w:tblW w:w="8777" w:type="dxa"/>
        <w:tblInd w:w="93" w:type="dxa"/>
        <w:tblLook w:val="04A0" w:firstRow="1" w:lastRow="0" w:firstColumn="1" w:lastColumn="0" w:noHBand="0" w:noVBand="1"/>
      </w:tblPr>
      <w:tblGrid>
        <w:gridCol w:w="1367"/>
        <w:gridCol w:w="7410"/>
      </w:tblGrid>
      <w:tr w:rsidR="00D14E70" w:rsidRPr="00686250" w:rsidTr="00D10404">
        <w:trPr>
          <w:trHeight w:val="718"/>
          <w:tblHeader/>
        </w:trPr>
        <w:tc>
          <w:tcPr>
            <w:tcW w:w="1368"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D14E70" w:rsidRPr="00E264ED" w:rsidRDefault="00D14E70" w:rsidP="0055010D">
            <w:pPr>
              <w:pStyle w:val="Subtitle"/>
              <w:rPr>
                <w:rFonts w:ascii="Arial" w:hAnsi="Arial" w:cs="Arial"/>
                <w:b/>
                <w:sz w:val="22"/>
              </w:rPr>
            </w:pPr>
            <w:r w:rsidRPr="00E264ED">
              <w:rPr>
                <w:rFonts w:ascii="Arial" w:hAnsi="Arial" w:cs="Arial"/>
                <w:b/>
                <w:sz w:val="22"/>
              </w:rPr>
              <w:t>Service Category</w:t>
            </w:r>
          </w:p>
        </w:tc>
        <w:tc>
          <w:tcPr>
            <w:tcW w:w="7538" w:type="dxa"/>
            <w:tcBorders>
              <w:top w:val="single" w:sz="8" w:space="0" w:color="auto"/>
              <w:left w:val="nil"/>
              <w:bottom w:val="single" w:sz="8" w:space="0" w:color="auto"/>
              <w:right w:val="single" w:sz="8" w:space="0" w:color="auto"/>
            </w:tcBorders>
            <w:shd w:val="clear" w:color="auto" w:fill="FFFFFF" w:themeFill="background1"/>
            <w:vAlign w:val="center"/>
            <w:hideMark/>
          </w:tcPr>
          <w:p w:rsidR="00D14E70" w:rsidRPr="00E264ED" w:rsidRDefault="00D14E70" w:rsidP="0055010D">
            <w:pPr>
              <w:pStyle w:val="Subtitle"/>
              <w:rPr>
                <w:rFonts w:ascii="Arial" w:hAnsi="Arial" w:cs="Arial"/>
                <w:b/>
                <w:sz w:val="22"/>
              </w:rPr>
            </w:pPr>
            <w:r w:rsidRPr="00E264ED">
              <w:rPr>
                <w:rFonts w:ascii="Arial" w:hAnsi="Arial" w:cs="Arial"/>
                <w:b/>
                <w:sz w:val="22"/>
              </w:rPr>
              <w:t xml:space="preserve">Description </w:t>
            </w:r>
          </w:p>
        </w:tc>
      </w:tr>
      <w:tr w:rsidR="00D14E70" w:rsidRPr="00686250" w:rsidTr="00D10404">
        <w:trPr>
          <w:trHeight w:val="313"/>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E70" w:rsidRPr="00E264ED" w:rsidRDefault="00D14E70" w:rsidP="0055010D">
            <w:pPr>
              <w:ind w:firstLine="0"/>
              <w:jc w:val="center"/>
              <w:rPr>
                <w:rFonts w:ascii="Arial" w:eastAsia="Times New Roman" w:hAnsi="Arial" w:cs="Arial"/>
                <w:color w:val="000000"/>
              </w:rPr>
            </w:pPr>
            <w:r w:rsidRPr="00E264ED">
              <w:rPr>
                <w:rFonts w:ascii="Arial" w:eastAsia="Times New Roman" w:hAnsi="Arial" w:cs="Arial"/>
                <w:color w:val="000000"/>
              </w:rPr>
              <w:t>Prenatal Only</w:t>
            </w:r>
          </w:p>
        </w:tc>
        <w:tc>
          <w:tcPr>
            <w:tcW w:w="7538" w:type="dxa"/>
            <w:tcBorders>
              <w:top w:val="single" w:sz="4" w:space="0" w:color="auto"/>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t>59425: Antepartum care only; four to six visits and 59426: Antepartum care only; seven or more visits</w:t>
            </w:r>
          </w:p>
        </w:tc>
      </w:tr>
      <w:tr w:rsidR="00D14E70" w:rsidRPr="00686250" w:rsidTr="00D10404">
        <w:trPr>
          <w:trHeight w:val="313"/>
        </w:trPr>
        <w:tc>
          <w:tcPr>
            <w:tcW w:w="1368" w:type="dxa"/>
            <w:vMerge w:val="restart"/>
            <w:tcBorders>
              <w:top w:val="nil"/>
              <w:left w:val="single" w:sz="4" w:space="0" w:color="auto"/>
              <w:bottom w:val="single" w:sz="4" w:space="0" w:color="auto"/>
              <w:right w:val="single" w:sz="4" w:space="0" w:color="auto"/>
            </w:tcBorders>
            <w:shd w:val="clear" w:color="auto" w:fill="auto"/>
            <w:vAlign w:val="center"/>
            <w:hideMark/>
          </w:tcPr>
          <w:p w:rsidR="00D14E70" w:rsidRPr="00E264ED" w:rsidRDefault="00D14E70" w:rsidP="0055010D">
            <w:pPr>
              <w:ind w:firstLine="0"/>
              <w:jc w:val="center"/>
              <w:rPr>
                <w:rFonts w:ascii="Arial" w:eastAsia="Times New Roman" w:hAnsi="Arial" w:cs="Arial"/>
                <w:color w:val="000000"/>
              </w:rPr>
            </w:pPr>
            <w:r w:rsidRPr="00E264ED">
              <w:rPr>
                <w:rFonts w:ascii="Arial" w:eastAsia="Times New Roman" w:hAnsi="Arial" w:cs="Arial"/>
                <w:color w:val="000000"/>
              </w:rPr>
              <w:t>Prenatal, Delivery, Postpartum</w:t>
            </w: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t>59400: Routine obstetric care including antepartum care, vaginal delivery (with or without episiotomy, and/or forceps) and postpartum care</w:t>
            </w:r>
          </w:p>
        </w:tc>
      </w:tr>
      <w:tr w:rsidR="00D14E70" w:rsidRPr="00686250" w:rsidTr="00D10404">
        <w:trPr>
          <w:trHeight w:val="628"/>
        </w:trPr>
        <w:tc>
          <w:tcPr>
            <w:tcW w:w="1368" w:type="dxa"/>
            <w:vMerge/>
            <w:tcBorders>
              <w:top w:val="nil"/>
              <w:left w:val="single" w:sz="4" w:space="0" w:color="auto"/>
              <w:bottom w:val="single" w:sz="4" w:space="0" w:color="auto"/>
              <w:right w:val="single" w:sz="4" w:space="0" w:color="auto"/>
            </w:tcBorders>
            <w:vAlign w:val="center"/>
            <w:hideMark/>
          </w:tcPr>
          <w:p w:rsidR="00D14E70" w:rsidRPr="00E264ED" w:rsidRDefault="00D14E70" w:rsidP="0055010D">
            <w:pPr>
              <w:ind w:firstLine="0"/>
              <w:rPr>
                <w:rFonts w:ascii="Arial" w:eastAsia="Times New Roman" w:hAnsi="Arial" w:cs="Arial"/>
                <w:color w:val="000000"/>
              </w:rPr>
            </w:pP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t>59610: Routine obstetric care including antepartum care, vaginal delivery (with or without episiotomy, and/or forceps) and postpartum care, after previous cesarean delivery</w:t>
            </w:r>
          </w:p>
        </w:tc>
      </w:tr>
      <w:tr w:rsidR="00D14E70" w:rsidRPr="00686250" w:rsidTr="00D10404">
        <w:trPr>
          <w:trHeight w:val="313"/>
        </w:trPr>
        <w:tc>
          <w:tcPr>
            <w:tcW w:w="1368" w:type="dxa"/>
            <w:vMerge/>
            <w:tcBorders>
              <w:top w:val="nil"/>
              <w:left w:val="single" w:sz="4" w:space="0" w:color="auto"/>
              <w:bottom w:val="single" w:sz="4" w:space="0" w:color="auto"/>
              <w:right w:val="single" w:sz="4" w:space="0" w:color="auto"/>
            </w:tcBorders>
            <w:vAlign w:val="center"/>
            <w:hideMark/>
          </w:tcPr>
          <w:p w:rsidR="00D14E70" w:rsidRPr="00E264ED" w:rsidRDefault="00D14E70" w:rsidP="0055010D">
            <w:pPr>
              <w:ind w:firstLine="0"/>
              <w:rPr>
                <w:rFonts w:ascii="Arial" w:eastAsia="Times New Roman" w:hAnsi="Arial" w:cs="Arial"/>
                <w:color w:val="000000"/>
              </w:rPr>
            </w:pP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t>59618: Routine obstetric care including antepartum care, cesarean delivery, and postpartum care, following attempted vaginal delivery after previous cesarean delivery</w:t>
            </w:r>
          </w:p>
        </w:tc>
      </w:tr>
      <w:tr w:rsidR="00D14E70" w:rsidRPr="00686250" w:rsidTr="00D10404">
        <w:trPr>
          <w:trHeight w:val="313"/>
        </w:trPr>
        <w:tc>
          <w:tcPr>
            <w:tcW w:w="1368" w:type="dxa"/>
            <w:vMerge w:val="restart"/>
            <w:tcBorders>
              <w:top w:val="nil"/>
              <w:left w:val="single" w:sz="4" w:space="0" w:color="auto"/>
              <w:bottom w:val="single" w:sz="4" w:space="0" w:color="auto"/>
              <w:right w:val="single" w:sz="4" w:space="0" w:color="auto"/>
            </w:tcBorders>
            <w:shd w:val="clear" w:color="auto" w:fill="auto"/>
            <w:vAlign w:val="bottom"/>
            <w:hideMark/>
          </w:tcPr>
          <w:p w:rsidR="00D14E70" w:rsidRPr="00E264ED" w:rsidRDefault="00D14E70" w:rsidP="0055010D">
            <w:pPr>
              <w:ind w:firstLine="0"/>
              <w:jc w:val="center"/>
              <w:rPr>
                <w:rFonts w:ascii="Arial" w:eastAsia="Times New Roman" w:hAnsi="Arial" w:cs="Arial"/>
                <w:color w:val="000000"/>
              </w:rPr>
            </w:pPr>
            <w:r w:rsidRPr="00E264ED">
              <w:rPr>
                <w:rFonts w:ascii="Arial" w:eastAsia="Times New Roman" w:hAnsi="Arial" w:cs="Arial"/>
                <w:color w:val="000000"/>
              </w:rPr>
              <w:t>Delivery Only</w:t>
            </w: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t>59409: Vaginal delivery only (with or without episiotomy and/or forceps);</w:t>
            </w:r>
          </w:p>
        </w:tc>
      </w:tr>
      <w:tr w:rsidR="00D14E70" w:rsidRPr="00686250" w:rsidTr="00D10404">
        <w:trPr>
          <w:trHeight w:val="313"/>
        </w:trPr>
        <w:tc>
          <w:tcPr>
            <w:tcW w:w="1368" w:type="dxa"/>
            <w:vMerge/>
            <w:tcBorders>
              <w:top w:val="nil"/>
              <w:left w:val="single" w:sz="4" w:space="0" w:color="auto"/>
              <w:bottom w:val="single" w:sz="4" w:space="0" w:color="auto"/>
              <w:right w:val="single" w:sz="4" w:space="0" w:color="auto"/>
            </w:tcBorders>
            <w:vAlign w:val="center"/>
            <w:hideMark/>
          </w:tcPr>
          <w:p w:rsidR="00D14E70" w:rsidRPr="00E264ED" w:rsidRDefault="00D14E70" w:rsidP="0055010D">
            <w:pPr>
              <w:ind w:firstLine="0"/>
              <w:rPr>
                <w:rFonts w:ascii="Arial" w:eastAsia="Times New Roman" w:hAnsi="Arial" w:cs="Arial"/>
                <w:color w:val="000000"/>
              </w:rPr>
            </w:pP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t>59514: Cesarean delivery only</w:t>
            </w:r>
          </w:p>
        </w:tc>
      </w:tr>
      <w:tr w:rsidR="00D14E70" w:rsidRPr="00686250" w:rsidTr="00D10404">
        <w:trPr>
          <w:trHeight w:val="313"/>
        </w:trPr>
        <w:tc>
          <w:tcPr>
            <w:tcW w:w="1368" w:type="dxa"/>
            <w:vMerge/>
            <w:tcBorders>
              <w:top w:val="nil"/>
              <w:left w:val="single" w:sz="4" w:space="0" w:color="auto"/>
              <w:bottom w:val="single" w:sz="4" w:space="0" w:color="auto"/>
              <w:right w:val="single" w:sz="4" w:space="0" w:color="auto"/>
            </w:tcBorders>
            <w:vAlign w:val="center"/>
            <w:hideMark/>
          </w:tcPr>
          <w:p w:rsidR="00D14E70" w:rsidRPr="00E264ED" w:rsidRDefault="00D14E70" w:rsidP="0055010D">
            <w:pPr>
              <w:ind w:firstLine="0"/>
              <w:rPr>
                <w:rFonts w:ascii="Arial" w:eastAsia="Times New Roman" w:hAnsi="Arial" w:cs="Arial"/>
                <w:color w:val="000000"/>
              </w:rPr>
            </w:pP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t>59612: Vaginal delivery only, after previous cesarean delivery (with or without episiotomy and/or forceps)</w:t>
            </w:r>
          </w:p>
        </w:tc>
      </w:tr>
      <w:tr w:rsidR="00D14E70" w:rsidRPr="00686250" w:rsidTr="00D10404">
        <w:trPr>
          <w:trHeight w:val="628"/>
        </w:trPr>
        <w:tc>
          <w:tcPr>
            <w:tcW w:w="1368" w:type="dxa"/>
            <w:vMerge/>
            <w:tcBorders>
              <w:top w:val="nil"/>
              <w:left w:val="single" w:sz="4" w:space="0" w:color="auto"/>
              <w:bottom w:val="single" w:sz="4" w:space="0" w:color="auto"/>
              <w:right w:val="single" w:sz="4" w:space="0" w:color="auto"/>
            </w:tcBorders>
            <w:vAlign w:val="center"/>
            <w:hideMark/>
          </w:tcPr>
          <w:p w:rsidR="00D14E70" w:rsidRPr="00E264ED" w:rsidRDefault="00D14E70" w:rsidP="0055010D">
            <w:pPr>
              <w:ind w:firstLine="0"/>
              <w:rPr>
                <w:rFonts w:ascii="Arial" w:eastAsia="Times New Roman" w:hAnsi="Arial" w:cs="Arial"/>
                <w:color w:val="000000"/>
              </w:rPr>
            </w:pP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t>59620: Cesarean delivery only, following attempted vaginal delivery after previous cesarean delivery</w:t>
            </w:r>
          </w:p>
        </w:tc>
      </w:tr>
      <w:tr w:rsidR="00D14E70" w:rsidRPr="00686250" w:rsidTr="00D10404">
        <w:trPr>
          <w:trHeight w:val="628"/>
        </w:trPr>
        <w:tc>
          <w:tcPr>
            <w:tcW w:w="1368" w:type="dxa"/>
            <w:vMerge w:val="restart"/>
            <w:tcBorders>
              <w:top w:val="nil"/>
              <w:left w:val="single" w:sz="4" w:space="0" w:color="auto"/>
              <w:bottom w:val="single" w:sz="4" w:space="0" w:color="000000"/>
              <w:right w:val="single" w:sz="4" w:space="0" w:color="auto"/>
            </w:tcBorders>
            <w:shd w:val="clear" w:color="auto" w:fill="auto"/>
            <w:vAlign w:val="bottom"/>
            <w:hideMark/>
          </w:tcPr>
          <w:p w:rsidR="00D14E70" w:rsidRPr="00E264ED" w:rsidRDefault="00D14E70" w:rsidP="0055010D">
            <w:pPr>
              <w:ind w:firstLine="0"/>
              <w:jc w:val="center"/>
              <w:rPr>
                <w:rFonts w:ascii="Arial" w:eastAsia="Times New Roman" w:hAnsi="Arial" w:cs="Arial"/>
                <w:color w:val="000000"/>
              </w:rPr>
            </w:pPr>
            <w:r w:rsidRPr="00E264ED">
              <w:rPr>
                <w:rFonts w:ascii="Arial" w:eastAsia="Times New Roman" w:hAnsi="Arial" w:cs="Arial"/>
                <w:color w:val="000000"/>
              </w:rPr>
              <w:t xml:space="preserve">Delivery and </w:t>
            </w:r>
            <w:r w:rsidRPr="00E264ED">
              <w:rPr>
                <w:rFonts w:ascii="Arial" w:eastAsia="Times New Roman" w:hAnsi="Arial" w:cs="Arial"/>
                <w:color w:val="000000"/>
              </w:rPr>
              <w:lastRenderedPageBreak/>
              <w:t>Postpartum</w:t>
            </w: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lastRenderedPageBreak/>
              <w:t>59410: Vaginal delivery only (with or without episiotomy and/or forceps); including postpartum care</w:t>
            </w:r>
          </w:p>
        </w:tc>
      </w:tr>
      <w:tr w:rsidR="00D14E70" w:rsidRPr="00686250" w:rsidTr="00D10404">
        <w:trPr>
          <w:trHeight w:val="313"/>
        </w:trPr>
        <w:tc>
          <w:tcPr>
            <w:tcW w:w="1368" w:type="dxa"/>
            <w:vMerge/>
            <w:tcBorders>
              <w:top w:val="nil"/>
              <w:left w:val="single" w:sz="4" w:space="0" w:color="auto"/>
              <w:bottom w:val="single" w:sz="4" w:space="0" w:color="000000"/>
              <w:right w:val="single" w:sz="4" w:space="0" w:color="auto"/>
            </w:tcBorders>
            <w:vAlign w:val="center"/>
            <w:hideMark/>
          </w:tcPr>
          <w:p w:rsidR="00D14E70" w:rsidRPr="00E264ED" w:rsidRDefault="00D14E70" w:rsidP="0055010D">
            <w:pPr>
              <w:ind w:firstLine="0"/>
              <w:rPr>
                <w:rFonts w:ascii="Arial" w:eastAsia="Times New Roman" w:hAnsi="Arial" w:cs="Arial"/>
                <w:color w:val="000000"/>
              </w:rPr>
            </w:pP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3E5DFA">
            <w:pPr>
              <w:ind w:firstLine="0"/>
              <w:rPr>
                <w:rFonts w:ascii="Arial" w:eastAsia="Times New Roman" w:hAnsi="Arial" w:cs="Arial"/>
                <w:color w:val="000000"/>
              </w:rPr>
            </w:pPr>
            <w:r w:rsidRPr="00E264ED">
              <w:rPr>
                <w:rFonts w:ascii="Arial" w:eastAsia="Times New Roman" w:hAnsi="Arial" w:cs="Arial"/>
                <w:color w:val="000000"/>
              </w:rPr>
              <w:t xml:space="preserve">59510: Routine </w:t>
            </w:r>
            <w:r w:rsidR="003E5DFA" w:rsidRPr="00E264ED">
              <w:rPr>
                <w:rFonts w:ascii="Arial" w:eastAsia="Times New Roman" w:hAnsi="Arial" w:cs="Arial"/>
                <w:color w:val="000000"/>
              </w:rPr>
              <w:t xml:space="preserve">obstetric care </w:t>
            </w:r>
            <w:r w:rsidRPr="00E264ED">
              <w:rPr>
                <w:rFonts w:ascii="Arial" w:eastAsia="Times New Roman" w:hAnsi="Arial" w:cs="Arial"/>
                <w:color w:val="000000"/>
              </w:rPr>
              <w:t>including antepartum cesarean delivery, and postpartum care</w:t>
            </w:r>
          </w:p>
        </w:tc>
      </w:tr>
      <w:tr w:rsidR="00D14E70" w:rsidRPr="00686250" w:rsidTr="00D10404">
        <w:trPr>
          <w:trHeight w:val="313"/>
        </w:trPr>
        <w:tc>
          <w:tcPr>
            <w:tcW w:w="1368" w:type="dxa"/>
            <w:vMerge/>
            <w:tcBorders>
              <w:top w:val="nil"/>
              <w:left w:val="single" w:sz="4" w:space="0" w:color="auto"/>
              <w:bottom w:val="single" w:sz="4" w:space="0" w:color="000000"/>
              <w:right w:val="single" w:sz="4" w:space="0" w:color="auto"/>
            </w:tcBorders>
            <w:vAlign w:val="center"/>
            <w:hideMark/>
          </w:tcPr>
          <w:p w:rsidR="00D14E70" w:rsidRPr="00E264ED" w:rsidRDefault="00D14E70" w:rsidP="0055010D">
            <w:pPr>
              <w:ind w:firstLine="0"/>
              <w:rPr>
                <w:rFonts w:ascii="Arial" w:eastAsia="Times New Roman" w:hAnsi="Arial" w:cs="Arial"/>
                <w:color w:val="000000"/>
              </w:rPr>
            </w:pP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t>59515: Cesarean delivery only; including postpartum care</w:t>
            </w:r>
          </w:p>
        </w:tc>
      </w:tr>
      <w:tr w:rsidR="00D14E70" w:rsidRPr="00686250" w:rsidTr="00D10404">
        <w:trPr>
          <w:trHeight w:val="628"/>
        </w:trPr>
        <w:tc>
          <w:tcPr>
            <w:tcW w:w="1368" w:type="dxa"/>
            <w:vMerge/>
            <w:tcBorders>
              <w:top w:val="nil"/>
              <w:left w:val="single" w:sz="4" w:space="0" w:color="auto"/>
              <w:bottom w:val="single" w:sz="4" w:space="0" w:color="000000"/>
              <w:right w:val="single" w:sz="4" w:space="0" w:color="auto"/>
            </w:tcBorders>
            <w:vAlign w:val="center"/>
            <w:hideMark/>
          </w:tcPr>
          <w:p w:rsidR="00D14E70" w:rsidRPr="00E264ED" w:rsidRDefault="00D14E70" w:rsidP="0055010D">
            <w:pPr>
              <w:ind w:firstLine="0"/>
              <w:rPr>
                <w:rFonts w:ascii="Arial" w:eastAsia="Times New Roman" w:hAnsi="Arial" w:cs="Arial"/>
                <w:color w:val="000000"/>
              </w:rPr>
            </w:pP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t>59614: Vaginal delivery only, after previous cesarean delivery (with or without episiotomy and/or forceps); including postpartum care</w:t>
            </w:r>
          </w:p>
        </w:tc>
      </w:tr>
      <w:tr w:rsidR="00D14E70" w:rsidRPr="00686250" w:rsidTr="00D10404">
        <w:trPr>
          <w:trHeight w:val="628"/>
        </w:trPr>
        <w:tc>
          <w:tcPr>
            <w:tcW w:w="1368" w:type="dxa"/>
            <w:vMerge/>
            <w:tcBorders>
              <w:top w:val="nil"/>
              <w:left w:val="single" w:sz="4" w:space="0" w:color="auto"/>
              <w:bottom w:val="single" w:sz="4" w:space="0" w:color="000000"/>
              <w:right w:val="single" w:sz="4" w:space="0" w:color="auto"/>
            </w:tcBorders>
            <w:vAlign w:val="center"/>
            <w:hideMark/>
          </w:tcPr>
          <w:p w:rsidR="00D14E70" w:rsidRPr="00E264ED" w:rsidRDefault="00D14E70" w:rsidP="0055010D">
            <w:pPr>
              <w:ind w:firstLine="0"/>
              <w:rPr>
                <w:rFonts w:ascii="Arial" w:eastAsia="Times New Roman" w:hAnsi="Arial" w:cs="Arial"/>
                <w:color w:val="000000"/>
              </w:rPr>
            </w:pP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t>59622: Cesarean delivery only, following attempted vaginal delivery after previous cesarean delivery; including postpartum care</w:t>
            </w:r>
          </w:p>
        </w:tc>
      </w:tr>
      <w:tr w:rsidR="00D14E70" w:rsidRPr="00686250" w:rsidTr="00D10404">
        <w:trPr>
          <w:trHeight w:val="508"/>
        </w:trPr>
        <w:tc>
          <w:tcPr>
            <w:tcW w:w="1368" w:type="dxa"/>
            <w:tcBorders>
              <w:top w:val="nil"/>
              <w:left w:val="single" w:sz="4" w:space="0" w:color="auto"/>
              <w:bottom w:val="single" w:sz="4" w:space="0" w:color="auto"/>
              <w:right w:val="single" w:sz="4" w:space="0" w:color="auto"/>
            </w:tcBorders>
            <w:shd w:val="clear" w:color="auto" w:fill="auto"/>
            <w:vAlign w:val="bottom"/>
            <w:hideMark/>
          </w:tcPr>
          <w:p w:rsidR="00D14E70" w:rsidRPr="00E264ED" w:rsidRDefault="00D14E70" w:rsidP="0055010D">
            <w:pPr>
              <w:ind w:firstLine="0"/>
              <w:jc w:val="center"/>
              <w:rPr>
                <w:rFonts w:ascii="Arial" w:eastAsia="Times New Roman" w:hAnsi="Arial" w:cs="Arial"/>
                <w:color w:val="000000"/>
              </w:rPr>
            </w:pPr>
            <w:r w:rsidRPr="00E264ED">
              <w:rPr>
                <w:rFonts w:ascii="Arial" w:eastAsia="Times New Roman" w:hAnsi="Arial" w:cs="Arial"/>
                <w:color w:val="000000"/>
              </w:rPr>
              <w:t>Postpartum Only</w:t>
            </w:r>
          </w:p>
        </w:tc>
        <w:tc>
          <w:tcPr>
            <w:tcW w:w="7538" w:type="dxa"/>
            <w:tcBorders>
              <w:top w:val="nil"/>
              <w:left w:val="nil"/>
              <w:bottom w:val="single" w:sz="4" w:space="0" w:color="auto"/>
              <w:right w:val="single" w:sz="4" w:space="0" w:color="auto"/>
            </w:tcBorders>
            <w:shd w:val="clear" w:color="auto" w:fill="auto"/>
            <w:vAlign w:val="center"/>
            <w:hideMark/>
          </w:tcPr>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color w:val="000000"/>
              </w:rPr>
              <w:t>59430: Postpartum care only (separate procedure)</w:t>
            </w:r>
          </w:p>
        </w:tc>
      </w:tr>
      <w:tr w:rsidR="00D14E70" w:rsidRPr="00686250" w:rsidTr="00D10404">
        <w:trPr>
          <w:trHeight w:val="508"/>
        </w:trPr>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rsidR="00D14E70" w:rsidRPr="00E264ED" w:rsidRDefault="00D14E70" w:rsidP="0055010D">
            <w:pPr>
              <w:ind w:firstLine="0"/>
              <w:jc w:val="center"/>
              <w:rPr>
                <w:rFonts w:ascii="Arial" w:eastAsia="Times New Roman" w:hAnsi="Arial" w:cs="Arial"/>
                <w:color w:val="000000"/>
              </w:rPr>
            </w:pPr>
            <w:r w:rsidRPr="00E264ED">
              <w:rPr>
                <w:rFonts w:ascii="Arial" w:eastAsia="Times New Roman" w:hAnsi="Arial" w:cs="Arial"/>
                <w:color w:val="000000"/>
              </w:rPr>
              <w:t>Other</w:t>
            </w:r>
          </w:p>
        </w:tc>
        <w:tc>
          <w:tcPr>
            <w:tcW w:w="7538" w:type="dxa"/>
            <w:tcBorders>
              <w:top w:val="single" w:sz="4" w:space="0" w:color="auto"/>
              <w:left w:val="nil"/>
              <w:bottom w:val="single" w:sz="4" w:space="0" w:color="auto"/>
              <w:right w:val="single" w:sz="4" w:space="0" w:color="auto"/>
            </w:tcBorders>
            <w:shd w:val="clear" w:color="auto" w:fill="auto"/>
            <w:vAlign w:val="center"/>
          </w:tcPr>
          <w:p w:rsidR="00D14E70" w:rsidRPr="00E264ED" w:rsidRDefault="00D14E70" w:rsidP="0055010D">
            <w:pPr>
              <w:ind w:firstLine="0"/>
              <w:rPr>
                <w:rFonts w:ascii="Arial" w:eastAsia="Times New Roman" w:hAnsi="Arial" w:cs="Arial"/>
              </w:rPr>
            </w:pPr>
            <w:r w:rsidRPr="00E264ED">
              <w:rPr>
                <w:rFonts w:ascii="Arial" w:eastAsia="Times New Roman" w:hAnsi="Arial" w:cs="Arial"/>
              </w:rPr>
              <w:t xml:space="preserve">59525: Subtotal or Total Hysterectomy after </w:t>
            </w:r>
            <w:r w:rsidR="003E5DFA" w:rsidRPr="00E264ED">
              <w:rPr>
                <w:rFonts w:ascii="Arial" w:eastAsia="Times New Roman" w:hAnsi="Arial" w:cs="Arial"/>
              </w:rPr>
              <w:t>c</w:t>
            </w:r>
            <w:r w:rsidRPr="00E264ED">
              <w:rPr>
                <w:rFonts w:ascii="Arial" w:eastAsia="Times New Roman" w:hAnsi="Arial" w:cs="Arial"/>
              </w:rPr>
              <w:t xml:space="preserve">esarean </w:t>
            </w:r>
            <w:r w:rsidR="003E5DFA" w:rsidRPr="00E264ED">
              <w:rPr>
                <w:rFonts w:ascii="Arial" w:eastAsia="Times New Roman" w:hAnsi="Arial" w:cs="Arial"/>
              </w:rPr>
              <w:t>d</w:t>
            </w:r>
            <w:r w:rsidRPr="00E264ED">
              <w:rPr>
                <w:rFonts w:ascii="Arial" w:eastAsia="Times New Roman" w:hAnsi="Arial" w:cs="Arial"/>
              </w:rPr>
              <w:t xml:space="preserve">elivery  </w:t>
            </w:r>
          </w:p>
          <w:p w:rsidR="00D14E70" w:rsidRPr="00E264ED" w:rsidRDefault="00D14E70" w:rsidP="0055010D">
            <w:pPr>
              <w:ind w:firstLine="0"/>
              <w:rPr>
                <w:rFonts w:ascii="Arial" w:eastAsia="Times New Roman" w:hAnsi="Arial" w:cs="Arial"/>
                <w:color w:val="000000"/>
              </w:rPr>
            </w:pPr>
            <w:r w:rsidRPr="00E264ED">
              <w:rPr>
                <w:rFonts w:ascii="Arial" w:eastAsia="Times New Roman" w:hAnsi="Arial" w:cs="Arial"/>
              </w:rPr>
              <w:t>59414: Delivery of Placenta (separate procedure)</w:t>
            </w:r>
          </w:p>
        </w:tc>
      </w:tr>
    </w:tbl>
    <w:p w:rsidR="009E2727" w:rsidRPr="00686250" w:rsidRDefault="009E2727" w:rsidP="009E2727">
      <w:pPr>
        <w:ind w:firstLine="0"/>
        <w:rPr>
          <w:rFonts w:ascii="Arial" w:eastAsia="Calibri" w:hAnsi="Arial" w:cs="Arial"/>
          <w:sz w:val="24"/>
          <w:szCs w:val="24"/>
        </w:rPr>
      </w:pPr>
    </w:p>
    <w:p w:rsidR="00052ADA" w:rsidRPr="00964309" w:rsidRDefault="00052ADA" w:rsidP="00964309">
      <w:pPr>
        <w:pStyle w:val="Heading2"/>
        <w:rPr>
          <w:rFonts w:ascii="Arial" w:hAnsi="Arial" w:cs="Arial"/>
          <w:color w:val="auto"/>
          <w:sz w:val="24"/>
          <w:u w:val="single"/>
        </w:rPr>
      </w:pPr>
      <w:bookmarkStart w:id="61" w:name="_Toc20296944"/>
      <w:r w:rsidRPr="00964309">
        <w:rPr>
          <w:rFonts w:ascii="Arial" w:hAnsi="Arial" w:cs="Arial"/>
          <w:color w:val="auto"/>
          <w:sz w:val="24"/>
          <w:u w:val="single"/>
        </w:rPr>
        <w:t>4. HEDIS Prenatal and Postpartum Care Screening Scores</w:t>
      </w:r>
      <w:bookmarkEnd w:id="61"/>
    </w:p>
    <w:p w:rsidR="00052ADA" w:rsidRDefault="00052ADA" w:rsidP="00A73F5D">
      <w:pPr>
        <w:ind w:firstLine="0"/>
        <w:rPr>
          <w:rFonts w:ascii="Arial" w:eastAsia="Calibri" w:hAnsi="Arial" w:cs="Arial"/>
          <w:sz w:val="24"/>
          <w:szCs w:val="24"/>
        </w:rPr>
      </w:pPr>
    </w:p>
    <w:p w:rsidR="00A73F5D" w:rsidRDefault="00A73F5D" w:rsidP="00A73F5D">
      <w:pPr>
        <w:ind w:firstLine="0"/>
        <w:rPr>
          <w:rFonts w:ascii="Arial" w:eastAsia="Calibri" w:hAnsi="Arial" w:cs="Arial"/>
          <w:sz w:val="24"/>
          <w:szCs w:val="24"/>
        </w:rPr>
      </w:pPr>
      <w:r>
        <w:rPr>
          <w:rFonts w:ascii="Arial" w:eastAsia="Calibri" w:hAnsi="Arial" w:cs="Arial"/>
          <w:sz w:val="24"/>
          <w:szCs w:val="24"/>
        </w:rPr>
        <w:t xml:space="preserve">The </w:t>
      </w:r>
      <w:r w:rsidR="009E2727" w:rsidRPr="00686250">
        <w:rPr>
          <w:rFonts w:ascii="Arial" w:eastAsia="Calibri" w:hAnsi="Arial" w:cs="Arial"/>
          <w:sz w:val="24"/>
          <w:szCs w:val="24"/>
        </w:rPr>
        <w:t xml:space="preserve">HEDIS Prenatal and Postpartum Care </w:t>
      </w:r>
      <w:r>
        <w:rPr>
          <w:rFonts w:ascii="Arial" w:eastAsia="Calibri" w:hAnsi="Arial" w:cs="Arial"/>
          <w:sz w:val="24"/>
          <w:szCs w:val="24"/>
        </w:rPr>
        <w:t xml:space="preserve">measure includes two </w:t>
      </w:r>
      <w:r w:rsidR="009E2727" w:rsidRPr="00686250">
        <w:rPr>
          <w:rFonts w:ascii="Arial" w:eastAsia="Calibri" w:hAnsi="Arial" w:cs="Arial"/>
          <w:sz w:val="24"/>
          <w:szCs w:val="24"/>
        </w:rPr>
        <w:t>sub-measures, Timeliness of Prenatal Care and Postpartum Care</w:t>
      </w:r>
      <w:r>
        <w:rPr>
          <w:rFonts w:ascii="Arial" w:eastAsia="Calibri" w:hAnsi="Arial" w:cs="Arial"/>
          <w:sz w:val="24"/>
          <w:szCs w:val="24"/>
        </w:rPr>
        <w:t>. Results for both of these sub- measures</w:t>
      </w:r>
      <w:r w:rsidR="009E2727" w:rsidRPr="00686250">
        <w:rPr>
          <w:rFonts w:ascii="Arial" w:eastAsia="Calibri" w:hAnsi="Arial" w:cs="Arial"/>
          <w:sz w:val="24"/>
          <w:szCs w:val="24"/>
        </w:rPr>
        <w:t xml:space="preserve"> are presented in the tables below</w:t>
      </w:r>
      <w:r>
        <w:rPr>
          <w:rFonts w:ascii="Arial" w:eastAsia="Calibri" w:hAnsi="Arial" w:cs="Arial"/>
          <w:sz w:val="24"/>
          <w:szCs w:val="24"/>
        </w:rPr>
        <w:t>.</w:t>
      </w:r>
      <w:r w:rsidRPr="00A73F5D">
        <w:rPr>
          <w:rFonts w:ascii="Arial" w:eastAsia="Calibri" w:hAnsi="Arial" w:cs="Arial"/>
          <w:sz w:val="24"/>
          <w:szCs w:val="24"/>
        </w:rPr>
        <w:t xml:space="preserve"> </w:t>
      </w:r>
      <w:r w:rsidRPr="00686250">
        <w:rPr>
          <w:rFonts w:ascii="Arial" w:eastAsia="Calibri" w:hAnsi="Arial" w:cs="Arial"/>
          <w:sz w:val="24"/>
          <w:szCs w:val="24"/>
        </w:rPr>
        <w:t>The MassHealth Weighted Mean (MHWM) demonstrates the combined performance of the PCC plan and the five MCOs who provided maternity care in CY17.</w:t>
      </w:r>
    </w:p>
    <w:p w:rsidR="00266B4C" w:rsidRPr="00686250" w:rsidRDefault="00266B4C" w:rsidP="009E2727">
      <w:pPr>
        <w:ind w:firstLine="0"/>
        <w:rPr>
          <w:rFonts w:ascii="Arial" w:hAnsi="Arial" w:cs="Arial"/>
          <w:sz w:val="24"/>
          <w:szCs w:val="24"/>
        </w:rPr>
      </w:pPr>
    </w:p>
    <w:p w:rsidR="009E2727" w:rsidRPr="001C2769" w:rsidRDefault="009E2727" w:rsidP="001C2769">
      <w:pPr>
        <w:ind w:firstLine="0"/>
        <w:rPr>
          <w:rFonts w:ascii="Arial" w:hAnsi="Arial" w:cs="Arial"/>
          <w:b/>
          <w:sz w:val="24"/>
        </w:rPr>
      </w:pPr>
      <w:r w:rsidRPr="001C2769">
        <w:rPr>
          <w:rFonts w:ascii="Arial" w:hAnsi="Arial" w:cs="Arial"/>
          <w:b/>
          <w:sz w:val="24"/>
        </w:rPr>
        <w:t>Figure #</w:t>
      </w:r>
      <w:r w:rsidR="005A02A7">
        <w:rPr>
          <w:rFonts w:ascii="Arial" w:hAnsi="Arial" w:cs="Arial"/>
          <w:b/>
          <w:sz w:val="24"/>
        </w:rPr>
        <w:t>9</w:t>
      </w:r>
      <w:r w:rsidRPr="001C2769">
        <w:rPr>
          <w:rFonts w:ascii="Arial" w:hAnsi="Arial" w:cs="Arial"/>
          <w:b/>
          <w:sz w:val="24"/>
        </w:rPr>
        <w:t xml:space="preserve">: </w:t>
      </w:r>
      <w:r w:rsidR="00A73F5D">
        <w:rPr>
          <w:rFonts w:ascii="Arial" w:hAnsi="Arial" w:cs="Arial"/>
          <w:b/>
          <w:sz w:val="24"/>
        </w:rPr>
        <w:t xml:space="preserve">Timeliness of </w:t>
      </w:r>
      <w:r w:rsidRPr="001C2769">
        <w:rPr>
          <w:rFonts w:ascii="Arial" w:hAnsi="Arial" w:cs="Arial"/>
          <w:b/>
          <w:sz w:val="24"/>
        </w:rPr>
        <w:t>Prenatal Care (HEDIS 2017-2018 Rates)</w:t>
      </w:r>
    </w:p>
    <w:tbl>
      <w:tblPr>
        <w:tblStyle w:val="TableGrid"/>
        <w:tblW w:w="0" w:type="auto"/>
        <w:tblLook w:val="04A0" w:firstRow="1" w:lastRow="0" w:firstColumn="1" w:lastColumn="0" w:noHBand="0" w:noVBand="1"/>
        <w:tblCaption w:val="Figure #9: Timeliness of Prenatal Care (HEDIS 2017-2018 Rates)"/>
      </w:tblPr>
      <w:tblGrid>
        <w:gridCol w:w="1806"/>
        <w:gridCol w:w="963"/>
        <w:gridCol w:w="1006"/>
        <w:gridCol w:w="1710"/>
        <w:gridCol w:w="1710"/>
      </w:tblGrid>
      <w:tr w:rsidR="009E2727" w:rsidRPr="00686250" w:rsidTr="00760F16">
        <w:trPr>
          <w:tblHeader/>
        </w:trPr>
        <w:tc>
          <w:tcPr>
            <w:tcW w:w="1806" w:type="dxa"/>
          </w:tcPr>
          <w:p w:rsidR="009E2727" w:rsidRPr="00E264ED" w:rsidRDefault="009E2727" w:rsidP="00D23382">
            <w:pPr>
              <w:ind w:firstLine="0"/>
              <w:rPr>
                <w:rFonts w:ascii="Arial" w:hAnsi="Arial" w:cs="Arial"/>
                <w:b/>
              </w:rPr>
            </w:pPr>
            <w:r w:rsidRPr="00E264ED">
              <w:rPr>
                <w:rFonts w:ascii="Arial" w:hAnsi="Arial" w:cs="Arial"/>
                <w:b/>
              </w:rPr>
              <w:t>Timeliness of Prenatal Care Measure</w:t>
            </w:r>
          </w:p>
        </w:tc>
        <w:tc>
          <w:tcPr>
            <w:tcW w:w="963" w:type="dxa"/>
          </w:tcPr>
          <w:p w:rsidR="009E2727" w:rsidRPr="00E264ED" w:rsidRDefault="009E2727" w:rsidP="00D23382">
            <w:pPr>
              <w:ind w:firstLine="0"/>
              <w:jc w:val="center"/>
              <w:rPr>
                <w:rFonts w:ascii="Arial" w:hAnsi="Arial" w:cs="Arial"/>
                <w:b/>
              </w:rPr>
            </w:pPr>
            <w:r w:rsidRPr="00E264ED">
              <w:rPr>
                <w:rFonts w:ascii="Arial" w:hAnsi="Arial" w:cs="Arial"/>
                <w:b/>
              </w:rPr>
              <w:t>CY 2016 Year</w:t>
            </w:r>
          </w:p>
        </w:tc>
        <w:tc>
          <w:tcPr>
            <w:tcW w:w="1006" w:type="dxa"/>
          </w:tcPr>
          <w:p w:rsidR="009E2727" w:rsidRPr="00E264ED" w:rsidRDefault="009E2727" w:rsidP="00D23382">
            <w:pPr>
              <w:ind w:firstLine="0"/>
              <w:jc w:val="center"/>
              <w:rPr>
                <w:rFonts w:ascii="Arial" w:hAnsi="Arial" w:cs="Arial"/>
                <w:b/>
              </w:rPr>
            </w:pPr>
            <w:r w:rsidRPr="00E264ED">
              <w:rPr>
                <w:rFonts w:ascii="Arial" w:hAnsi="Arial" w:cs="Arial"/>
                <w:b/>
              </w:rPr>
              <w:t>CY 2017 Year</w:t>
            </w:r>
          </w:p>
        </w:tc>
        <w:tc>
          <w:tcPr>
            <w:tcW w:w="1710" w:type="dxa"/>
          </w:tcPr>
          <w:p w:rsidR="009E2727" w:rsidRPr="00E264ED" w:rsidRDefault="009E2727" w:rsidP="00D23382">
            <w:pPr>
              <w:ind w:firstLine="0"/>
              <w:jc w:val="center"/>
              <w:rPr>
                <w:rFonts w:ascii="Arial" w:hAnsi="Arial" w:cs="Arial"/>
                <w:b/>
              </w:rPr>
            </w:pPr>
            <w:r w:rsidRPr="00E264ED">
              <w:rPr>
                <w:rFonts w:ascii="Arial" w:eastAsia="Times New Roman" w:hAnsi="Arial" w:cs="Arial"/>
                <w:b/>
                <w:color w:val="000000"/>
              </w:rPr>
              <w:t>CY17 Rate Comparison to NCQA National Medicaid 75th Percentile</w:t>
            </w:r>
          </w:p>
        </w:tc>
        <w:tc>
          <w:tcPr>
            <w:tcW w:w="1710" w:type="dxa"/>
          </w:tcPr>
          <w:p w:rsidR="009E2727" w:rsidRPr="00E264ED" w:rsidRDefault="009E2727" w:rsidP="00D23382">
            <w:pPr>
              <w:ind w:firstLine="0"/>
              <w:jc w:val="center"/>
              <w:rPr>
                <w:rFonts w:ascii="Arial" w:hAnsi="Arial" w:cs="Arial"/>
                <w:b/>
              </w:rPr>
            </w:pPr>
            <w:r w:rsidRPr="00E264ED">
              <w:rPr>
                <w:rFonts w:ascii="Arial" w:eastAsia="Times New Roman" w:hAnsi="Arial" w:cs="Arial"/>
                <w:b/>
                <w:color w:val="000000"/>
              </w:rPr>
              <w:t>CY17 Rate Comparison to NCQA National Medicaid 90th Percentile</w:t>
            </w:r>
          </w:p>
        </w:tc>
      </w:tr>
      <w:tr w:rsidR="009E2727" w:rsidRPr="00686250" w:rsidTr="00760F16">
        <w:tc>
          <w:tcPr>
            <w:tcW w:w="1806" w:type="dxa"/>
          </w:tcPr>
          <w:p w:rsidR="009E2727" w:rsidRPr="00E264ED" w:rsidRDefault="009E2727" w:rsidP="00D23382">
            <w:pPr>
              <w:ind w:firstLine="0"/>
              <w:rPr>
                <w:rFonts w:ascii="Arial" w:hAnsi="Arial" w:cs="Arial"/>
              </w:rPr>
            </w:pPr>
            <w:r w:rsidRPr="00E264ED">
              <w:rPr>
                <w:rFonts w:ascii="Arial" w:hAnsi="Arial" w:cs="Arial"/>
              </w:rPr>
              <w:t xml:space="preserve">PCC Plan Rate </w:t>
            </w:r>
          </w:p>
        </w:tc>
        <w:tc>
          <w:tcPr>
            <w:tcW w:w="963" w:type="dxa"/>
          </w:tcPr>
          <w:p w:rsidR="009E2727" w:rsidRPr="00E264ED" w:rsidRDefault="009E2727" w:rsidP="00D23382">
            <w:pPr>
              <w:ind w:firstLine="0"/>
              <w:rPr>
                <w:rFonts w:ascii="Arial" w:hAnsi="Arial" w:cs="Arial"/>
              </w:rPr>
            </w:pPr>
            <w:r w:rsidRPr="00E264ED">
              <w:rPr>
                <w:rFonts w:ascii="Arial" w:hAnsi="Arial" w:cs="Arial"/>
              </w:rPr>
              <w:t>89.05%</w:t>
            </w:r>
          </w:p>
        </w:tc>
        <w:tc>
          <w:tcPr>
            <w:tcW w:w="1006" w:type="dxa"/>
          </w:tcPr>
          <w:p w:rsidR="009E2727" w:rsidRPr="00E264ED" w:rsidRDefault="009E2727" w:rsidP="00D23382">
            <w:pPr>
              <w:ind w:firstLine="0"/>
              <w:rPr>
                <w:rFonts w:ascii="Arial" w:hAnsi="Arial" w:cs="Arial"/>
              </w:rPr>
            </w:pPr>
            <w:r w:rsidRPr="00E264ED">
              <w:rPr>
                <w:rFonts w:ascii="Arial" w:hAnsi="Arial" w:cs="Arial"/>
              </w:rPr>
              <w:t>86.33%</w:t>
            </w:r>
          </w:p>
        </w:tc>
        <w:tc>
          <w:tcPr>
            <w:tcW w:w="1710" w:type="dxa"/>
          </w:tcPr>
          <w:p w:rsidR="009E2727" w:rsidRPr="00E264ED" w:rsidRDefault="009E2727" w:rsidP="00D23382">
            <w:pPr>
              <w:ind w:firstLine="0"/>
              <w:jc w:val="center"/>
              <w:rPr>
                <w:rFonts w:ascii="Arial" w:hAnsi="Arial" w:cs="Arial"/>
              </w:rPr>
            </w:pPr>
            <w:r w:rsidRPr="00E264ED">
              <w:rPr>
                <w:rFonts w:ascii="Arial" w:hAnsi="Arial" w:cs="Arial"/>
                <w:color w:val="212121"/>
              </w:rPr>
              <w:t>↓</w:t>
            </w:r>
          </w:p>
        </w:tc>
        <w:tc>
          <w:tcPr>
            <w:tcW w:w="1710" w:type="dxa"/>
            <w:vAlign w:val="center"/>
          </w:tcPr>
          <w:p w:rsidR="009E2727" w:rsidRPr="00E264ED" w:rsidRDefault="009E2727" w:rsidP="00D23382">
            <w:pPr>
              <w:ind w:firstLine="0"/>
              <w:jc w:val="center"/>
              <w:rPr>
                <w:rFonts w:ascii="Arial" w:hAnsi="Arial" w:cs="Arial"/>
              </w:rPr>
            </w:pPr>
            <w:r w:rsidRPr="00E264ED">
              <w:rPr>
                <w:rFonts w:ascii="Arial" w:hAnsi="Arial" w:cs="Arial"/>
                <w:color w:val="212121"/>
              </w:rPr>
              <w:t>↓</w:t>
            </w:r>
          </w:p>
        </w:tc>
      </w:tr>
      <w:tr w:rsidR="009E2727" w:rsidRPr="00686250" w:rsidTr="00760F16">
        <w:tc>
          <w:tcPr>
            <w:tcW w:w="1806" w:type="dxa"/>
          </w:tcPr>
          <w:p w:rsidR="009E2727" w:rsidRPr="00E264ED" w:rsidRDefault="009E2727" w:rsidP="00D23382">
            <w:pPr>
              <w:ind w:firstLine="0"/>
              <w:rPr>
                <w:rFonts w:ascii="Arial" w:hAnsi="Arial" w:cs="Arial"/>
              </w:rPr>
            </w:pPr>
            <w:r w:rsidRPr="00E264ED">
              <w:rPr>
                <w:rFonts w:ascii="Arial" w:hAnsi="Arial" w:cs="Arial"/>
              </w:rPr>
              <w:t xml:space="preserve">MHWM </w:t>
            </w:r>
          </w:p>
        </w:tc>
        <w:tc>
          <w:tcPr>
            <w:tcW w:w="963" w:type="dxa"/>
          </w:tcPr>
          <w:p w:rsidR="009E2727" w:rsidRPr="00E264ED" w:rsidRDefault="009E2727" w:rsidP="00D23382">
            <w:pPr>
              <w:ind w:firstLine="0"/>
              <w:rPr>
                <w:rFonts w:ascii="Arial" w:hAnsi="Arial" w:cs="Arial"/>
              </w:rPr>
            </w:pPr>
            <w:r w:rsidRPr="00E264ED">
              <w:rPr>
                <w:rFonts w:ascii="Arial" w:hAnsi="Arial" w:cs="Arial"/>
              </w:rPr>
              <w:t>88.3%</w:t>
            </w:r>
          </w:p>
        </w:tc>
        <w:tc>
          <w:tcPr>
            <w:tcW w:w="1006" w:type="dxa"/>
          </w:tcPr>
          <w:p w:rsidR="009E2727" w:rsidRPr="00E264ED" w:rsidRDefault="009E2727" w:rsidP="00D23382">
            <w:pPr>
              <w:ind w:firstLine="0"/>
              <w:rPr>
                <w:rFonts w:ascii="Arial" w:hAnsi="Arial" w:cs="Arial"/>
              </w:rPr>
            </w:pPr>
            <w:r w:rsidRPr="00E264ED">
              <w:rPr>
                <w:rFonts w:ascii="Arial" w:hAnsi="Arial" w:cs="Arial"/>
              </w:rPr>
              <w:t>86.5%</w:t>
            </w:r>
          </w:p>
        </w:tc>
        <w:tc>
          <w:tcPr>
            <w:tcW w:w="1710" w:type="dxa"/>
          </w:tcPr>
          <w:p w:rsidR="009E2727" w:rsidRPr="00E264ED" w:rsidRDefault="009E2727" w:rsidP="00D23382">
            <w:pPr>
              <w:ind w:firstLine="0"/>
              <w:jc w:val="center"/>
              <w:rPr>
                <w:rFonts w:ascii="Arial" w:hAnsi="Arial" w:cs="Arial"/>
              </w:rPr>
            </w:pPr>
            <w:r w:rsidRPr="00E264ED">
              <w:rPr>
                <w:rFonts w:ascii="Arial" w:hAnsi="Arial" w:cs="Arial"/>
                <w:color w:val="212121"/>
              </w:rPr>
              <w:t>↓</w:t>
            </w:r>
          </w:p>
        </w:tc>
        <w:tc>
          <w:tcPr>
            <w:tcW w:w="1710" w:type="dxa"/>
            <w:vAlign w:val="center"/>
          </w:tcPr>
          <w:p w:rsidR="009E2727" w:rsidRPr="00E264ED" w:rsidRDefault="009E2727" w:rsidP="00D23382">
            <w:pPr>
              <w:ind w:firstLine="0"/>
              <w:jc w:val="center"/>
              <w:rPr>
                <w:rFonts w:ascii="Arial" w:hAnsi="Arial" w:cs="Arial"/>
              </w:rPr>
            </w:pPr>
            <w:r w:rsidRPr="00E264ED">
              <w:rPr>
                <w:rFonts w:ascii="Arial" w:hAnsi="Arial" w:cs="Arial"/>
                <w:color w:val="212121"/>
              </w:rPr>
              <w:t>↓</w:t>
            </w:r>
          </w:p>
        </w:tc>
      </w:tr>
    </w:tbl>
    <w:p w:rsidR="009E2727" w:rsidRPr="00686250" w:rsidRDefault="009E2727" w:rsidP="009E2727">
      <w:pPr>
        <w:ind w:firstLine="0"/>
        <w:rPr>
          <w:rFonts w:ascii="Arial" w:eastAsia="Calibri" w:hAnsi="Arial" w:cs="Arial"/>
          <w:sz w:val="24"/>
          <w:szCs w:val="24"/>
        </w:rPr>
      </w:pPr>
    </w:p>
    <w:p w:rsidR="009E2727" w:rsidRPr="00686250" w:rsidRDefault="00A73F5D" w:rsidP="009E2727">
      <w:pPr>
        <w:ind w:firstLine="0"/>
        <w:rPr>
          <w:rFonts w:ascii="Arial" w:eastAsia="Calibri" w:hAnsi="Arial" w:cs="Arial"/>
          <w:sz w:val="24"/>
          <w:szCs w:val="24"/>
        </w:rPr>
      </w:pPr>
      <w:r w:rsidRPr="00A73F5D">
        <w:rPr>
          <w:rFonts w:ascii="Arial" w:eastAsia="Calibri" w:hAnsi="Arial" w:cs="Arial"/>
          <w:sz w:val="24"/>
          <w:szCs w:val="24"/>
        </w:rPr>
        <w:t xml:space="preserve">The Timeliness of Prenatal Care Measure </w:t>
      </w:r>
      <w:r w:rsidR="00F8662A">
        <w:rPr>
          <w:rFonts w:ascii="Arial" w:eastAsia="Calibri" w:hAnsi="Arial" w:cs="Arial"/>
          <w:sz w:val="24"/>
          <w:szCs w:val="24"/>
        </w:rPr>
        <w:t>sub-</w:t>
      </w:r>
      <w:r w:rsidRPr="00A73F5D">
        <w:rPr>
          <w:rFonts w:ascii="Arial" w:eastAsia="Calibri" w:hAnsi="Arial" w:cs="Arial"/>
          <w:sz w:val="24"/>
          <w:szCs w:val="24"/>
        </w:rPr>
        <w:t>measure captures the percentage of deliveries where the expectant mother received a prenatal care visit during the first trimester.</w:t>
      </w:r>
      <w:r>
        <w:rPr>
          <w:rFonts w:ascii="Arial" w:eastAsia="Calibri" w:hAnsi="Arial" w:cs="Arial"/>
          <w:sz w:val="24"/>
          <w:szCs w:val="24"/>
        </w:rPr>
        <w:t xml:space="preserve"> As shown in </w:t>
      </w:r>
      <w:r w:rsidR="009E2727" w:rsidRPr="00686250">
        <w:rPr>
          <w:rFonts w:ascii="Arial" w:eastAsia="Calibri" w:hAnsi="Arial" w:cs="Arial"/>
          <w:sz w:val="24"/>
          <w:szCs w:val="24"/>
        </w:rPr>
        <w:t>Figure #</w:t>
      </w:r>
      <w:r w:rsidR="005A02A7">
        <w:rPr>
          <w:rFonts w:ascii="Arial" w:eastAsia="Calibri" w:hAnsi="Arial" w:cs="Arial"/>
          <w:sz w:val="24"/>
          <w:szCs w:val="24"/>
        </w:rPr>
        <w:t>9</w:t>
      </w:r>
      <w:r>
        <w:rPr>
          <w:rFonts w:ascii="Arial" w:eastAsia="Calibri" w:hAnsi="Arial" w:cs="Arial"/>
          <w:sz w:val="24"/>
          <w:szCs w:val="24"/>
        </w:rPr>
        <w:t xml:space="preserve">, </w:t>
      </w:r>
      <w:r w:rsidR="009E2727" w:rsidRPr="00686250">
        <w:rPr>
          <w:rFonts w:ascii="Arial" w:eastAsia="Calibri" w:hAnsi="Arial" w:cs="Arial"/>
          <w:sz w:val="24"/>
          <w:szCs w:val="24"/>
        </w:rPr>
        <w:t xml:space="preserve">both the MassHealth PCC Plan rate and MHWM, as defined above, </w:t>
      </w:r>
      <w:r w:rsidR="00B5265B">
        <w:rPr>
          <w:rFonts w:ascii="Arial" w:eastAsia="Calibri" w:hAnsi="Arial" w:cs="Arial"/>
          <w:sz w:val="24"/>
          <w:szCs w:val="24"/>
        </w:rPr>
        <w:t xml:space="preserve">are </w:t>
      </w:r>
      <w:r w:rsidR="009E2727" w:rsidRPr="00686250">
        <w:rPr>
          <w:rFonts w:ascii="Arial" w:eastAsia="Calibri" w:hAnsi="Arial" w:cs="Arial"/>
          <w:sz w:val="24"/>
          <w:szCs w:val="24"/>
        </w:rPr>
        <w:t>sligh</w:t>
      </w:r>
      <w:r w:rsidR="00E264ED">
        <w:rPr>
          <w:rFonts w:ascii="Arial" w:eastAsia="Calibri" w:hAnsi="Arial" w:cs="Arial"/>
          <w:sz w:val="24"/>
          <w:szCs w:val="24"/>
        </w:rPr>
        <w:t xml:space="preserve">tly below the 75th percentile. </w:t>
      </w:r>
      <w:r w:rsidR="009E2727" w:rsidRPr="00686250">
        <w:rPr>
          <w:rFonts w:ascii="Arial" w:eastAsia="Calibri" w:hAnsi="Arial" w:cs="Arial"/>
          <w:sz w:val="24"/>
          <w:szCs w:val="24"/>
        </w:rPr>
        <w:t>Overall MassHealth scores decreased from CY2016 to CY2017; however</w:t>
      </w:r>
      <w:r w:rsidR="00760F16">
        <w:rPr>
          <w:rFonts w:ascii="Arial" w:eastAsia="Calibri" w:hAnsi="Arial" w:cs="Arial"/>
          <w:sz w:val="24"/>
          <w:szCs w:val="24"/>
        </w:rPr>
        <w:t>,</w:t>
      </w:r>
      <w:r w:rsidR="009E2727" w:rsidRPr="00686250">
        <w:rPr>
          <w:rFonts w:ascii="Arial" w:eastAsia="Calibri" w:hAnsi="Arial" w:cs="Arial"/>
          <w:sz w:val="24"/>
          <w:szCs w:val="24"/>
        </w:rPr>
        <w:t xml:space="preserve"> this decline was also observed in the NCQA National Medicaid benchmark rates.</w:t>
      </w:r>
    </w:p>
    <w:p w:rsidR="009E2727" w:rsidRPr="00686250" w:rsidRDefault="009E2727" w:rsidP="009E2727">
      <w:pPr>
        <w:ind w:firstLine="0"/>
        <w:rPr>
          <w:rFonts w:ascii="Arial" w:eastAsia="Calibri" w:hAnsi="Arial" w:cs="Arial"/>
          <w:sz w:val="24"/>
          <w:szCs w:val="24"/>
        </w:rPr>
      </w:pPr>
    </w:p>
    <w:p w:rsidR="00FF472E" w:rsidRDefault="00FF472E">
      <w:pPr>
        <w:ind w:firstLine="0"/>
        <w:rPr>
          <w:rFonts w:ascii="Arial" w:hAnsi="Arial" w:cs="Arial"/>
          <w:b/>
          <w:sz w:val="24"/>
        </w:rPr>
      </w:pPr>
      <w:r>
        <w:rPr>
          <w:rFonts w:ascii="Arial" w:hAnsi="Arial" w:cs="Arial"/>
          <w:b/>
          <w:sz w:val="24"/>
        </w:rPr>
        <w:br w:type="page"/>
      </w:r>
    </w:p>
    <w:p w:rsidR="009E2727" w:rsidRPr="001C2769" w:rsidRDefault="009E2727" w:rsidP="001C2769">
      <w:pPr>
        <w:ind w:firstLine="0"/>
        <w:rPr>
          <w:rFonts w:ascii="Arial" w:hAnsi="Arial" w:cs="Arial"/>
          <w:b/>
          <w:sz w:val="24"/>
        </w:rPr>
      </w:pPr>
      <w:r w:rsidRPr="001C2769">
        <w:rPr>
          <w:rFonts w:ascii="Arial" w:hAnsi="Arial" w:cs="Arial"/>
          <w:b/>
          <w:sz w:val="24"/>
        </w:rPr>
        <w:lastRenderedPageBreak/>
        <w:t>Figure #</w:t>
      </w:r>
      <w:r w:rsidR="005A02A7">
        <w:rPr>
          <w:rFonts w:ascii="Arial" w:hAnsi="Arial" w:cs="Arial"/>
          <w:b/>
          <w:sz w:val="24"/>
        </w:rPr>
        <w:t>10</w:t>
      </w:r>
      <w:r w:rsidRPr="001C2769">
        <w:rPr>
          <w:rFonts w:ascii="Arial" w:hAnsi="Arial" w:cs="Arial"/>
          <w:b/>
          <w:sz w:val="24"/>
        </w:rPr>
        <w:t>: Prenatal and Postpartum Care (HEDIS 2017-2018 Rates)</w:t>
      </w:r>
    </w:p>
    <w:tbl>
      <w:tblPr>
        <w:tblStyle w:val="TableGrid"/>
        <w:tblW w:w="0" w:type="auto"/>
        <w:tblLayout w:type="fixed"/>
        <w:tblLook w:val="04A0" w:firstRow="1" w:lastRow="0" w:firstColumn="1" w:lastColumn="0" w:noHBand="0" w:noVBand="1"/>
        <w:tblCaption w:val="Figure #10: Prenatal and Postpartum Care (HEDIS 2017-2018 Rates)"/>
      </w:tblPr>
      <w:tblGrid>
        <w:gridCol w:w="1800"/>
        <w:gridCol w:w="1008"/>
        <w:gridCol w:w="1080"/>
        <w:gridCol w:w="1620"/>
        <w:gridCol w:w="1777"/>
      </w:tblGrid>
      <w:tr w:rsidR="009E2727" w:rsidRPr="00686250" w:rsidTr="00760F16">
        <w:trPr>
          <w:trHeight w:val="620"/>
          <w:tblHeader/>
        </w:trPr>
        <w:tc>
          <w:tcPr>
            <w:tcW w:w="1800" w:type="dxa"/>
            <w:shd w:val="clear" w:color="auto" w:fill="auto"/>
          </w:tcPr>
          <w:p w:rsidR="009E2727" w:rsidRPr="00E264ED" w:rsidRDefault="009E2727" w:rsidP="00E264ED">
            <w:pPr>
              <w:ind w:firstLine="0"/>
              <w:rPr>
                <w:rFonts w:ascii="Arial" w:hAnsi="Arial" w:cs="Arial"/>
                <w:b/>
              </w:rPr>
            </w:pPr>
            <w:r w:rsidRPr="00E264ED">
              <w:rPr>
                <w:rFonts w:ascii="Arial" w:hAnsi="Arial" w:cs="Arial"/>
                <w:b/>
              </w:rPr>
              <w:t>Postpartum Care Measure</w:t>
            </w:r>
          </w:p>
        </w:tc>
        <w:tc>
          <w:tcPr>
            <w:tcW w:w="1008" w:type="dxa"/>
            <w:shd w:val="clear" w:color="auto" w:fill="auto"/>
          </w:tcPr>
          <w:p w:rsidR="009E2727" w:rsidRPr="00E264ED" w:rsidRDefault="009E2727" w:rsidP="00E264ED">
            <w:pPr>
              <w:ind w:firstLine="0"/>
              <w:rPr>
                <w:rFonts w:ascii="Arial" w:hAnsi="Arial" w:cs="Arial"/>
                <w:b/>
              </w:rPr>
            </w:pPr>
            <w:r w:rsidRPr="00E264ED">
              <w:rPr>
                <w:rFonts w:ascii="Arial" w:hAnsi="Arial" w:cs="Arial"/>
                <w:b/>
              </w:rPr>
              <w:t>CY 2016 Year</w:t>
            </w:r>
          </w:p>
        </w:tc>
        <w:tc>
          <w:tcPr>
            <w:tcW w:w="1080" w:type="dxa"/>
            <w:shd w:val="clear" w:color="auto" w:fill="auto"/>
          </w:tcPr>
          <w:p w:rsidR="00760F16" w:rsidRDefault="009E2727" w:rsidP="00E264ED">
            <w:pPr>
              <w:ind w:firstLine="0"/>
              <w:rPr>
                <w:rFonts w:ascii="Arial" w:hAnsi="Arial" w:cs="Arial"/>
                <w:b/>
              </w:rPr>
            </w:pPr>
            <w:r w:rsidRPr="00E264ED">
              <w:rPr>
                <w:rFonts w:ascii="Arial" w:hAnsi="Arial" w:cs="Arial"/>
                <w:b/>
              </w:rPr>
              <w:t xml:space="preserve">CY </w:t>
            </w:r>
          </w:p>
          <w:p w:rsidR="009E2727" w:rsidRPr="00E264ED" w:rsidRDefault="009E2727" w:rsidP="00E264ED">
            <w:pPr>
              <w:ind w:firstLine="0"/>
              <w:rPr>
                <w:rFonts w:ascii="Arial" w:hAnsi="Arial" w:cs="Arial"/>
                <w:b/>
              </w:rPr>
            </w:pPr>
            <w:r w:rsidRPr="00E264ED">
              <w:rPr>
                <w:rFonts w:ascii="Arial" w:hAnsi="Arial" w:cs="Arial"/>
                <w:b/>
              </w:rPr>
              <w:t>2017 Year</w:t>
            </w:r>
          </w:p>
        </w:tc>
        <w:tc>
          <w:tcPr>
            <w:tcW w:w="1620" w:type="dxa"/>
            <w:shd w:val="clear" w:color="auto" w:fill="auto"/>
          </w:tcPr>
          <w:p w:rsidR="009E2727" w:rsidRPr="00E264ED" w:rsidRDefault="00E264ED" w:rsidP="00D23382">
            <w:pPr>
              <w:ind w:firstLine="0"/>
              <w:jc w:val="center"/>
              <w:rPr>
                <w:rFonts w:ascii="Arial" w:eastAsia="Times New Roman" w:hAnsi="Arial" w:cs="Arial"/>
                <w:b/>
                <w:color w:val="000000"/>
              </w:rPr>
            </w:pPr>
            <w:r w:rsidRPr="00E264ED">
              <w:rPr>
                <w:rFonts w:ascii="Arial" w:eastAsia="Times New Roman" w:hAnsi="Arial" w:cs="Arial"/>
                <w:b/>
                <w:color w:val="000000"/>
              </w:rPr>
              <w:t xml:space="preserve">CY17 Rate </w:t>
            </w:r>
            <w:r w:rsidR="00760F16" w:rsidRPr="00E264ED">
              <w:rPr>
                <w:rFonts w:ascii="Arial" w:eastAsia="Times New Roman" w:hAnsi="Arial" w:cs="Arial"/>
                <w:b/>
                <w:color w:val="000000"/>
              </w:rPr>
              <w:t>Comparison</w:t>
            </w:r>
            <w:r w:rsidR="009E2727" w:rsidRPr="00E264ED">
              <w:rPr>
                <w:rFonts w:ascii="Arial" w:eastAsia="Times New Roman" w:hAnsi="Arial" w:cs="Arial"/>
                <w:b/>
                <w:color w:val="000000"/>
              </w:rPr>
              <w:t xml:space="preserve"> to NCQA National Medicaid 75th Percentile</w:t>
            </w:r>
          </w:p>
          <w:p w:rsidR="009E2727" w:rsidRPr="00E264ED" w:rsidRDefault="009E2727" w:rsidP="00D23382">
            <w:pPr>
              <w:ind w:firstLine="0"/>
              <w:jc w:val="center"/>
              <w:rPr>
                <w:rFonts w:ascii="Arial" w:eastAsia="Times New Roman" w:hAnsi="Arial" w:cs="Arial"/>
                <w:b/>
                <w:color w:val="000000"/>
              </w:rPr>
            </w:pPr>
          </w:p>
        </w:tc>
        <w:tc>
          <w:tcPr>
            <w:tcW w:w="1777" w:type="dxa"/>
            <w:shd w:val="clear" w:color="auto" w:fill="auto"/>
          </w:tcPr>
          <w:p w:rsidR="009E2727" w:rsidRPr="00E264ED" w:rsidRDefault="009E2727" w:rsidP="00D23382">
            <w:pPr>
              <w:ind w:firstLine="0"/>
              <w:jc w:val="center"/>
              <w:rPr>
                <w:rFonts w:ascii="Arial" w:eastAsia="Times New Roman" w:hAnsi="Arial" w:cs="Arial"/>
                <w:b/>
                <w:color w:val="000000"/>
              </w:rPr>
            </w:pPr>
            <w:r w:rsidRPr="00E264ED">
              <w:rPr>
                <w:rFonts w:ascii="Arial" w:eastAsia="Times New Roman" w:hAnsi="Arial" w:cs="Arial"/>
                <w:b/>
                <w:color w:val="000000"/>
              </w:rPr>
              <w:t>CY17 Rate Comparison to NCQA National Medicaid 90th Percentile</w:t>
            </w:r>
          </w:p>
          <w:p w:rsidR="009E2727" w:rsidRPr="00E264ED" w:rsidRDefault="009E2727" w:rsidP="00D23382">
            <w:pPr>
              <w:ind w:firstLine="0"/>
              <w:jc w:val="center"/>
              <w:rPr>
                <w:rFonts w:ascii="Arial" w:eastAsia="Times New Roman" w:hAnsi="Arial" w:cs="Arial"/>
                <w:b/>
                <w:color w:val="000000"/>
              </w:rPr>
            </w:pPr>
          </w:p>
        </w:tc>
      </w:tr>
      <w:tr w:rsidR="009E2727" w:rsidRPr="00686250" w:rsidTr="00760F16">
        <w:tc>
          <w:tcPr>
            <w:tcW w:w="1800" w:type="dxa"/>
          </w:tcPr>
          <w:p w:rsidR="009E2727" w:rsidRPr="00E264ED" w:rsidRDefault="009E2727" w:rsidP="00D23382">
            <w:pPr>
              <w:ind w:firstLine="0"/>
              <w:rPr>
                <w:rFonts w:ascii="Arial" w:hAnsi="Arial" w:cs="Arial"/>
              </w:rPr>
            </w:pPr>
            <w:r w:rsidRPr="00E264ED">
              <w:rPr>
                <w:rFonts w:ascii="Arial" w:hAnsi="Arial" w:cs="Arial"/>
              </w:rPr>
              <w:t xml:space="preserve">PCC Plan Rate </w:t>
            </w:r>
          </w:p>
        </w:tc>
        <w:tc>
          <w:tcPr>
            <w:tcW w:w="1008" w:type="dxa"/>
          </w:tcPr>
          <w:p w:rsidR="009E2727" w:rsidRPr="00E264ED" w:rsidRDefault="009E2727" w:rsidP="00D23382">
            <w:pPr>
              <w:ind w:firstLine="0"/>
              <w:rPr>
                <w:rFonts w:ascii="Arial" w:hAnsi="Arial" w:cs="Arial"/>
              </w:rPr>
            </w:pPr>
            <w:r w:rsidRPr="00E264ED">
              <w:rPr>
                <w:rFonts w:ascii="Arial" w:hAnsi="Arial" w:cs="Arial"/>
              </w:rPr>
              <w:t>60.58%</w:t>
            </w:r>
          </w:p>
        </w:tc>
        <w:tc>
          <w:tcPr>
            <w:tcW w:w="1080" w:type="dxa"/>
          </w:tcPr>
          <w:p w:rsidR="009E2727" w:rsidRPr="00E264ED" w:rsidRDefault="009E2727" w:rsidP="00D23382">
            <w:pPr>
              <w:ind w:firstLine="0"/>
              <w:rPr>
                <w:rFonts w:ascii="Arial" w:hAnsi="Arial" w:cs="Arial"/>
              </w:rPr>
            </w:pPr>
            <w:r w:rsidRPr="00E264ED">
              <w:rPr>
                <w:rFonts w:ascii="Arial" w:hAnsi="Arial" w:cs="Arial"/>
              </w:rPr>
              <w:t>62.53%</w:t>
            </w:r>
          </w:p>
        </w:tc>
        <w:tc>
          <w:tcPr>
            <w:tcW w:w="1620" w:type="dxa"/>
            <w:vAlign w:val="center"/>
          </w:tcPr>
          <w:p w:rsidR="009E2727" w:rsidRPr="00E264ED" w:rsidRDefault="009E2727" w:rsidP="00D23382">
            <w:pPr>
              <w:rPr>
                <w:rFonts w:ascii="Arial" w:hAnsi="Arial" w:cs="Arial"/>
                <w:color w:val="212121"/>
              </w:rPr>
            </w:pPr>
            <w:r w:rsidRPr="00E264ED">
              <w:rPr>
                <w:rFonts w:ascii="Arial" w:hAnsi="Arial" w:cs="Arial"/>
                <w:color w:val="212121"/>
              </w:rPr>
              <w:t>↓</w:t>
            </w:r>
          </w:p>
        </w:tc>
        <w:tc>
          <w:tcPr>
            <w:tcW w:w="1777" w:type="dxa"/>
          </w:tcPr>
          <w:p w:rsidR="009E2727" w:rsidRPr="00E264ED" w:rsidRDefault="009E2727" w:rsidP="00D23382">
            <w:pPr>
              <w:rPr>
                <w:rFonts w:ascii="Arial" w:hAnsi="Arial" w:cs="Arial"/>
                <w:color w:val="212121"/>
              </w:rPr>
            </w:pPr>
            <w:r w:rsidRPr="00E264ED">
              <w:rPr>
                <w:rFonts w:ascii="Arial" w:hAnsi="Arial" w:cs="Arial"/>
                <w:color w:val="212121"/>
              </w:rPr>
              <w:t>↓</w:t>
            </w:r>
          </w:p>
        </w:tc>
      </w:tr>
      <w:tr w:rsidR="009E2727" w:rsidRPr="00686250" w:rsidTr="00760F16">
        <w:tc>
          <w:tcPr>
            <w:tcW w:w="1800" w:type="dxa"/>
          </w:tcPr>
          <w:p w:rsidR="009E2727" w:rsidRPr="00E264ED" w:rsidRDefault="009E2727" w:rsidP="00D23382">
            <w:pPr>
              <w:ind w:firstLine="0"/>
              <w:rPr>
                <w:rFonts w:ascii="Arial" w:hAnsi="Arial" w:cs="Arial"/>
              </w:rPr>
            </w:pPr>
            <w:r w:rsidRPr="00E264ED">
              <w:rPr>
                <w:rFonts w:ascii="Arial" w:hAnsi="Arial" w:cs="Arial"/>
              </w:rPr>
              <w:t xml:space="preserve">MHWM </w:t>
            </w:r>
          </w:p>
        </w:tc>
        <w:tc>
          <w:tcPr>
            <w:tcW w:w="1008" w:type="dxa"/>
          </w:tcPr>
          <w:p w:rsidR="009E2727" w:rsidRPr="00E264ED" w:rsidRDefault="009E2727" w:rsidP="00D23382">
            <w:pPr>
              <w:ind w:firstLine="0"/>
              <w:rPr>
                <w:rFonts w:ascii="Arial" w:hAnsi="Arial" w:cs="Arial"/>
              </w:rPr>
            </w:pPr>
            <w:r w:rsidRPr="00E264ED">
              <w:rPr>
                <w:rFonts w:ascii="Arial" w:hAnsi="Arial" w:cs="Arial"/>
              </w:rPr>
              <w:t>65.9%</w:t>
            </w:r>
          </w:p>
        </w:tc>
        <w:tc>
          <w:tcPr>
            <w:tcW w:w="1080" w:type="dxa"/>
          </w:tcPr>
          <w:p w:rsidR="009E2727" w:rsidRPr="00E264ED" w:rsidRDefault="009E2727" w:rsidP="00D23382">
            <w:pPr>
              <w:ind w:firstLine="0"/>
              <w:rPr>
                <w:rFonts w:ascii="Arial" w:hAnsi="Arial" w:cs="Arial"/>
              </w:rPr>
            </w:pPr>
            <w:r w:rsidRPr="00E264ED">
              <w:rPr>
                <w:rFonts w:ascii="Arial" w:hAnsi="Arial" w:cs="Arial"/>
              </w:rPr>
              <w:t>67.7%</w:t>
            </w:r>
          </w:p>
        </w:tc>
        <w:tc>
          <w:tcPr>
            <w:tcW w:w="1620" w:type="dxa"/>
            <w:vAlign w:val="center"/>
          </w:tcPr>
          <w:p w:rsidR="009E2727" w:rsidRPr="00E264ED" w:rsidRDefault="009E2727" w:rsidP="00D23382">
            <w:pPr>
              <w:rPr>
                <w:rFonts w:ascii="Arial" w:hAnsi="Arial" w:cs="Arial"/>
                <w:color w:val="212121"/>
              </w:rPr>
            </w:pPr>
            <w:r w:rsidRPr="00E264ED">
              <w:rPr>
                <w:rFonts w:ascii="Arial" w:hAnsi="Arial" w:cs="Arial"/>
                <w:color w:val="212121"/>
              </w:rPr>
              <w:t>↓</w:t>
            </w:r>
          </w:p>
        </w:tc>
        <w:tc>
          <w:tcPr>
            <w:tcW w:w="1777" w:type="dxa"/>
          </w:tcPr>
          <w:p w:rsidR="009E2727" w:rsidRPr="00E264ED" w:rsidRDefault="009E2727" w:rsidP="00D23382">
            <w:pPr>
              <w:rPr>
                <w:rFonts w:ascii="Arial" w:hAnsi="Arial" w:cs="Arial"/>
                <w:color w:val="212121"/>
              </w:rPr>
            </w:pPr>
            <w:r w:rsidRPr="00E264ED">
              <w:rPr>
                <w:rFonts w:ascii="Arial" w:hAnsi="Arial" w:cs="Arial"/>
                <w:color w:val="212121"/>
              </w:rPr>
              <w:t>↓</w:t>
            </w:r>
          </w:p>
        </w:tc>
      </w:tr>
    </w:tbl>
    <w:p w:rsidR="009E2727" w:rsidRPr="00686250" w:rsidRDefault="009E2727" w:rsidP="009E2727">
      <w:pPr>
        <w:ind w:firstLine="0"/>
        <w:rPr>
          <w:rFonts w:ascii="Arial" w:eastAsia="Calibri" w:hAnsi="Arial" w:cs="Arial"/>
          <w:sz w:val="24"/>
          <w:szCs w:val="24"/>
        </w:rPr>
      </w:pPr>
    </w:p>
    <w:p w:rsidR="00A73F5D" w:rsidRDefault="00A73F5D" w:rsidP="009E2727">
      <w:pPr>
        <w:ind w:firstLine="0"/>
        <w:rPr>
          <w:rFonts w:ascii="Arial" w:eastAsia="Calibri" w:hAnsi="Arial" w:cs="Arial"/>
          <w:sz w:val="24"/>
          <w:szCs w:val="24"/>
        </w:rPr>
      </w:pPr>
      <w:r>
        <w:rPr>
          <w:rFonts w:ascii="Arial" w:eastAsia="Calibri" w:hAnsi="Arial" w:cs="Arial"/>
          <w:sz w:val="24"/>
          <w:szCs w:val="24"/>
        </w:rPr>
        <w:t>T</w:t>
      </w:r>
      <w:r w:rsidR="009E2727" w:rsidRPr="00686250">
        <w:rPr>
          <w:rFonts w:ascii="Arial" w:eastAsia="Calibri" w:hAnsi="Arial" w:cs="Arial"/>
          <w:sz w:val="24"/>
          <w:szCs w:val="24"/>
        </w:rPr>
        <w:t xml:space="preserve">he Postpartum Care sub measure </w:t>
      </w:r>
      <w:r>
        <w:rPr>
          <w:rFonts w:ascii="Arial" w:eastAsia="Calibri" w:hAnsi="Arial" w:cs="Arial"/>
          <w:sz w:val="24"/>
          <w:szCs w:val="24"/>
        </w:rPr>
        <w:t xml:space="preserve">reports </w:t>
      </w:r>
      <w:r w:rsidRPr="00A73F5D">
        <w:rPr>
          <w:rFonts w:ascii="Arial" w:eastAsia="Calibri" w:hAnsi="Arial" w:cs="Arial"/>
          <w:sz w:val="24"/>
          <w:szCs w:val="24"/>
        </w:rPr>
        <w:t>the percentage of live deliveries that were fo</w:t>
      </w:r>
      <w:r>
        <w:rPr>
          <w:rFonts w:ascii="Arial" w:eastAsia="Calibri" w:hAnsi="Arial" w:cs="Arial"/>
          <w:sz w:val="24"/>
          <w:szCs w:val="24"/>
        </w:rPr>
        <w:t xml:space="preserve">llowed by a postpartum visit. </w:t>
      </w:r>
      <w:r w:rsidRPr="00A73F5D">
        <w:rPr>
          <w:rFonts w:ascii="Arial" w:eastAsia="Calibri" w:hAnsi="Arial" w:cs="Arial"/>
          <w:sz w:val="24"/>
          <w:szCs w:val="24"/>
        </w:rPr>
        <w:t>Figure #10 shows that the MHWM and PCC Plan CY 2017 rates are below the NCQA 75th percentile Medicaid benchmarks. However, PCC Plan rates did increase from CY2016 to CY2017.</w:t>
      </w:r>
    </w:p>
    <w:p w:rsidR="00576899" w:rsidRPr="00DA770C" w:rsidRDefault="00576899" w:rsidP="00DA770C">
      <w:pPr>
        <w:ind w:left="360" w:firstLine="0"/>
      </w:pPr>
    </w:p>
    <w:p w:rsidR="00862AB7" w:rsidRPr="00964309" w:rsidRDefault="00052ADA" w:rsidP="00964309">
      <w:pPr>
        <w:pStyle w:val="Heading2"/>
        <w:rPr>
          <w:rFonts w:ascii="Arial" w:hAnsi="Arial" w:cs="Arial"/>
          <w:color w:val="auto"/>
          <w:sz w:val="24"/>
          <w:szCs w:val="24"/>
          <w:u w:val="single"/>
        </w:rPr>
      </w:pPr>
      <w:bookmarkStart w:id="62" w:name="_Toc20296945"/>
      <w:r w:rsidRPr="00964309">
        <w:rPr>
          <w:rFonts w:ascii="Arial" w:hAnsi="Arial" w:cs="Arial"/>
          <w:color w:val="auto"/>
          <w:sz w:val="24"/>
          <w:szCs w:val="24"/>
          <w:u w:val="single"/>
        </w:rPr>
        <w:t xml:space="preserve">5. </w:t>
      </w:r>
      <w:r w:rsidR="00862AB7" w:rsidRPr="00964309">
        <w:rPr>
          <w:rFonts w:ascii="Arial" w:hAnsi="Arial" w:cs="Arial"/>
          <w:color w:val="auto"/>
          <w:sz w:val="24"/>
          <w:szCs w:val="24"/>
          <w:u w:val="single"/>
        </w:rPr>
        <w:t xml:space="preserve">Postpartum Depression </w:t>
      </w:r>
      <w:r w:rsidR="00D23382" w:rsidRPr="00964309">
        <w:rPr>
          <w:rFonts w:ascii="Arial" w:hAnsi="Arial" w:cs="Arial"/>
          <w:color w:val="auto"/>
          <w:sz w:val="24"/>
          <w:szCs w:val="24"/>
          <w:u w:val="single"/>
        </w:rPr>
        <w:t xml:space="preserve">(PPD) </w:t>
      </w:r>
      <w:r w:rsidR="00862AB7" w:rsidRPr="00964309">
        <w:rPr>
          <w:rFonts w:ascii="Arial" w:hAnsi="Arial" w:cs="Arial"/>
          <w:color w:val="auto"/>
          <w:sz w:val="24"/>
          <w:szCs w:val="24"/>
          <w:u w:val="single"/>
        </w:rPr>
        <w:t>Screening</w:t>
      </w:r>
      <w:bookmarkEnd w:id="62"/>
      <w:r w:rsidR="00862AB7" w:rsidRPr="00964309">
        <w:rPr>
          <w:rFonts w:ascii="Arial" w:hAnsi="Arial" w:cs="Arial"/>
          <w:color w:val="auto"/>
          <w:sz w:val="24"/>
          <w:szCs w:val="24"/>
          <w:u w:val="single"/>
        </w:rPr>
        <w:t xml:space="preserve"> </w:t>
      </w:r>
    </w:p>
    <w:p w:rsidR="005E3744" w:rsidRPr="00686250" w:rsidRDefault="005E3744" w:rsidP="002641AC">
      <w:pPr>
        <w:pStyle w:val="CommentText"/>
        <w:ind w:firstLine="0"/>
        <w:rPr>
          <w:rFonts w:ascii="Arial" w:hAnsi="Arial" w:cs="Arial"/>
          <w:b/>
          <w:sz w:val="24"/>
          <w:szCs w:val="24"/>
          <w:u w:val="single"/>
        </w:rPr>
      </w:pPr>
    </w:p>
    <w:p w:rsidR="005E3744" w:rsidRPr="00686250" w:rsidRDefault="005E3744" w:rsidP="005E3744">
      <w:pPr>
        <w:ind w:firstLine="0"/>
        <w:rPr>
          <w:rFonts w:ascii="Arial" w:hAnsi="Arial" w:cs="Arial"/>
          <w:sz w:val="24"/>
          <w:szCs w:val="24"/>
        </w:rPr>
      </w:pPr>
      <w:r w:rsidRPr="00686250">
        <w:rPr>
          <w:rFonts w:ascii="Arial" w:hAnsi="Arial" w:cs="Arial"/>
          <w:sz w:val="24"/>
          <w:szCs w:val="24"/>
        </w:rPr>
        <w:t xml:space="preserve">An estimated one in seven women experiences a major or minor depressive episode during pregnancy and in the first year after delivery. Despite this prevalence, nearly 60% of people with symptoms are not diagnosed, and half of those with a diagnosis are not treated. Risk factors associated with perinatal depression include history of depression and social determinants of health including low income, stressful life events, low social supports, and fewer years of education, all of which are disproportionately higher in Medicaid populations. Screening with validated tools can improve detection and allow for early treatment, but surveys of providers and health care systems in Massachusetts indicated universal screening was not a routine part of care. </w:t>
      </w:r>
    </w:p>
    <w:p w:rsidR="005E3744" w:rsidRPr="00686250" w:rsidRDefault="005E3744" w:rsidP="005E3744">
      <w:pPr>
        <w:ind w:firstLine="0"/>
        <w:rPr>
          <w:rFonts w:ascii="Arial" w:hAnsi="Arial" w:cs="Arial"/>
          <w:sz w:val="24"/>
          <w:szCs w:val="24"/>
        </w:rPr>
      </w:pPr>
    </w:p>
    <w:p w:rsidR="005E3744" w:rsidRPr="00686250" w:rsidRDefault="005E3744" w:rsidP="005E3744">
      <w:pPr>
        <w:ind w:firstLine="0"/>
        <w:rPr>
          <w:rFonts w:ascii="Arial" w:hAnsi="Arial" w:cs="Arial"/>
          <w:sz w:val="24"/>
          <w:szCs w:val="24"/>
        </w:rPr>
      </w:pPr>
      <w:proofErr w:type="spellStart"/>
      <w:r w:rsidRPr="00686250">
        <w:rPr>
          <w:rFonts w:ascii="Arial" w:hAnsi="Arial" w:cs="Arial"/>
          <w:sz w:val="24"/>
          <w:szCs w:val="24"/>
        </w:rPr>
        <w:t>Peripartum</w:t>
      </w:r>
      <w:proofErr w:type="spellEnd"/>
      <w:r w:rsidRPr="00686250">
        <w:rPr>
          <w:rFonts w:ascii="Arial" w:hAnsi="Arial" w:cs="Arial"/>
          <w:sz w:val="24"/>
          <w:szCs w:val="24"/>
        </w:rPr>
        <w:t xml:space="preserve"> depression is treatable, with interventions from behavioral changes (sleep</w:t>
      </w:r>
      <w:r w:rsidR="00D23382" w:rsidRPr="00686250">
        <w:rPr>
          <w:rFonts w:ascii="Arial" w:hAnsi="Arial" w:cs="Arial"/>
          <w:sz w:val="24"/>
          <w:szCs w:val="24"/>
        </w:rPr>
        <w:t>,</w:t>
      </w:r>
      <w:r w:rsidRPr="00686250">
        <w:rPr>
          <w:rFonts w:ascii="Arial" w:hAnsi="Arial" w:cs="Arial"/>
          <w:sz w:val="24"/>
          <w:szCs w:val="24"/>
        </w:rPr>
        <w:t xml:space="preserve"> hygiene, engagement of social supports) to pharmacologic. Importantly, two-thirds of cases can be detected in the prenatal period, so </w:t>
      </w:r>
      <w:proofErr w:type="spellStart"/>
      <w:r w:rsidRPr="00686250">
        <w:rPr>
          <w:rFonts w:ascii="Arial" w:hAnsi="Arial" w:cs="Arial"/>
          <w:sz w:val="24"/>
          <w:szCs w:val="24"/>
        </w:rPr>
        <w:t>peripartum</w:t>
      </w:r>
      <w:proofErr w:type="spellEnd"/>
      <w:r w:rsidRPr="00686250">
        <w:rPr>
          <w:rFonts w:ascii="Arial" w:hAnsi="Arial" w:cs="Arial"/>
          <w:sz w:val="24"/>
          <w:szCs w:val="24"/>
        </w:rPr>
        <w:t xml:space="preserve"> and not just </w:t>
      </w:r>
      <w:r w:rsidR="00D23382" w:rsidRPr="00686250">
        <w:rPr>
          <w:rFonts w:ascii="Arial" w:hAnsi="Arial" w:cs="Arial"/>
          <w:sz w:val="24"/>
          <w:szCs w:val="24"/>
        </w:rPr>
        <w:t>PPD</w:t>
      </w:r>
      <w:r w:rsidRPr="00686250">
        <w:rPr>
          <w:rFonts w:ascii="Arial" w:hAnsi="Arial" w:cs="Arial"/>
          <w:sz w:val="24"/>
          <w:szCs w:val="24"/>
        </w:rPr>
        <w:t xml:space="preserve"> screening is essential and if treated early could minimize the </w:t>
      </w:r>
      <w:r w:rsidR="00D23382" w:rsidRPr="00686250">
        <w:rPr>
          <w:rFonts w:ascii="Arial" w:hAnsi="Arial" w:cs="Arial"/>
          <w:sz w:val="24"/>
          <w:szCs w:val="24"/>
        </w:rPr>
        <w:t>longer-term</w:t>
      </w:r>
      <w:r w:rsidRPr="00686250">
        <w:rPr>
          <w:rFonts w:ascii="Arial" w:hAnsi="Arial" w:cs="Arial"/>
          <w:sz w:val="24"/>
          <w:szCs w:val="24"/>
        </w:rPr>
        <w:t xml:space="preserve"> impact. Left untreated, </w:t>
      </w:r>
      <w:r w:rsidR="00D23382" w:rsidRPr="00686250">
        <w:rPr>
          <w:rFonts w:ascii="Arial" w:hAnsi="Arial" w:cs="Arial"/>
          <w:sz w:val="24"/>
          <w:szCs w:val="24"/>
        </w:rPr>
        <w:t xml:space="preserve">PPD </w:t>
      </w:r>
      <w:r w:rsidRPr="00686250">
        <w:rPr>
          <w:rFonts w:ascii="Arial" w:hAnsi="Arial" w:cs="Arial"/>
          <w:sz w:val="24"/>
          <w:szCs w:val="24"/>
        </w:rPr>
        <w:t xml:space="preserve">can negatively impact the health of caregivers and </w:t>
      </w:r>
      <w:r w:rsidR="0002460F" w:rsidRPr="00686250">
        <w:rPr>
          <w:rFonts w:ascii="Arial" w:hAnsi="Arial" w:cs="Arial"/>
          <w:sz w:val="24"/>
          <w:szCs w:val="24"/>
        </w:rPr>
        <w:t>infants and</w:t>
      </w:r>
      <w:r w:rsidR="0002460F">
        <w:rPr>
          <w:rFonts w:ascii="Arial" w:hAnsi="Arial" w:cs="Arial"/>
          <w:sz w:val="24"/>
          <w:szCs w:val="24"/>
        </w:rPr>
        <w:t xml:space="preserve"> involve</w:t>
      </w:r>
      <w:r w:rsidRPr="00686250">
        <w:rPr>
          <w:rFonts w:ascii="Arial" w:hAnsi="Arial" w:cs="Arial"/>
          <w:sz w:val="24"/>
          <w:szCs w:val="24"/>
        </w:rPr>
        <w:t xml:space="preserve"> cognitive delay and behavioral issues.</w:t>
      </w:r>
    </w:p>
    <w:p w:rsidR="005E3744" w:rsidRPr="00686250" w:rsidRDefault="005E3744" w:rsidP="005E3744">
      <w:pPr>
        <w:ind w:firstLine="0"/>
        <w:rPr>
          <w:rFonts w:ascii="Arial" w:hAnsi="Arial" w:cs="Arial"/>
          <w:sz w:val="24"/>
          <w:szCs w:val="24"/>
        </w:rPr>
      </w:pPr>
    </w:p>
    <w:p w:rsidR="005E3744" w:rsidRPr="00686250" w:rsidRDefault="005E3744" w:rsidP="005E3744">
      <w:pPr>
        <w:ind w:firstLine="0"/>
        <w:rPr>
          <w:rFonts w:ascii="Arial" w:hAnsi="Arial" w:cs="Arial"/>
          <w:sz w:val="24"/>
          <w:szCs w:val="24"/>
        </w:rPr>
      </w:pPr>
      <w:r w:rsidRPr="00686250">
        <w:rPr>
          <w:rFonts w:ascii="Arial" w:hAnsi="Arial" w:cs="Arial"/>
          <w:sz w:val="24"/>
          <w:szCs w:val="24"/>
        </w:rPr>
        <w:t xml:space="preserve">MassHealth </w:t>
      </w:r>
      <w:r w:rsidR="00086203">
        <w:rPr>
          <w:rFonts w:ascii="Arial" w:hAnsi="Arial" w:cs="Arial"/>
          <w:sz w:val="24"/>
          <w:szCs w:val="24"/>
        </w:rPr>
        <w:t xml:space="preserve">implemented payment for a </w:t>
      </w:r>
      <w:r w:rsidRPr="00686250">
        <w:rPr>
          <w:rFonts w:ascii="Arial" w:hAnsi="Arial" w:cs="Arial"/>
          <w:sz w:val="24"/>
          <w:szCs w:val="24"/>
        </w:rPr>
        <w:t>universal screening for PPD beginning in May 2016 (Q3 in graph below).</w:t>
      </w:r>
    </w:p>
    <w:p w:rsidR="001B7C0C" w:rsidRDefault="001B7C0C" w:rsidP="009F7DBA">
      <w:pPr>
        <w:ind w:firstLine="0"/>
        <w:rPr>
          <w:rFonts w:ascii="Arial" w:hAnsi="Arial" w:cs="Arial"/>
          <w:b/>
          <w:sz w:val="24"/>
          <w:szCs w:val="24"/>
        </w:rPr>
      </w:pPr>
    </w:p>
    <w:p w:rsidR="004C6309" w:rsidRPr="001B7C0C" w:rsidRDefault="00FB79CD" w:rsidP="009F7DBA">
      <w:pPr>
        <w:ind w:firstLine="0"/>
        <w:rPr>
          <w:rFonts w:ascii="Arial" w:hAnsi="Arial" w:cs="Arial"/>
          <w:sz w:val="24"/>
          <w:szCs w:val="24"/>
        </w:rPr>
      </w:pPr>
      <w:r w:rsidRPr="00A779BD">
        <w:rPr>
          <w:rFonts w:ascii="Arial" w:hAnsi="Arial" w:cs="Arial"/>
          <w:b/>
          <w:sz w:val="24"/>
          <w:szCs w:val="24"/>
        </w:rPr>
        <w:lastRenderedPageBreak/>
        <w:t>Figure</w:t>
      </w:r>
      <w:r w:rsidR="00B84D88" w:rsidRPr="00A779BD">
        <w:rPr>
          <w:rFonts w:ascii="Arial" w:hAnsi="Arial" w:cs="Arial"/>
          <w:b/>
          <w:sz w:val="24"/>
          <w:szCs w:val="24"/>
        </w:rPr>
        <w:t xml:space="preserve"> #</w:t>
      </w:r>
      <w:r w:rsidRPr="00A779BD">
        <w:rPr>
          <w:rFonts w:ascii="Arial" w:hAnsi="Arial" w:cs="Arial"/>
          <w:b/>
          <w:sz w:val="24"/>
          <w:szCs w:val="24"/>
        </w:rPr>
        <w:t>11</w:t>
      </w:r>
      <w:r w:rsidR="005E3744" w:rsidRPr="00A779BD">
        <w:rPr>
          <w:rFonts w:ascii="Arial" w:hAnsi="Arial" w:cs="Arial"/>
          <w:b/>
          <w:sz w:val="24"/>
          <w:szCs w:val="24"/>
        </w:rPr>
        <w:t xml:space="preserve">: Maternal </w:t>
      </w:r>
      <w:proofErr w:type="spellStart"/>
      <w:r w:rsidR="005E3744" w:rsidRPr="00A779BD">
        <w:rPr>
          <w:rFonts w:ascii="Arial" w:hAnsi="Arial" w:cs="Arial"/>
          <w:b/>
          <w:sz w:val="24"/>
          <w:szCs w:val="24"/>
        </w:rPr>
        <w:t>Peripartum</w:t>
      </w:r>
      <w:proofErr w:type="spellEnd"/>
      <w:r w:rsidR="005E3744" w:rsidRPr="00A779BD">
        <w:rPr>
          <w:rFonts w:ascii="Arial" w:hAnsi="Arial" w:cs="Arial"/>
          <w:b/>
          <w:sz w:val="24"/>
          <w:szCs w:val="24"/>
        </w:rPr>
        <w:t xml:space="preserve"> Depression Screening Before and After Payment I</w:t>
      </w:r>
      <w:r w:rsidR="00086203">
        <w:rPr>
          <w:rFonts w:ascii="Arial" w:hAnsi="Arial" w:cs="Arial"/>
          <w:b/>
          <w:sz w:val="24"/>
          <w:szCs w:val="24"/>
        </w:rPr>
        <w:t>mplementation</w:t>
      </w:r>
      <w:r w:rsidR="004C6309" w:rsidRPr="004C6309">
        <w:rPr>
          <w:rFonts w:ascii="Arial" w:hAnsi="Arial" w:cs="Arial"/>
          <w:b/>
          <w:noProof/>
          <w:sz w:val="24"/>
          <w:szCs w:val="24"/>
        </w:rPr>
        <w:drawing>
          <wp:inline distT="0" distB="0" distL="0" distR="0" wp14:anchorId="41BF81BD" wp14:editId="6AE101EE">
            <wp:extent cx="5943600" cy="3148965"/>
            <wp:effectExtent l="0" t="0" r="0" b="0"/>
            <wp:docPr id="12" name="Picture 12" title="Maternal Peripartum Depression Screening Before and After Payment Incen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148965"/>
                    </a:xfrm>
                    <a:prstGeom prst="rect">
                      <a:avLst/>
                    </a:prstGeom>
                  </pic:spPr>
                </pic:pic>
              </a:graphicData>
            </a:graphic>
          </wp:inline>
        </w:drawing>
      </w:r>
    </w:p>
    <w:p w:rsidR="001B7C0C" w:rsidRDefault="001B7C0C" w:rsidP="005E3744">
      <w:pPr>
        <w:ind w:firstLine="0"/>
        <w:rPr>
          <w:rFonts w:ascii="Arial" w:hAnsi="Arial" w:cs="Arial"/>
          <w:sz w:val="24"/>
          <w:szCs w:val="24"/>
        </w:rPr>
      </w:pPr>
    </w:p>
    <w:p w:rsidR="005E3744" w:rsidRPr="00686250" w:rsidRDefault="005E3744" w:rsidP="005E3744">
      <w:pPr>
        <w:ind w:firstLine="0"/>
        <w:rPr>
          <w:rFonts w:ascii="Arial" w:hAnsi="Arial" w:cs="Arial"/>
          <w:sz w:val="24"/>
          <w:szCs w:val="24"/>
        </w:rPr>
      </w:pPr>
      <w:r w:rsidRPr="00686250">
        <w:rPr>
          <w:rFonts w:ascii="Arial" w:hAnsi="Arial" w:cs="Arial"/>
          <w:sz w:val="24"/>
          <w:szCs w:val="24"/>
        </w:rPr>
        <w:t>Results: Payment for both maternal perinatal depression screening and caregiver screening in the pediatric setting led to increased screening rates and identification. Two years of data (Oct</w:t>
      </w:r>
      <w:r w:rsidR="002C407C" w:rsidRPr="00686250">
        <w:rPr>
          <w:rFonts w:ascii="Arial" w:hAnsi="Arial" w:cs="Arial"/>
          <w:sz w:val="24"/>
          <w:szCs w:val="24"/>
        </w:rPr>
        <w:t>ober</w:t>
      </w:r>
      <w:r w:rsidR="00F41A1A">
        <w:rPr>
          <w:rFonts w:ascii="Arial" w:hAnsi="Arial" w:cs="Arial"/>
          <w:sz w:val="24"/>
          <w:szCs w:val="24"/>
        </w:rPr>
        <w:t xml:space="preserve"> </w:t>
      </w:r>
      <w:r w:rsidRPr="00686250">
        <w:rPr>
          <w:rFonts w:ascii="Arial" w:hAnsi="Arial" w:cs="Arial"/>
          <w:sz w:val="24"/>
          <w:szCs w:val="24"/>
        </w:rPr>
        <w:t xml:space="preserve">2015 </w:t>
      </w:r>
      <w:r w:rsidR="002C407C" w:rsidRPr="00686250">
        <w:rPr>
          <w:rFonts w:ascii="Arial" w:hAnsi="Arial" w:cs="Arial"/>
          <w:sz w:val="24"/>
          <w:szCs w:val="24"/>
        </w:rPr>
        <w:t>–</w:t>
      </w:r>
      <w:r w:rsidRPr="00686250">
        <w:rPr>
          <w:rFonts w:ascii="Arial" w:hAnsi="Arial" w:cs="Arial"/>
          <w:sz w:val="24"/>
          <w:szCs w:val="24"/>
        </w:rPr>
        <w:t xml:space="preserve"> Sept</w:t>
      </w:r>
      <w:r w:rsidR="002C407C" w:rsidRPr="00686250">
        <w:rPr>
          <w:rFonts w:ascii="Arial" w:hAnsi="Arial" w:cs="Arial"/>
          <w:sz w:val="24"/>
          <w:szCs w:val="24"/>
        </w:rPr>
        <w:t>ember</w:t>
      </w:r>
      <w:r w:rsidRPr="00686250">
        <w:rPr>
          <w:rFonts w:ascii="Arial" w:hAnsi="Arial" w:cs="Arial"/>
          <w:sz w:val="24"/>
          <w:szCs w:val="24"/>
        </w:rPr>
        <w:t xml:space="preserve"> 2017) demonstrate:</w:t>
      </w:r>
    </w:p>
    <w:p w:rsidR="005E3744" w:rsidRPr="00686250" w:rsidRDefault="005E3744" w:rsidP="005E3744">
      <w:pPr>
        <w:numPr>
          <w:ilvl w:val="0"/>
          <w:numId w:val="29"/>
        </w:numPr>
        <w:rPr>
          <w:rFonts w:ascii="Arial" w:hAnsi="Arial" w:cs="Arial"/>
          <w:sz w:val="24"/>
          <w:szCs w:val="24"/>
        </w:rPr>
      </w:pPr>
      <w:r w:rsidRPr="00686250">
        <w:rPr>
          <w:rFonts w:ascii="Arial" w:hAnsi="Arial" w:cs="Arial"/>
          <w:sz w:val="24"/>
          <w:szCs w:val="24"/>
        </w:rPr>
        <w:t>9,962 women in maternal care were screened, with 8,978 screened postpartum; the number of screens nearly doubled after payment began.</w:t>
      </w:r>
    </w:p>
    <w:p w:rsidR="005E3744" w:rsidRPr="00686250" w:rsidRDefault="005E3744" w:rsidP="005E3744">
      <w:pPr>
        <w:numPr>
          <w:ilvl w:val="0"/>
          <w:numId w:val="29"/>
        </w:numPr>
        <w:rPr>
          <w:rFonts w:ascii="Arial" w:hAnsi="Arial" w:cs="Arial"/>
          <w:sz w:val="24"/>
          <w:szCs w:val="24"/>
        </w:rPr>
      </w:pPr>
      <w:r w:rsidRPr="00686250">
        <w:rPr>
          <w:rFonts w:ascii="Arial" w:hAnsi="Arial" w:cs="Arial"/>
          <w:sz w:val="24"/>
          <w:szCs w:val="24"/>
        </w:rPr>
        <w:t>2,024 infant caregivers were screened in the pediatric setting, a nearly six-fold increase in screening after payment began.</w:t>
      </w:r>
    </w:p>
    <w:p w:rsidR="005E3744" w:rsidRPr="00686250" w:rsidRDefault="005E3744" w:rsidP="005E3744">
      <w:pPr>
        <w:numPr>
          <w:ilvl w:val="0"/>
          <w:numId w:val="29"/>
        </w:numPr>
        <w:rPr>
          <w:rFonts w:ascii="Arial" w:hAnsi="Arial" w:cs="Arial"/>
          <w:sz w:val="24"/>
          <w:szCs w:val="24"/>
        </w:rPr>
      </w:pPr>
      <w:r w:rsidRPr="00686250">
        <w:rPr>
          <w:rFonts w:ascii="Arial" w:hAnsi="Arial" w:cs="Arial"/>
          <w:sz w:val="24"/>
          <w:szCs w:val="24"/>
        </w:rPr>
        <w:t>The accuracy of reporting improved over time, with fewer providers reporting incorrect modifiers, or no modifiers at all.</w:t>
      </w:r>
    </w:p>
    <w:p w:rsidR="005E3744" w:rsidRPr="00686250" w:rsidRDefault="005E3744" w:rsidP="005E3744">
      <w:pPr>
        <w:numPr>
          <w:ilvl w:val="0"/>
          <w:numId w:val="29"/>
        </w:numPr>
        <w:rPr>
          <w:rFonts w:ascii="Arial" w:hAnsi="Arial" w:cs="Arial"/>
          <w:sz w:val="24"/>
          <w:szCs w:val="24"/>
        </w:rPr>
      </w:pPr>
      <w:r w:rsidRPr="00686250">
        <w:rPr>
          <w:rFonts w:ascii="Arial" w:hAnsi="Arial" w:cs="Arial"/>
          <w:sz w:val="24"/>
          <w:szCs w:val="24"/>
        </w:rPr>
        <w:t xml:space="preserve">Positive screen reporting grew less variable over time and was consistent with prevalence of positive screens documented in the literature. </w:t>
      </w:r>
    </w:p>
    <w:p w:rsidR="002641AC" w:rsidRPr="00686250" w:rsidRDefault="002641AC" w:rsidP="002641AC">
      <w:pPr>
        <w:rPr>
          <w:rFonts w:ascii="Arial" w:hAnsi="Arial" w:cs="Arial"/>
          <w:sz w:val="24"/>
          <w:szCs w:val="24"/>
        </w:rPr>
      </w:pPr>
    </w:p>
    <w:p w:rsidR="00241C6B" w:rsidRPr="008D20B2" w:rsidRDefault="00052ADA" w:rsidP="008D20B2">
      <w:pPr>
        <w:pStyle w:val="Heading2"/>
        <w:rPr>
          <w:rFonts w:ascii="Arial" w:hAnsi="Arial" w:cs="Arial"/>
          <w:color w:val="auto"/>
          <w:sz w:val="24"/>
          <w:u w:val="single"/>
        </w:rPr>
      </w:pPr>
      <w:bookmarkStart w:id="63" w:name="_Toc20296946"/>
      <w:bookmarkStart w:id="64" w:name="_Toc10810593"/>
      <w:r>
        <w:rPr>
          <w:rFonts w:ascii="Arial" w:hAnsi="Arial" w:cs="Arial"/>
          <w:color w:val="auto"/>
          <w:sz w:val="24"/>
          <w:u w:val="single"/>
        </w:rPr>
        <w:t>6</w:t>
      </w:r>
      <w:r w:rsidR="00241C6B" w:rsidRPr="008D20B2">
        <w:rPr>
          <w:rFonts w:ascii="Arial" w:hAnsi="Arial" w:cs="Arial"/>
          <w:color w:val="auto"/>
          <w:sz w:val="24"/>
          <w:u w:val="single"/>
        </w:rPr>
        <w:t xml:space="preserve">. Comparison </w:t>
      </w:r>
      <w:r w:rsidR="00AB266A" w:rsidRPr="008D20B2">
        <w:rPr>
          <w:rFonts w:ascii="Arial" w:hAnsi="Arial" w:cs="Arial"/>
          <w:color w:val="auto"/>
          <w:sz w:val="24"/>
          <w:u w:val="single"/>
        </w:rPr>
        <w:t>A</w:t>
      </w:r>
      <w:r w:rsidR="00241C6B" w:rsidRPr="008D20B2">
        <w:rPr>
          <w:rFonts w:ascii="Arial" w:hAnsi="Arial" w:cs="Arial"/>
          <w:color w:val="auto"/>
          <w:sz w:val="24"/>
          <w:u w:val="single"/>
        </w:rPr>
        <w:t xml:space="preserve">nalysis of Medicaid </w:t>
      </w:r>
      <w:r w:rsidR="00AB266A" w:rsidRPr="008D20B2">
        <w:rPr>
          <w:rFonts w:ascii="Arial" w:hAnsi="Arial" w:cs="Arial"/>
          <w:color w:val="auto"/>
          <w:sz w:val="24"/>
          <w:u w:val="single"/>
        </w:rPr>
        <w:t>Payment R</w:t>
      </w:r>
      <w:r w:rsidR="00241C6B" w:rsidRPr="008D20B2">
        <w:rPr>
          <w:rFonts w:ascii="Arial" w:hAnsi="Arial" w:cs="Arial"/>
          <w:color w:val="auto"/>
          <w:sz w:val="24"/>
          <w:u w:val="single"/>
        </w:rPr>
        <w:t>ates to Medicare</w:t>
      </w:r>
      <w:r w:rsidR="009A771A">
        <w:rPr>
          <w:rFonts w:ascii="Arial" w:hAnsi="Arial" w:cs="Arial"/>
          <w:color w:val="auto"/>
          <w:sz w:val="24"/>
          <w:u w:val="single"/>
        </w:rPr>
        <w:t xml:space="preserve"> Payment Rates</w:t>
      </w:r>
      <w:r w:rsidR="00241C6B" w:rsidRPr="008D20B2">
        <w:rPr>
          <w:rFonts w:ascii="Arial" w:hAnsi="Arial" w:cs="Arial"/>
          <w:color w:val="auto"/>
          <w:sz w:val="24"/>
          <w:u w:val="single"/>
        </w:rPr>
        <w:t xml:space="preserve"> </w:t>
      </w:r>
      <w:r w:rsidR="00AB266A" w:rsidRPr="008D20B2">
        <w:rPr>
          <w:rFonts w:ascii="Arial" w:hAnsi="Arial" w:cs="Arial"/>
          <w:color w:val="auto"/>
          <w:sz w:val="24"/>
          <w:u w:val="single"/>
        </w:rPr>
        <w:t xml:space="preserve">for </w:t>
      </w:r>
      <w:r w:rsidR="00E2464F" w:rsidRPr="00E2464F">
        <w:rPr>
          <w:rFonts w:ascii="Arial" w:hAnsi="Arial" w:cs="Arial"/>
          <w:color w:val="auto"/>
          <w:sz w:val="24"/>
          <w:u w:val="single"/>
        </w:rPr>
        <w:t xml:space="preserve">Perinatal </w:t>
      </w:r>
      <w:r w:rsidR="00AB266A" w:rsidRPr="008D20B2">
        <w:rPr>
          <w:rFonts w:ascii="Arial" w:hAnsi="Arial" w:cs="Arial"/>
          <w:color w:val="auto"/>
          <w:sz w:val="24"/>
          <w:u w:val="single"/>
        </w:rPr>
        <w:t>Services</w:t>
      </w:r>
      <w:bookmarkEnd w:id="63"/>
      <w:r w:rsidR="00AB266A" w:rsidRPr="008D20B2">
        <w:rPr>
          <w:rFonts w:ascii="Arial" w:hAnsi="Arial" w:cs="Arial"/>
          <w:color w:val="auto"/>
          <w:sz w:val="24"/>
          <w:u w:val="single"/>
        </w:rPr>
        <w:t xml:space="preserve"> </w:t>
      </w:r>
      <w:bookmarkEnd w:id="64"/>
    </w:p>
    <w:p w:rsidR="00914B8B" w:rsidRPr="00686250" w:rsidRDefault="00914B8B" w:rsidP="00C7773F">
      <w:pPr>
        <w:ind w:firstLine="0"/>
        <w:rPr>
          <w:rFonts w:ascii="Arial" w:hAnsi="Arial" w:cs="Arial"/>
          <w:sz w:val="24"/>
          <w:szCs w:val="24"/>
        </w:rPr>
      </w:pPr>
    </w:p>
    <w:p w:rsidR="00156257" w:rsidRPr="00686250" w:rsidRDefault="00156257" w:rsidP="00156257">
      <w:pPr>
        <w:ind w:firstLine="0"/>
        <w:rPr>
          <w:rFonts w:ascii="Arial" w:hAnsi="Arial" w:cs="Arial"/>
          <w:sz w:val="24"/>
          <w:szCs w:val="24"/>
        </w:rPr>
      </w:pPr>
      <w:proofErr w:type="spellStart"/>
      <w:r w:rsidRPr="00686250">
        <w:rPr>
          <w:rFonts w:ascii="Arial" w:hAnsi="Arial" w:cs="Arial"/>
          <w:sz w:val="24"/>
          <w:szCs w:val="24"/>
        </w:rPr>
        <w:t>MassHealth’s</w:t>
      </w:r>
      <w:proofErr w:type="spellEnd"/>
      <w:r w:rsidRPr="00686250">
        <w:rPr>
          <w:rFonts w:ascii="Arial" w:hAnsi="Arial" w:cs="Arial"/>
          <w:sz w:val="24"/>
          <w:szCs w:val="24"/>
        </w:rPr>
        <w:t xml:space="preserve"> payment rate analysis includes a comparison of Medicaid and Medicare 2018 rates for obstetrics ser</w:t>
      </w:r>
      <w:r w:rsidR="006A2354">
        <w:rPr>
          <w:rFonts w:ascii="Arial" w:hAnsi="Arial" w:cs="Arial"/>
          <w:sz w:val="24"/>
          <w:szCs w:val="24"/>
        </w:rPr>
        <w:t xml:space="preserve">vices. </w:t>
      </w:r>
      <w:r w:rsidRPr="00686250">
        <w:rPr>
          <w:rFonts w:ascii="Arial" w:hAnsi="Arial" w:cs="Arial"/>
          <w:sz w:val="24"/>
          <w:szCs w:val="24"/>
        </w:rPr>
        <w:t xml:space="preserve">The analysis found that Massachusetts Medicaid FFS obstetrics rates </w:t>
      </w:r>
      <w:r w:rsidR="009A771A">
        <w:rPr>
          <w:rFonts w:ascii="Arial" w:hAnsi="Arial" w:cs="Arial"/>
          <w:sz w:val="24"/>
          <w:szCs w:val="24"/>
        </w:rPr>
        <w:t>wer</w:t>
      </w:r>
      <w:r w:rsidRPr="00686250">
        <w:rPr>
          <w:rFonts w:ascii="Arial" w:hAnsi="Arial" w:cs="Arial"/>
          <w:sz w:val="24"/>
          <w:szCs w:val="24"/>
        </w:rPr>
        <w:t xml:space="preserve">e an average of 92.7% of Medicare in 2018. </w:t>
      </w:r>
    </w:p>
    <w:p w:rsidR="00156257" w:rsidRPr="00686250" w:rsidRDefault="00156257" w:rsidP="00156257">
      <w:pPr>
        <w:ind w:firstLine="0"/>
        <w:rPr>
          <w:rFonts w:ascii="Arial" w:hAnsi="Arial" w:cs="Arial"/>
          <w:sz w:val="20"/>
          <w:szCs w:val="20"/>
        </w:rPr>
      </w:pPr>
    </w:p>
    <w:tbl>
      <w:tblPr>
        <w:tblW w:w="8115" w:type="dxa"/>
        <w:tblInd w:w="93" w:type="dxa"/>
        <w:tblLayout w:type="fixed"/>
        <w:tblLook w:val="04A0" w:firstRow="1" w:lastRow="0" w:firstColumn="1" w:lastColumn="0" w:noHBand="0" w:noVBand="1"/>
      </w:tblPr>
      <w:tblGrid>
        <w:gridCol w:w="1535"/>
        <w:gridCol w:w="1975"/>
        <w:gridCol w:w="1535"/>
        <w:gridCol w:w="1535"/>
        <w:gridCol w:w="1535"/>
      </w:tblGrid>
      <w:tr w:rsidR="00156257" w:rsidRPr="00686250" w:rsidTr="00E62A0B">
        <w:trPr>
          <w:trHeight w:val="300"/>
          <w:tblHeader/>
        </w:trPr>
        <w:tc>
          <w:tcPr>
            <w:tcW w:w="1555" w:type="dxa"/>
            <w:tcBorders>
              <w:top w:val="single" w:sz="4" w:space="0" w:color="4F81BD"/>
              <w:left w:val="single" w:sz="4" w:space="0" w:color="4F81BD"/>
              <w:bottom w:val="single" w:sz="4" w:space="0" w:color="4F81BD"/>
              <w:right w:val="single" w:sz="4" w:space="0" w:color="4F81BD"/>
            </w:tcBorders>
            <w:shd w:val="clear" w:color="auto" w:fill="auto"/>
            <w:noWrap/>
            <w:vAlign w:val="bottom"/>
          </w:tcPr>
          <w:p w:rsidR="00156257" w:rsidRPr="00686250" w:rsidRDefault="00156257" w:rsidP="00E62A0B">
            <w:pPr>
              <w:ind w:firstLine="0"/>
              <w:jc w:val="center"/>
              <w:rPr>
                <w:rFonts w:ascii="Arial" w:eastAsia="Calibri" w:hAnsi="Arial" w:cs="Arial"/>
                <w:sz w:val="20"/>
                <w:szCs w:val="20"/>
              </w:rPr>
            </w:pPr>
            <w:r w:rsidRPr="00686250">
              <w:rPr>
                <w:rFonts w:ascii="Arial" w:eastAsia="Times New Roman" w:hAnsi="Arial" w:cs="Arial"/>
                <w:b/>
                <w:bCs/>
                <w:color w:val="000000"/>
                <w:sz w:val="20"/>
                <w:szCs w:val="20"/>
              </w:rPr>
              <w:t>HCPCS</w:t>
            </w:r>
          </w:p>
          <w:p w:rsidR="00156257" w:rsidRPr="00686250" w:rsidRDefault="00156257" w:rsidP="00E62A0B">
            <w:pPr>
              <w:ind w:firstLine="0"/>
              <w:jc w:val="center"/>
              <w:rPr>
                <w:rFonts w:ascii="Arial" w:eastAsia="Times New Roman" w:hAnsi="Arial" w:cs="Arial"/>
                <w:color w:val="000000"/>
                <w:sz w:val="20"/>
                <w:szCs w:val="20"/>
              </w:rPr>
            </w:pPr>
          </w:p>
        </w:tc>
        <w:tc>
          <w:tcPr>
            <w:tcW w:w="2002" w:type="dxa"/>
            <w:tcBorders>
              <w:top w:val="single" w:sz="4" w:space="0" w:color="4F81BD"/>
              <w:left w:val="nil"/>
              <w:bottom w:val="single" w:sz="4"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
                <w:bCs/>
                <w:color w:val="000000"/>
                <w:sz w:val="20"/>
                <w:szCs w:val="20"/>
              </w:rPr>
            </w:pPr>
            <w:r w:rsidRPr="00686250">
              <w:rPr>
                <w:rFonts w:ascii="Arial" w:eastAsia="Times New Roman" w:hAnsi="Arial" w:cs="Arial"/>
                <w:b/>
                <w:bCs/>
                <w:color w:val="000000"/>
                <w:sz w:val="20"/>
                <w:szCs w:val="20"/>
              </w:rPr>
              <w:t>Obstetrics Code Description</w:t>
            </w:r>
          </w:p>
        </w:tc>
        <w:tc>
          <w:tcPr>
            <w:tcW w:w="1555" w:type="dxa"/>
            <w:tcBorders>
              <w:top w:val="single" w:sz="4" w:space="0" w:color="4F81BD"/>
              <w:left w:val="nil"/>
              <w:bottom w:val="single" w:sz="4" w:space="0" w:color="4F81BD"/>
              <w:right w:val="single" w:sz="4" w:space="0" w:color="4F81BD"/>
            </w:tcBorders>
            <w:shd w:val="clear" w:color="auto" w:fill="auto"/>
            <w:vAlign w:val="bottom"/>
          </w:tcPr>
          <w:p w:rsidR="00156257" w:rsidRPr="00686250" w:rsidRDefault="00156257" w:rsidP="00E62A0B">
            <w:pPr>
              <w:ind w:firstLine="0"/>
              <w:jc w:val="center"/>
              <w:rPr>
                <w:rFonts w:ascii="Arial" w:eastAsia="Times New Roman" w:hAnsi="Arial" w:cs="Arial"/>
                <w:b/>
                <w:bCs/>
                <w:color w:val="000000"/>
                <w:sz w:val="20"/>
                <w:szCs w:val="20"/>
              </w:rPr>
            </w:pPr>
            <w:r w:rsidRPr="00686250">
              <w:rPr>
                <w:rFonts w:ascii="Arial" w:hAnsi="Arial" w:cs="Arial"/>
                <w:b/>
                <w:bCs/>
                <w:color w:val="000000"/>
                <w:sz w:val="20"/>
                <w:szCs w:val="20"/>
              </w:rPr>
              <w:t>2018 Mass. Medicare Non</w:t>
            </w:r>
            <w:r w:rsidR="00F41A1A">
              <w:rPr>
                <w:rFonts w:ascii="Arial" w:hAnsi="Arial" w:cs="Arial"/>
                <w:b/>
                <w:bCs/>
                <w:color w:val="000000"/>
                <w:sz w:val="20"/>
                <w:szCs w:val="20"/>
              </w:rPr>
              <w:t>-</w:t>
            </w:r>
            <w:r w:rsidRPr="00686250">
              <w:rPr>
                <w:rFonts w:ascii="Arial" w:hAnsi="Arial" w:cs="Arial"/>
                <w:b/>
                <w:bCs/>
                <w:color w:val="000000"/>
                <w:sz w:val="20"/>
                <w:szCs w:val="20"/>
              </w:rPr>
              <w:t xml:space="preserve"> Facility Rate- Statewide Average</w:t>
            </w:r>
          </w:p>
        </w:tc>
        <w:tc>
          <w:tcPr>
            <w:tcW w:w="1555" w:type="dxa"/>
            <w:tcBorders>
              <w:top w:val="single" w:sz="4" w:space="0" w:color="4F81BD"/>
              <w:left w:val="nil"/>
              <w:bottom w:val="single" w:sz="4" w:space="0" w:color="4F81BD"/>
              <w:right w:val="single" w:sz="4" w:space="0" w:color="4F81BD"/>
            </w:tcBorders>
            <w:shd w:val="clear" w:color="auto" w:fill="auto"/>
            <w:vAlign w:val="bottom"/>
          </w:tcPr>
          <w:p w:rsidR="00156257" w:rsidRPr="00686250" w:rsidRDefault="00156257" w:rsidP="00E62A0B">
            <w:pPr>
              <w:ind w:firstLine="0"/>
              <w:jc w:val="center"/>
              <w:rPr>
                <w:rFonts w:ascii="Arial" w:eastAsia="Times New Roman" w:hAnsi="Arial" w:cs="Arial"/>
                <w:b/>
                <w:bCs/>
                <w:color w:val="000000"/>
                <w:sz w:val="20"/>
                <w:szCs w:val="20"/>
              </w:rPr>
            </w:pPr>
            <w:r w:rsidRPr="00686250">
              <w:rPr>
                <w:rFonts w:ascii="Arial" w:hAnsi="Arial" w:cs="Arial"/>
                <w:b/>
                <w:bCs/>
                <w:color w:val="000000"/>
                <w:sz w:val="20"/>
                <w:szCs w:val="20"/>
              </w:rPr>
              <w:t>2018 Mass. Medicaid Rate</w:t>
            </w:r>
          </w:p>
        </w:tc>
        <w:tc>
          <w:tcPr>
            <w:tcW w:w="1555" w:type="dxa"/>
            <w:tcBorders>
              <w:top w:val="single" w:sz="4" w:space="0" w:color="4F81BD"/>
              <w:left w:val="nil"/>
              <w:bottom w:val="single" w:sz="4" w:space="0" w:color="4F81BD"/>
              <w:right w:val="single" w:sz="4" w:space="0" w:color="4F81BD"/>
            </w:tcBorders>
            <w:shd w:val="clear" w:color="auto" w:fill="auto"/>
            <w:vAlign w:val="bottom"/>
          </w:tcPr>
          <w:p w:rsidR="00156257" w:rsidRPr="00686250" w:rsidRDefault="00156257" w:rsidP="00E62A0B">
            <w:pPr>
              <w:ind w:firstLine="0"/>
              <w:jc w:val="center"/>
              <w:rPr>
                <w:rFonts w:ascii="Arial" w:eastAsia="Times New Roman" w:hAnsi="Arial" w:cs="Arial"/>
                <w:b/>
                <w:bCs/>
                <w:color w:val="000000"/>
                <w:sz w:val="20"/>
                <w:szCs w:val="20"/>
              </w:rPr>
            </w:pPr>
            <w:r w:rsidRPr="00686250">
              <w:rPr>
                <w:rFonts w:ascii="Arial" w:hAnsi="Arial" w:cs="Arial"/>
                <w:b/>
                <w:bCs/>
                <w:color w:val="000000"/>
                <w:sz w:val="20"/>
                <w:szCs w:val="20"/>
              </w:rPr>
              <w:t>Mass. Medicaid Payment as % of Medicare</w:t>
            </w:r>
          </w:p>
        </w:tc>
      </w:tr>
      <w:tr w:rsidR="00156257" w:rsidRPr="00686250" w:rsidTr="00BA44E0">
        <w:trPr>
          <w:trHeight w:val="510"/>
        </w:trPr>
        <w:tc>
          <w:tcPr>
            <w:tcW w:w="1555" w:type="dxa"/>
            <w:tcBorders>
              <w:top w:val="double" w:sz="6" w:space="0" w:color="4F81BD"/>
              <w:left w:val="single" w:sz="4" w:space="0" w:color="4F81BD"/>
              <w:bottom w:val="single" w:sz="4"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59400</w:t>
            </w:r>
          </w:p>
        </w:tc>
        <w:tc>
          <w:tcPr>
            <w:tcW w:w="2002" w:type="dxa"/>
            <w:tcBorders>
              <w:top w:val="double" w:sz="6" w:space="0" w:color="4F81BD"/>
              <w:left w:val="nil"/>
              <w:bottom w:val="single" w:sz="4" w:space="0" w:color="4F81BD"/>
              <w:right w:val="single" w:sz="4" w:space="0" w:color="4F81BD"/>
            </w:tcBorders>
            <w:shd w:val="clear" w:color="auto" w:fill="auto"/>
            <w:vAlign w:val="bottom"/>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 xml:space="preserve">Routine obstetric care including </w:t>
            </w:r>
            <w:r w:rsidRPr="00686250">
              <w:rPr>
                <w:rFonts w:ascii="Arial" w:eastAsia="Times New Roman" w:hAnsi="Arial" w:cs="Arial"/>
                <w:bCs/>
                <w:color w:val="000000"/>
                <w:sz w:val="20"/>
                <w:szCs w:val="20"/>
              </w:rPr>
              <w:lastRenderedPageBreak/>
              <w:t>antepartum care, vaginal delivery (with or without episiotomy, and/or forceps) and postpartum care</w:t>
            </w:r>
          </w:p>
        </w:tc>
        <w:tc>
          <w:tcPr>
            <w:tcW w:w="1555" w:type="dxa"/>
            <w:tcBorders>
              <w:top w:val="double" w:sz="6" w:space="0" w:color="4F81BD"/>
              <w:left w:val="nil"/>
              <w:bottom w:val="single" w:sz="4" w:space="0" w:color="4F81BD"/>
              <w:right w:val="single" w:sz="4" w:space="0" w:color="4F81BD"/>
            </w:tcBorders>
            <w:shd w:val="clear" w:color="auto" w:fill="auto"/>
            <w:noWrap/>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lastRenderedPageBreak/>
              <w:t>$2,341.82</w:t>
            </w:r>
          </w:p>
        </w:tc>
        <w:tc>
          <w:tcPr>
            <w:tcW w:w="1555" w:type="dxa"/>
            <w:tcBorders>
              <w:top w:val="double" w:sz="6" w:space="0" w:color="4F81BD"/>
              <w:left w:val="nil"/>
              <w:bottom w:val="single" w:sz="4" w:space="0" w:color="4F81BD"/>
              <w:right w:val="single" w:sz="4" w:space="0" w:color="4F81BD"/>
            </w:tcBorders>
            <w:shd w:val="clear" w:color="auto" w:fill="auto"/>
            <w:noWrap/>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$2,173.45</w:t>
            </w:r>
          </w:p>
        </w:tc>
        <w:tc>
          <w:tcPr>
            <w:tcW w:w="1555" w:type="dxa"/>
            <w:tcBorders>
              <w:top w:val="double" w:sz="6" w:space="0" w:color="4F81BD"/>
              <w:left w:val="nil"/>
              <w:bottom w:val="single" w:sz="4" w:space="0" w:color="4F81BD"/>
              <w:right w:val="single" w:sz="4" w:space="0" w:color="4F81BD"/>
            </w:tcBorders>
            <w:shd w:val="clear" w:color="auto" w:fill="auto"/>
            <w:noWrap/>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92.8%</w:t>
            </w:r>
          </w:p>
        </w:tc>
      </w:tr>
      <w:tr w:rsidR="00156257" w:rsidRPr="00686250" w:rsidTr="00BA44E0">
        <w:trPr>
          <w:trHeight w:val="495"/>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lastRenderedPageBreak/>
              <w:t>59409</w:t>
            </w:r>
          </w:p>
        </w:tc>
        <w:tc>
          <w:tcPr>
            <w:tcW w:w="2002" w:type="dxa"/>
            <w:tcBorders>
              <w:top w:val="nil"/>
              <w:left w:val="nil"/>
              <w:bottom w:val="single" w:sz="4" w:space="0" w:color="4F81BD"/>
              <w:right w:val="single" w:sz="4" w:space="0" w:color="4F81BD"/>
            </w:tcBorders>
            <w:shd w:val="clear" w:color="auto" w:fill="auto"/>
            <w:vAlign w:val="bottom"/>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Vaginal delivery only (with or without episiotomy and/or forceps)</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$904.99</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$839.04</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92.7%</w:t>
            </w:r>
          </w:p>
        </w:tc>
      </w:tr>
      <w:tr w:rsidR="00156257" w:rsidRPr="00686250" w:rsidTr="00BA44E0">
        <w:trPr>
          <w:trHeight w:val="495"/>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59410</w:t>
            </w:r>
          </w:p>
        </w:tc>
        <w:tc>
          <w:tcPr>
            <w:tcW w:w="2002" w:type="dxa"/>
            <w:tcBorders>
              <w:top w:val="nil"/>
              <w:left w:val="nil"/>
              <w:bottom w:val="single" w:sz="4" w:space="0" w:color="4F81BD"/>
              <w:right w:val="single" w:sz="4" w:space="0" w:color="4F81BD"/>
            </w:tcBorders>
            <w:shd w:val="clear" w:color="auto" w:fill="auto"/>
            <w:vAlign w:val="bottom"/>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Vaginal delivery only (with or without episiotomy and/or forceps); including postpartum care</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$1,157.83</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$1,072.08</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92.6%</w:t>
            </w:r>
          </w:p>
        </w:tc>
      </w:tr>
      <w:tr w:rsidR="00156257" w:rsidRPr="00686250" w:rsidTr="00BA44E0">
        <w:trPr>
          <w:trHeight w:val="495"/>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59414</w:t>
            </w:r>
          </w:p>
        </w:tc>
        <w:tc>
          <w:tcPr>
            <w:tcW w:w="2002" w:type="dxa"/>
            <w:tcBorders>
              <w:top w:val="nil"/>
              <w:left w:val="nil"/>
              <w:bottom w:val="single" w:sz="4" w:space="0" w:color="4F81BD"/>
              <w:right w:val="single" w:sz="4" w:space="0" w:color="4F81BD"/>
            </w:tcBorders>
            <w:shd w:val="clear" w:color="auto" w:fill="auto"/>
            <w:vAlign w:val="bottom"/>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Delivery of placenta (separate procedure)</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$102.27</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$94.25</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92.2%</w:t>
            </w:r>
          </w:p>
        </w:tc>
      </w:tr>
      <w:tr w:rsidR="00156257" w:rsidRPr="00686250" w:rsidTr="00BA44E0">
        <w:trPr>
          <w:trHeight w:val="495"/>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59425</w:t>
            </w:r>
          </w:p>
        </w:tc>
        <w:tc>
          <w:tcPr>
            <w:tcW w:w="2002" w:type="dxa"/>
            <w:tcBorders>
              <w:top w:val="nil"/>
              <w:left w:val="nil"/>
              <w:bottom w:val="single" w:sz="4" w:space="0" w:color="4F81BD"/>
              <w:right w:val="single" w:sz="4" w:space="0" w:color="4F81BD"/>
            </w:tcBorders>
            <w:shd w:val="clear" w:color="auto" w:fill="auto"/>
            <w:vAlign w:val="bottom"/>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Antepartum care only; 4-6 visits</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$513.16</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$478.48</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93.2%</w:t>
            </w:r>
          </w:p>
        </w:tc>
      </w:tr>
      <w:tr w:rsidR="00156257" w:rsidRPr="00686250" w:rsidTr="00BA44E0">
        <w:trPr>
          <w:trHeight w:val="510"/>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59426</w:t>
            </w:r>
          </w:p>
        </w:tc>
        <w:tc>
          <w:tcPr>
            <w:tcW w:w="2002" w:type="dxa"/>
            <w:tcBorders>
              <w:top w:val="nil"/>
              <w:left w:val="nil"/>
              <w:bottom w:val="single" w:sz="4" w:space="0" w:color="4F81BD"/>
              <w:right w:val="single" w:sz="4" w:space="0" w:color="4F81BD"/>
            </w:tcBorders>
            <w:shd w:val="clear" w:color="auto" w:fill="auto"/>
            <w:vAlign w:val="bottom"/>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Antepartum care only; 7 or more visits</w:t>
            </w:r>
          </w:p>
        </w:tc>
        <w:tc>
          <w:tcPr>
            <w:tcW w:w="1555" w:type="dxa"/>
            <w:tcBorders>
              <w:top w:val="nil"/>
              <w:left w:val="nil"/>
              <w:bottom w:val="single" w:sz="4" w:space="0" w:color="4F81BD"/>
              <w:right w:val="single" w:sz="4" w:space="0" w:color="4F81BD"/>
            </w:tcBorders>
            <w:shd w:val="clear" w:color="auto" w:fill="auto"/>
            <w:noWrap/>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$918.47</w:t>
            </w:r>
          </w:p>
        </w:tc>
        <w:tc>
          <w:tcPr>
            <w:tcW w:w="1555" w:type="dxa"/>
            <w:tcBorders>
              <w:top w:val="nil"/>
              <w:left w:val="nil"/>
              <w:bottom w:val="single" w:sz="4" w:space="0" w:color="4F81BD"/>
              <w:right w:val="single" w:sz="4" w:space="0" w:color="4F81BD"/>
            </w:tcBorders>
            <w:shd w:val="clear" w:color="auto" w:fill="auto"/>
            <w:noWrap/>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$857.55</w:t>
            </w:r>
          </w:p>
        </w:tc>
        <w:tc>
          <w:tcPr>
            <w:tcW w:w="1555" w:type="dxa"/>
            <w:tcBorders>
              <w:top w:val="nil"/>
              <w:left w:val="nil"/>
              <w:bottom w:val="single" w:sz="4" w:space="0" w:color="4F81BD"/>
              <w:right w:val="single" w:sz="4" w:space="0" w:color="4F81BD"/>
            </w:tcBorders>
            <w:shd w:val="clear" w:color="auto" w:fill="auto"/>
            <w:noWrap/>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93.4%</w:t>
            </w:r>
          </w:p>
        </w:tc>
      </w:tr>
      <w:tr w:rsidR="00156257" w:rsidRPr="00686250" w:rsidTr="00BA44E0">
        <w:trPr>
          <w:trHeight w:val="510"/>
        </w:trPr>
        <w:tc>
          <w:tcPr>
            <w:tcW w:w="1555" w:type="dxa"/>
            <w:tcBorders>
              <w:top w:val="single" w:sz="4" w:space="0" w:color="4F81BD"/>
              <w:left w:val="single" w:sz="4" w:space="0" w:color="4F81BD"/>
              <w:bottom w:val="single" w:sz="4"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59510</w:t>
            </w:r>
          </w:p>
        </w:tc>
        <w:tc>
          <w:tcPr>
            <w:tcW w:w="2002" w:type="dxa"/>
            <w:tcBorders>
              <w:top w:val="single" w:sz="4" w:space="0" w:color="4F81BD"/>
              <w:left w:val="nil"/>
              <w:bottom w:val="single" w:sz="4" w:space="0" w:color="4F81BD"/>
              <w:right w:val="single" w:sz="4" w:space="0" w:color="4F81BD"/>
            </w:tcBorders>
            <w:shd w:val="clear" w:color="auto" w:fill="auto"/>
            <w:vAlign w:val="bottom"/>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Routine obstetric care including antepartum care, cesarean delivery, and postpartum care</w:t>
            </w:r>
          </w:p>
        </w:tc>
        <w:tc>
          <w:tcPr>
            <w:tcW w:w="1555" w:type="dxa"/>
            <w:tcBorders>
              <w:top w:val="single" w:sz="4" w:space="0" w:color="4F81BD"/>
              <w:left w:val="nil"/>
              <w:bottom w:val="single" w:sz="4" w:space="0" w:color="4F81BD"/>
              <w:right w:val="single" w:sz="4" w:space="0" w:color="4F81BD"/>
            </w:tcBorders>
            <w:shd w:val="clear" w:color="auto" w:fill="auto"/>
            <w:noWrap/>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$2,595.29</w:t>
            </w:r>
          </w:p>
        </w:tc>
        <w:tc>
          <w:tcPr>
            <w:tcW w:w="1555" w:type="dxa"/>
            <w:tcBorders>
              <w:top w:val="single" w:sz="4" w:space="0" w:color="4F81BD"/>
              <w:left w:val="nil"/>
              <w:bottom w:val="single" w:sz="4" w:space="0" w:color="4F81BD"/>
              <w:right w:val="single" w:sz="4" w:space="0" w:color="4F81BD"/>
            </w:tcBorders>
            <w:shd w:val="clear" w:color="auto" w:fill="auto"/>
            <w:noWrap/>
            <w:vAlign w:val="center"/>
          </w:tcPr>
          <w:p w:rsidR="00156257" w:rsidRPr="00686250" w:rsidRDefault="00156257" w:rsidP="00D67970">
            <w:pPr>
              <w:ind w:firstLine="0"/>
              <w:rPr>
                <w:rFonts w:ascii="Arial" w:eastAsia="Times New Roman" w:hAnsi="Arial" w:cs="Arial"/>
                <w:bCs/>
                <w:color w:val="000000"/>
                <w:sz w:val="20"/>
                <w:szCs w:val="20"/>
              </w:rPr>
            </w:pPr>
            <w:r w:rsidRPr="00686250">
              <w:rPr>
                <w:rFonts w:ascii="Arial" w:hAnsi="Arial" w:cs="Arial"/>
                <w:color w:val="000000"/>
                <w:sz w:val="20"/>
                <w:szCs w:val="20"/>
              </w:rPr>
              <w:t>$2,403.88</w:t>
            </w:r>
          </w:p>
        </w:tc>
        <w:tc>
          <w:tcPr>
            <w:tcW w:w="1555" w:type="dxa"/>
            <w:tcBorders>
              <w:top w:val="single" w:sz="4" w:space="0" w:color="4F81BD"/>
              <w:left w:val="nil"/>
              <w:bottom w:val="single" w:sz="4" w:space="0" w:color="4F81BD"/>
              <w:right w:val="single" w:sz="4" w:space="0" w:color="4F81BD"/>
            </w:tcBorders>
            <w:shd w:val="clear" w:color="auto" w:fill="auto"/>
            <w:noWrap/>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92.6%</w:t>
            </w:r>
          </w:p>
        </w:tc>
      </w:tr>
      <w:tr w:rsidR="00156257" w:rsidRPr="00686250" w:rsidTr="00BA44E0">
        <w:trPr>
          <w:trHeight w:val="300"/>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59514</w:t>
            </w:r>
          </w:p>
        </w:tc>
        <w:tc>
          <w:tcPr>
            <w:tcW w:w="2002" w:type="dxa"/>
            <w:tcBorders>
              <w:top w:val="nil"/>
              <w:left w:val="nil"/>
              <w:bottom w:val="single" w:sz="4" w:space="0" w:color="4F81BD"/>
              <w:right w:val="single" w:sz="4" w:space="0" w:color="4F81BD"/>
            </w:tcBorders>
            <w:shd w:val="clear" w:color="auto" w:fill="auto"/>
            <w:vAlign w:val="bottom"/>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Cesarean delivery only</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$1,018.57</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$943.39</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92.6%</w:t>
            </w:r>
          </w:p>
        </w:tc>
      </w:tr>
      <w:tr w:rsidR="00156257" w:rsidRPr="00686250" w:rsidTr="00BA44E0">
        <w:trPr>
          <w:trHeight w:val="495"/>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59515</w:t>
            </w:r>
          </w:p>
        </w:tc>
        <w:tc>
          <w:tcPr>
            <w:tcW w:w="2002" w:type="dxa"/>
            <w:tcBorders>
              <w:top w:val="nil"/>
              <w:left w:val="nil"/>
              <w:bottom w:val="single" w:sz="4" w:space="0" w:color="4F81BD"/>
              <w:right w:val="single" w:sz="4" w:space="0" w:color="4F81BD"/>
            </w:tcBorders>
            <w:shd w:val="clear" w:color="auto" w:fill="auto"/>
            <w:vAlign w:val="bottom"/>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Cesarean delivery only; including postpartum care</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$1,407.76</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$1,301.12</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92.4%</w:t>
            </w:r>
          </w:p>
        </w:tc>
      </w:tr>
      <w:tr w:rsidR="00156257" w:rsidRPr="00686250" w:rsidTr="00BA44E0">
        <w:trPr>
          <w:trHeight w:val="495"/>
        </w:trPr>
        <w:tc>
          <w:tcPr>
            <w:tcW w:w="1555" w:type="dxa"/>
            <w:tcBorders>
              <w:top w:val="nil"/>
              <w:left w:val="single" w:sz="4" w:space="0" w:color="4F81BD"/>
              <w:bottom w:val="single" w:sz="4"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59610</w:t>
            </w:r>
          </w:p>
        </w:tc>
        <w:tc>
          <w:tcPr>
            <w:tcW w:w="2002" w:type="dxa"/>
            <w:tcBorders>
              <w:top w:val="nil"/>
              <w:left w:val="nil"/>
              <w:bottom w:val="single" w:sz="4" w:space="0" w:color="4F81BD"/>
              <w:right w:val="single" w:sz="4" w:space="0" w:color="4F81BD"/>
            </w:tcBorders>
            <w:shd w:val="clear" w:color="auto" w:fill="auto"/>
            <w:vAlign w:val="bottom"/>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Routine obstetric care including antepartum care, vaginal delivery (with or without episiotomy, and/or forceps) and postpartum care, after previous cesarean delivery</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$2,462.74</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$2,276.96</w:t>
            </w:r>
          </w:p>
        </w:tc>
        <w:tc>
          <w:tcPr>
            <w:tcW w:w="1555" w:type="dxa"/>
            <w:tcBorders>
              <w:top w:val="nil"/>
              <w:left w:val="nil"/>
              <w:bottom w:val="single" w:sz="4"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92.5%</w:t>
            </w:r>
          </w:p>
        </w:tc>
      </w:tr>
      <w:tr w:rsidR="00156257" w:rsidRPr="00686250" w:rsidTr="00BA44E0">
        <w:trPr>
          <w:trHeight w:val="510"/>
        </w:trPr>
        <w:tc>
          <w:tcPr>
            <w:tcW w:w="1555" w:type="dxa"/>
            <w:tcBorders>
              <w:top w:val="nil"/>
              <w:left w:val="single" w:sz="4" w:space="0" w:color="4F81BD"/>
              <w:bottom w:val="double" w:sz="6"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eastAsia="Times New Roman" w:hAnsi="Arial" w:cs="Arial"/>
                <w:bCs/>
                <w:color w:val="000000"/>
                <w:sz w:val="20"/>
                <w:szCs w:val="20"/>
              </w:rPr>
              <w:t>59618</w:t>
            </w:r>
          </w:p>
        </w:tc>
        <w:tc>
          <w:tcPr>
            <w:tcW w:w="2002" w:type="dxa"/>
            <w:tcBorders>
              <w:top w:val="nil"/>
              <w:left w:val="nil"/>
              <w:bottom w:val="double" w:sz="6" w:space="0" w:color="4F81BD"/>
              <w:right w:val="single" w:sz="4" w:space="0" w:color="4F81BD"/>
            </w:tcBorders>
            <w:shd w:val="clear" w:color="auto" w:fill="auto"/>
            <w:vAlign w:val="bottom"/>
          </w:tcPr>
          <w:p w:rsidR="00156257" w:rsidRPr="00686250" w:rsidRDefault="00156257" w:rsidP="001023A4">
            <w:pPr>
              <w:ind w:firstLine="0"/>
              <w:rPr>
                <w:rFonts w:ascii="Arial" w:eastAsia="Times New Roman" w:hAnsi="Arial" w:cs="Arial"/>
                <w:bCs/>
                <w:color w:val="000000"/>
                <w:sz w:val="20"/>
                <w:szCs w:val="20"/>
              </w:rPr>
            </w:pPr>
            <w:r w:rsidRPr="00686250">
              <w:rPr>
                <w:rFonts w:ascii="Arial" w:eastAsia="Times New Roman" w:hAnsi="Arial" w:cs="Arial"/>
                <w:bCs/>
                <w:color w:val="000000"/>
                <w:sz w:val="20"/>
                <w:szCs w:val="20"/>
              </w:rPr>
              <w:t xml:space="preserve">Routine obstetric care including antepartum care, cesarean delivery, </w:t>
            </w:r>
            <w:r w:rsidRPr="00686250">
              <w:rPr>
                <w:rFonts w:ascii="Arial" w:eastAsia="Times New Roman" w:hAnsi="Arial" w:cs="Arial"/>
                <w:bCs/>
                <w:color w:val="000000"/>
                <w:sz w:val="20"/>
                <w:szCs w:val="20"/>
              </w:rPr>
              <w:lastRenderedPageBreak/>
              <w:t>and postpartum care, following attempted vaginal delivery after previous cesarean delivery</w:t>
            </w:r>
          </w:p>
        </w:tc>
        <w:tc>
          <w:tcPr>
            <w:tcW w:w="1555" w:type="dxa"/>
            <w:tcBorders>
              <w:top w:val="nil"/>
              <w:left w:val="nil"/>
              <w:bottom w:val="double" w:sz="6"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lastRenderedPageBreak/>
              <w:t>$2,628.20</w:t>
            </w:r>
          </w:p>
        </w:tc>
        <w:tc>
          <w:tcPr>
            <w:tcW w:w="1555" w:type="dxa"/>
            <w:tcBorders>
              <w:top w:val="nil"/>
              <w:left w:val="nil"/>
              <w:bottom w:val="double" w:sz="6"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$2,434.61</w:t>
            </w:r>
          </w:p>
        </w:tc>
        <w:tc>
          <w:tcPr>
            <w:tcW w:w="1555" w:type="dxa"/>
            <w:tcBorders>
              <w:top w:val="nil"/>
              <w:left w:val="nil"/>
              <w:bottom w:val="double" w:sz="6" w:space="0" w:color="4F81BD"/>
              <w:right w:val="single" w:sz="4" w:space="0" w:color="4F81BD"/>
            </w:tcBorders>
            <w:shd w:val="clear" w:color="auto" w:fill="auto"/>
            <w:vAlign w:val="center"/>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hAnsi="Arial" w:cs="Arial"/>
                <w:color w:val="000000"/>
                <w:sz w:val="20"/>
                <w:szCs w:val="20"/>
              </w:rPr>
              <w:t>92.6%</w:t>
            </w:r>
          </w:p>
        </w:tc>
      </w:tr>
      <w:tr w:rsidR="00156257" w:rsidRPr="00686250" w:rsidTr="00BA44E0">
        <w:trPr>
          <w:trHeight w:val="510"/>
        </w:trPr>
        <w:tc>
          <w:tcPr>
            <w:tcW w:w="1555" w:type="dxa"/>
            <w:tcBorders>
              <w:top w:val="nil"/>
              <w:left w:val="single" w:sz="4" w:space="0" w:color="4F81BD"/>
              <w:bottom w:val="double" w:sz="6" w:space="0" w:color="4F81BD"/>
              <w:right w:val="single" w:sz="4" w:space="0" w:color="4F81BD"/>
            </w:tcBorders>
            <w:shd w:val="clear" w:color="auto" w:fill="auto"/>
            <w:noWrap/>
            <w:vAlign w:val="bottom"/>
          </w:tcPr>
          <w:p w:rsidR="00156257" w:rsidRPr="00686250" w:rsidRDefault="00156257" w:rsidP="00A97022">
            <w:pPr>
              <w:ind w:firstLine="0"/>
              <w:jc w:val="center"/>
              <w:rPr>
                <w:rFonts w:ascii="Arial" w:eastAsia="Times New Roman" w:hAnsi="Arial" w:cs="Arial"/>
                <w:bCs/>
                <w:color w:val="000000"/>
                <w:sz w:val="20"/>
                <w:szCs w:val="20"/>
              </w:rPr>
            </w:pPr>
            <w:r w:rsidRPr="00686250">
              <w:rPr>
                <w:rFonts w:ascii="Arial" w:eastAsia="Times New Roman" w:hAnsi="Arial" w:cs="Arial"/>
                <w:b/>
                <w:bCs/>
                <w:color w:val="000000"/>
                <w:sz w:val="20"/>
                <w:szCs w:val="20"/>
              </w:rPr>
              <w:lastRenderedPageBreak/>
              <w:t>All Codes</w:t>
            </w:r>
          </w:p>
        </w:tc>
        <w:tc>
          <w:tcPr>
            <w:tcW w:w="2002" w:type="dxa"/>
            <w:tcBorders>
              <w:top w:val="nil"/>
              <w:left w:val="nil"/>
              <w:bottom w:val="double" w:sz="6" w:space="0" w:color="4F81BD"/>
              <w:right w:val="single" w:sz="4" w:space="0" w:color="4F81BD"/>
            </w:tcBorders>
            <w:shd w:val="clear" w:color="auto" w:fill="auto"/>
            <w:vAlign w:val="bottom"/>
          </w:tcPr>
          <w:p w:rsidR="00156257" w:rsidRPr="00686250" w:rsidRDefault="00156257" w:rsidP="00E62A0B">
            <w:pPr>
              <w:ind w:firstLine="0"/>
              <w:jc w:val="center"/>
              <w:rPr>
                <w:rFonts w:ascii="Arial" w:eastAsia="Times New Roman" w:hAnsi="Arial" w:cs="Arial"/>
                <w:bCs/>
                <w:color w:val="000000"/>
                <w:sz w:val="20"/>
                <w:szCs w:val="20"/>
              </w:rPr>
            </w:pPr>
            <w:r w:rsidRPr="00686250">
              <w:rPr>
                <w:rFonts w:ascii="Arial" w:eastAsia="Times New Roman" w:hAnsi="Arial" w:cs="Arial"/>
                <w:b/>
                <w:bCs/>
                <w:color w:val="000000"/>
                <w:sz w:val="20"/>
                <w:szCs w:val="20"/>
              </w:rPr>
              <w:t>Total Obstetrics Average</w:t>
            </w:r>
          </w:p>
        </w:tc>
        <w:tc>
          <w:tcPr>
            <w:tcW w:w="1555" w:type="dxa"/>
            <w:tcBorders>
              <w:top w:val="nil"/>
              <w:left w:val="nil"/>
              <w:bottom w:val="double" w:sz="6" w:space="0" w:color="4F81BD"/>
              <w:right w:val="single" w:sz="4" w:space="0" w:color="4F81BD"/>
            </w:tcBorders>
            <w:shd w:val="clear" w:color="auto" w:fill="auto"/>
            <w:vAlign w:val="center"/>
          </w:tcPr>
          <w:p w:rsidR="00156257" w:rsidRPr="00686250" w:rsidRDefault="00156257" w:rsidP="00A97022">
            <w:pPr>
              <w:ind w:firstLine="0"/>
              <w:jc w:val="center"/>
              <w:rPr>
                <w:rFonts w:ascii="Arial" w:hAnsi="Arial" w:cs="Arial"/>
                <w:color w:val="000000"/>
                <w:sz w:val="20"/>
                <w:szCs w:val="20"/>
              </w:rPr>
            </w:pPr>
            <w:r w:rsidRPr="00686250">
              <w:rPr>
                <w:rFonts w:ascii="Arial" w:hAnsi="Arial" w:cs="Arial"/>
                <w:b/>
                <w:bCs/>
                <w:color w:val="000000"/>
                <w:sz w:val="20"/>
                <w:szCs w:val="20"/>
              </w:rPr>
              <w:t>$1,459.19</w:t>
            </w:r>
          </w:p>
        </w:tc>
        <w:tc>
          <w:tcPr>
            <w:tcW w:w="1555" w:type="dxa"/>
            <w:tcBorders>
              <w:top w:val="nil"/>
              <w:left w:val="nil"/>
              <w:bottom w:val="double" w:sz="6" w:space="0" w:color="4F81BD"/>
              <w:right w:val="single" w:sz="4" w:space="0" w:color="4F81BD"/>
            </w:tcBorders>
            <w:shd w:val="clear" w:color="auto" w:fill="auto"/>
            <w:vAlign w:val="center"/>
          </w:tcPr>
          <w:p w:rsidR="00156257" w:rsidRPr="00686250" w:rsidRDefault="00156257" w:rsidP="00A97022">
            <w:pPr>
              <w:ind w:firstLine="0"/>
              <w:jc w:val="center"/>
              <w:rPr>
                <w:rFonts w:ascii="Arial" w:hAnsi="Arial" w:cs="Arial"/>
                <w:color w:val="000000"/>
                <w:sz w:val="20"/>
                <w:szCs w:val="20"/>
              </w:rPr>
            </w:pPr>
            <w:r w:rsidRPr="00686250">
              <w:rPr>
                <w:rFonts w:ascii="Arial" w:hAnsi="Arial" w:cs="Arial"/>
                <w:b/>
                <w:bCs/>
                <w:color w:val="000000"/>
                <w:sz w:val="20"/>
                <w:szCs w:val="20"/>
              </w:rPr>
              <w:t>$1,352.26</w:t>
            </w:r>
          </w:p>
        </w:tc>
        <w:tc>
          <w:tcPr>
            <w:tcW w:w="1555" w:type="dxa"/>
            <w:tcBorders>
              <w:top w:val="nil"/>
              <w:left w:val="nil"/>
              <w:bottom w:val="double" w:sz="6" w:space="0" w:color="4F81BD"/>
              <w:right w:val="single" w:sz="4" w:space="0" w:color="4F81BD"/>
            </w:tcBorders>
            <w:shd w:val="clear" w:color="auto" w:fill="auto"/>
            <w:vAlign w:val="center"/>
          </w:tcPr>
          <w:p w:rsidR="00156257" w:rsidRPr="00686250" w:rsidRDefault="00156257" w:rsidP="00A97022">
            <w:pPr>
              <w:ind w:firstLine="0"/>
              <w:jc w:val="center"/>
              <w:rPr>
                <w:rFonts w:ascii="Arial" w:hAnsi="Arial" w:cs="Arial"/>
                <w:color w:val="000000"/>
                <w:sz w:val="20"/>
                <w:szCs w:val="20"/>
              </w:rPr>
            </w:pPr>
            <w:r w:rsidRPr="00686250">
              <w:rPr>
                <w:rFonts w:ascii="Arial" w:hAnsi="Arial" w:cs="Arial"/>
                <w:b/>
                <w:bCs/>
                <w:color w:val="000000"/>
                <w:sz w:val="20"/>
                <w:szCs w:val="20"/>
              </w:rPr>
              <w:t>92.7%</w:t>
            </w:r>
          </w:p>
        </w:tc>
      </w:tr>
    </w:tbl>
    <w:p w:rsidR="00687ED0" w:rsidRPr="00DA770C" w:rsidRDefault="00687ED0" w:rsidP="00DA770C">
      <w:pPr>
        <w:ind w:left="360" w:firstLine="0"/>
      </w:pPr>
    </w:p>
    <w:p w:rsidR="00087C7F" w:rsidRPr="00472ED1" w:rsidRDefault="00087C7F" w:rsidP="00472ED1">
      <w:pPr>
        <w:pStyle w:val="Heading1"/>
        <w:rPr>
          <w:rFonts w:ascii="Arial" w:hAnsi="Arial" w:cs="Arial"/>
        </w:rPr>
      </w:pPr>
      <w:bookmarkStart w:id="65" w:name="_Toc10810594"/>
      <w:bookmarkStart w:id="66" w:name="_Toc20296947"/>
      <w:r w:rsidRPr="00472ED1">
        <w:rPr>
          <w:rFonts w:ascii="Arial" w:hAnsi="Arial" w:cs="Arial"/>
        </w:rPr>
        <w:t>Section 6: Review Analysis of Home Health Services</w:t>
      </w:r>
      <w:bookmarkEnd w:id="65"/>
      <w:bookmarkEnd w:id="66"/>
    </w:p>
    <w:p w:rsidR="005776B2" w:rsidRDefault="005776B2" w:rsidP="005776B2">
      <w:pPr>
        <w:ind w:firstLine="0"/>
      </w:pPr>
    </w:p>
    <w:p w:rsidR="005776B2" w:rsidRPr="00E80C25" w:rsidRDefault="005776B2" w:rsidP="00E80C25">
      <w:pPr>
        <w:pStyle w:val="Heading2"/>
        <w:rPr>
          <w:rFonts w:ascii="Arial" w:hAnsi="Arial" w:cs="Arial"/>
          <w:color w:val="auto"/>
          <w:sz w:val="24"/>
          <w:szCs w:val="24"/>
          <w:u w:val="single"/>
        </w:rPr>
      </w:pPr>
      <w:bookmarkStart w:id="67" w:name="_Toc10810595"/>
      <w:bookmarkStart w:id="68" w:name="_Toc20296948"/>
      <w:r w:rsidRPr="00E80C25">
        <w:rPr>
          <w:rFonts w:ascii="Arial" w:hAnsi="Arial" w:cs="Arial"/>
          <w:color w:val="auto"/>
          <w:sz w:val="24"/>
          <w:szCs w:val="24"/>
          <w:u w:val="single"/>
        </w:rPr>
        <w:t>1. CMS Moratorium</w:t>
      </w:r>
      <w:bookmarkEnd w:id="67"/>
      <w:bookmarkEnd w:id="68"/>
    </w:p>
    <w:p w:rsidR="005776B2" w:rsidRPr="00DA770C" w:rsidRDefault="005776B2" w:rsidP="00DA770C">
      <w:pPr>
        <w:ind w:left="360" w:firstLine="0"/>
      </w:pPr>
    </w:p>
    <w:p w:rsidR="006D28EE" w:rsidRDefault="00AD198A" w:rsidP="0076040C">
      <w:pPr>
        <w:ind w:firstLine="0"/>
        <w:rPr>
          <w:rFonts w:ascii="Arial" w:hAnsi="Arial" w:cs="Arial"/>
          <w:sz w:val="24"/>
          <w:szCs w:val="24"/>
        </w:rPr>
      </w:pPr>
      <w:r w:rsidRPr="005776B2">
        <w:rPr>
          <w:rFonts w:ascii="Arial" w:hAnsi="Arial" w:cs="Arial"/>
          <w:sz w:val="24"/>
          <w:szCs w:val="24"/>
        </w:rPr>
        <w:t xml:space="preserve">On February 11, 2016, MassHealth received CMS approval to impose a </w:t>
      </w:r>
      <w:r w:rsidR="00A53974">
        <w:rPr>
          <w:rFonts w:ascii="Arial" w:hAnsi="Arial" w:cs="Arial"/>
          <w:sz w:val="24"/>
          <w:szCs w:val="24"/>
        </w:rPr>
        <w:t xml:space="preserve">temporary </w:t>
      </w:r>
      <w:r w:rsidRPr="005776B2">
        <w:rPr>
          <w:rFonts w:ascii="Arial" w:hAnsi="Arial" w:cs="Arial"/>
          <w:sz w:val="24"/>
          <w:szCs w:val="24"/>
        </w:rPr>
        <w:t>moratorium on enrollment of new home health agenc</w:t>
      </w:r>
      <w:r w:rsidR="00F63BA6">
        <w:rPr>
          <w:rFonts w:ascii="Arial" w:hAnsi="Arial" w:cs="Arial"/>
          <w:sz w:val="24"/>
          <w:szCs w:val="24"/>
        </w:rPr>
        <w:t>y providers</w:t>
      </w:r>
      <w:r w:rsidRPr="005776B2">
        <w:rPr>
          <w:rFonts w:ascii="Arial" w:hAnsi="Arial" w:cs="Arial"/>
          <w:sz w:val="24"/>
          <w:szCs w:val="24"/>
        </w:rPr>
        <w:t xml:space="preserve"> for an initial period of six months. This was based on analysis that </w:t>
      </w:r>
      <w:r w:rsidR="00A53974" w:rsidRPr="00A53974">
        <w:rPr>
          <w:rFonts w:ascii="Arial" w:hAnsi="Arial" w:cs="Arial"/>
          <w:sz w:val="24"/>
          <w:szCs w:val="24"/>
        </w:rPr>
        <w:t xml:space="preserve">revealed that MassHealth spending on home health agency services </w:t>
      </w:r>
      <w:r w:rsidR="00A53974">
        <w:rPr>
          <w:rFonts w:ascii="Arial" w:hAnsi="Arial" w:cs="Arial"/>
          <w:sz w:val="24"/>
          <w:szCs w:val="24"/>
        </w:rPr>
        <w:t>had grown</w:t>
      </w:r>
      <w:r w:rsidR="00A53974" w:rsidRPr="00A53974">
        <w:rPr>
          <w:rFonts w:ascii="Arial" w:hAnsi="Arial" w:cs="Arial"/>
          <w:sz w:val="24"/>
          <w:szCs w:val="24"/>
        </w:rPr>
        <w:t xml:space="preserve"> 41% from state fiscal year 2014 to 2015 and that 85% of th</w:t>
      </w:r>
      <w:r w:rsidR="00A53974">
        <w:rPr>
          <w:rFonts w:ascii="Arial" w:hAnsi="Arial" w:cs="Arial"/>
          <w:sz w:val="24"/>
          <w:szCs w:val="24"/>
        </w:rPr>
        <w:t>at</w:t>
      </w:r>
      <w:r w:rsidR="00A53974" w:rsidRPr="00A53974">
        <w:rPr>
          <w:rFonts w:ascii="Arial" w:hAnsi="Arial" w:cs="Arial"/>
          <w:sz w:val="24"/>
          <w:szCs w:val="24"/>
        </w:rPr>
        <w:t xml:space="preserve"> growth was driven by providers who</w:t>
      </w:r>
      <w:r w:rsidR="00A53974">
        <w:rPr>
          <w:rFonts w:ascii="Arial" w:hAnsi="Arial" w:cs="Arial"/>
          <w:sz w:val="24"/>
          <w:szCs w:val="24"/>
        </w:rPr>
        <w:t xml:space="preserve"> had</w:t>
      </w:r>
      <w:r w:rsidR="00A53974" w:rsidRPr="00A53974">
        <w:rPr>
          <w:rFonts w:ascii="Arial" w:hAnsi="Arial" w:cs="Arial"/>
          <w:sz w:val="24"/>
          <w:szCs w:val="24"/>
        </w:rPr>
        <w:t xml:space="preserve"> enrolled in the MassHealth program since 2013</w:t>
      </w:r>
      <w:r w:rsidR="00A53974">
        <w:rPr>
          <w:rFonts w:ascii="Arial" w:hAnsi="Arial" w:cs="Arial"/>
          <w:sz w:val="24"/>
          <w:szCs w:val="24"/>
        </w:rPr>
        <w:t xml:space="preserve">; and </w:t>
      </w:r>
      <w:r w:rsidR="00A53974" w:rsidRPr="00A53974">
        <w:rPr>
          <w:rFonts w:ascii="Arial" w:hAnsi="Arial" w:cs="Arial"/>
          <w:sz w:val="24"/>
          <w:szCs w:val="24"/>
        </w:rPr>
        <w:t>that there were significant risks to program integrity, evidenced by the fact that MassHealth made more referrals of home health agencies to the Attorney General’s Medicaid Fraud Division over this time period than any other provider type</w:t>
      </w:r>
      <w:r w:rsidR="00A53974">
        <w:rPr>
          <w:rFonts w:ascii="Arial" w:hAnsi="Arial" w:cs="Arial"/>
          <w:sz w:val="24"/>
          <w:szCs w:val="24"/>
        </w:rPr>
        <w:t>.</w:t>
      </w:r>
      <w:r w:rsidRPr="005776B2">
        <w:rPr>
          <w:rFonts w:ascii="Arial" w:hAnsi="Arial" w:cs="Arial"/>
          <w:sz w:val="24"/>
          <w:szCs w:val="24"/>
        </w:rPr>
        <w:t xml:space="preserve"> </w:t>
      </w:r>
      <w:r w:rsidR="00060ABF">
        <w:rPr>
          <w:rFonts w:ascii="Arial" w:hAnsi="Arial" w:cs="Arial"/>
          <w:sz w:val="24"/>
          <w:szCs w:val="24"/>
        </w:rPr>
        <w:t xml:space="preserve">MassHealth </w:t>
      </w:r>
      <w:r w:rsidR="00F63BA6">
        <w:rPr>
          <w:rFonts w:ascii="Arial" w:hAnsi="Arial" w:cs="Arial"/>
          <w:sz w:val="24"/>
          <w:szCs w:val="24"/>
        </w:rPr>
        <w:t xml:space="preserve">subsequently </w:t>
      </w:r>
      <w:r w:rsidRPr="005776B2">
        <w:rPr>
          <w:rFonts w:ascii="Arial" w:hAnsi="Arial" w:cs="Arial"/>
          <w:sz w:val="24"/>
          <w:szCs w:val="24"/>
        </w:rPr>
        <w:t xml:space="preserve">requested and received approval from CMS to extend the moratorium while </w:t>
      </w:r>
      <w:r w:rsidR="00F63BA6">
        <w:rPr>
          <w:rFonts w:ascii="Arial" w:hAnsi="Arial" w:cs="Arial"/>
          <w:sz w:val="24"/>
          <w:szCs w:val="24"/>
        </w:rPr>
        <w:t>it</w:t>
      </w:r>
      <w:r w:rsidRPr="005776B2">
        <w:rPr>
          <w:rFonts w:ascii="Arial" w:hAnsi="Arial" w:cs="Arial"/>
          <w:sz w:val="24"/>
          <w:szCs w:val="24"/>
        </w:rPr>
        <w:t xml:space="preserve"> developed and implemented various measures to ensure </w:t>
      </w:r>
      <w:r w:rsidR="00A53974">
        <w:rPr>
          <w:rFonts w:ascii="Arial" w:hAnsi="Arial" w:cs="Arial"/>
          <w:sz w:val="24"/>
          <w:szCs w:val="24"/>
        </w:rPr>
        <w:t>program integrity in the home health program.</w:t>
      </w:r>
      <w:r w:rsidRPr="005776B2">
        <w:rPr>
          <w:rFonts w:ascii="Arial" w:hAnsi="Arial" w:cs="Arial"/>
          <w:sz w:val="24"/>
          <w:szCs w:val="24"/>
        </w:rPr>
        <w:t xml:space="preserve"> </w:t>
      </w:r>
    </w:p>
    <w:p w:rsidR="006D28EE" w:rsidRDefault="006D28EE" w:rsidP="002C360B">
      <w:pPr>
        <w:ind w:firstLine="0"/>
        <w:rPr>
          <w:rFonts w:ascii="Arial" w:hAnsi="Arial" w:cs="Arial"/>
          <w:sz w:val="24"/>
          <w:szCs w:val="24"/>
        </w:rPr>
      </w:pPr>
    </w:p>
    <w:p w:rsidR="00421791" w:rsidRDefault="00AD198A" w:rsidP="002C360B">
      <w:pPr>
        <w:ind w:firstLine="0"/>
        <w:rPr>
          <w:rFonts w:ascii="Arial" w:hAnsi="Arial" w:cs="Arial"/>
          <w:sz w:val="24"/>
          <w:szCs w:val="24"/>
        </w:rPr>
      </w:pPr>
      <w:r w:rsidRPr="005776B2">
        <w:rPr>
          <w:rFonts w:ascii="Arial" w:hAnsi="Arial" w:cs="Arial"/>
          <w:sz w:val="24"/>
          <w:szCs w:val="24"/>
        </w:rPr>
        <w:t xml:space="preserve">Since </w:t>
      </w:r>
      <w:r w:rsidR="00281600">
        <w:rPr>
          <w:rFonts w:ascii="Arial" w:hAnsi="Arial" w:cs="Arial"/>
          <w:sz w:val="24"/>
          <w:szCs w:val="24"/>
        </w:rPr>
        <w:t xml:space="preserve">the provider enrollment moratorium was implemented, </w:t>
      </w:r>
      <w:r w:rsidR="007873D6">
        <w:rPr>
          <w:rFonts w:ascii="Arial" w:hAnsi="Arial" w:cs="Arial"/>
          <w:sz w:val="24"/>
          <w:szCs w:val="24"/>
        </w:rPr>
        <w:t>MassHealth</w:t>
      </w:r>
      <w:r w:rsidR="00281600">
        <w:rPr>
          <w:rFonts w:ascii="Arial" w:hAnsi="Arial" w:cs="Arial"/>
          <w:sz w:val="24"/>
          <w:szCs w:val="24"/>
        </w:rPr>
        <w:t xml:space="preserve"> has continued to monitor</w:t>
      </w:r>
      <w:r w:rsidR="00421791">
        <w:rPr>
          <w:rFonts w:ascii="Arial" w:hAnsi="Arial" w:cs="Arial"/>
          <w:sz w:val="24"/>
          <w:szCs w:val="24"/>
        </w:rPr>
        <w:t xml:space="preserve"> access to home health agency services to ensure the</w:t>
      </w:r>
      <w:r w:rsidRPr="005776B2">
        <w:rPr>
          <w:rFonts w:ascii="Arial" w:hAnsi="Arial" w:cs="Arial"/>
          <w:sz w:val="24"/>
          <w:szCs w:val="24"/>
        </w:rPr>
        <w:t xml:space="preserve"> moratorium </w:t>
      </w:r>
      <w:r w:rsidR="00421791">
        <w:rPr>
          <w:rFonts w:ascii="Arial" w:hAnsi="Arial" w:cs="Arial"/>
          <w:sz w:val="24"/>
          <w:szCs w:val="24"/>
        </w:rPr>
        <w:t xml:space="preserve">did not adversely impact access to Home Health services. </w:t>
      </w:r>
      <w:r w:rsidR="00421791" w:rsidRPr="005776B2">
        <w:rPr>
          <w:rFonts w:ascii="Arial" w:hAnsi="Arial" w:cs="Arial"/>
          <w:sz w:val="24"/>
          <w:szCs w:val="24"/>
        </w:rPr>
        <w:t>Data collected since the initial AMRP was completed indicate that the moratorium on</w:t>
      </w:r>
      <w:r w:rsidR="00421791">
        <w:rPr>
          <w:rFonts w:ascii="Arial" w:hAnsi="Arial" w:cs="Arial"/>
          <w:sz w:val="24"/>
          <w:szCs w:val="24"/>
        </w:rPr>
        <w:t xml:space="preserve"> enrollment of</w:t>
      </w:r>
      <w:r w:rsidR="00421791" w:rsidRPr="005776B2">
        <w:rPr>
          <w:rFonts w:ascii="Arial" w:hAnsi="Arial" w:cs="Arial"/>
          <w:sz w:val="24"/>
          <w:szCs w:val="24"/>
        </w:rPr>
        <w:t xml:space="preserve"> new home health agency </w:t>
      </w:r>
      <w:r w:rsidR="00421791">
        <w:rPr>
          <w:rFonts w:ascii="Arial" w:hAnsi="Arial" w:cs="Arial"/>
          <w:sz w:val="24"/>
          <w:szCs w:val="24"/>
        </w:rPr>
        <w:t xml:space="preserve">providers </w:t>
      </w:r>
      <w:r w:rsidR="00421791" w:rsidRPr="005776B2">
        <w:rPr>
          <w:rFonts w:ascii="Arial" w:hAnsi="Arial" w:cs="Arial"/>
          <w:sz w:val="24"/>
          <w:szCs w:val="24"/>
        </w:rPr>
        <w:t xml:space="preserve">has not adversely affected access to care for our members. </w:t>
      </w:r>
    </w:p>
    <w:p w:rsidR="00421791" w:rsidRDefault="00421791" w:rsidP="00AD198A">
      <w:pPr>
        <w:ind w:firstLine="0"/>
        <w:rPr>
          <w:rFonts w:ascii="Arial" w:hAnsi="Arial" w:cs="Arial"/>
          <w:sz w:val="24"/>
          <w:szCs w:val="24"/>
        </w:rPr>
      </w:pPr>
    </w:p>
    <w:p w:rsidR="00AD198A" w:rsidRPr="005776B2" w:rsidRDefault="00421791" w:rsidP="00421791">
      <w:pPr>
        <w:ind w:firstLine="0"/>
        <w:rPr>
          <w:rFonts w:ascii="Arial" w:hAnsi="Arial" w:cs="Arial"/>
          <w:sz w:val="24"/>
          <w:szCs w:val="24"/>
        </w:rPr>
      </w:pPr>
      <w:r w:rsidRPr="005776B2">
        <w:rPr>
          <w:rFonts w:ascii="Arial" w:hAnsi="Arial" w:cs="Arial"/>
          <w:sz w:val="24"/>
          <w:szCs w:val="24"/>
        </w:rPr>
        <w:t xml:space="preserve">There are currently 200 </w:t>
      </w:r>
      <w:r>
        <w:rPr>
          <w:rFonts w:ascii="Arial" w:hAnsi="Arial" w:cs="Arial"/>
          <w:sz w:val="24"/>
          <w:szCs w:val="24"/>
        </w:rPr>
        <w:t xml:space="preserve">enrolled </w:t>
      </w:r>
      <w:r w:rsidRPr="005776B2">
        <w:rPr>
          <w:rFonts w:ascii="Arial" w:hAnsi="Arial" w:cs="Arial"/>
          <w:sz w:val="24"/>
          <w:szCs w:val="24"/>
        </w:rPr>
        <w:t xml:space="preserve">home health agency locations providing </w:t>
      </w:r>
      <w:r>
        <w:rPr>
          <w:rFonts w:ascii="Arial" w:hAnsi="Arial" w:cs="Arial"/>
          <w:sz w:val="24"/>
          <w:szCs w:val="24"/>
        </w:rPr>
        <w:t>MassHealth</w:t>
      </w:r>
      <w:r w:rsidRPr="005776B2">
        <w:rPr>
          <w:rFonts w:ascii="Arial" w:hAnsi="Arial" w:cs="Arial"/>
          <w:sz w:val="24"/>
          <w:szCs w:val="24"/>
        </w:rPr>
        <w:t xml:space="preserve"> </w:t>
      </w:r>
      <w:r>
        <w:rPr>
          <w:rFonts w:ascii="Arial" w:hAnsi="Arial" w:cs="Arial"/>
          <w:sz w:val="24"/>
          <w:szCs w:val="24"/>
        </w:rPr>
        <w:t xml:space="preserve">covered home health </w:t>
      </w:r>
      <w:r w:rsidRPr="005776B2">
        <w:rPr>
          <w:rFonts w:ascii="Arial" w:hAnsi="Arial" w:cs="Arial"/>
          <w:sz w:val="24"/>
          <w:szCs w:val="24"/>
        </w:rPr>
        <w:t>se</w:t>
      </w:r>
      <w:r>
        <w:rPr>
          <w:rFonts w:ascii="Arial" w:hAnsi="Arial" w:cs="Arial"/>
          <w:sz w:val="24"/>
          <w:szCs w:val="24"/>
        </w:rPr>
        <w:t xml:space="preserve">rvices across the entire state. </w:t>
      </w:r>
      <w:r w:rsidRPr="005776B2">
        <w:rPr>
          <w:rFonts w:ascii="Arial" w:hAnsi="Arial" w:cs="Arial"/>
          <w:sz w:val="24"/>
          <w:szCs w:val="24"/>
        </w:rPr>
        <w:t>Excluding Nantucket and Dukes County where MassHealth enrollment is low, the number of home health agencies serving each county in SFY18 ranged from fifteen in Berkshire County to a high of 143 in Middlesex</w:t>
      </w:r>
      <w:r>
        <w:rPr>
          <w:rFonts w:ascii="Arial" w:hAnsi="Arial" w:cs="Arial"/>
          <w:sz w:val="24"/>
          <w:szCs w:val="24"/>
        </w:rPr>
        <w:t xml:space="preserve"> County</w:t>
      </w:r>
      <w:r w:rsidRPr="005776B2">
        <w:rPr>
          <w:rFonts w:ascii="Arial" w:hAnsi="Arial" w:cs="Arial"/>
          <w:sz w:val="24"/>
          <w:szCs w:val="24"/>
        </w:rPr>
        <w:t>. The average number of counties within which a home health agency provides service</w:t>
      </w:r>
      <w:r>
        <w:rPr>
          <w:rFonts w:ascii="Arial" w:hAnsi="Arial" w:cs="Arial"/>
          <w:sz w:val="24"/>
          <w:szCs w:val="24"/>
        </w:rPr>
        <w:t>s</w:t>
      </w:r>
      <w:r w:rsidRPr="005776B2">
        <w:rPr>
          <w:rFonts w:ascii="Arial" w:hAnsi="Arial" w:cs="Arial"/>
          <w:sz w:val="24"/>
          <w:szCs w:val="24"/>
        </w:rPr>
        <w:t xml:space="preserve"> is 4.76, which indicates that </w:t>
      </w:r>
      <w:r>
        <w:rPr>
          <w:rFonts w:ascii="Arial" w:hAnsi="Arial" w:cs="Arial"/>
          <w:sz w:val="24"/>
          <w:szCs w:val="24"/>
        </w:rPr>
        <w:t xml:space="preserve">MassHealth enrolled home health </w:t>
      </w:r>
      <w:r w:rsidRPr="005776B2">
        <w:rPr>
          <w:rFonts w:ascii="Arial" w:hAnsi="Arial" w:cs="Arial"/>
          <w:sz w:val="24"/>
          <w:szCs w:val="24"/>
        </w:rPr>
        <w:t>agencies cover a comparatively large geographical area of the</w:t>
      </w:r>
      <w:r>
        <w:rPr>
          <w:rFonts w:ascii="Arial" w:hAnsi="Arial" w:cs="Arial"/>
          <w:sz w:val="24"/>
          <w:szCs w:val="24"/>
        </w:rPr>
        <w:t xml:space="preserve"> state. </w:t>
      </w:r>
      <w:r w:rsidRPr="005776B2">
        <w:rPr>
          <w:rFonts w:ascii="Arial" w:hAnsi="Arial" w:cs="Arial"/>
          <w:sz w:val="24"/>
          <w:szCs w:val="24"/>
        </w:rPr>
        <w:t xml:space="preserve">The significant number of existing home health agencies in each county illustrates that members have provider choice, and that provider choice </w:t>
      </w:r>
      <w:r>
        <w:rPr>
          <w:rFonts w:ascii="Arial" w:hAnsi="Arial" w:cs="Arial"/>
          <w:sz w:val="24"/>
          <w:szCs w:val="24"/>
        </w:rPr>
        <w:t>has not been adversely</w:t>
      </w:r>
      <w:r w:rsidRPr="005776B2">
        <w:rPr>
          <w:rFonts w:ascii="Arial" w:hAnsi="Arial" w:cs="Arial"/>
          <w:sz w:val="24"/>
          <w:szCs w:val="24"/>
        </w:rPr>
        <w:t xml:space="preserve"> </w:t>
      </w:r>
      <w:r>
        <w:rPr>
          <w:rFonts w:ascii="Arial" w:hAnsi="Arial" w:cs="Arial"/>
          <w:sz w:val="24"/>
          <w:szCs w:val="24"/>
        </w:rPr>
        <w:t xml:space="preserve">affected </w:t>
      </w:r>
      <w:r w:rsidRPr="005776B2">
        <w:rPr>
          <w:rFonts w:ascii="Arial" w:hAnsi="Arial" w:cs="Arial"/>
          <w:sz w:val="24"/>
          <w:szCs w:val="24"/>
        </w:rPr>
        <w:t xml:space="preserve">by </w:t>
      </w:r>
      <w:r>
        <w:rPr>
          <w:rFonts w:ascii="Arial" w:hAnsi="Arial" w:cs="Arial"/>
          <w:sz w:val="24"/>
          <w:szCs w:val="24"/>
        </w:rPr>
        <w:t>the</w:t>
      </w:r>
      <w:r w:rsidRPr="005776B2">
        <w:rPr>
          <w:rFonts w:ascii="Arial" w:hAnsi="Arial" w:cs="Arial"/>
          <w:sz w:val="24"/>
          <w:szCs w:val="24"/>
        </w:rPr>
        <w:t xml:space="preserve"> </w:t>
      </w:r>
      <w:r>
        <w:rPr>
          <w:rFonts w:ascii="Arial" w:hAnsi="Arial" w:cs="Arial"/>
          <w:sz w:val="24"/>
          <w:szCs w:val="24"/>
        </w:rPr>
        <w:t>current</w:t>
      </w:r>
      <w:r w:rsidRPr="005776B2">
        <w:rPr>
          <w:rFonts w:ascii="Arial" w:hAnsi="Arial" w:cs="Arial"/>
          <w:sz w:val="24"/>
          <w:szCs w:val="24"/>
        </w:rPr>
        <w:t xml:space="preserve"> moratorium.</w:t>
      </w:r>
    </w:p>
    <w:p w:rsidR="005776B2" w:rsidRPr="005776B2" w:rsidRDefault="005776B2" w:rsidP="005776B2">
      <w:pPr>
        <w:ind w:firstLine="0"/>
        <w:rPr>
          <w:rFonts w:ascii="Arial" w:hAnsi="Arial" w:cs="Arial"/>
          <w:sz w:val="24"/>
          <w:szCs w:val="24"/>
        </w:rPr>
      </w:pPr>
    </w:p>
    <w:p w:rsidR="005776B2" w:rsidRPr="00C241B6" w:rsidRDefault="002C37D2" w:rsidP="00C241B6">
      <w:pPr>
        <w:pStyle w:val="Heading2"/>
        <w:rPr>
          <w:rFonts w:ascii="Arial" w:hAnsi="Arial" w:cs="Arial"/>
          <w:u w:val="single"/>
        </w:rPr>
      </w:pPr>
      <w:bookmarkStart w:id="69" w:name="_Toc10810596"/>
      <w:r>
        <w:rPr>
          <w:rFonts w:eastAsiaTheme="minorHAnsi"/>
        </w:rPr>
        <w:br w:type="page"/>
      </w:r>
      <w:bookmarkStart w:id="70" w:name="_Toc20296949"/>
      <w:r w:rsidR="005776B2" w:rsidRPr="00C241B6">
        <w:rPr>
          <w:rFonts w:ascii="Arial" w:hAnsi="Arial" w:cs="Arial"/>
          <w:color w:val="auto"/>
          <w:sz w:val="24"/>
          <w:u w:val="single"/>
        </w:rPr>
        <w:lastRenderedPageBreak/>
        <w:t>2. Availability of Home Health Service Providers</w:t>
      </w:r>
      <w:bookmarkEnd w:id="69"/>
      <w:bookmarkEnd w:id="70"/>
    </w:p>
    <w:p w:rsidR="002C37D2" w:rsidRDefault="002C37D2" w:rsidP="002F1BA4">
      <w:pPr>
        <w:ind w:firstLine="0"/>
        <w:rPr>
          <w:rFonts w:ascii="Arial" w:hAnsi="Arial" w:cs="Arial"/>
          <w:sz w:val="24"/>
          <w:szCs w:val="24"/>
        </w:rPr>
      </w:pPr>
    </w:p>
    <w:p w:rsidR="00EB3C31" w:rsidRDefault="00AD198A" w:rsidP="002F1BA4">
      <w:pPr>
        <w:ind w:firstLine="0"/>
        <w:rPr>
          <w:rFonts w:ascii="Arial" w:hAnsi="Arial" w:cs="Arial"/>
          <w:sz w:val="24"/>
          <w:szCs w:val="24"/>
        </w:rPr>
      </w:pPr>
      <w:r w:rsidRPr="005776B2">
        <w:rPr>
          <w:rFonts w:ascii="Arial" w:hAnsi="Arial" w:cs="Arial"/>
          <w:sz w:val="24"/>
          <w:szCs w:val="24"/>
        </w:rPr>
        <w:t xml:space="preserve">As </w:t>
      </w:r>
      <w:r w:rsidR="00421791">
        <w:rPr>
          <w:rFonts w:ascii="Arial" w:hAnsi="Arial" w:cs="Arial"/>
          <w:sz w:val="24"/>
          <w:szCs w:val="24"/>
        </w:rPr>
        <w:t xml:space="preserve">noted </w:t>
      </w:r>
      <w:r w:rsidRPr="005776B2">
        <w:rPr>
          <w:rFonts w:ascii="Arial" w:hAnsi="Arial" w:cs="Arial"/>
          <w:sz w:val="24"/>
          <w:szCs w:val="24"/>
        </w:rPr>
        <w:t xml:space="preserve">above, </w:t>
      </w:r>
      <w:r w:rsidR="00421791">
        <w:rPr>
          <w:rFonts w:ascii="Arial" w:hAnsi="Arial" w:cs="Arial"/>
          <w:sz w:val="24"/>
          <w:szCs w:val="24"/>
        </w:rPr>
        <w:t xml:space="preserve">CMS granted </w:t>
      </w:r>
      <w:r w:rsidR="007873D6">
        <w:rPr>
          <w:rFonts w:ascii="Arial" w:hAnsi="Arial" w:cs="Arial"/>
          <w:sz w:val="24"/>
          <w:szCs w:val="24"/>
        </w:rPr>
        <w:t>MassHealth</w:t>
      </w:r>
      <w:r w:rsidR="00421791">
        <w:rPr>
          <w:rFonts w:ascii="Arial" w:hAnsi="Arial" w:cs="Arial"/>
          <w:sz w:val="24"/>
          <w:szCs w:val="24"/>
        </w:rPr>
        <w:t xml:space="preserve"> a temporary </w:t>
      </w:r>
      <w:r w:rsidR="002F1BA4">
        <w:rPr>
          <w:rFonts w:ascii="Arial" w:hAnsi="Arial" w:cs="Arial"/>
          <w:sz w:val="24"/>
          <w:szCs w:val="24"/>
        </w:rPr>
        <w:t xml:space="preserve">moratorium on </w:t>
      </w:r>
      <w:r w:rsidR="00421791">
        <w:rPr>
          <w:rFonts w:ascii="Arial" w:hAnsi="Arial" w:cs="Arial"/>
          <w:sz w:val="24"/>
          <w:szCs w:val="24"/>
        </w:rPr>
        <w:t xml:space="preserve">enrollment of </w:t>
      </w:r>
      <w:r w:rsidR="002F1BA4">
        <w:rPr>
          <w:rFonts w:ascii="Arial" w:hAnsi="Arial" w:cs="Arial"/>
          <w:sz w:val="24"/>
          <w:szCs w:val="24"/>
        </w:rPr>
        <w:t xml:space="preserve">new home health </w:t>
      </w:r>
      <w:r w:rsidR="00421791">
        <w:rPr>
          <w:rFonts w:ascii="Arial" w:hAnsi="Arial" w:cs="Arial"/>
          <w:sz w:val="24"/>
          <w:szCs w:val="24"/>
        </w:rPr>
        <w:t xml:space="preserve">agency </w:t>
      </w:r>
      <w:r w:rsidR="002F1BA4">
        <w:rPr>
          <w:rFonts w:ascii="Arial" w:hAnsi="Arial" w:cs="Arial"/>
          <w:sz w:val="24"/>
          <w:szCs w:val="24"/>
        </w:rPr>
        <w:t>providers</w:t>
      </w:r>
      <w:r w:rsidR="00421791">
        <w:rPr>
          <w:rFonts w:ascii="Arial" w:hAnsi="Arial" w:cs="Arial"/>
          <w:sz w:val="24"/>
          <w:szCs w:val="24"/>
        </w:rPr>
        <w:t xml:space="preserve">. </w:t>
      </w:r>
      <w:r w:rsidR="007873D6">
        <w:rPr>
          <w:rFonts w:ascii="Arial" w:hAnsi="Arial" w:cs="Arial"/>
          <w:sz w:val="24"/>
          <w:szCs w:val="24"/>
        </w:rPr>
        <w:t>MassHealth</w:t>
      </w:r>
      <w:r w:rsidR="00421791">
        <w:rPr>
          <w:rFonts w:ascii="Arial" w:hAnsi="Arial" w:cs="Arial"/>
          <w:sz w:val="24"/>
          <w:szCs w:val="24"/>
        </w:rPr>
        <w:t xml:space="preserve"> data indicates that the temporary moratorium has not adversely impacted </w:t>
      </w:r>
      <w:r w:rsidRPr="005776B2">
        <w:rPr>
          <w:rFonts w:ascii="Arial" w:hAnsi="Arial" w:cs="Arial"/>
          <w:sz w:val="24"/>
          <w:szCs w:val="24"/>
        </w:rPr>
        <w:t>member access to home health services</w:t>
      </w:r>
      <w:r w:rsidR="00EB3C31">
        <w:rPr>
          <w:rFonts w:ascii="Arial" w:hAnsi="Arial" w:cs="Arial"/>
          <w:sz w:val="24"/>
          <w:szCs w:val="24"/>
        </w:rPr>
        <w:t>.</w:t>
      </w:r>
    </w:p>
    <w:p w:rsidR="00EB3C31" w:rsidRDefault="00EB3C31" w:rsidP="00AD198A">
      <w:pPr>
        <w:ind w:firstLine="0"/>
        <w:rPr>
          <w:rFonts w:ascii="Arial" w:hAnsi="Arial" w:cs="Arial"/>
          <w:sz w:val="24"/>
          <w:szCs w:val="24"/>
        </w:rPr>
      </w:pPr>
    </w:p>
    <w:p w:rsidR="00AD198A" w:rsidRPr="005776B2" w:rsidRDefault="004C528D" w:rsidP="00AD198A">
      <w:pPr>
        <w:ind w:firstLine="0"/>
        <w:rPr>
          <w:rFonts w:ascii="Arial" w:hAnsi="Arial" w:cs="Arial"/>
          <w:sz w:val="24"/>
          <w:szCs w:val="24"/>
        </w:rPr>
      </w:pPr>
      <w:r w:rsidRPr="004C528D">
        <w:rPr>
          <w:rFonts w:ascii="Arial" w:hAnsi="Arial" w:cs="Arial"/>
          <w:sz w:val="24"/>
          <w:szCs w:val="24"/>
        </w:rPr>
        <w:t xml:space="preserve">In this section of the AMRP MassHealth presents the required data on the number of enrolled </w:t>
      </w:r>
      <w:r w:rsidR="00AD198A" w:rsidRPr="005776B2">
        <w:rPr>
          <w:rFonts w:ascii="Arial" w:hAnsi="Arial" w:cs="Arial"/>
          <w:sz w:val="24"/>
          <w:szCs w:val="24"/>
        </w:rPr>
        <w:t xml:space="preserve">home health service providers, </w:t>
      </w:r>
    </w:p>
    <w:p w:rsidR="00AD198A" w:rsidRPr="005776B2" w:rsidRDefault="00AD198A" w:rsidP="00AD198A">
      <w:pPr>
        <w:ind w:firstLine="0"/>
        <w:rPr>
          <w:rFonts w:ascii="Arial" w:hAnsi="Arial" w:cs="Arial"/>
          <w:sz w:val="24"/>
          <w:szCs w:val="24"/>
        </w:rPr>
      </w:pPr>
    </w:p>
    <w:p w:rsidR="00AD198A" w:rsidRPr="005776B2" w:rsidRDefault="00AD198A" w:rsidP="00AD198A">
      <w:pPr>
        <w:ind w:firstLine="0"/>
        <w:rPr>
          <w:rFonts w:ascii="Arial" w:hAnsi="Arial" w:cs="Arial"/>
          <w:sz w:val="24"/>
          <w:szCs w:val="24"/>
        </w:rPr>
      </w:pPr>
      <w:r w:rsidRPr="005776B2">
        <w:rPr>
          <w:rFonts w:ascii="Arial" w:hAnsi="Arial" w:cs="Arial"/>
          <w:sz w:val="24"/>
          <w:szCs w:val="24"/>
        </w:rPr>
        <w:t xml:space="preserve">Methodology: In order to determine the number of providers trended over time, </w:t>
      </w:r>
      <w:r w:rsidR="007873D6">
        <w:rPr>
          <w:rFonts w:ascii="Arial" w:hAnsi="Arial" w:cs="Arial"/>
          <w:sz w:val="24"/>
          <w:szCs w:val="24"/>
        </w:rPr>
        <w:t>MassHealth</w:t>
      </w:r>
      <w:r w:rsidRPr="005776B2">
        <w:rPr>
          <w:rFonts w:ascii="Arial" w:hAnsi="Arial" w:cs="Arial"/>
          <w:sz w:val="24"/>
          <w:szCs w:val="24"/>
        </w:rPr>
        <w:t xml:space="preserve"> </w:t>
      </w:r>
      <w:r w:rsidR="00322D9D">
        <w:rPr>
          <w:rFonts w:ascii="Arial" w:hAnsi="Arial" w:cs="Arial"/>
          <w:sz w:val="24"/>
          <w:szCs w:val="24"/>
        </w:rPr>
        <w:t>analyzed</w:t>
      </w:r>
      <w:r w:rsidR="00322D9D" w:rsidRPr="005776B2">
        <w:rPr>
          <w:rFonts w:ascii="Arial" w:hAnsi="Arial" w:cs="Arial"/>
          <w:sz w:val="24"/>
          <w:szCs w:val="24"/>
        </w:rPr>
        <w:t xml:space="preserve"> </w:t>
      </w:r>
      <w:r w:rsidRPr="005776B2">
        <w:rPr>
          <w:rFonts w:ascii="Arial" w:hAnsi="Arial" w:cs="Arial"/>
          <w:sz w:val="24"/>
          <w:szCs w:val="24"/>
        </w:rPr>
        <w:t>the number of active billing providers for each section of the AMRP (by provider ID and service location) and organized them below by the number of providers in each county -unduplicated over each full fiscal year for SFY16, SFY17 and SFY18.</w:t>
      </w:r>
    </w:p>
    <w:p w:rsidR="00AD198A" w:rsidRPr="005776B2" w:rsidRDefault="00AD198A" w:rsidP="00AD198A">
      <w:pPr>
        <w:ind w:firstLine="0"/>
        <w:rPr>
          <w:rFonts w:ascii="Arial" w:hAnsi="Arial" w:cs="Arial"/>
          <w:sz w:val="24"/>
          <w:szCs w:val="24"/>
        </w:rPr>
      </w:pPr>
    </w:p>
    <w:p w:rsidR="00AD198A" w:rsidRPr="005776B2" w:rsidRDefault="00AD198A" w:rsidP="00AD198A">
      <w:pPr>
        <w:ind w:firstLine="0"/>
        <w:rPr>
          <w:rFonts w:ascii="Arial" w:hAnsi="Arial" w:cs="Arial"/>
          <w:sz w:val="24"/>
          <w:szCs w:val="24"/>
        </w:rPr>
      </w:pPr>
      <w:r w:rsidRPr="005776B2">
        <w:rPr>
          <w:rFonts w:ascii="Arial" w:hAnsi="Arial" w:cs="Arial"/>
          <w:sz w:val="24"/>
          <w:szCs w:val="24"/>
        </w:rPr>
        <w:t>Home health agencies employ several types of practitioners, including registered nurses (RN), licensed practical nurse</w:t>
      </w:r>
      <w:r w:rsidR="00060ABF">
        <w:rPr>
          <w:rFonts w:ascii="Arial" w:hAnsi="Arial" w:cs="Arial"/>
          <w:sz w:val="24"/>
          <w:szCs w:val="24"/>
        </w:rPr>
        <w:t>s</w:t>
      </w:r>
      <w:r w:rsidRPr="005776B2">
        <w:rPr>
          <w:rFonts w:ascii="Arial" w:hAnsi="Arial" w:cs="Arial"/>
          <w:sz w:val="24"/>
          <w:szCs w:val="24"/>
        </w:rPr>
        <w:t xml:space="preserve"> (LPN), home health aides, and physical, occupational, and speech/language therapists. Note that in Massachusetts home health agencies serve members in more than one county.</w:t>
      </w:r>
    </w:p>
    <w:p w:rsidR="00AD198A" w:rsidRPr="005776B2" w:rsidRDefault="00AD198A" w:rsidP="00AD198A">
      <w:pPr>
        <w:ind w:firstLine="0"/>
        <w:rPr>
          <w:rFonts w:ascii="Arial" w:hAnsi="Arial" w:cs="Arial"/>
          <w:sz w:val="24"/>
          <w:szCs w:val="24"/>
        </w:rPr>
      </w:pPr>
    </w:p>
    <w:p w:rsidR="00AD198A" w:rsidRPr="00342778" w:rsidRDefault="00AD198A" w:rsidP="00AD198A">
      <w:pPr>
        <w:ind w:firstLine="0"/>
        <w:rPr>
          <w:rFonts w:ascii="Arial" w:hAnsi="Arial" w:cs="Arial"/>
          <w:b/>
          <w:sz w:val="24"/>
        </w:rPr>
      </w:pPr>
      <w:r w:rsidRPr="00342778">
        <w:rPr>
          <w:rFonts w:ascii="Arial" w:hAnsi="Arial" w:cs="Arial"/>
          <w:b/>
          <w:sz w:val="24"/>
        </w:rPr>
        <w:t>Number of Home Health Agencies Serving MassHealth Members, per Member Residing in Each County SFY16 - SFY18</w:t>
      </w:r>
    </w:p>
    <w:tbl>
      <w:tblPr>
        <w:tblW w:w="6240" w:type="dxa"/>
        <w:tblInd w:w="93" w:type="dxa"/>
        <w:tblLook w:val="04A0" w:firstRow="1" w:lastRow="0" w:firstColumn="1" w:lastColumn="0" w:noHBand="0" w:noVBand="1"/>
      </w:tblPr>
      <w:tblGrid>
        <w:gridCol w:w="2360"/>
        <w:gridCol w:w="1440"/>
        <w:gridCol w:w="1220"/>
        <w:gridCol w:w="1220"/>
      </w:tblGrid>
      <w:tr w:rsidR="00AD198A" w:rsidRPr="005776B2" w:rsidTr="00B132B6">
        <w:trPr>
          <w:trHeight w:val="255"/>
          <w:tblHeader/>
        </w:trPr>
        <w:tc>
          <w:tcPr>
            <w:tcW w:w="2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AD198A"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 xml:space="preserve">SFY </w:t>
            </w:r>
          </w:p>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2016</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SFY 2017</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SFY 2018</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36</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32</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36</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26</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25</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15</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95</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103</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93</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Dukes</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4</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4</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113</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111</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104</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Franklin</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36</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34</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23</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75</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72</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64</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Hampshire</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44</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44</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35</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148</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140</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143</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Nantucket</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123</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125</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111</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89</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88</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92</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133</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126</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127</w:t>
            </w:r>
          </w:p>
        </w:tc>
      </w:tr>
      <w:tr w:rsidR="00AD198A" w:rsidRPr="005776B2" w:rsidTr="00B132B6">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117</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111</w:t>
            </w:r>
          </w:p>
        </w:tc>
        <w:tc>
          <w:tcPr>
            <w:tcW w:w="1220" w:type="dxa"/>
            <w:tcBorders>
              <w:top w:val="nil"/>
              <w:left w:val="nil"/>
              <w:bottom w:val="single" w:sz="4" w:space="0" w:color="auto"/>
              <w:right w:val="single" w:sz="4" w:space="0" w:color="auto"/>
            </w:tcBorders>
            <w:shd w:val="clear" w:color="auto" w:fill="auto"/>
            <w:vAlign w:val="bottom"/>
            <w:hideMark/>
          </w:tcPr>
          <w:p w:rsidR="00AD198A" w:rsidRPr="005776B2" w:rsidRDefault="00AD198A"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111</w:t>
            </w:r>
          </w:p>
        </w:tc>
      </w:tr>
    </w:tbl>
    <w:p w:rsidR="00AD198A" w:rsidRPr="005776B2" w:rsidRDefault="00AD198A" w:rsidP="00AD198A">
      <w:pPr>
        <w:ind w:firstLine="0"/>
        <w:rPr>
          <w:rFonts w:ascii="Arial" w:eastAsiaTheme="minorHAnsi" w:hAnsi="Arial" w:cs="Arial"/>
          <w:sz w:val="24"/>
          <w:szCs w:val="24"/>
        </w:rPr>
      </w:pPr>
    </w:p>
    <w:p w:rsidR="00AD198A" w:rsidRPr="005776B2" w:rsidRDefault="00AD198A" w:rsidP="00AD198A">
      <w:pPr>
        <w:ind w:firstLine="0"/>
        <w:rPr>
          <w:rFonts w:ascii="Arial" w:eastAsiaTheme="minorHAnsi" w:hAnsi="Arial" w:cs="Arial"/>
          <w:sz w:val="24"/>
          <w:szCs w:val="24"/>
        </w:rPr>
      </w:pPr>
      <w:r w:rsidRPr="005776B2">
        <w:rPr>
          <w:rFonts w:ascii="Arial" w:eastAsiaTheme="minorHAnsi" w:hAnsi="Arial" w:cs="Arial"/>
          <w:sz w:val="24"/>
          <w:szCs w:val="24"/>
        </w:rPr>
        <w:t xml:space="preserve">As noted above, </w:t>
      </w:r>
      <w:r w:rsidR="008744E1">
        <w:rPr>
          <w:rFonts w:ascii="Arial" w:eastAsiaTheme="minorHAnsi" w:hAnsi="Arial" w:cs="Arial"/>
          <w:sz w:val="24"/>
          <w:szCs w:val="24"/>
        </w:rPr>
        <w:t xml:space="preserve">home health </w:t>
      </w:r>
      <w:r w:rsidRPr="005776B2">
        <w:rPr>
          <w:rFonts w:ascii="Arial" w:eastAsiaTheme="minorHAnsi" w:hAnsi="Arial" w:cs="Arial"/>
          <w:sz w:val="24"/>
          <w:szCs w:val="24"/>
        </w:rPr>
        <w:t xml:space="preserve">agencies provide services in more than one county. Therefore, the table does not show the number of </w:t>
      </w:r>
      <w:r w:rsidR="008744E1">
        <w:rPr>
          <w:rFonts w:ascii="Arial" w:eastAsiaTheme="minorHAnsi" w:hAnsi="Arial" w:cs="Arial"/>
          <w:sz w:val="24"/>
          <w:szCs w:val="24"/>
        </w:rPr>
        <w:t xml:space="preserve">home health </w:t>
      </w:r>
      <w:r w:rsidRPr="005776B2">
        <w:rPr>
          <w:rFonts w:ascii="Arial" w:eastAsiaTheme="minorHAnsi" w:hAnsi="Arial" w:cs="Arial"/>
          <w:sz w:val="24"/>
          <w:szCs w:val="24"/>
        </w:rPr>
        <w:t xml:space="preserve">agencies located in each county but instead shows the number of </w:t>
      </w:r>
      <w:r w:rsidR="008744E1">
        <w:rPr>
          <w:rFonts w:ascii="Arial" w:eastAsiaTheme="minorHAnsi" w:hAnsi="Arial" w:cs="Arial"/>
          <w:sz w:val="24"/>
          <w:szCs w:val="24"/>
        </w:rPr>
        <w:t xml:space="preserve">home health </w:t>
      </w:r>
      <w:r w:rsidRPr="005776B2">
        <w:rPr>
          <w:rFonts w:ascii="Arial" w:eastAsiaTheme="minorHAnsi" w:hAnsi="Arial" w:cs="Arial"/>
          <w:sz w:val="24"/>
          <w:szCs w:val="24"/>
        </w:rPr>
        <w:t xml:space="preserve">agencies serving counties across SFY16 - SFY18 based on member claims data and member’s county of residence. This number and overall trajectory varies by county. </w:t>
      </w:r>
      <w:r w:rsidR="007873D6">
        <w:rPr>
          <w:rFonts w:ascii="Arial" w:eastAsiaTheme="minorHAnsi" w:hAnsi="Arial" w:cs="Arial"/>
          <w:sz w:val="24"/>
          <w:szCs w:val="24"/>
        </w:rPr>
        <w:t>MassHealth</w:t>
      </w:r>
      <w:r w:rsidR="008744E1">
        <w:rPr>
          <w:rFonts w:ascii="Arial" w:eastAsiaTheme="minorHAnsi" w:hAnsi="Arial" w:cs="Arial"/>
          <w:sz w:val="24"/>
          <w:szCs w:val="24"/>
        </w:rPr>
        <w:t xml:space="preserve"> </w:t>
      </w:r>
      <w:r w:rsidR="00A53974">
        <w:rPr>
          <w:rFonts w:ascii="Arial" w:eastAsiaTheme="minorHAnsi" w:hAnsi="Arial" w:cs="Arial"/>
          <w:sz w:val="24"/>
          <w:szCs w:val="24"/>
        </w:rPr>
        <w:t>finds that</w:t>
      </w:r>
      <w:r w:rsidRPr="005776B2">
        <w:rPr>
          <w:rFonts w:ascii="Arial" w:eastAsiaTheme="minorHAnsi" w:hAnsi="Arial" w:cs="Arial"/>
          <w:sz w:val="24"/>
          <w:szCs w:val="24"/>
        </w:rPr>
        <w:t xml:space="preserve"> the</w:t>
      </w:r>
      <w:r w:rsidR="00A53974">
        <w:rPr>
          <w:rFonts w:ascii="Arial" w:eastAsiaTheme="minorHAnsi" w:hAnsi="Arial" w:cs="Arial"/>
          <w:sz w:val="24"/>
          <w:szCs w:val="24"/>
        </w:rPr>
        <w:t xml:space="preserve"> year over year </w:t>
      </w:r>
      <w:r w:rsidRPr="005776B2">
        <w:rPr>
          <w:rFonts w:ascii="Arial" w:eastAsiaTheme="minorHAnsi" w:hAnsi="Arial" w:cs="Arial"/>
          <w:sz w:val="24"/>
          <w:szCs w:val="24"/>
        </w:rPr>
        <w:t>fluctuations have</w:t>
      </w:r>
      <w:r w:rsidR="00A53974">
        <w:rPr>
          <w:rFonts w:ascii="Arial" w:eastAsiaTheme="minorHAnsi" w:hAnsi="Arial" w:cs="Arial"/>
          <w:sz w:val="24"/>
          <w:szCs w:val="24"/>
        </w:rPr>
        <w:t xml:space="preserve"> not</w:t>
      </w:r>
      <w:r w:rsidRPr="005776B2">
        <w:rPr>
          <w:rFonts w:ascii="Arial" w:eastAsiaTheme="minorHAnsi" w:hAnsi="Arial" w:cs="Arial"/>
          <w:sz w:val="24"/>
          <w:szCs w:val="24"/>
        </w:rPr>
        <w:t xml:space="preserve"> negatively impacted member access to home health services. For instance, Nantucket and Dukes counties continue to have a small number of home </w:t>
      </w:r>
      <w:r w:rsidRPr="005776B2">
        <w:rPr>
          <w:rFonts w:ascii="Arial" w:eastAsiaTheme="minorHAnsi" w:hAnsi="Arial" w:cs="Arial"/>
          <w:sz w:val="24"/>
          <w:szCs w:val="24"/>
        </w:rPr>
        <w:lastRenderedPageBreak/>
        <w:t>health agencies providing services; however, there are only a small number of MassHealth members residing in these counties; whereas in Essex, Suffolk, and Worcester counties there are significantly more home health agencies operating and correspondingly a larger number of MassHealth members resid</w:t>
      </w:r>
      <w:r w:rsidR="0037031C">
        <w:rPr>
          <w:rFonts w:ascii="Arial" w:eastAsiaTheme="minorHAnsi" w:hAnsi="Arial" w:cs="Arial"/>
          <w:sz w:val="24"/>
          <w:szCs w:val="24"/>
        </w:rPr>
        <w:t>ing</w:t>
      </w:r>
      <w:r w:rsidRPr="005776B2">
        <w:rPr>
          <w:rFonts w:ascii="Arial" w:eastAsiaTheme="minorHAnsi" w:hAnsi="Arial" w:cs="Arial"/>
          <w:sz w:val="24"/>
          <w:szCs w:val="24"/>
        </w:rPr>
        <w:t xml:space="preserve"> in these counties. </w:t>
      </w:r>
    </w:p>
    <w:p w:rsidR="00AD198A" w:rsidRPr="005776B2" w:rsidRDefault="00AD198A" w:rsidP="00AD198A">
      <w:pPr>
        <w:ind w:firstLine="0"/>
        <w:rPr>
          <w:rFonts w:ascii="Arial" w:eastAsiaTheme="minorHAnsi" w:hAnsi="Arial" w:cs="Arial"/>
          <w:sz w:val="24"/>
          <w:szCs w:val="24"/>
        </w:rPr>
      </w:pPr>
    </w:p>
    <w:p w:rsidR="00AD198A" w:rsidRPr="005776B2" w:rsidRDefault="00AD198A" w:rsidP="00AD198A">
      <w:pPr>
        <w:ind w:firstLine="0"/>
        <w:rPr>
          <w:rFonts w:ascii="Arial" w:eastAsiaTheme="minorHAnsi" w:hAnsi="Arial" w:cs="Arial"/>
          <w:sz w:val="24"/>
          <w:szCs w:val="24"/>
        </w:rPr>
      </w:pPr>
      <w:r w:rsidRPr="005776B2">
        <w:rPr>
          <w:rFonts w:ascii="Arial" w:eastAsiaTheme="minorHAnsi" w:hAnsi="Arial" w:cs="Arial"/>
          <w:sz w:val="24"/>
          <w:szCs w:val="24"/>
        </w:rPr>
        <w:t xml:space="preserve">While a number of counties experienced a slight decrease in the number of home health agencies serving members in each county, the </w:t>
      </w:r>
      <w:r w:rsidR="008744E1">
        <w:rPr>
          <w:rFonts w:ascii="Arial" w:eastAsiaTheme="minorHAnsi" w:hAnsi="Arial" w:cs="Arial"/>
          <w:sz w:val="24"/>
          <w:szCs w:val="24"/>
        </w:rPr>
        <w:t xml:space="preserve">total </w:t>
      </w:r>
      <w:r w:rsidRPr="005776B2">
        <w:rPr>
          <w:rFonts w:ascii="Arial" w:eastAsiaTheme="minorHAnsi" w:hAnsi="Arial" w:cs="Arial"/>
          <w:sz w:val="24"/>
          <w:szCs w:val="24"/>
        </w:rPr>
        <w:t xml:space="preserve">number of home health agencies operating in each county across the Commonwealth still remains higher than reported figures from SFY15 and earlier. </w:t>
      </w:r>
    </w:p>
    <w:p w:rsidR="00AD198A" w:rsidRPr="005776B2" w:rsidRDefault="00AD198A" w:rsidP="00AD198A">
      <w:pPr>
        <w:ind w:firstLine="0"/>
        <w:rPr>
          <w:rFonts w:ascii="Arial" w:eastAsiaTheme="minorHAnsi" w:hAnsi="Arial" w:cs="Arial"/>
          <w:sz w:val="24"/>
          <w:szCs w:val="24"/>
        </w:rPr>
      </w:pPr>
    </w:p>
    <w:p w:rsidR="00AD198A" w:rsidRPr="005776B2" w:rsidRDefault="00AD198A" w:rsidP="00AD198A">
      <w:pPr>
        <w:ind w:firstLine="0"/>
        <w:rPr>
          <w:rFonts w:ascii="Arial" w:hAnsi="Arial" w:cs="Arial"/>
          <w:b/>
          <w:sz w:val="24"/>
          <w:szCs w:val="24"/>
        </w:rPr>
      </w:pPr>
      <w:r w:rsidRPr="005776B2">
        <w:rPr>
          <w:rFonts w:ascii="Arial" w:hAnsi="Arial" w:cs="Arial"/>
          <w:sz w:val="24"/>
          <w:szCs w:val="24"/>
        </w:rPr>
        <w:t>Note that out-of-state</w:t>
      </w:r>
      <w:r w:rsidRPr="005776B2" w:rsidDel="00E01522">
        <w:rPr>
          <w:rFonts w:ascii="Arial" w:hAnsi="Arial" w:cs="Arial"/>
          <w:sz w:val="24"/>
          <w:szCs w:val="24"/>
        </w:rPr>
        <w:t xml:space="preserve"> </w:t>
      </w:r>
      <w:r w:rsidRPr="005776B2">
        <w:rPr>
          <w:rFonts w:ascii="Arial" w:hAnsi="Arial" w:cs="Arial"/>
          <w:sz w:val="24"/>
          <w:szCs w:val="24"/>
        </w:rPr>
        <w:t xml:space="preserve">provider information is included in the home health agency provider counts because those providers are eligible to deliver home health to MassHealth members. </w:t>
      </w:r>
      <w:r w:rsidR="0043344B">
        <w:rPr>
          <w:rFonts w:ascii="Arial" w:hAnsi="Arial" w:cs="Arial"/>
          <w:sz w:val="24"/>
          <w:szCs w:val="24"/>
        </w:rPr>
        <w:t>Out-of-state</w:t>
      </w:r>
      <w:r w:rsidRPr="005776B2">
        <w:rPr>
          <w:rFonts w:ascii="Arial" w:hAnsi="Arial" w:cs="Arial"/>
          <w:sz w:val="24"/>
          <w:szCs w:val="24"/>
        </w:rPr>
        <w:t xml:space="preserve"> data is not reported in a separate line, however, because the table is based on the county of the member, rather than of the provider.</w:t>
      </w:r>
    </w:p>
    <w:p w:rsidR="001B7C0C" w:rsidRDefault="001B7C0C" w:rsidP="001B7C0C">
      <w:pPr>
        <w:ind w:firstLine="0"/>
        <w:rPr>
          <w:rFonts w:ascii="Arial" w:eastAsiaTheme="minorHAnsi" w:hAnsi="Arial" w:cs="Arial"/>
          <w:b/>
          <w:sz w:val="24"/>
          <w:szCs w:val="24"/>
        </w:rPr>
      </w:pPr>
      <w:bookmarkStart w:id="71" w:name="_Toc10810597"/>
    </w:p>
    <w:p w:rsidR="005776B2" w:rsidRPr="001B7C0C" w:rsidRDefault="00472ED1" w:rsidP="001B7C0C">
      <w:pPr>
        <w:pStyle w:val="Heading2"/>
        <w:rPr>
          <w:rFonts w:ascii="Arial" w:eastAsiaTheme="minorHAnsi" w:hAnsi="Arial" w:cs="Arial"/>
          <w:color w:val="auto"/>
          <w:sz w:val="24"/>
          <w:szCs w:val="24"/>
          <w:u w:val="single"/>
        </w:rPr>
      </w:pPr>
      <w:bookmarkStart w:id="72" w:name="_Toc20296950"/>
      <w:r w:rsidRPr="001B7C0C">
        <w:rPr>
          <w:rFonts w:ascii="Arial" w:hAnsi="Arial" w:cs="Arial"/>
          <w:color w:val="auto"/>
          <w:sz w:val="24"/>
          <w:szCs w:val="24"/>
          <w:u w:val="single"/>
        </w:rPr>
        <w:t xml:space="preserve">2. </w:t>
      </w:r>
      <w:r w:rsidR="005776B2" w:rsidRPr="001B7C0C">
        <w:rPr>
          <w:rFonts w:ascii="Arial" w:hAnsi="Arial" w:cs="Arial"/>
          <w:color w:val="auto"/>
          <w:sz w:val="24"/>
          <w:szCs w:val="24"/>
          <w:u w:val="single"/>
        </w:rPr>
        <w:t xml:space="preserve">Member/ </w:t>
      </w:r>
      <w:r w:rsidR="00A26993">
        <w:rPr>
          <w:rFonts w:ascii="Arial" w:hAnsi="Arial" w:cs="Arial"/>
          <w:color w:val="auto"/>
          <w:sz w:val="24"/>
          <w:szCs w:val="24"/>
          <w:u w:val="single"/>
        </w:rPr>
        <w:t xml:space="preserve">Home Health Agency </w:t>
      </w:r>
      <w:r w:rsidR="005776B2" w:rsidRPr="001B7C0C">
        <w:rPr>
          <w:rFonts w:ascii="Arial" w:hAnsi="Arial" w:cs="Arial"/>
          <w:color w:val="auto"/>
          <w:sz w:val="24"/>
          <w:szCs w:val="24"/>
          <w:u w:val="single"/>
        </w:rPr>
        <w:t>Provider Ratios SFY16-SFY18</w:t>
      </w:r>
      <w:bookmarkEnd w:id="71"/>
      <w:bookmarkEnd w:id="72"/>
    </w:p>
    <w:p w:rsidR="005776B2" w:rsidRPr="005776B2" w:rsidRDefault="005776B2" w:rsidP="005776B2">
      <w:pPr>
        <w:spacing w:line="276" w:lineRule="auto"/>
        <w:ind w:firstLine="0"/>
        <w:rPr>
          <w:rFonts w:ascii="Arial" w:eastAsiaTheme="minorHAnsi" w:hAnsi="Arial" w:cs="Arial"/>
          <w:b/>
          <w:sz w:val="24"/>
          <w:szCs w:val="24"/>
          <w:u w:val="single"/>
        </w:rPr>
      </w:pPr>
    </w:p>
    <w:p w:rsidR="002D2F3E" w:rsidRDefault="002D2F3E" w:rsidP="002D2F3E">
      <w:pPr>
        <w:ind w:firstLine="0"/>
        <w:rPr>
          <w:rFonts w:ascii="Arial" w:eastAsiaTheme="minorHAnsi" w:hAnsi="Arial" w:cs="Arial"/>
          <w:sz w:val="24"/>
          <w:szCs w:val="24"/>
        </w:rPr>
      </w:pPr>
      <w:r w:rsidRPr="004C528D">
        <w:rPr>
          <w:rFonts w:ascii="Arial" w:eastAsiaTheme="minorHAnsi" w:hAnsi="Arial" w:cs="Arial"/>
          <w:sz w:val="24"/>
          <w:szCs w:val="24"/>
        </w:rPr>
        <w:t xml:space="preserve">The member/provider </w:t>
      </w:r>
      <w:proofErr w:type="gramStart"/>
      <w:r w:rsidRPr="004C528D">
        <w:rPr>
          <w:rFonts w:ascii="Arial" w:eastAsiaTheme="minorHAnsi" w:hAnsi="Arial" w:cs="Arial"/>
          <w:sz w:val="24"/>
          <w:szCs w:val="24"/>
        </w:rPr>
        <w:t>ratios</w:t>
      </w:r>
      <w:r w:rsidR="0037031C">
        <w:rPr>
          <w:rFonts w:ascii="Arial" w:eastAsiaTheme="minorHAnsi" w:hAnsi="Arial" w:cs="Arial"/>
          <w:sz w:val="24"/>
          <w:szCs w:val="24"/>
        </w:rPr>
        <w:t>,</w:t>
      </w:r>
      <w:proofErr w:type="gramEnd"/>
      <w:r w:rsidRPr="004C528D">
        <w:rPr>
          <w:rFonts w:ascii="Arial" w:eastAsiaTheme="minorHAnsi" w:hAnsi="Arial" w:cs="Arial"/>
          <w:sz w:val="24"/>
          <w:szCs w:val="24"/>
        </w:rPr>
        <w:t xml:space="preserve"> trended for stability over time</w:t>
      </w:r>
      <w:r w:rsidR="0037031C">
        <w:rPr>
          <w:rFonts w:ascii="Arial" w:eastAsiaTheme="minorHAnsi" w:hAnsi="Arial" w:cs="Arial"/>
          <w:sz w:val="24"/>
          <w:szCs w:val="24"/>
        </w:rPr>
        <w:t>,</w:t>
      </w:r>
      <w:r w:rsidRPr="004C528D">
        <w:rPr>
          <w:rFonts w:ascii="Arial" w:eastAsiaTheme="minorHAnsi" w:hAnsi="Arial" w:cs="Arial"/>
          <w:sz w:val="24"/>
          <w:szCs w:val="24"/>
        </w:rPr>
        <w:t xml:space="preserve"> in the following section offer context to the provider data tables above.</w:t>
      </w:r>
    </w:p>
    <w:p w:rsidR="004C528D" w:rsidRDefault="004C528D" w:rsidP="00AD198A">
      <w:pPr>
        <w:ind w:firstLine="0"/>
        <w:rPr>
          <w:rFonts w:ascii="Arial" w:eastAsiaTheme="minorHAnsi" w:hAnsi="Arial" w:cs="Arial"/>
          <w:sz w:val="24"/>
          <w:szCs w:val="24"/>
        </w:rPr>
      </w:pPr>
    </w:p>
    <w:p w:rsidR="00AD198A" w:rsidRPr="00AD198A" w:rsidRDefault="00AD198A" w:rsidP="00AD198A">
      <w:pPr>
        <w:ind w:firstLine="0"/>
        <w:rPr>
          <w:rFonts w:ascii="Arial" w:eastAsiaTheme="minorHAnsi" w:hAnsi="Arial" w:cs="Arial"/>
          <w:sz w:val="24"/>
          <w:szCs w:val="24"/>
        </w:rPr>
      </w:pPr>
      <w:r w:rsidRPr="00AD198A">
        <w:rPr>
          <w:rFonts w:ascii="Arial" w:eastAsiaTheme="minorHAnsi" w:hAnsi="Arial" w:cs="Arial"/>
          <w:sz w:val="24"/>
          <w:szCs w:val="24"/>
        </w:rPr>
        <w:t>Data Source: MMIS member and provider enrollment data</w:t>
      </w:r>
    </w:p>
    <w:p w:rsidR="00AD198A" w:rsidRPr="00AD198A" w:rsidRDefault="00AD198A" w:rsidP="00AD198A">
      <w:pPr>
        <w:ind w:firstLine="0"/>
        <w:rPr>
          <w:rFonts w:ascii="Arial" w:eastAsiaTheme="minorHAnsi" w:hAnsi="Arial" w:cs="Arial"/>
          <w:sz w:val="24"/>
          <w:szCs w:val="24"/>
        </w:rPr>
      </w:pPr>
    </w:p>
    <w:p w:rsidR="00AD198A" w:rsidRPr="00AD198A" w:rsidRDefault="00AD198A" w:rsidP="00AD198A">
      <w:pPr>
        <w:ind w:firstLine="0"/>
        <w:rPr>
          <w:rFonts w:ascii="Arial" w:eastAsiaTheme="minorHAnsi" w:hAnsi="Arial" w:cs="Arial"/>
          <w:b/>
          <w:sz w:val="24"/>
          <w:szCs w:val="24"/>
          <w:highlight w:val="yellow"/>
          <w:u w:val="single"/>
        </w:rPr>
      </w:pPr>
      <w:r w:rsidRPr="00AD198A">
        <w:rPr>
          <w:rFonts w:ascii="Arial" w:eastAsiaTheme="minorHAnsi" w:hAnsi="Arial" w:cs="Arial"/>
          <w:sz w:val="24"/>
          <w:szCs w:val="24"/>
        </w:rPr>
        <w:t>Methodology: Divided the number of enrolled MassHealth members in each county by the number of active, enrolled home health agencies serving that county.</w:t>
      </w:r>
    </w:p>
    <w:p w:rsidR="00AD198A" w:rsidRPr="00AD198A" w:rsidRDefault="00AD198A" w:rsidP="00AD198A">
      <w:pPr>
        <w:ind w:firstLine="0"/>
        <w:rPr>
          <w:rFonts w:ascii="Arial" w:hAnsi="Arial" w:cs="Arial"/>
          <w:sz w:val="24"/>
          <w:szCs w:val="24"/>
        </w:rPr>
      </w:pPr>
    </w:p>
    <w:p w:rsidR="004856AF" w:rsidRPr="00AD198A" w:rsidRDefault="004856AF" w:rsidP="004856AF">
      <w:pPr>
        <w:ind w:firstLine="0"/>
        <w:rPr>
          <w:rFonts w:ascii="Arial" w:eastAsiaTheme="minorHAnsi" w:hAnsi="Arial" w:cs="Arial"/>
          <w:sz w:val="24"/>
          <w:szCs w:val="24"/>
        </w:rPr>
      </w:pPr>
      <w:r w:rsidRPr="000D3D06">
        <w:rPr>
          <w:rFonts w:ascii="Arial" w:eastAsiaTheme="minorHAnsi" w:hAnsi="Arial" w:cs="Arial"/>
          <w:sz w:val="24"/>
          <w:szCs w:val="24"/>
        </w:rPr>
        <w:t xml:space="preserve">Members are defined as </w:t>
      </w:r>
      <w:r w:rsidRPr="000D3D06">
        <w:rPr>
          <w:rFonts w:ascii="Arial" w:hAnsi="Arial" w:cs="Arial"/>
          <w:sz w:val="24"/>
          <w:szCs w:val="24"/>
        </w:rPr>
        <w:t xml:space="preserve">PCC Plan members, members enrolled in a Primary Care ACO and FFS members with </w:t>
      </w:r>
      <w:r w:rsidRPr="000D3D06">
        <w:rPr>
          <w:rFonts w:ascii="Arial" w:hAnsi="Arial" w:cs="Arial"/>
          <w:sz w:val="24"/>
        </w:rPr>
        <w:t>MassHealth primary coverage, and FFS members with MassHealth secondary coverage with TPL</w:t>
      </w:r>
      <w:r w:rsidRPr="000D3D06">
        <w:rPr>
          <w:rFonts w:ascii="Arial" w:hAnsi="Arial" w:cs="Arial"/>
          <w:sz w:val="24"/>
          <w:szCs w:val="24"/>
        </w:rPr>
        <w:t xml:space="preserve">, </w:t>
      </w:r>
      <w:r w:rsidRPr="000D3D06">
        <w:rPr>
          <w:rFonts w:ascii="Arial" w:eastAsiaTheme="minorHAnsi" w:hAnsi="Arial" w:cs="Arial"/>
          <w:sz w:val="24"/>
          <w:szCs w:val="24"/>
        </w:rPr>
        <w:t>who are receiving home health services that could include one or more of the following services: skilled nursing, medication administration visits (performed by a RN or LPN), home health aide services, physical therapy, occupational therapy, or speech/language therapy.</w:t>
      </w:r>
    </w:p>
    <w:p w:rsidR="00AD198A" w:rsidRPr="00AD198A" w:rsidRDefault="00AD198A" w:rsidP="00AD198A">
      <w:pPr>
        <w:ind w:firstLine="0"/>
        <w:rPr>
          <w:rFonts w:ascii="Arial" w:eastAsiaTheme="minorHAnsi" w:hAnsi="Arial" w:cs="Arial"/>
          <w:sz w:val="24"/>
          <w:szCs w:val="24"/>
        </w:rPr>
      </w:pPr>
    </w:p>
    <w:p w:rsidR="00AD198A" w:rsidRPr="00AD198A" w:rsidRDefault="00AD198A" w:rsidP="00AD198A">
      <w:pPr>
        <w:ind w:firstLine="0"/>
        <w:rPr>
          <w:rFonts w:ascii="Arial" w:hAnsi="Arial" w:cs="Arial"/>
          <w:b/>
          <w:sz w:val="24"/>
          <w:szCs w:val="24"/>
        </w:rPr>
      </w:pPr>
      <w:r w:rsidRPr="00AD198A">
        <w:rPr>
          <w:rFonts w:ascii="Arial" w:hAnsi="Arial" w:cs="Arial"/>
          <w:sz w:val="24"/>
          <w:szCs w:val="24"/>
        </w:rPr>
        <w:t>Note that the ratios below are based on the residence of the members.</w:t>
      </w:r>
      <w:r w:rsidR="00481E15">
        <w:rPr>
          <w:rFonts w:ascii="Arial" w:hAnsi="Arial" w:cs="Arial"/>
          <w:sz w:val="24"/>
          <w:szCs w:val="24"/>
        </w:rPr>
        <w:t xml:space="preserve"> </w:t>
      </w:r>
      <w:r w:rsidRPr="00AD198A">
        <w:rPr>
          <w:rFonts w:ascii="Arial" w:hAnsi="Arial" w:cs="Arial"/>
          <w:sz w:val="24"/>
          <w:szCs w:val="24"/>
        </w:rPr>
        <w:t xml:space="preserve">Out-of-state provider data is included in determining </w:t>
      </w:r>
      <w:r w:rsidR="00481E15">
        <w:rPr>
          <w:rFonts w:ascii="Arial" w:hAnsi="Arial" w:cs="Arial"/>
          <w:sz w:val="24"/>
          <w:szCs w:val="24"/>
        </w:rPr>
        <w:t xml:space="preserve">the member per provider ratios. </w:t>
      </w:r>
      <w:r w:rsidRPr="00AD198A">
        <w:rPr>
          <w:rFonts w:ascii="Arial" w:hAnsi="Arial" w:cs="Arial"/>
          <w:sz w:val="24"/>
          <w:szCs w:val="24"/>
        </w:rPr>
        <w:t>Out-of-state data is not reported in a separate line, however, because the data is based on the county of the member and not of the provider.</w:t>
      </w:r>
    </w:p>
    <w:p w:rsidR="005776B2" w:rsidRPr="005776B2" w:rsidRDefault="005776B2" w:rsidP="005776B2">
      <w:pPr>
        <w:ind w:firstLine="0"/>
        <w:rPr>
          <w:rFonts w:ascii="Arial" w:hAnsi="Arial" w:cs="Arial"/>
          <w:sz w:val="24"/>
          <w:szCs w:val="24"/>
        </w:rPr>
      </w:pPr>
    </w:p>
    <w:p w:rsidR="005776B2" w:rsidRPr="00342778" w:rsidRDefault="005776B2" w:rsidP="00342778">
      <w:pPr>
        <w:ind w:firstLine="0"/>
        <w:rPr>
          <w:rFonts w:ascii="Arial" w:hAnsi="Arial" w:cs="Arial"/>
          <w:b/>
          <w:sz w:val="24"/>
        </w:rPr>
      </w:pPr>
      <w:r w:rsidRPr="00342778">
        <w:rPr>
          <w:rFonts w:ascii="Arial" w:hAnsi="Arial" w:cs="Arial"/>
          <w:b/>
          <w:sz w:val="24"/>
        </w:rPr>
        <w:t>Number of Members per Home Health Agency SFY16 – SFY18</w:t>
      </w:r>
    </w:p>
    <w:tbl>
      <w:tblPr>
        <w:tblW w:w="6240" w:type="dxa"/>
        <w:tblInd w:w="93" w:type="dxa"/>
        <w:tblLook w:val="04A0" w:firstRow="1" w:lastRow="0" w:firstColumn="1" w:lastColumn="0" w:noHBand="0" w:noVBand="1"/>
      </w:tblPr>
      <w:tblGrid>
        <w:gridCol w:w="1560"/>
        <w:gridCol w:w="1560"/>
        <w:gridCol w:w="1560"/>
        <w:gridCol w:w="1560"/>
      </w:tblGrid>
      <w:tr w:rsidR="005776B2" w:rsidRPr="005776B2" w:rsidTr="00D10404">
        <w:trPr>
          <w:trHeight w:val="255"/>
          <w:tblHeader/>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County</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342778"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 xml:space="preserve">SFY </w:t>
            </w:r>
          </w:p>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2016</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F7DBA"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 xml:space="preserve">SFY </w:t>
            </w:r>
          </w:p>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2017</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F7DBA"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 xml:space="preserve">SFY </w:t>
            </w:r>
          </w:p>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2018</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Barnstable</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18</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20</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25</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Berkshire</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13</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12</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20</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Bristol</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30</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27</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30</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Dukes and Nantucket</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Essex</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68</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66</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65</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lastRenderedPageBreak/>
              <w:t>Franklin and Hampshire</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16</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16</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20</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Hampden</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51</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51</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48</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Middlesex</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43</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45</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AD198A">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41</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Norfolk</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14</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14</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15</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Plymouth</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20</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19</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18</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Suffolk</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37</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40</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39</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Worcester</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39</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41</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39</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Average</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34</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34</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34</w:t>
            </w:r>
          </w:p>
        </w:tc>
      </w:tr>
      <w:tr w:rsidR="005776B2" w:rsidRPr="005776B2" w:rsidTr="00D10404">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5776B2" w:rsidRPr="005776B2" w:rsidRDefault="005776B2" w:rsidP="005776B2">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Median</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20</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20</w:t>
            </w:r>
          </w:p>
        </w:tc>
        <w:tc>
          <w:tcPr>
            <w:tcW w:w="1440" w:type="dxa"/>
            <w:tcBorders>
              <w:top w:val="nil"/>
              <w:left w:val="nil"/>
              <w:bottom w:val="single" w:sz="4" w:space="0" w:color="auto"/>
              <w:right w:val="single" w:sz="4" w:space="0" w:color="auto"/>
            </w:tcBorders>
            <w:shd w:val="clear" w:color="auto" w:fill="auto"/>
            <w:vAlign w:val="bottom"/>
            <w:hideMark/>
          </w:tcPr>
          <w:p w:rsidR="005776B2" w:rsidRPr="005776B2" w:rsidRDefault="005776B2" w:rsidP="00481E15">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25</w:t>
            </w:r>
          </w:p>
        </w:tc>
      </w:tr>
    </w:tbl>
    <w:p w:rsidR="009F7DBA" w:rsidRDefault="009F7DBA" w:rsidP="005776B2">
      <w:pPr>
        <w:pStyle w:val="FootnoteText"/>
        <w:ind w:firstLine="0"/>
        <w:rPr>
          <w:rFonts w:ascii="Arial" w:hAnsi="Arial" w:cs="Arial"/>
          <w:sz w:val="24"/>
          <w:szCs w:val="24"/>
        </w:rPr>
      </w:pPr>
    </w:p>
    <w:p w:rsidR="005776B2" w:rsidRPr="005776B2" w:rsidRDefault="005776B2" w:rsidP="005776B2">
      <w:pPr>
        <w:pStyle w:val="FootnoteText"/>
        <w:ind w:firstLine="0"/>
        <w:rPr>
          <w:rFonts w:ascii="Arial" w:hAnsi="Arial" w:cs="Arial"/>
          <w:sz w:val="24"/>
          <w:szCs w:val="24"/>
        </w:rPr>
      </w:pPr>
      <w:r w:rsidRPr="005776B2">
        <w:rPr>
          <w:rFonts w:ascii="Arial" w:hAnsi="Arial" w:cs="Arial"/>
          <w:sz w:val="24"/>
          <w:szCs w:val="24"/>
        </w:rPr>
        <w:t>*Non-zero numeric references less than 11 and related compl</w:t>
      </w:r>
      <w:r w:rsidR="002F1BA4">
        <w:rPr>
          <w:rFonts w:ascii="Arial" w:hAnsi="Arial" w:cs="Arial"/>
          <w:sz w:val="24"/>
          <w:szCs w:val="24"/>
        </w:rPr>
        <w:t>e</w:t>
      </w:r>
      <w:r w:rsidRPr="005776B2">
        <w:rPr>
          <w:rFonts w:ascii="Arial" w:hAnsi="Arial" w:cs="Arial"/>
          <w:sz w:val="24"/>
          <w:szCs w:val="24"/>
        </w:rPr>
        <w:t>mentary data fields have been masked, withheld, or aggregated to protect member confidentiality</w:t>
      </w:r>
    </w:p>
    <w:p w:rsidR="005776B2" w:rsidRPr="005776B2" w:rsidRDefault="005776B2" w:rsidP="005776B2">
      <w:pPr>
        <w:ind w:firstLine="0"/>
        <w:rPr>
          <w:rFonts w:ascii="Arial" w:hAnsi="Arial" w:cs="Arial"/>
          <w:b/>
          <w:sz w:val="24"/>
          <w:szCs w:val="24"/>
          <w:u w:val="single"/>
        </w:rPr>
      </w:pPr>
    </w:p>
    <w:p w:rsidR="005776B2" w:rsidRPr="005776B2" w:rsidRDefault="005776B2" w:rsidP="005776B2">
      <w:pPr>
        <w:ind w:firstLine="0"/>
        <w:rPr>
          <w:rFonts w:ascii="Arial" w:eastAsiaTheme="minorHAnsi" w:hAnsi="Arial" w:cs="Arial"/>
          <w:sz w:val="24"/>
          <w:szCs w:val="24"/>
        </w:rPr>
      </w:pPr>
      <w:r w:rsidRPr="005776B2">
        <w:rPr>
          <w:rFonts w:ascii="Arial" w:eastAsiaTheme="minorHAnsi" w:hAnsi="Arial" w:cs="Arial"/>
          <w:sz w:val="24"/>
          <w:szCs w:val="24"/>
        </w:rPr>
        <w:t>The above table</w:t>
      </w:r>
      <w:r w:rsidRPr="005776B2">
        <w:rPr>
          <w:rFonts w:ascii="Arial" w:eastAsiaTheme="minorHAnsi" w:hAnsi="Arial" w:cs="Arial"/>
          <w:b/>
          <w:sz w:val="24"/>
          <w:szCs w:val="24"/>
        </w:rPr>
        <w:t xml:space="preserve"> </w:t>
      </w:r>
      <w:r w:rsidRPr="005776B2">
        <w:rPr>
          <w:rFonts w:ascii="Arial" w:eastAsiaTheme="minorHAnsi" w:hAnsi="Arial" w:cs="Arial"/>
          <w:sz w:val="24"/>
          <w:szCs w:val="24"/>
        </w:rPr>
        <w:t xml:space="preserve">shows the trend across SFY16 - SFY18 for number of resident members per home health agency. Note that </w:t>
      </w:r>
      <w:r w:rsidR="008744E1">
        <w:rPr>
          <w:rFonts w:ascii="Arial" w:eastAsiaTheme="minorHAnsi" w:hAnsi="Arial" w:cs="Arial"/>
          <w:sz w:val="24"/>
          <w:szCs w:val="24"/>
        </w:rPr>
        <w:t xml:space="preserve">home health </w:t>
      </w:r>
      <w:r w:rsidRPr="005776B2">
        <w:rPr>
          <w:rFonts w:ascii="Arial" w:eastAsiaTheme="minorHAnsi" w:hAnsi="Arial" w:cs="Arial"/>
          <w:sz w:val="24"/>
          <w:szCs w:val="24"/>
        </w:rPr>
        <w:t xml:space="preserve">agencies can provide services in more than one county. Data </w:t>
      </w:r>
      <w:r w:rsidR="002C360B">
        <w:rPr>
          <w:rFonts w:ascii="Arial" w:eastAsiaTheme="minorHAnsi" w:hAnsi="Arial" w:cs="Arial"/>
          <w:sz w:val="24"/>
          <w:szCs w:val="24"/>
        </w:rPr>
        <w:t xml:space="preserve">in Dukes and Nantucket and Franklin and Hampshire counties, as shown above, </w:t>
      </w:r>
      <w:r w:rsidRPr="005776B2">
        <w:rPr>
          <w:rFonts w:ascii="Arial" w:eastAsiaTheme="minorHAnsi" w:hAnsi="Arial" w:cs="Arial"/>
          <w:sz w:val="24"/>
          <w:szCs w:val="24"/>
        </w:rPr>
        <w:t>has been combined because MassHealth membership is very low in those counties. The</w:t>
      </w:r>
      <w:r w:rsidRPr="005776B2" w:rsidDel="00277521">
        <w:rPr>
          <w:rFonts w:ascii="Arial" w:eastAsiaTheme="minorHAnsi" w:hAnsi="Arial" w:cs="Arial"/>
          <w:sz w:val="24"/>
          <w:szCs w:val="24"/>
        </w:rPr>
        <w:t xml:space="preserve"> </w:t>
      </w:r>
      <w:r w:rsidRPr="005776B2">
        <w:rPr>
          <w:rFonts w:ascii="Arial" w:eastAsiaTheme="minorHAnsi" w:hAnsi="Arial" w:cs="Arial"/>
          <w:sz w:val="24"/>
          <w:szCs w:val="24"/>
        </w:rPr>
        <w:t>member-provider ratio varies across this</w:t>
      </w:r>
      <w:r w:rsidR="008744E1">
        <w:rPr>
          <w:rFonts w:ascii="Arial" w:eastAsiaTheme="minorHAnsi" w:hAnsi="Arial" w:cs="Arial"/>
          <w:sz w:val="24"/>
          <w:szCs w:val="24"/>
        </w:rPr>
        <w:t xml:space="preserve"> t</w:t>
      </w:r>
      <w:r w:rsidRPr="005776B2">
        <w:rPr>
          <w:rFonts w:ascii="Arial" w:eastAsiaTheme="minorHAnsi" w:hAnsi="Arial" w:cs="Arial"/>
          <w:sz w:val="24"/>
          <w:szCs w:val="24"/>
        </w:rPr>
        <w:t>ime period; in some counties this ratio increased and in others the ratio decreased. Notably, the overall average of me</w:t>
      </w:r>
      <w:r w:rsidR="00CD3AA8">
        <w:rPr>
          <w:rFonts w:ascii="Arial" w:eastAsiaTheme="minorHAnsi" w:hAnsi="Arial" w:cs="Arial"/>
          <w:sz w:val="24"/>
          <w:szCs w:val="24"/>
        </w:rPr>
        <w:t>mbers per home health agency by</w:t>
      </w:r>
      <w:r w:rsidRPr="005776B2">
        <w:rPr>
          <w:rFonts w:ascii="Arial" w:eastAsiaTheme="minorHAnsi" w:hAnsi="Arial" w:cs="Arial"/>
          <w:sz w:val="24"/>
          <w:szCs w:val="24"/>
        </w:rPr>
        <w:t xml:space="preserve"> county remained stable, while the median increased slightly. Since home health agencies have the capacity to expand, increasing staff if neces</w:t>
      </w:r>
      <w:r w:rsidR="00CD3AA8">
        <w:rPr>
          <w:rFonts w:ascii="Arial" w:eastAsiaTheme="minorHAnsi" w:hAnsi="Arial" w:cs="Arial"/>
          <w:sz w:val="24"/>
          <w:szCs w:val="24"/>
        </w:rPr>
        <w:t>sary, and serve more members by</w:t>
      </w:r>
      <w:r w:rsidRPr="005776B2">
        <w:rPr>
          <w:rFonts w:ascii="Arial" w:eastAsiaTheme="minorHAnsi" w:hAnsi="Arial" w:cs="Arial"/>
          <w:sz w:val="24"/>
          <w:szCs w:val="24"/>
        </w:rPr>
        <w:t xml:space="preserve"> county depending on member needs, any increase in members represented above</w:t>
      </w:r>
      <w:r w:rsidR="002F1BA4">
        <w:rPr>
          <w:rFonts w:ascii="Arial" w:eastAsiaTheme="minorHAnsi" w:hAnsi="Arial" w:cs="Arial"/>
          <w:sz w:val="24"/>
          <w:szCs w:val="24"/>
        </w:rPr>
        <w:t xml:space="preserve"> does not</w:t>
      </w:r>
      <w:r w:rsidRPr="005776B2">
        <w:rPr>
          <w:rFonts w:ascii="Arial" w:eastAsiaTheme="minorHAnsi" w:hAnsi="Arial" w:cs="Arial"/>
          <w:sz w:val="24"/>
          <w:szCs w:val="24"/>
        </w:rPr>
        <w:t xml:space="preserve"> indicate an access issue, and overall the data shows access to home health services </w:t>
      </w:r>
      <w:r w:rsidR="008744E1">
        <w:rPr>
          <w:rFonts w:ascii="Arial" w:eastAsiaTheme="minorHAnsi" w:hAnsi="Arial" w:cs="Arial"/>
          <w:sz w:val="24"/>
          <w:szCs w:val="24"/>
        </w:rPr>
        <w:t>has been and continues to be</w:t>
      </w:r>
      <w:r w:rsidRPr="005776B2">
        <w:rPr>
          <w:rFonts w:ascii="Arial" w:eastAsiaTheme="minorHAnsi" w:hAnsi="Arial" w:cs="Arial"/>
          <w:sz w:val="24"/>
          <w:szCs w:val="24"/>
        </w:rPr>
        <w:t xml:space="preserve"> robust.</w:t>
      </w:r>
    </w:p>
    <w:p w:rsidR="005776B2" w:rsidRPr="005776B2" w:rsidRDefault="005776B2" w:rsidP="005776B2">
      <w:pPr>
        <w:ind w:firstLine="0"/>
        <w:rPr>
          <w:rFonts w:ascii="Arial" w:hAnsi="Arial" w:cs="Arial"/>
          <w:b/>
          <w:sz w:val="24"/>
          <w:szCs w:val="24"/>
          <w:u w:val="single"/>
        </w:rPr>
      </w:pPr>
    </w:p>
    <w:p w:rsidR="005776B2" w:rsidRPr="00472ED1" w:rsidRDefault="00472ED1" w:rsidP="00472ED1">
      <w:pPr>
        <w:pStyle w:val="Heading2"/>
        <w:rPr>
          <w:rFonts w:ascii="Arial" w:hAnsi="Arial" w:cs="Arial"/>
          <w:color w:val="auto"/>
          <w:sz w:val="24"/>
          <w:u w:val="single"/>
        </w:rPr>
      </w:pPr>
      <w:bookmarkStart w:id="73" w:name="_Toc10810598"/>
      <w:bookmarkStart w:id="74" w:name="_Toc20296951"/>
      <w:r w:rsidRPr="00472ED1">
        <w:rPr>
          <w:rFonts w:ascii="Arial" w:hAnsi="Arial" w:cs="Arial"/>
          <w:color w:val="auto"/>
          <w:sz w:val="24"/>
          <w:u w:val="single"/>
        </w:rPr>
        <w:t>3</w:t>
      </w:r>
      <w:r w:rsidR="005776B2" w:rsidRPr="00472ED1">
        <w:rPr>
          <w:rFonts w:ascii="Arial" w:hAnsi="Arial" w:cs="Arial"/>
          <w:color w:val="auto"/>
          <w:sz w:val="24"/>
          <w:u w:val="single"/>
        </w:rPr>
        <w:t>. Utilization of Home Health Services</w:t>
      </w:r>
      <w:bookmarkEnd w:id="73"/>
      <w:bookmarkEnd w:id="74"/>
    </w:p>
    <w:p w:rsidR="005776B2" w:rsidRPr="005776B2" w:rsidRDefault="005776B2" w:rsidP="005776B2">
      <w:pPr>
        <w:ind w:firstLine="0"/>
        <w:rPr>
          <w:rFonts w:ascii="Arial" w:hAnsi="Arial" w:cs="Arial"/>
          <w:sz w:val="24"/>
          <w:szCs w:val="24"/>
        </w:rPr>
      </w:pPr>
    </w:p>
    <w:p w:rsidR="00481E15" w:rsidRPr="005D1809" w:rsidRDefault="00481E15" w:rsidP="005D1809">
      <w:pPr>
        <w:ind w:firstLine="0"/>
        <w:rPr>
          <w:rFonts w:ascii="Arial" w:hAnsi="Arial" w:cs="Arial"/>
          <w:sz w:val="24"/>
        </w:rPr>
      </w:pPr>
      <w:r w:rsidRPr="005D1809">
        <w:rPr>
          <w:rFonts w:ascii="Arial" w:hAnsi="Arial" w:cs="Arial"/>
          <w:sz w:val="24"/>
        </w:rPr>
        <w:t>Data source: MMIS member enrollment data and MMIS claims data</w:t>
      </w:r>
    </w:p>
    <w:p w:rsidR="00481E15" w:rsidRPr="005D1809" w:rsidRDefault="00481E15" w:rsidP="005D1809">
      <w:pPr>
        <w:rPr>
          <w:rFonts w:ascii="Arial" w:hAnsi="Arial" w:cs="Arial"/>
          <w:sz w:val="24"/>
        </w:rPr>
      </w:pPr>
    </w:p>
    <w:p w:rsidR="00481E15" w:rsidRPr="005D1809" w:rsidRDefault="00481E15" w:rsidP="005D1809">
      <w:pPr>
        <w:ind w:firstLine="0"/>
        <w:rPr>
          <w:rFonts w:ascii="Arial" w:hAnsi="Arial" w:cs="Arial"/>
          <w:sz w:val="24"/>
        </w:rPr>
      </w:pPr>
      <w:r w:rsidRPr="005D1809">
        <w:rPr>
          <w:rFonts w:ascii="Arial" w:hAnsi="Arial" w:cs="Arial"/>
          <w:sz w:val="24"/>
        </w:rPr>
        <w:t>Methodology: Number of unduplicated members for each type of home health service in SFY16 – SFY18 is shown below. All providers captured in this section are providers who actively billed for Home Health Services during the dates of service in review.</w:t>
      </w:r>
    </w:p>
    <w:p w:rsidR="00481E15" w:rsidRPr="005D1809" w:rsidRDefault="00481E15" w:rsidP="005D1809">
      <w:pPr>
        <w:rPr>
          <w:rFonts w:ascii="Arial" w:hAnsi="Arial" w:cs="Arial"/>
          <w:sz w:val="24"/>
        </w:rPr>
      </w:pPr>
    </w:p>
    <w:p w:rsidR="00481E15" w:rsidRPr="005D1809" w:rsidRDefault="00481E15" w:rsidP="005D1809">
      <w:pPr>
        <w:ind w:firstLine="0"/>
        <w:rPr>
          <w:rFonts w:ascii="Arial" w:hAnsi="Arial" w:cs="Arial"/>
          <w:sz w:val="24"/>
        </w:rPr>
      </w:pPr>
      <w:r w:rsidRPr="005D1809">
        <w:rPr>
          <w:rFonts w:ascii="Arial" w:hAnsi="Arial" w:cs="Arial"/>
          <w:sz w:val="24"/>
        </w:rPr>
        <w:t>Data is not provided on a county level because home health agencies travel to the member’s home, and so services could be</w:t>
      </w:r>
      <w:r w:rsidR="00D668A6">
        <w:rPr>
          <w:rFonts w:ascii="Arial" w:hAnsi="Arial" w:cs="Arial"/>
          <w:sz w:val="24"/>
        </w:rPr>
        <w:t xml:space="preserve">, and often </w:t>
      </w:r>
      <w:r w:rsidR="00A53974">
        <w:rPr>
          <w:rFonts w:ascii="Arial" w:hAnsi="Arial" w:cs="Arial"/>
          <w:sz w:val="24"/>
        </w:rPr>
        <w:t>are</w:t>
      </w:r>
      <w:r w:rsidR="00D668A6">
        <w:rPr>
          <w:rFonts w:ascii="Arial" w:hAnsi="Arial" w:cs="Arial"/>
          <w:sz w:val="24"/>
        </w:rPr>
        <w:t>,</w:t>
      </w:r>
      <w:r w:rsidRPr="005D1809">
        <w:rPr>
          <w:rFonts w:ascii="Arial" w:hAnsi="Arial" w:cs="Arial"/>
          <w:sz w:val="24"/>
        </w:rPr>
        <w:t xml:space="preserve"> provided by home health agencies located in a county other than where the member resides. The methodology for this section differs from the rest of the home health analysis in this section 6 in that it is not based on episodes of care. It is also possible for more than one agency to be providing services to members who receive Continuous Skilled Nursing Services. </w:t>
      </w:r>
      <w:r w:rsidR="00FA189F" w:rsidRPr="005D1809">
        <w:rPr>
          <w:rFonts w:ascii="Arial" w:hAnsi="Arial" w:cs="Arial"/>
          <w:sz w:val="24"/>
        </w:rPr>
        <w:t>Furthermore</w:t>
      </w:r>
      <w:r w:rsidRPr="005D1809">
        <w:rPr>
          <w:rFonts w:ascii="Arial" w:hAnsi="Arial" w:cs="Arial"/>
          <w:sz w:val="24"/>
        </w:rPr>
        <w:t xml:space="preserve">, members may receive more than one home health service per day and therefore multiple claims per day could be attributable to just one member. </w:t>
      </w:r>
      <w:r w:rsidR="005A5DE6">
        <w:rPr>
          <w:rFonts w:ascii="Arial" w:hAnsi="Arial" w:cs="Arial"/>
          <w:sz w:val="24"/>
        </w:rPr>
        <w:t>Additional considerations:</w:t>
      </w:r>
    </w:p>
    <w:p w:rsidR="00481E15" w:rsidRPr="005D1809" w:rsidRDefault="00481E15" w:rsidP="005D1809">
      <w:pPr>
        <w:rPr>
          <w:rFonts w:ascii="Arial" w:hAnsi="Arial" w:cs="Arial"/>
          <w:sz w:val="24"/>
        </w:rPr>
      </w:pPr>
    </w:p>
    <w:p w:rsidR="00481E15" w:rsidRPr="005A5DE6" w:rsidRDefault="00481E15" w:rsidP="00605074">
      <w:pPr>
        <w:pStyle w:val="ListParagraph"/>
        <w:numPr>
          <w:ilvl w:val="0"/>
          <w:numId w:val="37"/>
        </w:numPr>
        <w:rPr>
          <w:rFonts w:ascii="Arial" w:hAnsi="Arial" w:cs="Arial"/>
          <w:sz w:val="24"/>
        </w:rPr>
      </w:pPr>
      <w:r w:rsidRPr="005A5DE6">
        <w:rPr>
          <w:rFonts w:ascii="Arial" w:hAnsi="Arial" w:cs="Arial"/>
          <w:sz w:val="24"/>
        </w:rPr>
        <w:t>Out-of-state utilization data is included because their services are provided to MassHealth members by out-of-state agencies.</w:t>
      </w:r>
    </w:p>
    <w:p w:rsidR="00481E15" w:rsidRPr="005D1809" w:rsidRDefault="00481E15" w:rsidP="005D1809">
      <w:pPr>
        <w:rPr>
          <w:rFonts w:ascii="Arial" w:hAnsi="Arial" w:cs="Arial"/>
          <w:sz w:val="24"/>
        </w:rPr>
      </w:pPr>
    </w:p>
    <w:p w:rsidR="00481E15" w:rsidRPr="000D3D06" w:rsidRDefault="00481E15" w:rsidP="005A5DE6">
      <w:pPr>
        <w:pStyle w:val="ListParagraph"/>
        <w:numPr>
          <w:ilvl w:val="0"/>
          <w:numId w:val="37"/>
        </w:numPr>
        <w:rPr>
          <w:rFonts w:ascii="Arial" w:hAnsi="Arial" w:cs="Arial"/>
          <w:sz w:val="24"/>
        </w:rPr>
      </w:pPr>
      <w:r w:rsidRPr="00605074">
        <w:rPr>
          <w:rFonts w:ascii="Arial" w:hAnsi="Arial" w:cs="Arial"/>
          <w:sz w:val="24"/>
        </w:rPr>
        <w:t xml:space="preserve">N/A indicates utilization could not be computed because there were no services utilized for such service in </w:t>
      </w:r>
      <w:r w:rsidRPr="000D3D06">
        <w:rPr>
          <w:rFonts w:ascii="Arial" w:hAnsi="Arial" w:cs="Arial"/>
          <w:sz w:val="24"/>
        </w:rPr>
        <w:t xml:space="preserve">that </w:t>
      </w:r>
      <w:proofErr w:type="gramStart"/>
      <w:r w:rsidRPr="000D3D06">
        <w:rPr>
          <w:rFonts w:ascii="Arial" w:hAnsi="Arial" w:cs="Arial"/>
          <w:sz w:val="24"/>
        </w:rPr>
        <w:t>county</w:t>
      </w:r>
      <w:proofErr w:type="gramEnd"/>
      <w:r w:rsidRPr="000D3D06">
        <w:rPr>
          <w:rFonts w:ascii="Arial" w:hAnsi="Arial" w:cs="Arial"/>
          <w:sz w:val="24"/>
        </w:rPr>
        <w:t xml:space="preserve">. </w:t>
      </w:r>
    </w:p>
    <w:p w:rsidR="006F4E3C" w:rsidRPr="000D3D06" w:rsidRDefault="006F4E3C" w:rsidP="006F4E3C">
      <w:pPr>
        <w:ind w:firstLine="0"/>
        <w:rPr>
          <w:rFonts w:ascii="Arial" w:hAnsi="Arial" w:cs="Arial"/>
          <w:sz w:val="24"/>
        </w:rPr>
      </w:pPr>
    </w:p>
    <w:p w:rsidR="00C77E47" w:rsidRPr="000D3D06" w:rsidRDefault="00C77E47" w:rsidP="00C77E47">
      <w:pPr>
        <w:pStyle w:val="ListParagraph"/>
        <w:numPr>
          <w:ilvl w:val="0"/>
          <w:numId w:val="37"/>
        </w:numPr>
        <w:rPr>
          <w:rFonts w:ascii="Arial" w:eastAsiaTheme="minorHAnsi" w:hAnsi="Arial" w:cs="Arial"/>
          <w:sz w:val="24"/>
        </w:rPr>
      </w:pPr>
      <w:r w:rsidRPr="000D3D06">
        <w:rPr>
          <w:rFonts w:ascii="Arial" w:eastAsiaTheme="minorHAnsi" w:hAnsi="Arial" w:cs="Arial"/>
          <w:sz w:val="24"/>
        </w:rPr>
        <w:t xml:space="preserve">Members are defined as </w:t>
      </w:r>
      <w:r w:rsidRPr="000D3D06">
        <w:rPr>
          <w:rFonts w:ascii="Arial" w:hAnsi="Arial" w:cs="Arial"/>
          <w:sz w:val="24"/>
        </w:rPr>
        <w:t xml:space="preserve">PCC plan members, members enrolled in a Primary Care ACO, and FFS members with MassHealth primary coverage, and FFS members with MassHealth secondary coverage with TPL </w:t>
      </w:r>
      <w:r w:rsidRPr="000D3D06">
        <w:rPr>
          <w:rFonts w:ascii="Arial" w:eastAsiaTheme="minorHAnsi" w:hAnsi="Arial" w:cs="Arial"/>
          <w:sz w:val="24"/>
        </w:rPr>
        <w:t xml:space="preserve">who are receiving home health services that could include one or more of the following services: skilled nursing, medication administration (provided by a RN or LPN), home health aide services, physical therapy, occupational therapy, or speech/language therapy. </w:t>
      </w:r>
    </w:p>
    <w:p w:rsidR="005776B2" w:rsidRPr="005776B2" w:rsidRDefault="005776B2" w:rsidP="005776B2">
      <w:pPr>
        <w:ind w:firstLine="0"/>
        <w:rPr>
          <w:rFonts w:ascii="Arial" w:hAnsi="Arial" w:cs="Arial"/>
          <w:sz w:val="24"/>
          <w:szCs w:val="24"/>
        </w:rPr>
      </w:pPr>
    </w:p>
    <w:p w:rsidR="005776B2" w:rsidRPr="009F7DBA" w:rsidRDefault="005776B2" w:rsidP="009F7DBA">
      <w:pPr>
        <w:ind w:firstLine="0"/>
        <w:rPr>
          <w:rFonts w:ascii="Arial" w:hAnsi="Arial" w:cs="Arial"/>
          <w:b/>
          <w:sz w:val="24"/>
          <w:u w:val="single"/>
        </w:rPr>
      </w:pPr>
      <w:bookmarkStart w:id="75" w:name="_Toc10810599"/>
      <w:r w:rsidRPr="009F7DBA">
        <w:rPr>
          <w:rFonts w:ascii="Arial" w:hAnsi="Arial" w:cs="Arial"/>
          <w:b/>
          <w:sz w:val="24"/>
          <w:u w:val="single"/>
        </w:rPr>
        <w:t>Utilization of Skilled Nursing and Home Health Aide Services by Service Code SFY16 –SFY18</w:t>
      </w:r>
      <w:bookmarkEnd w:id="75"/>
    </w:p>
    <w:p w:rsidR="00342778" w:rsidRPr="00342778" w:rsidRDefault="00342778" w:rsidP="00342778"/>
    <w:p w:rsidR="00481E15" w:rsidRPr="00342778" w:rsidRDefault="00481E15" w:rsidP="00481E15">
      <w:pPr>
        <w:ind w:firstLine="0"/>
        <w:rPr>
          <w:rFonts w:ascii="Arial" w:hAnsi="Arial" w:cs="Arial"/>
          <w:sz w:val="24"/>
          <w:szCs w:val="24"/>
        </w:rPr>
      </w:pPr>
      <w:r w:rsidRPr="00342778">
        <w:rPr>
          <w:rFonts w:ascii="Arial" w:hAnsi="Arial" w:cs="Arial"/>
          <w:sz w:val="24"/>
          <w:szCs w:val="24"/>
        </w:rPr>
        <w:t>Number of members using the following services: 1) Skilled Nursing (intermittent) 1- 60 days of service and 1-30 days of service</w:t>
      </w:r>
      <w:r w:rsidR="00EC53FF">
        <w:rPr>
          <w:rStyle w:val="FootnoteReference"/>
          <w:rFonts w:ascii="Arial" w:hAnsi="Arial" w:cs="Arial"/>
          <w:sz w:val="24"/>
          <w:szCs w:val="24"/>
        </w:rPr>
        <w:footnoteReference w:id="10"/>
      </w:r>
      <w:r w:rsidRPr="00342778">
        <w:rPr>
          <w:rFonts w:ascii="Arial" w:hAnsi="Arial" w:cs="Arial"/>
          <w:sz w:val="24"/>
          <w:szCs w:val="24"/>
        </w:rPr>
        <w:t>, 2) Skilled Nursing (intermittent) 60+ and 30+ days of service</w:t>
      </w:r>
      <w:r w:rsidRPr="00342778">
        <w:rPr>
          <w:rStyle w:val="FootnoteReference"/>
          <w:rFonts w:ascii="Arial" w:eastAsiaTheme="minorHAnsi" w:hAnsi="Arial" w:cs="Arial"/>
          <w:sz w:val="24"/>
          <w:szCs w:val="24"/>
        </w:rPr>
        <w:footnoteReference w:id="11"/>
      </w:r>
      <w:r w:rsidRPr="00342778">
        <w:rPr>
          <w:rFonts w:ascii="Arial" w:hAnsi="Arial" w:cs="Arial"/>
          <w:sz w:val="24"/>
          <w:szCs w:val="24"/>
        </w:rPr>
        <w:t xml:space="preserve"> 3) Home Health Aide, and 4) Medication Administration Visits (performed by a RN or LPN)</w:t>
      </w:r>
    </w:p>
    <w:p w:rsidR="00481E15" w:rsidRPr="00342778" w:rsidRDefault="00481E15" w:rsidP="00481E15">
      <w:pPr>
        <w:rPr>
          <w:rFonts w:ascii="Arial" w:hAnsi="Arial" w:cs="Arial"/>
          <w:sz w:val="24"/>
          <w:szCs w:val="24"/>
        </w:rPr>
      </w:pPr>
    </w:p>
    <w:p w:rsidR="00481E15" w:rsidRPr="00342778" w:rsidRDefault="00481E15" w:rsidP="00481E15">
      <w:pPr>
        <w:ind w:firstLine="0"/>
        <w:rPr>
          <w:rFonts w:ascii="Arial" w:hAnsi="Arial" w:cs="Arial"/>
          <w:sz w:val="24"/>
          <w:szCs w:val="24"/>
        </w:rPr>
      </w:pPr>
      <w:r w:rsidRPr="00342778">
        <w:rPr>
          <w:rFonts w:ascii="Arial" w:eastAsia="Times New Roman" w:hAnsi="Arial" w:cs="Arial"/>
          <w:b/>
          <w:bCs/>
          <w:color w:val="000000"/>
          <w:sz w:val="24"/>
          <w:szCs w:val="24"/>
        </w:rPr>
        <w:t>Skilled Nursing, Medication Administration, and Home Health Aide Unduplicated Member Counts</w:t>
      </w:r>
    </w:p>
    <w:tbl>
      <w:tblPr>
        <w:tblW w:w="1030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71"/>
        <w:gridCol w:w="1443"/>
        <w:gridCol w:w="1443"/>
        <w:gridCol w:w="1443"/>
      </w:tblGrid>
      <w:tr w:rsidR="00481E15" w:rsidRPr="00342778" w:rsidTr="00837B1A">
        <w:trPr>
          <w:trHeight w:val="255"/>
          <w:tblHeader/>
        </w:trPr>
        <w:tc>
          <w:tcPr>
            <w:tcW w:w="5962" w:type="dxa"/>
            <w:shd w:val="clear" w:color="auto" w:fill="auto"/>
            <w:noWrap/>
            <w:vAlign w:val="bottom"/>
          </w:tcPr>
          <w:p w:rsidR="00481E15" w:rsidRPr="00342778" w:rsidRDefault="00481E15" w:rsidP="00B132B6">
            <w:pPr>
              <w:rPr>
                <w:rFonts w:ascii="Arial" w:eastAsia="Times New Roman" w:hAnsi="Arial" w:cs="Arial"/>
                <w:b/>
                <w:color w:val="000000"/>
                <w:sz w:val="24"/>
                <w:szCs w:val="24"/>
              </w:rPr>
            </w:pPr>
            <w:r w:rsidRPr="00342778">
              <w:rPr>
                <w:rFonts w:ascii="Arial" w:eastAsia="Times New Roman" w:hAnsi="Arial" w:cs="Arial"/>
                <w:b/>
                <w:color w:val="000000"/>
                <w:sz w:val="24"/>
                <w:szCs w:val="24"/>
              </w:rPr>
              <w:t>Procedure Code and Modifier(s)</w:t>
            </w:r>
          </w:p>
        </w:tc>
        <w:tc>
          <w:tcPr>
            <w:tcW w:w="1440" w:type="dxa"/>
            <w:shd w:val="clear" w:color="auto" w:fill="auto"/>
            <w:noWrap/>
            <w:vAlign w:val="bottom"/>
          </w:tcPr>
          <w:p w:rsidR="001B7C0C" w:rsidRDefault="00481E15" w:rsidP="002D08A9">
            <w:pPr>
              <w:ind w:firstLine="0"/>
              <w:rPr>
                <w:rFonts w:ascii="Arial" w:eastAsia="Times New Roman" w:hAnsi="Arial" w:cs="Arial"/>
                <w:b/>
                <w:color w:val="000000"/>
                <w:sz w:val="24"/>
                <w:szCs w:val="24"/>
              </w:rPr>
            </w:pPr>
            <w:r w:rsidRPr="00342778">
              <w:rPr>
                <w:rFonts w:ascii="Arial" w:eastAsia="Times New Roman" w:hAnsi="Arial" w:cs="Arial"/>
                <w:b/>
                <w:color w:val="000000"/>
                <w:sz w:val="24"/>
                <w:szCs w:val="24"/>
              </w:rPr>
              <w:t xml:space="preserve">SFY </w:t>
            </w:r>
          </w:p>
          <w:p w:rsidR="00481E15" w:rsidRPr="00342778" w:rsidRDefault="00481E15" w:rsidP="002D08A9">
            <w:pPr>
              <w:ind w:firstLine="0"/>
              <w:rPr>
                <w:rFonts w:ascii="Arial" w:eastAsia="Times New Roman" w:hAnsi="Arial" w:cs="Arial"/>
                <w:b/>
                <w:color w:val="000000"/>
                <w:sz w:val="24"/>
                <w:szCs w:val="24"/>
              </w:rPr>
            </w:pPr>
            <w:r w:rsidRPr="00342778">
              <w:rPr>
                <w:rFonts w:ascii="Arial" w:eastAsia="Times New Roman" w:hAnsi="Arial" w:cs="Arial"/>
                <w:b/>
                <w:color w:val="000000"/>
                <w:sz w:val="24"/>
                <w:szCs w:val="24"/>
              </w:rPr>
              <w:t>2016</w:t>
            </w:r>
          </w:p>
        </w:tc>
        <w:tc>
          <w:tcPr>
            <w:tcW w:w="1440" w:type="dxa"/>
            <w:tcBorders>
              <w:bottom w:val="single" w:sz="8" w:space="0" w:color="auto"/>
            </w:tcBorders>
            <w:shd w:val="clear" w:color="auto" w:fill="auto"/>
            <w:noWrap/>
            <w:vAlign w:val="bottom"/>
          </w:tcPr>
          <w:p w:rsidR="001B7C0C" w:rsidRDefault="00481E15" w:rsidP="002D08A9">
            <w:pPr>
              <w:ind w:firstLine="0"/>
              <w:rPr>
                <w:rFonts w:ascii="Arial" w:eastAsia="Times New Roman" w:hAnsi="Arial" w:cs="Arial"/>
                <w:b/>
                <w:color w:val="000000"/>
                <w:sz w:val="24"/>
                <w:szCs w:val="24"/>
              </w:rPr>
            </w:pPr>
            <w:r w:rsidRPr="00342778">
              <w:rPr>
                <w:rFonts w:ascii="Arial" w:eastAsia="Times New Roman" w:hAnsi="Arial" w:cs="Arial"/>
                <w:b/>
                <w:color w:val="000000"/>
                <w:sz w:val="24"/>
                <w:szCs w:val="24"/>
              </w:rPr>
              <w:t xml:space="preserve">SFY </w:t>
            </w:r>
          </w:p>
          <w:p w:rsidR="00481E15" w:rsidRPr="00342778" w:rsidRDefault="00481E15" w:rsidP="002D08A9">
            <w:pPr>
              <w:ind w:firstLine="0"/>
              <w:rPr>
                <w:rFonts w:ascii="Arial" w:eastAsia="Times New Roman" w:hAnsi="Arial" w:cs="Arial"/>
                <w:b/>
                <w:color w:val="000000"/>
                <w:sz w:val="24"/>
                <w:szCs w:val="24"/>
              </w:rPr>
            </w:pPr>
            <w:r w:rsidRPr="00342778">
              <w:rPr>
                <w:rFonts w:ascii="Arial" w:eastAsia="Times New Roman" w:hAnsi="Arial" w:cs="Arial"/>
                <w:b/>
                <w:color w:val="000000"/>
                <w:sz w:val="24"/>
                <w:szCs w:val="24"/>
              </w:rPr>
              <w:t>2017</w:t>
            </w:r>
          </w:p>
        </w:tc>
        <w:tc>
          <w:tcPr>
            <w:tcW w:w="1440" w:type="dxa"/>
            <w:tcBorders>
              <w:bottom w:val="single" w:sz="8" w:space="0" w:color="auto"/>
            </w:tcBorders>
            <w:shd w:val="clear" w:color="auto" w:fill="auto"/>
            <w:noWrap/>
            <w:vAlign w:val="bottom"/>
          </w:tcPr>
          <w:p w:rsidR="00481E15" w:rsidRDefault="00481E15" w:rsidP="002D08A9">
            <w:pPr>
              <w:ind w:firstLine="0"/>
              <w:rPr>
                <w:rFonts w:ascii="Arial" w:eastAsia="Times New Roman" w:hAnsi="Arial" w:cs="Arial"/>
                <w:b/>
                <w:color w:val="000000"/>
                <w:sz w:val="24"/>
                <w:szCs w:val="24"/>
              </w:rPr>
            </w:pPr>
            <w:r w:rsidRPr="00342778">
              <w:rPr>
                <w:rFonts w:ascii="Arial" w:eastAsia="Times New Roman" w:hAnsi="Arial" w:cs="Arial"/>
                <w:b/>
                <w:color w:val="000000"/>
                <w:sz w:val="24"/>
                <w:szCs w:val="24"/>
              </w:rPr>
              <w:t>SFY</w:t>
            </w:r>
          </w:p>
          <w:p w:rsidR="00481E15" w:rsidRPr="00342778" w:rsidRDefault="00481E15" w:rsidP="002D08A9">
            <w:pPr>
              <w:ind w:firstLine="0"/>
              <w:rPr>
                <w:rFonts w:ascii="Arial" w:eastAsia="Times New Roman" w:hAnsi="Arial" w:cs="Arial"/>
                <w:b/>
                <w:color w:val="000000"/>
                <w:sz w:val="24"/>
                <w:szCs w:val="24"/>
              </w:rPr>
            </w:pPr>
            <w:r w:rsidRPr="00342778">
              <w:rPr>
                <w:rFonts w:ascii="Arial" w:eastAsia="Times New Roman" w:hAnsi="Arial" w:cs="Arial"/>
                <w:b/>
                <w:color w:val="000000"/>
                <w:sz w:val="24"/>
                <w:szCs w:val="24"/>
              </w:rPr>
              <w:t>2018</w:t>
            </w:r>
          </w:p>
        </w:tc>
      </w:tr>
      <w:tr w:rsidR="00481E15" w:rsidRPr="005776B2" w:rsidTr="00837B1A">
        <w:trPr>
          <w:trHeight w:val="255"/>
        </w:trPr>
        <w:tc>
          <w:tcPr>
            <w:tcW w:w="5962"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G0154</w:t>
            </w:r>
            <w:r w:rsidRPr="005776B2">
              <w:rPr>
                <w:rStyle w:val="FootnoteReference"/>
                <w:rFonts w:ascii="Arial" w:eastAsia="Times New Roman" w:hAnsi="Arial" w:cs="Arial"/>
                <w:color w:val="000000"/>
                <w:sz w:val="24"/>
                <w:szCs w:val="24"/>
              </w:rPr>
              <w:footnoteReference w:id="12"/>
            </w:r>
            <w:r w:rsidRPr="005776B2">
              <w:rPr>
                <w:rFonts w:ascii="Arial" w:eastAsia="Times New Roman" w:hAnsi="Arial" w:cs="Arial"/>
                <w:color w:val="000000"/>
                <w:sz w:val="24"/>
                <w:szCs w:val="24"/>
              </w:rPr>
              <w:t xml:space="preserve"> Skilled Nursing services in a Home Health Setting (1-60 days)</w:t>
            </w:r>
          </w:p>
        </w:tc>
        <w:tc>
          <w:tcPr>
            <w:tcW w:w="1440" w:type="dxa"/>
            <w:shd w:val="clear" w:color="auto" w:fill="auto"/>
            <w:noWrap/>
            <w:vAlign w:val="bottom"/>
            <w:hideMark/>
          </w:tcPr>
          <w:p w:rsidR="00481E15" w:rsidRPr="00985B7A" w:rsidRDefault="00481E15" w:rsidP="00985B7A">
            <w:pPr>
              <w:pStyle w:val="NoSpacing"/>
              <w:ind w:firstLine="0"/>
              <w:rPr>
                <w:rFonts w:ascii="Arial" w:hAnsi="Arial" w:cs="Arial"/>
              </w:rPr>
            </w:pPr>
            <w:r w:rsidRPr="00985B7A">
              <w:rPr>
                <w:rFonts w:ascii="Arial" w:hAnsi="Arial" w:cs="Arial"/>
                <w:sz w:val="24"/>
              </w:rPr>
              <w:t xml:space="preserve">17,476 </w:t>
            </w:r>
          </w:p>
        </w:tc>
        <w:tc>
          <w:tcPr>
            <w:tcW w:w="1440" w:type="dxa"/>
            <w:shd w:val="clear" w:color="auto" w:fill="FFFFFF" w:themeFill="background1"/>
            <w:noWrap/>
            <w:vAlign w:val="bottom"/>
            <w:hideMark/>
          </w:tcPr>
          <w:p w:rsidR="00481E15" w:rsidRPr="005776B2" w:rsidRDefault="00481E15" w:rsidP="00B132B6">
            <w:pPr>
              <w:ind w:firstLine="0"/>
              <w:rPr>
                <w:rFonts w:ascii="Arial" w:eastAsia="Times New Roman" w:hAnsi="Arial" w:cs="Arial"/>
                <w:color w:val="000000"/>
                <w:sz w:val="24"/>
                <w:szCs w:val="24"/>
              </w:rPr>
            </w:pPr>
            <w:r>
              <w:rPr>
                <w:rFonts w:ascii="Arial" w:eastAsia="Times New Roman" w:hAnsi="Arial" w:cs="Arial"/>
                <w:color w:val="000000"/>
                <w:sz w:val="24"/>
                <w:szCs w:val="24"/>
              </w:rPr>
              <w:t>N/A</w:t>
            </w:r>
          </w:p>
        </w:tc>
        <w:tc>
          <w:tcPr>
            <w:tcW w:w="1440" w:type="dxa"/>
            <w:shd w:val="clear" w:color="auto" w:fill="FFFFFF" w:themeFill="background1"/>
            <w:noWrap/>
            <w:vAlign w:val="bottom"/>
            <w:hideMark/>
          </w:tcPr>
          <w:p w:rsidR="00481E15" w:rsidRPr="005776B2" w:rsidRDefault="00481E15" w:rsidP="00B132B6">
            <w:pPr>
              <w:ind w:firstLine="0"/>
              <w:rPr>
                <w:rFonts w:ascii="Arial" w:eastAsia="Times New Roman" w:hAnsi="Arial" w:cs="Arial"/>
                <w:color w:val="000000"/>
                <w:sz w:val="24"/>
                <w:szCs w:val="24"/>
              </w:rPr>
            </w:pPr>
            <w:r>
              <w:rPr>
                <w:rFonts w:ascii="Arial" w:eastAsia="Times New Roman" w:hAnsi="Arial" w:cs="Arial"/>
                <w:color w:val="000000"/>
                <w:sz w:val="24"/>
                <w:szCs w:val="24"/>
              </w:rPr>
              <w:t> N/A</w:t>
            </w:r>
          </w:p>
        </w:tc>
      </w:tr>
      <w:tr w:rsidR="00481E15" w:rsidRPr="005776B2" w:rsidTr="00837B1A">
        <w:trPr>
          <w:trHeight w:val="255"/>
        </w:trPr>
        <w:tc>
          <w:tcPr>
            <w:tcW w:w="5962" w:type="dxa"/>
            <w:shd w:val="clear" w:color="auto" w:fill="auto"/>
            <w:noWrap/>
            <w:vAlign w:val="bottom"/>
            <w:hideMark/>
          </w:tcPr>
          <w:p w:rsidR="00481E15" w:rsidRPr="00985B7A" w:rsidRDefault="00481E15" w:rsidP="00B132B6">
            <w:pPr>
              <w:ind w:firstLine="0"/>
              <w:rPr>
                <w:rFonts w:ascii="Arial" w:eastAsia="Times New Roman" w:hAnsi="Arial" w:cs="Arial"/>
                <w:color w:val="000000"/>
                <w:sz w:val="24"/>
                <w:szCs w:val="24"/>
              </w:rPr>
            </w:pPr>
            <w:r w:rsidRPr="00985B7A">
              <w:rPr>
                <w:rFonts w:ascii="Arial" w:eastAsia="Times New Roman" w:hAnsi="Arial" w:cs="Arial"/>
                <w:color w:val="000000"/>
                <w:sz w:val="24"/>
                <w:szCs w:val="24"/>
              </w:rPr>
              <w:t>G0154 (UD, U1, U2)- Skilled Nursing services in a Home Health Setting (60+ days)</w:t>
            </w:r>
          </w:p>
        </w:tc>
        <w:tc>
          <w:tcPr>
            <w:tcW w:w="1440" w:type="dxa"/>
            <w:shd w:val="clear" w:color="auto" w:fill="auto"/>
            <w:noWrap/>
            <w:vAlign w:val="bottom"/>
            <w:hideMark/>
          </w:tcPr>
          <w:p w:rsidR="00481E15" w:rsidRPr="00985B7A" w:rsidRDefault="00481E15" w:rsidP="00985B7A">
            <w:pPr>
              <w:pStyle w:val="NoSpacing"/>
              <w:ind w:firstLine="0"/>
              <w:rPr>
                <w:rFonts w:ascii="Arial" w:hAnsi="Arial" w:cs="Arial"/>
              </w:rPr>
            </w:pPr>
            <w:r w:rsidRPr="00985B7A">
              <w:rPr>
                <w:rFonts w:ascii="Arial" w:hAnsi="Arial" w:cs="Arial"/>
                <w:sz w:val="24"/>
              </w:rPr>
              <w:t xml:space="preserve">17,616 </w:t>
            </w:r>
          </w:p>
        </w:tc>
        <w:tc>
          <w:tcPr>
            <w:tcW w:w="1440" w:type="dxa"/>
            <w:shd w:val="clear" w:color="auto" w:fill="FFFFFF" w:themeFill="background1"/>
            <w:noWrap/>
            <w:vAlign w:val="bottom"/>
            <w:hideMark/>
          </w:tcPr>
          <w:p w:rsidR="00481E15" w:rsidRPr="005776B2" w:rsidRDefault="00481E15" w:rsidP="00B132B6">
            <w:pPr>
              <w:ind w:firstLine="0"/>
              <w:rPr>
                <w:rFonts w:ascii="Arial" w:eastAsia="Times New Roman" w:hAnsi="Arial" w:cs="Arial"/>
                <w:color w:val="000000"/>
                <w:sz w:val="24"/>
                <w:szCs w:val="24"/>
              </w:rPr>
            </w:pPr>
            <w:r>
              <w:rPr>
                <w:rFonts w:ascii="Arial" w:eastAsia="Times New Roman" w:hAnsi="Arial" w:cs="Arial"/>
                <w:color w:val="000000"/>
                <w:sz w:val="24"/>
                <w:szCs w:val="24"/>
              </w:rPr>
              <w:t>N/A</w:t>
            </w:r>
          </w:p>
        </w:tc>
        <w:tc>
          <w:tcPr>
            <w:tcW w:w="1440" w:type="dxa"/>
            <w:shd w:val="clear" w:color="auto" w:fill="FFFFFF" w:themeFill="background1"/>
            <w:noWrap/>
            <w:vAlign w:val="bottom"/>
            <w:hideMark/>
          </w:tcPr>
          <w:p w:rsidR="00481E15" w:rsidRPr="005776B2" w:rsidRDefault="00481E15" w:rsidP="00B132B6">
            <w:pPr>
              <w:ind w:firstLine="0"/>
              <w:rPr>
                <w:rFonts w:ascii="Arial" w:eastAsia="Times New Roman" w:hAnsi="Arial" w:cs="Arial"/>
                <w:color w:val="000000"/>
                <w:sz w:val="24"/>
                <w:szCs w:val="24"/>
              </w:rPr>
            </w:pPr>
            <w:r>
              <w:rPr>
                <w:rFonts w:ascii="Arial" w:eastAsia="Times New Roman" w:hAnsi="Arial" w:cs="Arial"/>
                <w:color w:val="000000"/>
                <w:sz w:val="24"/>
                <w:szCs w:val="24"/>
              </w:rPr>
              <w:t> N/A</w:t>
            </w:r>
          </w:p>
        </w:tc>
      </w:tr>
      <w:tr w:rsidR="00481E15" w:rsidRPr="005776B2" w:rsidTr="00837B1A">
        <w:trPr>
          <w:trHeight w:val="255"/>
        </w:trPr>
        <w:tc>
          <w:tcPr>
            <w:tcW w:w="5962"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G0154 (TT)- Skilled Nursing services in a Home Health Setting (multiple member care)</w:t>
            </w:r>
          </w:p>
        </w:tc>
        <w:tc>
          <w:tcPr>
            <w:tcW w:w="1440" w:type="dxa"/>
            <w:shd w:val="clear" w:color="auto" w:fill="auto"/>
            <w:noWrap/>
            <w:vAlign w:val="bottom"/>
            <w:hideMark/>
          </w:tcPr>
          <w:p w:rsidR="00481E15" w:rsidRPr="00985B7A" w:rsidRDefault="00481E15" w:rsidP="00985B7A">
            <w:pPr>
              <w:pStyle w:val="NoSpacing"/>
              <w:ind w:firstLine="0"/>
              <w:rPr>
                <w:rFonts w:ascii="Arial" w:hAnsi="Arial" w:cs="Arial"/>
              </w:rPr>
            </w:pPr>
            <w:r w:rsidRPr="00985B7A">
              <w:rPr>
                <w:rFonts w:ascii="Arial" w:hAnsi="Arial" w:cs="Arial"/>
                <w:sz w:val="24"/>
              </w:rPr>
              <w:t xml:space="preserve">1,015 </w:t>
            </w:r>
          </w:p>
        </w:tc>
        <w:tc>
          <w:tcPr>
            <w:tcW w:w="1440" w:type="dxa"/>
            <w:shd w:val="clear" w:color="auto" w:fill="FFFFFF" w:themeFill="background1"/>
            <w:noWrap/>
            <w:vAlign w:val="bottom"/>
            <w:hideMark/>
          </w:tcPr>
          <w:p w:rsidR="00481E15" w:rsidRPr="005776B2" w:rsidRDefault="00481E15" w:rsidP="00B132B6">
            <w:pPr>
              <w:ind w:firstLine="0"/>
              <w:rPr>
                <w:rFonts w:ascii="Arial" w:eastAsia="Times New Roman" w:hAnsi="Arial" w:cs="Arial"/>
                <w:color w:val="000000"/>
                <w:sz w:val="24"/>
                <w:szCs w:val="24"/>
              </w:rPr>
            </w:pPr>
            <w:r>
              <w:rPr>
                <w:rFonts w:ascii="Arial" w:eastAsia="Times New Roman" w:hAnsi="Arial" w:cs="Arial"/>
                <w:color w:val="000000"/>
                <w:sz w:val="24"/>
                <w:szCs w:val="24"/>
              </w:rPr>
              <w:t>N/A</w:t>
            </w:r>
          </w:p>
        </w:tc>
        <w:tc>
          <w:tcPr>
            <w:tcW w:w="1440" w:type="dxa"/>
            <w:shd w:val="clear" w:color="auto" w:fill="FFFFFF" w:themeFill="background1"/>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 </w:t>
            </w:r>
            <w:r>
              <w:rPr>
                <w:rFonts w:ascii="Arial" w:eastAsia="Times New Roman" w:hAnsi="Arial" w:cs="Arial"/>
                <w:color w:val="000000"/>
                <w:sz w:val="24"/>
                <w:szCs w:val="24"/>
              </w:rPr>
              <w:t>N/A</w:t>
            </w:r>
          </w:p>
        </w:tc>
      </w:tr>
      <w:tr w:rsidR="00481E15" w:rsidRPr="005776B2" w:rsidTr="00837B1A">
        <w:trPr>
          <w:trHeight w:val="255"/>
        </w:trPr>
        <w:tc>
          <w:tcPr>
            <w:tcW w:w="5962"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G0156 – Home Health Aide Services in a Home Health Setting</w:t>
            </w:r>
          </w:p>
        </w:tc>
        <w:tc>
          <w:tcPr>
            <w:tcW w:w="1440" w:type="dxa"/>
            <w:shd w:val="clear" w:color="auto" w:fill="auto"/>
            <w:noWrap/>
            <w:vAlign w:val="bottom"/>
            <w:hideMark/>
          </w:tcPr>
          <w:p w:rsidR="00481E15" w:rsidRPr="00985B7A" w:rsidRDefault="00481E15" w:rsidP="00985B7A">
            <w:pPr>
              <w:ind w:firstLine="0"/>
              <w:rPr>
                <w:rFonts w:ascii="Arial" w:hAnsi="Arial" w:cs="Arial"/>
                <w:sz w:val="24"/>
                <w:szCs w:val="24"/>
              </w:rPr>
            </w:pPr>
            <w:r w:rsidRPr="00985B7A">
              <w:t xml:space="preserve"> </w:t>
            </w:r>
            <w:r w:rsidRPr="00985B7A">
              <w:rPr>
                <w:rFonts w:ascii="Arial" w:hAnsi="Arial" w:cs="Arial"/>
                <w:sz w:val="24"/>
                <w:szCs w:val="24"/>
              </w:rPr>
              <w:t xml:space="preserve">12,337 </w:t>
            </w:r>
          </w:p>
        </w:tc>
        <w:tc>
          <w:tcPr>
            <w:tcW w:w="1440" w:type="dxa"/>
            <w:shd w:val="clear" w:color="auto" w:fill="auto"/>
            <w:noWrap/>
            <w:vAlign w:val="bottom"/>
            <w:hideMark/>
          </w:tcPr>
          <w:p w:rsidR="00481E15" w:rsidRPr="00985B7A" w:rsidRDefault="00481E15" w:rsidP="00985B7A">
            <w:pPr>
              <w:ind w:firstLine="0"/>
              <w:rPr>
                <w:rFonts w:ascii="Arial" w:hAnsi="Arial" w:cs="Arial"/>
                <w:sz w:val="24"/>
                <w:szCs w:val="24"/>
              </w:rPr>
            </w:pPr>
            <w:r w:rsidRPr="00985B7A">
              <w:rPr>
                <w:rFonts w:ascii="Arial" w:hAnsi="Arial" w:cs="Arial"/>
                <w:sz w:val="24"/>
                <w:szCs w:val="24"/>
              </w:rPr>
              <w:t xml:space="preserve">11,641 </w:t>
            </w:r>
          </w:p>
        </w:tc>
        <w:tc>
          <w:tcPr>
            <w:tcW w:w="1440" w:type="dxa"/>
            <w:shd w:val="clear" w:color="auto" w:fill="auto"/>
            <w:noWrap/>
            <w:vAlign w:val="bottom"/>
            <w:hideMark/>
          </w:tcPr>
          <w:p w:rsidR="00481E15" w:rsidRPr="00985B7A" w:rsidRDefault="00481E15" w:rsidP="00985B7A">
            <w:pPr>
              <w:ind w:firstLine="0"/>
              <w:rPr>
                <w:rFonts w:ascii="Arial" w:hAnsi="Arial" w:cs="Arial"/>
                <w:sz w:val="24"/>
                <w:szCs w:val="24"/>
              </w:rPr>
            </w:pPr>
            <w:r w:rsidRPr="00985B7A">
              <w:rPr>
                <w:rFonts w:ascii="Arial" w:hAnsi="Arial" w:cs="Arial"/>
                <w:sz w:val="24"/>
                <w:szCs w:val="24"/>
              </w:rPr>
              <w:t xml:space="preserve">9,300 </w:t>
            </w:r>
          </w:p>
        </w:tc>
      </w:tr>
      <w:tr w:rsidR="00481E15" w:rsidRPr="005776B2" w:rsidTr="00837B1A">
        <w:trPr>
          <w:trHeight w:val="255"/>
        </w:trPr>
        <w:tc>
          <w:tcPr>
            <w:tcW w:w="5962"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 xml:space="preserve">G0299 - Skilled Nursing (RN) services in a Home </w:t>
            </w:r>
            <w:r w:rsidRPr="005776B2">
              <w:rPr>
                <w:rFonts w:ascii="Arial" w:eastAsia="Times New Roman" w:hAnsi="Arial" w:cs="Arial"/>
                <w:color w:val="000000"/>
                <w:sz w:val="24"/>
                <w:szCs w:val="24"/>
              </w:rPr>
              <w:lastRenderedPageBreak/>
              <w:t>Health Setting (1-60 days; 1-30 days)</w:t>
            </w:r>
          </w:p>
        </w:tc>
        <w:tc>
          <w:tcPr>
            <w:tcW w:w="1440" w:type="dxa"/>
            <w:shd w:val="clear" w:color="auto" w:fill="auto"/>
            <w:noWrap/>
            <w:vAlign w:val="bottom"/>
            <w:hideMark/>
          </w:tcPr>
          <w:p w:rsidR="00481E15" w:rsidRPr="00992F04" w:rsidRDefault="00481E15" w:rsidP="00985B7A">
            <w:pPr>
              <w:ind w:firstLine="0"/>
              <w:rPr>
                <w:rFonts w:ascii="Arial" w:hAnsi="Arial" w:cs="Arial"/>
                <w:sz w:val="24"/>
                <w:szCs w:val="24"/>
              </w:rPr>
            </w:pPr>
            <w:r w:rsidRPr="00992F04">
              <w:rPr>
                <w:rFonts w:ascii="Arial" w:hAnsi="Arial" w:cs="Arial"/>
                <w:sz w:val="24"/>
                <w:szCs w:val="24"/>
              </w:rPr>
              <w:lastRenderedPageBreak/>
              <w:t xml:space="preserve">19,443 </w:t>
            </w:r>
          </w:p>
        </w:tc>
        <w:tc>
          <w:tcPr>
            <w:tcW w:w="1440" w:type="dxa"/>
            <w:shd w:val="clear" w:color="auto" w:fill="auto"/>
            <w:noWrap/>
            <w:vAlign w:val="bottom"/>
            <w:hideMark/>
          </w:tcPr>
          <w:p w:rsidR="00481E15" w:rsidRPr="00992F04" w:rsidRDefault="00481E15" w:rsidP="00985B7A">
            <w:pPr>
              <w:ind w:firstLine="0"/>
              <w:rPr>
                <w:rFonts w:ascii="Arial" w:hAnsi="Arial" w:cs="Arial"/>
                <w:sz w:val="24"/>
                <w:szCs w:val="24"/>
              </w:rPr>
            </w:pPr>
            <w:r w:rsidRPr="00992F04">
              <w:rPr>
                <w:rFonts w:ascii="Arial" w:hAnsi="Arial" w:cs="Arial"/>
                <w:sz w:val="24"/>
                <w:szCs w:val="24"/>
              </w:rPr>
              <w:t xml:space="preserve">23,872 </w:t>
            </w:r>
          </w:p>
        </w:tc>
        <w:tc>
          <w:tcPr>
            <w:tcW w:w="1440" w:type="dxa"/>
            <w:shd w:val="clear" w:color="auto" w:fill="auto"/>
            <w:noWrap/>
            <w:vAlign w:val="bottom"/>
            <w:hideMark/>
          </w:tcPr>
          <w:p w:rsidR="00481E15" w:rsidRPr="00992F04" w:rsidRDefault="00481E15" w:rsidP="00985B7A">
            <w:pPr>
              <w:ind w:firstLine="0"/>
              <w:rPr>
                <w:rFonts w:ascii="Arial" w:hAnsi="Arial" w:cs="Arial"/>
                <w:sz w:val="24"/>
                <w:szCs w:val="24"/>
              </w:rPr>
            </w:pPr>
            <w:r w:rsidRPr="00992F04">
              <w:rPr>
                <w:rFonts w:ascii="Arial" w:hAnsi="Arial" w:cs="Arial"/>
                <w:sz w:val="24"/>
                <w:szCs w:val="24"/>
              </w:rPr>
              <w:t xml:space="preserve"> 18,570 </w:t>
            </w:r>
          </w:p>
        </w:tc>
      </w:tr>
      <w:tr w:rsidR="00481E15" w:rsidRPr="005776B2" w:rsidTr="00837B1A">
        <w:trPr>
          <w:trHeight w:val="255"/>
        </w:trPr>
        <w:tc>
          <w:tcPr>
            <w:tcW w:w="5962"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lastRenderedPageBreak/>
              <w:t>G0299 (UD, U1, U2)-</w:t>
            </w:r>
            <w:r w:rsidRPr="005776B2">
              <w:rPr>
                <w:rFonts w:ascii="Arial" w:hAnsi="Arial" w:cs="Arial"/>
                <w:sz w:val="24"/>
                <w:szCs w:val="24"/>
              </w:rPr>
              <w:t xml:space="preserve"> </w:t>
            </w:r>
            <w:r w:rsidRPr="005776B2">
              <w:rPr>
                <w:rFonts w:ascii="Arial" w:eastAsia="Times New Roman" w:hAnsi="Arial" w:cs="Arial"/>
                <w:color w:val="000000"/>
                <w:sz w:val="24"/>
                <w:szCs w:val="24"/>
              </w:rPr>
              <w:t>Skilled Nursing (RN) services in a Home Health Setting (61+ days; 31+days)</w:t>
            </w:r>
          </w:p>
        </w:tc>
        <w:tc>
          <w:tcPr>
            <w:tcW w:w="1440" w:type="dxa"/>
            <w:shd w:val="clear" w:color="auto" w:fill="auto"/>
            <w:noWrap/>
            <w:vAlign w:val="bottom"/>
            <w:hideMark/>
          </w:tcPr>
          <w:p w:rsidR="00481E15" w:rsidRPr="00992F04" w:rsidRDefault="00481E15" w:rsidP="00985B7A">
            <w:pPr>
              <w:pStyle w:val="NoSpacing"/>
              <w:rPr>
                <w:rFonts w:ascii="Arial" w:hAnsi="Arial" w:cs="Arial"/>
                <w:sz w:val="24"/>
                <w:szCs w:val="24"/>
              </w:rPr>
            </w:pPr>
            <w:r w:rsidRPr="00992F04">
              <w:rPr>
                <w:rFonts w:ascii="Arial" w:hAnsi="Arial" w:cs="Arial"/>
                <w:sz w:val="24"/>
                <w:szCs w:val="24"/>
              </w:rPr>
              <w:t xml:space="preserve">   18,961 </w:t>
            </w:r>
          </w:p>
        </w:tc>
        <w:tc>
          <w:tcPr>
            <w:tcW w:w="1440" w:type="dxa"/>
            <w:shd w:val="clear" w:color="auto" w:fill="auto"/>
            <w:noWrap/>
            <w:vAlign w:val="bottom"/>
            <w:hideMark/>
          </w:tcPr>
          <w:p w:rsidR="00481E15" w:rsidRPr="00992F04" w:rsidRDefault="00481E15" w:rsidP="00985B7A">
            <w:pPr>
              <w:ind w:firstLine="0"/>
              <w:rPr>
                <w:rFonts w:ascii="Arial" w:hAnsi="Arial" w:cs="Arial"/>
                <w:sz w:val="24"/>
                <w:szCs w:val="24"/>
              </w:rPr>
            </w:pPr>
            <w:r w:rsidRPr="00992F04">
              <w:rPr>
                <w:rFonts w:ascii="Arial" w:hAnsi="Arial" w:cs="Arial"/>
                <w:sz w:val="24"/>
                <w:szCs w:val="24"/>
              </w:rPr>
              <w:t xml:space="preserve">22,494 </w:t>
            </w:r>
          </w:p>
        </w:tc>
        <w:tc>
          <w:tcPr>
            <w:tcW w:w="1440" w:type="dxa"/>
            <w:shd w:val="clear" w:color="auto" w:fill="auto"/>
            <w:noWrap/>
            <w:vAlign w:val="bottom"/>
            <w:hideMark/>
          </w:tcPr>
          <w:p w:rsidR="00481E15" w:rsidRPr="00992F04" w:rsidRDefault="00481E15" w:rsidP="00985B7A">
            <w:pPr>
              <w:ind w:firstLine="0"/>
              <w:rPr>
                <w:rFonts w:ascii="Arial" w:hAnsi="Arial" w:cs="Arial"/>
                <w:sz w:val="24"/>
                <w:szCs w:val="24"/>
              </w:rPr>
            </w:pPr>
            <w:r w:rsidRPr="00992F04">
              <w:rPr>
                <w:rFonts w:ascii="Arial" w:hAnsi="Arial" w:cs="Arial"/>
                <w:sz w:val="24"/>
                <w:szCs w:val="24"/>
              </w:rPr>
              <w:t xml:space="preserve">21,633 </w:t>
            </w:r>
          </w:p>
        </w:tc>
      </w:tr>
      <w:tr w:rsidR="00481E15" w:rsidRPr="005776B2" w:rsidTr="00837B1A">
        <w:trPr>
          <w:trHeight w:val="255"/>
        </w:trPr>
        <w:tc>
          <w:tcPr>
            <w:tcW w:w="5962"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G0299 (TT)- Skilled Nursing (RN) services in a Home Health Setting (multiple member care)</w:t>
            </w:r>
          </w:p>
        </w:tc>
        <w:tc>
          <w:tcPr>
            <w:tcW w:w="1440" w:type="dxa"/>
            <w:shd w:val="clear" w:color="auto" w:fill="auto"/>
            <w:noWrap/>
            <w:hideMark/>
          </w:tcPr>
          <w:p w:rsidR="00481E15" w:rsidRPr="00992F04" w:rsidRDefault="00481E15" w:rsidP="007910F9">
            <w:pPr>
              <w:pStyle w:val="NoSpacing"/>
              <w:ind w:firstLine="0"/>
              <w:rPr>
                <w:rFonts w:ascii="Arial" w:hAnsi="Arial" w:cs="Arial"/>
                <w:sz w:val="24"/>
                <w:szCs w:val="24"/>
              </w:rPr>
            </w:pPr>
            <w:r w:rsidRPr="00992F04">
              <w:rPr>
                <w:rFonts w:ascii="Arial" w:hAnsi="Arial" w:cs="Arial"/>
                <w:sz w:val="24"/>
                <w:szCs w:val="24"/>
              </w:rPr>
              <w:t xml:space="preserve">1,014 </w:t>
            </w:r>
          </w:p>
        </w:tc>
        <w:tc>
          <w:tcPr>
            <w:tcW w:w="1440" w:type="dxa"/>
            <w:shd w:val="clear" w:color="auto" w:fill="auto"/>
            <w:noWrap/>
            <w:hideMark/>
          </w:tcPr>
          <w:p w:rsidR="00481E15" w:rsidRPr="00992F04" w:rsidRDefault="00481E15" w:rsidP="007910F9">
            <w:pPr>
              <w:pStyle w:val="NoSpacing"/>
              <w:ind w:firstLine="0"/>
              <w:rPr>
                <w:rFonts w:ascii="Arial" w:hAnsi="Arial" w:cs="Arial"/>
                <w:sz w:val="24"/>
                <w:szCs w:val="24"/>
              </w:rPr>
            </w:pPr>
            <w:r w:rsidRPr="00992F04">
              <w:rPr>
                <w:rFonts w:ascii="Arial" w:hAnsi="Arial" w:cs="Arial"/>
                <w:sz w:val="24"/>
                <w:szCs w:val="24"/>
              </w:rPr>
              <w:t xml:space="preserve">770 </w:t>
            </w:r>
          </w:p>
        </w:tc>
        <w:tc>
          <w:tcPr>
            <w:tcW w:w="1440" w:type="dxa"/>
            <w:shd w:val="clear" w:color="auto" w:fill="auto"/>
            <w:noWrap/>
            <w:hideMark/>
          </w:tcPr>
          <w:p w:rsidR="00481E15" w:rsidRPr="00992F04" w:rsidRDefault="00481E15" w:rsidP="007910F9">
            <w:pPr>
              <w:pStyle w:val="NoSpacing"/>
              <w:ind w:firstLine="0"/>
              <w:rPr>
                <w:rFonts w:ascii="Arial" w:hAnsi="Arial" w:cs="Arial"/>
                <w:sz w:val="24"/>
                <w:szCs w:val="24"/>
              </w:rPr>
            </w:pPr>
            <w:r w:rsidRPr="00992F04">
              <w:rPr>
                <w:rFonts w:ascii="Arial" w:hAnsi="Arial" w:cs="Arial"/>
                <w:sz w:val="24"/>
                <w:szCs w:val="24"/>
              </w:rPr>
              <w:t xml:space="preserve">600 </w:t>
            </w:r>
          </w:p>
        </w:tc>
      </w:tr>
      <w:tr w:rsidR="00481E15" w:rsidRPr="005776B2" w:rsidTr="00837B1A">
        <w:trPr>
          <w:trHeight w:val="255"/>
        </w:trPr>
        <w:tc>
          <w:tcPr>
            <w:tcW w:w="5962"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G0300 -</w:t>
            </w:r>
            <w:r w:rsidRPr="005776B2">
              <w:rPr>
                <w:rFonts w:ascii="Arial" w:hAnsi="Arial" w:cs="Arial"/>
                <w:sz w:val="24"/>
                <w:szCs w:val="24"/>
              </w:rPr>
              <w:t xml:space="preserve"> </w:t>
            </w:r>
            <w:r w:rsidRPr="005776B2">
              <w:rPr>
                <w:rFonts w:ascii="Arial" w:eastAsia="Times New Roman" w:hAnsi="Arial" w:cs="Arial"/>
                <w:color w:val="000000"/>
                <w:sz w:val="24"/>
                <w:szCs w:val="24"/>
              </w:rPr>
              <w:t>Skilled Nursing (LPN) services in a Home Health Setting (1-60 days; 1-30 days)</w:t>
            </w:r>
          </w:p>
        </w:tc>
        <w:tc>
          <w:tcPr>
            <w:tcW w:w="1440" w:type="dxa"/>
            <w:shd w:val="clear" w:color="auto" w:fill="auto"/>
            <w:noWrap/>
            <w:hideMark/>
          </w:tcPr>
          <w:p w:rsidR="00481E15" w:rsidRPr="00992F04" w:rsidRDefault="00481E15" w:rsidP="007910F9">
            <w:pPr>
              <w:pStyle w:val="NoSpacing"/>
              <w:ind w:firstLine="0"/>
              <w:rPr>
                <w:rFonts w:ascii="Arial" w:hAnsi="Arial" w:cs="Arial"/>
                <w:sz w:val="24"/>
                <w:szCs w:val="24"/>
              </w:rPr>
            </w:pPr>
            <w:r w:rsidRPr="00992F04">
              <w:rPr>
                <w:rFonts w:ascii="Arial" w:hAnsi="Arial" w:cs="Arial"/>
                <w:sz w:val="24"/>
                <w:szCs w:val="24"/>
              </w:rPr>
              <w:t xml:space="preserve">9,482 </w:t>
            </w:r>
          </w:p>
        </w:tc>
        <w:tc>
          <w:tcPr>
            <w:tcW w:w="1440" w:type="dxa"/>
            <w:shd w:val="clear" w:color="auto" w:fill="auto"/>
            <w:noWrap/>
            <w:hideMark/>
          </w:tcPr>
          <w:p w:rsidR="00481E15" w:rsidRPr="00992F04" w:rsidRDefault="00481E15" w:rsidP="007910F9">
            <w:pPr>
              <w:pStyle w:val="NoSpacing"/>
              <w:ind w:firstLine="0"/>
              <w:rPr>
                <w:rFonts w:ascii="Arial" w:hAnsi="Arial" w:cs="Arial"/>
                <w:sz w:val="24"/>
                <w:szCs w:val="24"/>
              </w:rPr>
            </w:pPr>
            <w:r w:rsidRPr="00992F04">
              <w:rPr>
                <w:rFonts w:ascii="Arial" w:hAnsi="Arial" w:cs="Arial"/>
                <w:sz w:val="24"/>
                <w:szCs w:val="24"/>
              </w:rPr>
              <w:t xml:space="preserve"> 9,123 </w:t>
            </w:r>
          </w:p>
        </w:tc>
        <w:tc>
          <w:tcPr>
            <w:tcW w:w="1440" w:type="dxa"/>
            <w:shd w:val="clear" w:color="auto" w:fill="auto"/>
            <w:noWrap/>
            <w:hideMark/>
          </w:tcPr>
          <w:p w:rsidR="00481E15" w:rsidRPr="00992F04" w:rsidRDefault="00481E15" w:rsidP="007910F9">
            <w:pPr>
              <w:pStyle w:val="NoSpacing"/>
              <w:ind w:firstLine="0"/>
              <w:rPr>
                <w:rFonts w:ascii="Arial" w:hAnsi="Arial" w:cs="Arial"/>
                <w:sz w:val="24"/>
                <w:szCs w:val="24"/>
              </w:rPr>
            </w:pPr>
            <w:r w:rsidRPr="00992F04">
              <w:rPr>
                <w:rFonts w:ascii="Arial" w:hAnsi="Arial" w:cs="Arial"/>
                <w:sz w:val="24"/>
                <w:szCs w:val="24"/>
              </w:rPr>
              <w:t xml:space="preserve">6,824 </w:t>
            </w:r>
          </w:p>
        </w:tc>
      </w:tr>
      <w:tr w:rsidR="00481E15" w:rsidRPr="005776B2" w:rsidTr="00837B1A">
        <w:trPr>
          <w:trHeight w:val="255"/>
        </w:trPr>
        <w:tc>
          <w:tcPr>
            <w:tcW w:w="5962"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G0300 (UD, U1, U2)-</w:t>
            </w:r>
            <w:r w:rsidRPr="005776B2">
              <w:rPr>
                <w:rFonts w:ascii="Arial" w:hAnsi="Arial" w:cs="Arial"/>
                <w:sz w:val="24"/>
                <w:szCs w:val="24"/>
              </w:rPr>
              <w:t xml:space="preserve"> </w:t>
            </w:r>
            <w:r w:rsidRPr="005776B2">
              <w:rPr>
                <w:rFonts w:ascii="Arial" w:eastAsia="Times New Roman" w:hAnsi="Arial" w:cs="Arial"/>
                <w:color w:val="000000"/>
                <w:sz w:val="24"/>
                <w:szCs w:val="24"/>
              </w:rPr>
              <w:t>Skilled Nursing (LPN) services in a Home Health Setting (61+ days; 31+days)</w:t>
            </w:r>
          </w:p>
        </w:tc>
        <w:tc>
          <w:tcPr>
            <w:tcW w:w="1440" w:type="dxa"/>
            <w:shd w:val="clear" w:color="auto" w:fill="auto"/>
            <w:noWrap/>
            <w:hideMark/>
          </w:tcPr>
          <w:p w:rsidR="00481E15" w:rsidRPr="00992F04" w:rsidRDefault="00481E15" w:rsidP="007910F9">
            <w:pPr>
              <w:pStyle w:val="NoSpacing"/>
              <w:ind w:firstLine="0"/>
              <w:rPr>
                <w:rFonts w:ascii="Arial" w:hAnsi="Arial" w:cs="Arial"/>
                <w:sz w:val="24"/>
                <w:szCs w:val="24"/>
              </w:rPr>
            </w:pPr>
            <w:r w:rsidRPr="00992F04">
              <w:rPr>
                <w:rFonts w:ascii="Arial" w:hAnsi="Arial" w:cs="Arial"/>
                <w:sz w:val="24"/>
                <w:szCs w:val="24"/>
              </w:rPr>
              <w:t xml:space="preserve">9,280 </w:t>
            </w:r>
          </w:p>
        </w:tc>
        <w:tc>
          <w:tcPr>
            <w:tcW w:w="1440" w:type="dxa"/>
            <w:shd w:val="clear" w:color="auto" w:fill="auto"/>
            <w:noWrap/>
            <w:hideMark/>
          </w:tcPr>
          <w:p w:rsidR="00481E15" w:rsidRPr="00992F04" w:rsidRDefault="00481E15" w:rsidP="007910F9">
            <w:pPr>
              <w:pStyle w:val="NoSpacing"/>
              <w:ind w:firstLine="0"/>
              <w:rPr>
                <w:rFonts w:ascii="Arial" w:hAnsi="Arial" w:cs="Arial"/>
                <w:sz w:val="24"/>
                <w:szCs w:val="24"/>
              </w:rPr>
            </w:pPr>
            <w:r w:rsidRPr="00992F04">
              <w:rPr>
                <w:rFonts w:ascii="Arial" w:hAnsi="Arial" w:cs="Arial"/>
                <w:sz w:val="24"/>
                <w:szCs w:val="24"/>
              </w:rPr>
              <w:t xml:space="preserve">12,140 </w:t>
            </w:r>
          </w:p>
        </w:tc>
        <w:tc>
          <w:tcPr>
            <w:tcW w:w="1440" w:type="dxa"/>
            <w:shd w:val="clear" w:color="auto" w:fill="auto"/>
            <w:noWrap/>
            <w:hideMark/>
          </w:tcPr>
          <w:p w:rsidR="00481E15" w:rsidRPr="00992F04" w:rsidRDefault="00481E15" w:rsidP="00992F04">
            <w:pPr>
              <w:pStyle w:val="NoSpacing"/>
              <w:ind w:firstLine="0"/>
              <w:rPr>
                <w:rFonts w:ascii="Arial" w:hAnsi="Arial" w:cs="Arial"/>
                <w:sz w:val="24"/>
                <w:szCs w:val="24"/>
              </w:rPr>
            </w:pPr>
            <w:r w:rsidRPr="00992F04">
              <w:rPr>
                <w:rFonts w:ascii="Arial" w:hAnsi="Arial" w:cs="Arial"/>
                <w:sz w:val="24"/>
                <w:szCs w:val="24"/>
              </w:rPr>
              <w:t xml:space="preserve">11,386 </w:t>
            </w:r>
          </w:p>
        </w:tc>
      </w:tr>
      <w:tr w:rsidR="00481E15" w:rsidRPr="005776B2" w:rsidTr="00837B1A">
        <w:trPr>
          <w:trHeight w:val="255"/>
        </w:trPr>
        <w:tc>
          <w:tcPr>
            <w:tcW w:w="5962"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G0300 (TT)- Skilled Nursing (LPN) services in a Home Health Setting (multiple member care)</w:t>
            </w:r>
          </w:p>
        </w:tc>
        <w:tc>
          <w:tcPr>
            <w:tcW w:w="1440" w:type="dxa"/>
            <w:tcBorders>
              <w:bottom w:val="single" w:sz="8" w:space="0" w:color="auto"/>
            </w:tcBorders>
            <w:shd w:val="clear" w:color="auto" w:fill="auto"/>
            <w:noWrap/>
            <w:hideMark/>
          </w:tcPr>
          <w:p w:rsidR="00481E15" w:rsidRPr="00992F04" w:rsidRDefault="00481E15" w:rsidP="00992F04">
            <w:pPr>
              <w:pStyle w:val="NoSpacing"/>
              <w:ind w:firstLine="0"/>
              <w:rPr>
                <w:rFonts w:ascii="Arial" w:hAnsi="Arial" w:cs="Arial"/>
                <w:sz w:val="24"/>
              </w:rPr>
            </w:pPr>
            <w:r w:rsidRPr="00992F04">
              <w:rPr>
                <w:rFonts w:ascii="Arial" w:hAnsi="Arial" w:cs="Arial"/>
                <w:sz w:val="24"/>
              </w:rPr>
              <w:t xml:space="preserve">344 </w:t>
            </w:r>
          </w:p>
        </w:tc>
        <w:tc>
          <w:tcPr>
            <w:tcW w:w="1440" w:type="dxa"/>
            <w:tcBorders>
              <w:bottom w:val="single" w:sz="8" w:space="0" w:color="auto"/>
            </w:tcBorders>
            <w:shd w:val="clear" w:color="auto" w:fill="auto"/>
            <w:noWrap/>
            <w:hideMark/>
          </w:tcPr>
          <w:p w:rsidR="00481E15" w:rsidRPr="00992F04" w:rsidRDefault="00481E15" w:rsidP="00992F04">
            <w:pPr>
              <w:pStyle w:val="NoSpacing"/>
              <w:ind w:firstLine="0"/>
              <w:rPr>
                <w:rFonts w:ascii="Arial" w:hAnsi="Arial" w:cs="Arial"/>
                <w:sz w:val="24"/>
              </w:rPr>
            </w:pPr>
            <w:r w:rsidRPr="00992F04">
              <w:rPr>
                <w:rFonts w:ascii="Arial" w:hAnsi="Arial" w:cs="Arial"/>
                <w:sz w:val="24"/>
              </w:rPr>
              <w:t xml:space="preserve">216 </w:t>
            </w:r>
          </w:p>
        </w:tc>
        <w:tc>
          <w:tcPr>
            <w:tcW w:w="1440" w:type="dxa"/>
            <w:shd w:val="clear" w:color="auto" w:fill="auto"/>
            <w:noWrap/>
            <w:hideMark/>
          </w:tcPr>
          <w:p w:rsidR="00481E15" w:rsidRPr="00992F04" w:rsidRDefault="00992F04" w:rsidP="00992F04">
            <w:pPr>
              <w:pStyle w:val="NoSpacing"/>
              <w:ind w:firstLine="0"/>
              <w:rPr>
                <w:rFonts w:ascii="Arial" w:hAnsi="Arial" w:cs="Arial"/>
                <w:sz w:val="24"/>
              </w:rPr>
            </w:pPr>
            <w:r w:rsidRPr="00992F04">
              <w:rPr>
                <w:rFonts w:ascii="Arial" w:hAnsi="Arial" w:cs="Arial"/>
                <w:sz w:val="24"/>
              </w:rPr>
              <w:t>1</w:t>
            </w:r>
            <w:r w:rsidR="00481E15" w:rsidRPr="00992F04">
              <w:rPr>
                <w:rFonts w:ascii="Arial" w:hAnsi="Arial" w:cs="Arial"/>
                <w:sz w:val="24"/>
              </w:rPr>
              <w:t xml:space="preserve">26 </w:t>
            </w:r>
          </w:p>
        </w:tc>
      </w:tr>
      <w:tr w:rsidR="00481E15" w:rsidRPr="005776B2" w:rsidTr="00837B1A">
        <w:trPr>
          <w:trHeight w:val="255"/>
        </w:trPr>
        <w:tc>
          <w:tcPr>
            <w:tcW w:w="5760"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T1502 –</w:t>
            </w:r>
            <w:r w:rsidRPr="005776B2">
              <w:rPr>
                <w:rFonts w:ascii="Arial" w:hAnsi="Arial" w:cs="Arial"/>
                <w:sz w:val="24"/>
                <w:szCs w:val="24"/>
              </w:rPr>
              <w:t xml:space="preserve"> Administration of oral, intramuscular, and/or subcutaneous medication (RN or LPN). (Medication Administration visit)</w:t>
            </w:r>
            <w:r w:rsidRPr="005776B2">
              <w:rPr>
                <w:rStyle w:val="FootnoteReference"/>
                <w:rFonts w:ascii="Arial" w:hAnsi="Arial" w:cs="Arial"/>
                <w:sz w:val="24"/>
                <w:szCs w:val="24"/>
              </w:rPr>
              <w:footnoteReference w:id="13"/>
            </w:r>
            <w:r w:rsidRPr="005776B2">
              <w:rPr>
                <w:rFonts w:ascii="Arial" w:hAnsi="Arial" w:cs="Arial"/>
                <w:sz w:val="24"/>
                <w:szCs w:val="24"/>
              </w:rPr>
              <w:t>.</w:t>
            </w:r>
          </w:p>
        </w:tc>
        <w:tc>
          <w:tcPr>
            <w:tcW w:w="1440" w:type="dxa"/>
            <w:shd w:val="clear" w:color="auto" w:fill="FFFFFF" w:themeFill="background1"/>
            <w:noWrap/>
            <w:hideMark/>
          </w:tcPr>
          <w:p w:rsidR="00481E15" w:rsidRPr="00992F04" w:rsidRDefault="00481E15" w:rsidP="00992F04">
            <w:pPr>
              <w:pStyle w:val="NoSpacing"/>
              <w:ind w:firstLine="0"/>
              <w:rPr>
                <w:rFonts w:ascii="Arial" w:hAnsi="Arial" w:cs="Arial"/>
                <w:sz w:val="24"/>
                <w:szCs w:val="24"/>
              </w:rPr>
            </w:pPr>
            <w:r w:rsidRPr="00992F04">
              <w:rPr>
                <w:rFonts w:ascii="Arial" w:hAnsi="Arial" w:cs="Arial"/>
                <w:sz w:val="24"/>
                <w:szCs w:val="24"/>
              </w:rPr>
              <w:t>N/A</w:t>
            </w:r>
          </w:p>
        </w:tc>
        <w:tc>
          <w:tcPr>
            <w:tcW w:w="1440" w:type="dxa"/>
            <w:shd w:val="clear" w:color="auto" w:fill="FFFFFF" w:themeFill="background1"/>
            <w:noWrap/>
            <w:hideMark/>
          </w:tcPr>
          <w:p w:rsidR="00481E15" w:rsidRPr="00992F04" w:rsidRDefault="00481E15" w:rsidP="00992F04">
            <w:pPr>
              <w:pStyle w:val="NoSpacing"/>
              <w:ind w:firstLine="0"/>
              <w:rPr>
                <w:rFonts w:ascii="Arial" w:hAnsi="Arial" w:cs="Arial"/>
                <w:sz w:val="24"/>
                <w:szCs w:val="24"/>
              </w:rPr>
            </w:pPr>
            <w:r w:rsidRPr="00992F04">
              <w:rPr>
                <w:rFonts w:ascii="Arial" w:hAnsi="Arial" w:cs="Arial"/>
                <w:sz w:val="24"/>
                <w:szCs w:val="24"/>
              </w:rPr>
              <w:t>N/A</w:t>
            </w:r>
          </w:p>
        </w:tc>
        <w:tc>
          <w:tcPr>
            <w:tcW w:w="1440" w:type="dxa"/>
            <w:shd w:val="clear" w:color="auto" w:fill="auto"/>
            <w:noWrap/>
            <w:hideMark/>
          </w:tcPr>
          <w:p w:rsidR="00481E15" w:rsidRPr="00992F04" w:rsidRDefault="00481E15" w:rsidP="00992F04">
            <w:pPr>
              <w:pStyle w:val="NoSpacing"/>
              <w:ind w:firstLine="0"/>
              <w:rPr>
                <w:rFonts w:ascii="Arial" w:hAnsi="Arial" w:cs="Arial"/>
                <w:sz w:val="24"/>
                <w:szCs w:val="24"/>
              </w:rPr>
            </w:pPr>
            <w:r w:rsidRPr="00992F04">
              <w:rPr>
                <w:rFonts w:ascii="Arial" w:hAnsi="Arial" w:cs="Arial"/>
                <w:sz w:val="24"/>
                <w:szCs w:val="24"/>
              </w:rPr>
              <w:t xml:space="preserve">10,441 </w:t>
            </w:r>
          </w:p>
        </w:tc>
      </w:tr>
      <w:tr w:rsidR="00481E15" w:rsidRPr="005776B2" w:rsidTr="00837B1A">
        <w:trPr>
          <w:trHeight w:val="270"/>
        </w:trPr>
        <w:tc>
          <w:tcPr>
            <w:tcW w:w="5760"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T1503 - Administration of medication other than oral, intramuscular, and/or subcutaneous medication (RN or LPN) (Medication Administration visit.)</w:t>
            </w:r>
          </w:p>
        </w:tc>
        <w:tc>
          <w:tcPr>
            <w:tcW w:w="1440" w:type="dxa"/>
            <w:shd w:val="clear" w:color="auto" w:fill="FFFFFF" w:themeFill="background1"/>
            <w:noWrap/>
            <w:hideMark/>
          </w:tcPr>
          <w:p w:rsidR="00481E15" w:rsidRPr="00992F04" w:rsidRDefault="00481E15" w:rsidP="00992F04">
            <w:pPr>
              <w:pStyle w:val="NoSpacing"/>
              <w:ind w:firstLine="0"/>
              <w:rPr>
                <w:rFonts w:ascii="Arial" w:hAnsi="Arial" w:cs="Arial"/>
                <w:sz w:val="24"/>
                <w:szCs w:val="24"/>
              </w:rPr>
            </w:pPr>
            <w:r w:rsidRPr="00992F04">
              <w:rPr>
                <w:rFonts w:ascii="Arial" w:hAnsi="Arial" w:cs="Arial"/>
                <w:sz w:val="24"/>
                <w:szCs w:val="24"/>
              </w:rPr>
              <w:t> N/A</w:t>
            </w:r>
          </w:p>
        </w:tc>
        <w:tc>
          <w:tcPr>
            <w:tcW w:w="1440" w:type="dxa"/>
            <w:shd w:val="clear" w:color="auto" w:fill="FFFFFF" w:themeFill="background1"/>
            <w:noWrap/>
            <w:hideMark/>
          </w:tcPr>
          <w:p w:rsidR="00481E15" w:rsidRPr="00992F04" w:rsidRDefault="00481E15" w:rsidP="00992F04">
            <w:pPr>
              <w:pStyle w:val="NoSpacing"/>
              <w:ind w:firstLine="0"/>
              <w:rPr>
                <w:rFonts w:ascii="Arial" w:hAnsi="Arial" w:cs="Arial"/>
                <w:sz w:val="24"/>
                <w:szCs w:val="24"/>
              </w:rPr>
            </w:pPr>
            <w:r w:rsidRPr="00992F04">
              <w:rPr>
                <w:rFonts w:ascii="Arial" w:hAnsi="Arial" w:cs="Arial"/>
                <w:sz w:val="24"/>
                <w:szCs w:val="24"/>
              </w:rPr>
              <w:t> N/A</w:t>
            </w:r>
          </w:p>
        </w:tc>
        <w:tc>
          <w:tcPr>
            <w:tcW w:w="1440" w:type="dxa"/>
            <w:shd w:val="clear" w:color="auto" w:fill="auto"/>
            <w:noWrap/>
            <w:hideMark/>
          </w:tcPr>
          <w:p w:rsidR="00481E15" w:rsidRPr="00992F04" w:rsidRDefault="00481E15" w:rsidP="00992F04">
            <w:pPr>
              <w:pStyle w:val="NoSpacing"/>
              <w:ind w:firstLine="0"/>
              <w:rPr>
                <w:rFonts w:ascii="Arial" w:hAnsi="Arial" w:cs="Arial"/>
                <w:sz w:val="24"/>
                <w:szCs w:val="24"/>
              </w:rPr>
            </w:pPr>
            <w:r w:rsidRPr="00992F04">
              <w:rPr>
                <w:rFonts w:ascii="Arial" w:hAnsi="Arial" w:cs="Arial"/>
                <w:sz w:val="24"/>
                <w:szCs w:val="24"/>
              </w:rPr>
              <w:t xml:space="preserve">382 </w:t>
            </w:r>
          </w:p>
        </w:tc>
      </w:tr>
    </w:tbl>
    <w:p w:rsidR="00481E15" w:rsidRPr="005776B2" w:rsidRDefault="00481E15" w:rsidP="00481E15">
      <w:pPr>
        <w:spacing w:line="276" w:lineRule="auto"/>
        <w:ind w:firstLine="0"/>
        <w:rPr>
          <w:rFonts w:ascii="Arial" w:eastAsiaTheme="minorHAnsi" w:hAnsi="Arial" w:cs="Arial"/>
          <w:sz w:val="24"/>
          <w:szCs w:val="24"/>
          <w:u w:val="single"/>
        </w:rPr>
      </w:pPr>
    </w:p>
    <w:p w:rsidR="00481E15" w:rsidRPr="009F7DBA" w:rsidRDefault="00481E15" w:rsidP="009F7DBA">
      <w:pPr>
        <w:ind w:firstLine="0"/>
        <w:rPr>
          <w:rFonts w:ascii="Arial" w:hAnsi="Arial" w:cs="Arial"/>
          <w:b/>
          <w:sz w:val="24"/>
          <w:u w:val="single"/>
        </w:rPr>
      </w:pPr>
      <w:bookmarkStart w:id="76" w:name="_Toc10810600"/>
      <w:r w:rsidRPr="009F7DBA">
        <w:rPr>
          <w:rFonts w:ascii="Arial" w:hAnsi="Arial" w:cs="Arial"/>
          <w:b/>
          <w:sz w:val="24"/>
          <w:u w:val="single"/>
        </w:rPr>
        <w:t>Utilization of Therapy Services SFY16 – SFY18</w:t>
      </w:r>
      <w:bookmarkEnd w:id="76"/>
    </w:p>
    <w:p w:rsidR="00481E15" w:rsidRPr="005776B2" w:rsidRDefault="00481E15" w:rsidP="00481E15">
      <w:pPr>
        <w:spacing w:line="276" w:lineRule="auto"/>
        <w:ind w:firstLine="0"/>
        <w:rPr>
          <w:rFonts w:ascii="Arial" w:eastAsiaTheme="minorHAnsi" w:hAnsi="Arial" w:cs="Arial"/>
          <w:sz w:val="24"/>
          <w:szCs w:val="24"/>
        </w:rPr>
      </w:pPr>
      <w:r w:rsidRPr="005776B2">
        <w:rPr>
          <w:rFonts w:ascii="Arial" w:eastAsiaTheme="minorHAnsi" w:hAnsi="Arial" w:cs="Arial"/>
          <w:sz w:val="24"/>
          <w:szCs w:val="24"/>
        </w:rPr>
        <w:t>Number of members using the following services: 1) Physical Therapy, 2) Occupational Therapy and 3) Speech-Language Therapy</w:t>
      </w:r>
    </w:p>
    <w:p w:rsidR="00481E15" w:rsidRPr="005776B2" w:rsidRDefault="00481E15" w:rsidP="00481E15">
      <w:pPr>
        <w:spacing w:line="276" w:lineRule="auto"/>
        <w:ind w:firstLine="0"/>
        <w:rPr>
          <w:rFonts w:ascii="Arial" w:eastAsiaTheme="minorHAnsi" w:hAnsi="Arial" w:cs="Arial"/>
          <w:sz w:val="24"/>
          <w:szCs w:val="24"/>
        </w:rPr>
      </w:pPr>
    </w:p>
    <w:p w:rsidR="00481E15" w:rsidRPr="005776B2" w:rsidRDefault="00770033" w:rsidP="00481E15">
      <w:pPr>
        <w:spacing w:line="276" w:lineRule="auto"/>
        <w:ind w:firstLine="0"/>
        <w:rPr>
          <w:rFonts w:ascii="Arial" w:eastAsiaTheme="minorHAnsi" w:hAnsi="Arial" w:cs="Arial"/>
          <w:sz w:val="24"/>
          <w:szCs w:val="24"/>
        </w:rPr>
      </w:pPr>
      <w:r>
        <w:rPr>
          <w:rFonts w:ascii="Arial" w:eastAsia="Times New Roman" w:hAnsi="Arial" w:cs="Arial"/>
          <w:b/>
          <w:bCs/>
          <w:color w:val="000000"/>
          <w:sz w:val="24"/>
          <w:szCs w:val="24"/>
        </w:rPr>
        <w:t xml:space="preserve">Therapies- </w:t>
      </w:r>
      <w:r w:rsidR="00481E15" w:rsidRPr="005776B2">
        <w:rPr>
          <w:rFonts w:ascii="Arial" w:eastAsia="Times New Roman" w:hAnsi="Arial" w:cs="Arial"/>
          <w:b/>
          <w:bCs/>
          <w:color w:val="000000"/>
          <w:sz w:val="24"/>
          <w:szCs w:val="24"/>
        </w:rPr>
        <w:t>Unduplicated Member Counts</w:t>
      </w:r>
    </w:p>
    <w:tbl>
      <w:tblPr>
        <w:tblW w:w="1030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68"/>
        <w:gridCol w:w="1444"/>
        <w:gridCol w:w="1444"/>
        <w:gridCol w:w="1444"/>
      </w:tblGrid>
      <w:tr w:rsidR="00481E15" w:rsidRPr="005776B2" w:rsidTr="00B132B6">
        <w:trPr>
          <w:trHeight w:val="255"/>
          <w:tblHeader/>
        </w:trPr>
        <w:tc>
          <w:tcPr>
            <w:tcW w:w="5968" w:type="dxa"/>
            <w:shd w:val="clear" w:color="auto" w:fill="auto"/>
            <w:noWrap/>
            <w:vAlign w:val="bottom"/>
          </w:tcPr>
          <w:p w:rsidR="00481E15" w:rsidRPr="005776B2" w:rsidRDefault="00481E15" w:rsidP="00B132B6">
            <w:pPr>
              <w:ind w:firstLine="0"/>
              <w:rPr>
                <w:rFonts w:ascii="Arial" w:eastAsia="Times New Roman" w:hAnsi="Arial" w:cs="Arial"/>
                <w:b/>
                <w:color w:val="000000"/>
                <w:sz w:val="24"/>
                <w:szCs w:val="24"/>
              </w:rPr>
            </w:pPr>
            <w:r w:rsidRPr="005776B2">
              <w:rPr>
                <w:rFonts w:ascii="Arial" w:eastAsia="Times New Roman" w:hAnsi="Arial" w:cs="Arial"/>
                <w:b/>
                <w:color w:val="000000"/>
                <w:sz w:val="24"/>
                <w:szCs w:val="24"/>
              </w:rPr>
              <w:t>Procedure Codes</w:t>
            </w:r>
          </w:p>
        </w:tc>
        <w:tc>
          <w:tcPr>
            <w:tcW w:w="1444" w:type="dxa"/>
            <w:shd w:val="clear" w:color="auto" w:fill="auto"/>
            <w:noWrap/>
            <w:vAlign w:val="bottom"/>
          </w:tcPr>
          <w:p w:rsidR="00481E15" w:rsidRPr="005776B2" w:rsidRDefault="00481E15" w:rsidP="00B132B6">
            <w:pPr>
              <w:ind w:firstLine="0"/>
              <w:rPr>
                <w:rFonts w:ascii="Arial" w:eastAsia="Times New Roman" w:hAnsi="Arial" w:cs="Arial"/>
                <w:b/>
                <w:color w:val="000000"/>
                <w:sz w:val="24"/>
                <w:szCs w:val="24"/>
              </w:rPr>
            </w:pPr>
            <w:r w:rsidRPr="005776B2">
              <w:rPr>
                <w:rFonts w:ascii="Arial" w:eastAsia="Times New Roman" w:hAnsi="Arial" w:cs="Arial"/>
                <w:b/>
                <w:color w:val="000000"/>
                <w:sz w:val="24"/>
                <w:szCs w:val="24"/>
              </w:rPr>
              <w:t>SFY16</w:t>
            </w:r>
          </w:p>
        </w:tc>
        <w:tc>
          <w:tcPr>
            <w:tcW w:w="1444" w:type="dxa"/>
            <w:shd w:val="clear" w:color="auto" w:fill="auto"/>
            <w:noWrap/>
            <w:vAlign w:val="bottom"/>
          </w:tcPr>
          <w:p w:rsidR="00481E15" w:rsidRPr="005776B2" w:rsidRDefault="00481E15" w:rsidP="00B132B6">
            <w:pPr>
              <w:ind w:firstLine="0"/>
              <w:rPr>
                <w:rFonts w:ascii="Arial" w:eastAsia="Times New Roman" w:hAnsi="Arial" w:cs="Arial"/>
                <w:b/>
                <w:color w:val="000000"/>
                <w:sz w:val="24"/>
                <w:szCs w:val="24"/>
              </w:rPr>
            </w:pPr>
            <w:r w:rsidRPr="005776B2">
              <w:rPr>
                <w:rFonts w:ascii="Arial" w:eastAsia="Times New Roman" w:hAnsi="Arial" w:cs="Arial"/>
                <w:b/>
                <w:color w:val="000000"/>
                <w:sz w:val="24"/>
                <w:szCs w:val="24"/>
              </w:rPr>
              <w:t>SFY17</w:t>
            </w:r>
          </w:p>
        </w:tc>
        <w:tc>
          <w:tcPr>
            <w:tcW w:w="1444" w:type="dxa"/>
            <w:shd w:val="clear" w:color="auto" w:fill="auto"/>
            <w:noWrap/>
            <w:vAlign w:val="bottom"/>
          </w:tcPr>
          <w:p w:rsidR="00481E15" w:rsidRPr="005776B2" w:rsidRDefault="00481E15" w:rsidP="00B132B6">
            <w:pPr>
              <w:ind w:firstLine="0"/>
              <w:rPr>
                <w:rFonts w:ascii="Arial" w:eastAsia="Times New Roman" w:hAnsi="Arial" w:cs="Arial"/>
                <w:b/>
                <w:color w:val="000000"/>
                <w:sz w:val="24"/>
                <w:szCs w:val="24"/>
              </w:rPr>
            </w:pPr>
            <w:r w:rsidRPr="005776B2">
              <w:rPr>
                <w:rFonts w:ascii="Arial" w:eastAsia="Times New Roman" w:hAnsi="Arial" w:cs="Arial"/>
                <w:b/>
                <w:color w:val="000000"/>
                <w:sz w:val="24"/>
                <w:szCs w:val="24"/>
              </w:rPr>
              <w:t>SFY18</w:t>
            </w:r>
          </w:p>
        </w:tc>
      </w:tr>
      <w:tr w:rsidR="00481E15" w:rsidRPr="005776B2" w:rsidTr="00BA44E0">
        <w:trPr>
          <w:trHeight w:val="255"/>
          <w:tblHeader/>
        </w:trPr>
        <w:tc>
          <w:tcPr>
            <w:tcW w:w="5968"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G0151 – Physical Therapy Services in a Home Health setting</w:t>
            </w:r>
          </w:p>
        </w:tc>
        <w:tc>
          <w:tcPr>
            <w:tcW w:w="1444" w:type="dxa"/>
            <w:shd w:val="clear" w:color="auto" w:fill="auto"/>
            <w:noWrap/>
            <w:hideMark/>
          </w:tcPr>
          <w:p w:rsidR="00481E15" w:rsidRPr="00BA44E0" w:rsidRDefault="00481E15" w:rsidP="00BA44E0">
            <w:pPr>
              <w:pStyle w:val="NoSpacing"/>
              <w:ind w:firstLine="0"/>
              <w:rPr>
                <w:rFonts w:ascii="Arial" w:hAnsi="Arial" w:cs="Arial"/>
                <w:sz w:val="24"/>
              </w:rPr>
            </w:pPr>
            <w:r w:rsidRPr="00BA44E0">
              <w:rPr>
                <w:rFonts w:ascii="Arial" w:hAnsi="Arial" w:cs="Arial"/>
                <w:sz w:val="24"/>
              </w:rPr>
              <w:t xml:space="preserve">6,067 </w:t>
            </w:r>
          </w:p>
        </w:tc>
        <w:tc>
          <w:tcPr>
            <w:tcW w:w="1444" w:type="dxa"/>
            <w:shd w:val="clear" w:color="auto" w:fill="auto"/>
            <w:noWrap/>
            <w:hideMark/>
          </w:tcPr>
          <w:p w:rsidR="00481E15" w:rsidRPr="00BA44E0" w:rsidRDefault="00481E15" w:rsidP="00BA44E0">
            <w:pPr>
              <w:pStyle w:val="NoSpacing"/>
              <w:ind w:firstLine="0"/>
              <w:rPr>
                <w:rFonts w:ascii="Arial" w:hAnsi="Arial" w:cs="Arial"/>
                <w:sz w:val="24"/>
              </w:rPr>
            </w:pPr>
            <w:r w:rsidRPr="00BA44E0">
              <w:rPr>
                <w:rFonts w:ascii="Arial" w:hAnsi="Arial" w:cs="Arial"/>
                <w:sz w:val="24"/>
              </w:rPr>
              <w:t xml:space="preserve">5,884 </w:t>
            </w:r>
          </w:p>
        </w:tc>
        <w:tc>
          <w:tcPr>
            <w:tcW w:w="1444" w:type="dxa"/>
            <w:shd w:val="clear" w:color="auto" w:fill="auto"/>
            <w:noWrap/>
            <w:hideMark/>
          </w:tcPr>
          <w:p w:rsidR="00481E15" w:rsidRPr="00BA44E0" w:rsidRDefault="00481E15" w:rsidP="00BA44E0">
            <w:pPr>
              <w:pStyle w:val="NoSpacing"/>
              <w:ind w:firstLine="0"/>
              <w:rPr>
                <w:rFonts w:ascii="Arial" w:hAnsi="Arial" w:cs="Arial"/>
                <w:sz w:val="24"/>
              </w:rPr>
            </w:pPr>
            <w:r w:rsidRPr="00BA44E0">
              <w:rPr>
                <w:rFonts w:ascii="Arial" w:hAnsi="Arial" w:cs="Arial"/>
                <w:sz w:val="24"/>
              </w:rPr>
              <w:t xml:space="preserve">5,873 </w:t>
            </w:r>
          </w:p>
        </w:tc>
      </w:tr>
      <w:tr w:rsidR="00481E15" w:rsidRPr="005776B2" w:rsidTr="00BA44E0">
        <w:trPr>
          <w:trHeight w:val="255"/>
          <w:tblHeader/>
        </w:trPr>
        <w:tc>
          <w:tcPr>
            <w:tcW w:w="5968"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G0152 - Occupational Therapy Services in a Home Health setting</w:t>
            </w:r>
          </w:p>
        </w:tc>
        <w:tc>
          <w:tcPr>
            <w:tcW w:w="1444" w:type="dxa"/>
            <w:shd w:val="clear" w:color="auto" w:fill="auto"/>
            <w:noWrap/>
            <w:hideMark/>
          </w:tcPr>
          <w:p w:rsidR="00481E15" w:rsidRPr="00BA44E0" w:rsidRDefault="00481E15" w:rsidP="00BA44E0">
            <w:pPr>
              <w:pStyle w:val="NoSpacing"/>
              <w:ind w:firstLine="0"/>
              <w:rPr>
                <w:rFonts w:ascii="Arial" w:hAnsi="Arial" w:cs="Arial"/>
                <w:sz w:val="24"/>
              </w:rPr>
            </w:pPr>
            <w:r w:rsidRPr="00BA44E0">
              <w:rPr>
                <w:rFonts w:ascii="Arial" w:hAnsi="Arial" w:cs="Arial"/>
                <w:sz w:val="24"/>
              </w:rPr>
              <w:t xml:space="preserve">2,601 </w:t>
            </w:r>
          </w:p>
        </w:tc>
        <w:tc>
          <w:tcPr>
            <w:tcW w:w="1444" w:type="dxa"/>
            <w:shd w:val="clear" w:color="auto" w:fill="auto"/>
            <w:noWrap/>
            <w:hideMark/>
          </w:tcPr>
          <w:p w:rsidR="00481E15" w:rsidRPr="00BA44E0" w:rsidRDefault="00481E15" w:rsidP="00BA44E0">
            <w:pPr>
              <w:pStyle w:val="NoSpacing"/>
              <w:ind w:firstLine="0"/>
              <w:rPr>
                <w:rFonts w:ascii="Arial" w:hAnsi="Arial" w:cs="Arial"/>
                <w:sz w:val="24"/>
              </w:rPr>
            </w:pPr>
            <w:r w:rsidRPr="00BA44E0">
              <w:rPr>
                <w:rFonts w:ascii="Arial" w:hAnsi="Arial" w:cs="Arial"/>
                <w:sz w:val="24"/>
              </w:rPr>
              <w:t xml:space="preserve">2,674 </w:t>
            </w:r>
          </w:p>
        </w:tc>
        <w:tc>
          <w:tcPr>
            <w:tcW w:w="1444" w:type="dxa"/>
            <w:shd w:val="clear" w:color="auto" w:fill="auto"/>
            <w:noWrap/>
            <w:hideMark/>
          </w:tcPr>
          <w:p w:rsidR="00481E15" w:rsidRPr="00BA44E0" w:rsidRDefault="00481E15" w:rsidP="00BA44E0">
            <w:pPr>
              <w:pStyle w:val="NoSpacing"/>
              <w:ind w:firstLine="0"/>
              <w:rPr>
                <w:rFonts w:ascii="Arial" w:hAnsi="Arial" w:cs="Arial"/>
                <w:sz w:val="24"/>
              </w:rPr>
            </w:pPr>
            <w:r w:rsidRPr="00BA44E0">
              <w:rPr>
                <w:rFonts w:ascii="Arial" w:hAnsi="Arial" w:cs="Arial"/>
                <w:sz w:val="24"/>
              </w:rPr>
              <w:t xml:space="preserve"> 2,760 </w:t>
            </w:r>
          </w:p>
        </w:tc>
      </w:tr>
      <w:tr w:rsidR="00481E15" w:rsidRPr="005776B2" w:rsidTr="00BA44E0">
        <w:trPr>
          <w:trHeight w:val="270"/>
          <w:tblHeader/>
        </w:trPr>
        <w:tc>
          <w:tcPr>
            <w:tcW w:w="5968" w:type="dxa"/>
            <w:shd w:val="clear" w:color="auto" w:fill="auto"/>
            <w:noWrap/>
            <w:vAlign w:val="bottom"/>
            <w:hideMark/>
          </w:tcPr>
          <w:p w:rsidR="00481E15" w:rsidRPr="005776B2" w:rsidRDefault="00481E15" w:rsidP="00B132B6">
            <w:pPr>
              <w:ind w:firstLine="0"/>
              <w:rPr>
                <w:rFonts w:ascii="Arial" w:eastAsia="Times New Roman" w:hAnsi="Arial" w:cs="Arial"/>
                <w:color w:val="000000"/>
                <w:sz w:val="24"/>
                <w:szCs w:val="24"/>
              </w:rPr>
            </w:pPr>
            <w:r w:rsidRPr="005776B2">
              <w:rPr>
                <w:rFonts w:ascii="Arial" w:eastAsia="Times New Roman" w:hAnsi="Arial" w:cs="Arial"/>
                <w:color w:val="000000"/>
                <w:sz w:val="24"/>
                <w:szCs w:val="24"/>
              </w:rPr>
              <w:t>G0153 – Speech/Language Therapy Services in a Home Health setting</w:t>
            </w:r>
          </w:p>
        </w:tc>
        <w:tc>
          <w:tcPr>
            <w:tcW w:w="1444" w:type="dxa"/>
            <w:shd w:val="clear" w:color="auto" w:fill="auto"/>
            <w:noWrap/>
            <w:hideMark/>
          </w:tcPr>
          <w:p w:rsidR="00481E15" w:rsidRPr="00BA44E0" w:rsidRDefault="00481E15" w:rsidP="00BA44E0">
            <w:pPr>
              <w:pStyle w:val="NoSpacing"/>
              <w:ind w:firstLine="0"/>
              <w:rPr>
                <w:rFonts w:ascii="Arial" w:hAnsi="Arial" w:cs="Arial"/>
                <w:sz w:val="24"/>
              </w:rPr>
            </w:pPr>
            <w:r w:rsidRPr="00BA44E0">
              <w:rPr>
                <w:rFonts w:ascii="Arial" w:hAnsi="Arial" w:cs="Arial"/>
                <w:sz w:val="24"/>
              </w:rPr>
              <w:t xml:space="preserve"> 410 </w:t>
            </w:r>
          </w:p>
        </w:tc>
        <w:tc>
          <w:tcPr>
            <w:tcW w:w="1444" w:type="dxa"/>
            <w:shd w:val="clear" w:color="auto" w:fill="auto"/>
            <w:noWrap/>
            <w:hideMark/>
          </w:tcPr>
          <w:p w:rsidR="00481E15" w:rsidRPr="00BA44E0" w:rsidRDefault="00481E15" w:rsidP="00BA44E0">
            <w:pPr>
              <w:pStyle w:val="NoSpacing"/>
              <w:ind w:firstLine="0"/>
              <w:rPr>
                <w:rFonts w:ascii="Arial" w:hAnsi="Arial" w:cs="Arial"/>
                <w:sz w:val="24"/>
              </w:rPr>
            </w:pPr>
            <w:r w:rsidRPr="00BA44E0">
              <w:rPr>
                <w:rFonts w:ascii="Arial" w:hAnsi="Arial" w:cs="Arial"/>
                <w:sz w:val="24"/>
              </w:rPr>
              <w:t xml:space="preserve">357 </w:t>
            </w:r>
          </w:p>
        </w:tc>
        <w:tc>
          <w:tcPr>
            <w:tcW w:w="1444" w:type="dxa"/>
            <w:shd w:val="clear" w:color="auto" w:fill="auto"/>
            <w:noWrap/>
            <w:hideMark/>
          </w:tcPr>
          <w:p w:rsidR="00481E15" w:rsidRPr="00BA44E0" w:rsidRDefault="00481E15" w:rsidP="00BA44E0">
            <w:pPr>
              <w:pStyle w:val="NoSpacing"/>
              <w:ind w:firstLine="0"/>
              <w:rPr>
                <w:rFonts w:ascii="Arial" w:hAnsi="Arial" w:cs="Arial"/>
                <w:sz w:val="24"/>
              </w:rPr>
            </w:pPr>
            <w:r w:rsidRPr="00BA44E0">
              <w:rPr>
                <w:rFonts w:ascii="Arial" w:hAnsi="Arial" w:cs="Arial"/>
                <w:sz w:val="24"/>
              </w:rPr>
              <w:t xml:space="preserve">360 </w:t>
            </w:r>
          </w:p>
        </w:tc>
      </w:tr>
    </w:tbl>
    <w:p w:rsidR="00481E15" w:rsidRPr="00DA770C" w:rsidRDefault="00481E15" w:rsidP="00DA770C">
      <w:pPr>
        <w:ind w:left="360" w:firstLine="0"/>
      </w:pPr>
    </w:p>
    <w:p w:rsidR="00775B65" w:rsidRDefault="00775B65" w:rsidP="00775B65">
      <w:pPr>
        <w:ind w:firstLine="0"/>
        <w:rPr>
          <w:rFonts w:ascii="Arial" w:hAnsi="Arial" w:cs="Arial"/>
          <w:b/>
          <w:sz w:val="24"/>
          <w:szCs w:val="24"/>
          <w:u w:val="single"/>
        </w:rPr>
      </w:pPr>
      <w:r w:rsidRPr="005776B2" w:rsidDel="00977622">
        <w:rPr>
          <w:rFonts w:ascii="Arial" w:eastAsiaTheme="minorHAnsi" w:hAnsi="Arial" w:cs="Arial"/>
          <w:sz w:val="24"/>
          <w:szCs w:val="24"/>
        </w:rPr>
        <w:t>Note that</w:t>
      </w:r>
      <w:r>
        <w:rPr>
          <w:rFonts w:ascii="Arial" w:eastAsiaTheme="minorHAnsi" w:hAnsi="Arial" w:cs="Arial"/>
          <w:sz w:val="24"/>
          <w:szCs w:val="24"/>
        </w:rPr>
        <w:t xml:space="preserve"> while the above data indicates that</w:t>
      </w:r>
      <w:r w:rsidRPr="005776B2" w:rsidDel="00977622">
        <w:rPr>
          <w:rFonts w:ascii="Arial" w:eastAsiaTheme="minorHAnsi" w:hAnsi="Arial" w:cs="Arial"/>
          <w:sz w:val="24"/>
          <w:szCs w:val="24"/>
        </w:rPr>
        <w:t xml:space="preserve"> </w:t>
      </w:r>
      <w:r>
        <w:rPr>
          <w:rFonts w:ascii="Arial" w:eastAsiaTheme="minorHAnsi" w:hAnsi="Arial" w:cs="Arial"/>
          <w:sz w:val="24"/>
          <w:szCs w:val="24"/>
        </w:rPr>
        <w:t xml:space="preserve">total home health </w:t>
      </w:r>
      <w:r w:rsidRPr="005776B2" w:rsidDel="00977622">
        <w:rPr>
          <w:rFonts w:ascii="Arial" w:eastAsiaTheme="minorHAnsi" w:hAnsi="Arial" w:cs="Arial"/>
          <w:sz w:val="24"/>
          <w:szCs w:val="24"/>
        </w:rPr>
        <w:t xml:space="preserve">utilization </w:t>
      </w:r>
      <w:r w:rsidRPr="005776B2">
        <w:rPr>
          <w:rFonts w:ascii="Arial" w:eastAsiaTheme="minorHAnsi" w:hAnsi="Arial" w:cs="Arial"/>
          <w:sz w:val="24"/>
          <w:szCs w:val="24"/>
        </w:rPr>
        <w:t>decreased</w:t>
      </w:r>
      <w:r w:rsidRPr="005776B2" w:rsidDel="00977622">
        <w:rPr>
          <w:rFonts w:ascii="Arial" w:eastAsiaTheme="minorHAnsi" w:hAnsi="Arial" w:cs="Arial"/>
          <w:sz w:val="24"/>
          <w:szCs w:val="24"/>
        </w:rPr>
        <w:t xml:space="preserve"> over SFY1</w:t>
      </w:r>
      <w:r w:rsidRPr="005776B2">
        <w:rPr>
          <w:rFonts w:ascii="Arial" w:eastAsiaTheme="minorHAnsi" w:hAnsi="Arial" w:cs="Arial"/>
          <w:sz w:val="24"/>
          <w:szCs w:val="24"/>
        </w:rPr>
        <w:t>6</w:t>
      </w:r>
      <w:r w:rsidRPr="005776B2" w:rsidDel="00977622">
        <w:rPr>
          <w:rFonts w:ascii="Arial" w:eastAsiaTheme="minorHAnsi" w:hAnsi="Arial" w:cs="Arial"/>
          <w:sz w:val="24"/>
          <w:szCs w:val="24"/>
        </w:rPr>
        <w:t>– SFY1</w:t>
      </w:r>
      <w:r w:rsidRPr="005776B2">
        <w:rPr>
          <w:rFonts w:ascii="Arial" w:eastAsiaTheme="minorHAnsi" w:hAnsi="Arial" w:cs="Arial"/>
          <w:sz w:val="24"/>
          <w:szCs w:val="24"/>
        </w:rPr>
        <w:t>8</w:t>
      </w:r>
      <w:r>
        <w:rPr>
          <w:rFonts w:ascii="Arial" w:eastAsiaTheme="minorHAnsi" w:hAnsi="Arial" w:cs="Arial"/>
          <w:sz w:val="24"/>
          <w:szCs w:val="24"/>
        </w:rPr>
        <w:t xml:space="preserve">, </w:t>
      </w:r>
      <w:r w:rsidR="00A53974">
        <w:rPr>
          <w:rFonts w:ascii="Arial" w:eastAsiaTheme="minorHAnsi" w:hAnsi="Arial" w:cs="Arial"/>
          <w:sz w:val="24"/>
          <w:szCs w:val="24"/>
        </w:rPr>
        <w:t>MassHealth</w:t>
      </w:r>
      <w:r w:rsidR="00A53974" w:rsidRPr="005776B2" w:rsidDel="00977622">
        <w:rPr>
          <w:rFonts w:ascii="Arial" w:eastAsiaTheme="minorHAnsi" w:hAnsi="Arial" w:cs="Arial"/>
          <w:sz w:val="24"/>
          <w:szCs w:val="24"/>
        </w:rPr>
        <w:t xml:space="preserve"> </w:t>
      </w:r>
      <w:r w:rsidRPr="005776B2" w:rsidDel="00977622">
        <w:rPr>
          <w:rFonts w:ascii="Arial" w:eastAsiaTheme="minorHAnsi" w:hAnsi="Arial" w:cs="Arial"/>
          <w:sz w:val="24"/>
          <w:szCs w:val="24"/>
        </w:rPr>
        <w:t xml:space="preserve">did not receive member complaints regarding access </w:t>
      </w:r>
      <w:r>
        <w:rPr>
          <w:rFonts w:ascii="Arial" w:eastAsiaTheme="minorHAnsi" w:hAnsi="Arial" w:cs="Arial"/>
          <w:sz w:val="24"/>
          <w:szCs w:val="24"/>
        </w:rPr>
        <w:t xml:space="preserve">to these services </w:t>
      </w:r>
      <w:r w:rsidRPr="005776B2" w:rsidDel="00977622">
        <w:rPr>
          <w:rFonts w:ascii="Arial" w:eastAsiaTheme="minorHAnsi" w:hAnsi="Arial" w:cs="Arial"/>
          <w:sz w:val="24"/>
          <w:szCs w:val="24"/>
        </w:rPr>
        <w:t>during this period</w:t>
      </w:r>
      <w:r>
        <w:rPr>
          <w:rFonts w:ascii="Arial" w:eastAsiaTheme="minorHAnsi" w:hAnsi="Arial" w:cs="Arial"/>
          <w:sz w:val="24"/>
          <w:szCs w:val="24"/>
        </w:rPr>
        <w:t>,</w:t>
      </w:r>
      <w:r w:rsidRPr="005776B2" w:rsidDel="00977622">
        <w:rPr>
          <w:rFonts w:ascii="Arial" w:eastAsiaTheme="minorHAnsi" w:hAnsi="Arial" w:cs="Arial"/>
          <w:sz w:val="24"/>
          <w:szCs w:val="24"/>
        </w:rPr>
        <w:t xml:space="preserve"> </w:t>
      </w:r>
      <w:r w:rsidRPr="005776B2">
        <w:rPr>
          <w:rFonts w:ascii="Arial" w:eastAsiaTheme="minorHAnsi" w:hAnsi="Arial" w:cs="Arial"/>
          <w:sz w:val="24"/>
          <w:szCs w:val="24"/>
        </w:rPr>
        <w:t>showing</w:t>
      </w:r>
      <w:r w:rsidRPr="005776B2" w:rsidDel="00977622">
        <w:rPr>
          <w:rFonts w:ascii="Arial" w:eastAsiaTheme="minorHAnsi" w:hAnsi="Arial" w:cs="Arial"/>
          <w:sz w:val="24"/>
          <w:szCs w:val="24"/>
        </w:rPr>
        <w:t xml:space="preserve"> that the </w:t>
      </w:r>
      <w:r w:rsidRPr="005776B2">
        <w:rPr>
          <w:rFonts w:ascii="Arial" w:eastAsiaTheme="minorHAnsi" w:hAnsi="Arial" w:cs="Arial"/>
          <w:sz w:val="24"/>
          <w:szCs w:val="24"/>
        </w:rPr>
        <w:t>enrolled</w:t>
      </w:r>
      <w:r w:rsidRPr="005776B2" w:rsidDel="00977622">
        <w:rPr>
          <w:rFonts w:ascii="Arial" w:eastAsiaTheme="minorHAnsi" w:hAnsi="Arial" w:cs="Arial"/>
          <w:sz w:val="24"/>
          <w:szCs w:val="24"/>
        </w:rPr>
        <w:t xml:space="preserve"> home health agencies were able to accommodate the </w:t>
      </w:r>
      <w:r>
        <w:rPr>
          <w:rFonts w:ascii="Arial" w:eastAsiaTheme="minorHAnsi" w:hAnsi="Arial" w:cs="Arial"/>
          <w:sz w:val="24"/>
          <w:szCs w:val="24"/>
        </w:rPr>
        <w:t>demand for the above services</w:t>
      </w:r>
      <w:r w:rsidRPr="005776B2" w:rsidDel="00977622">
        <w:rPr>
          <w:rFonts w:ascii="Arial" w:eastAsiaTheme="minorHAnsi" w:hAnsi="Arial" w:cs="Arial"/>
          <w:sz w:val="24"/>
          <w:szCs w:val="24"/>
        </w:rPr>
        <w:t>.</w:t>
      </w:r>
      <w:r w:rsidRPr="005776B2">
        <w:rPr>
          <w:rFonts w:ascii="Arial" w:eastAsiaTheme="minorHAnsi" w:hAnsi="Arial" w:cs="Arial"/>
          <w:sz w:val="24"/>
          <w:szCs w:val="24"/>
        </w:rPr>
        <w:t xml:space="preserve"> </w:t>
      </w:r>
      <w:r w:rsidRPr="005776B2">
        <w:rPr>
          <w:rFonts w:ascii="Arial" w:hAnsi="Arial" w:cs="Arial"/>
          <w:sz w:val="24"/>
          <w:szCs w:val="24"/>
        </w:rPr>
        <w:t xml:space="preserve">The utilization decreases represented above were in large part a result of </w:t>
      </w:r>
      <w:proofErr w:type="spellStart"/>
      <w:r w:rsidR="007873D6">
        <w:rPr>
          <w:rFonts w:ascii="Arial" w:hAnsi="Arial" w:cs="Arial"/>
          <w:sz w:val="24"/>
          <w:szCs w:val="24"/>
        </w:rPr>
        <w:t>MassHealth’</w:t>
      </w:r>
      <w:r w:rsidR="007873D6" w:rsidRPr="005776B2">
        <w:rPr>
          <w:rFonts w:ascii="Arial" w:hAnsi="Arial" w:cs="Arial"/>
          <w:sz w:val="24"/>
          <w:szCs w:val="24"/>
        </w:rPr>
        <w:t>s</w:t>
      </w:r>
      <w:proofErr w:type="spellEnd"/>
      <w:r w:rsidR="007873D6" w:rsidRPr="005776B2">
        <w:rPr>
          <w:rFonts w:ascii="Arial" w:hAnsi="Arial" w:cs="Arial"/>
          <w:sz w:val="24"/>
          <w:szCs w:val="24"/>
        </w:rPr>
        <w:t xml:space="preserve"> </w:t>
      </w:r>
      <w:r w:rsidRPr="005776B2">
        <w:rPr>
          <w:rFonts w:ascii="Arial" w:hAnsi="Arial" w:cs="Arial"/>
          <w:sz w:val="24"/>
          <w:szCs w:val="24"/>
        </w:rPr>
        <w:t xml:space="preserve">extensive program integrity efforts. </w:t>
      </w:r>
    </w:p>
    <w:p w:rsidR="00775B65" w:rsidRPr="00926668" w:rsidRDefault="00775B65" w:rsidP="00926668"/>
    <w:p w:rsidR="00C241B6" w:rsidRDefault="00C241B6">
      <w:pPr>
        <w:ind w:firstLine="0"/>
        <w:rPr>
          <w:rFonts w:ascii="Arial" w:hAnsi="Arial" w:cs="Arial"/>
          <w:b/>
          <w:sz w:val="24"/>
          <w:szCs w:val="24"/>
          <w:u w:val="single"/>
        </w:rPr>
      </w:pPr>
      <w:bookmarkStart w:id="77" w:name="_Toc10810601"/>
      <w:r>
        <w:rPr>
          <w:rFonts w:ascii="Arial" w:hAnsi="Arial" w:cs="Arial"/>
          <w:b/>
          <w:sz w:val="24"/>
          <w:szCs w:val="24"/>
          <w:u w:val="single"/>
        </w:rPr>
        <w:br w:type="page"/>
      </w:r>
    </w:p>
    <w:p w:rsidR="00481E15" w:rsidRPr="009F7DBA" w:rsidRDefault="00481E15" w:rsidP="009F7DBA">
      <w:pPr>
        <w:ind w:firstLine="0"/>
        <w:rPr>
          <w:rFonts w:ascii="Arial" w:hAnsi="Arial" w:cs="Arial"/>
          <w:b/>
          <w:sz w:val="24"/>
          <w:szCs w:val="24"/>
          <w:u w:val="single"/>
        </w:rPr>
      </w:pPr>
      <w:r w:rsidRPr="009F7DBA">
        <w:rPr>
          <w:rFonts w:ascii="Arial" w:hAnsi="Arial" w:cs="Arial"/>
          <w:b/>
          <w:sz w:val="24"/>
          <w:szCs w:val="24"/>
          <w:u w:val="single"/>
        </w:rPr>
        <w:lastRenderedPageBreak/>
        <w:t>Utilization of Continuous Skilled Nursing Services SFY16 – SFY18</w:t>
      </w:r>
      <w:bookmarkEnd w:id="77"/>
    </w:p>
    <w:p w:rsidR="00481E15" w:rsidRPr="005776B2" w:rsidRDefault="00481E15" w:rsidP="00481E15">
      <w:pPr>
        <w:spacing w:after="200" w:line="276" w:lineRule="auto"/>
        <w:ind w:firstLine="0"/>
        <w:contextualSpacing/>
        <w:rPr>
          <w:rFonts w:ascii="Arial" w:eastAsiaTheme="minorHAnsi" w:hAnsi="Arial" w:cs="Arial"/>
          <w:sz w:val="24"/>
          <w:szCs w:val="24"/>
        </w:rPr>
      </w:pPr>
      <w:r w:rsidRPr="005776B2">
        <w:rPr>
          <w:rFonts w:ascii="Arial" w:eastAsiaTheme="minorHAnsi" w:hAnsi="Arial" w:cs="Arial"/>
          <w:sz w:val="24"/>
          <w:szCs w:val="24"/>
        </w:rPr>
        <w:t>Number of members using Continuous Skilled Nursing (Private Duty Nursing) services</w:t>
      </w:r>
    </w:p>
    <w:p w:rsidR="00481E15" w:rsidRPr="005776B2" w:rsidRDefault="00481E15" w:rsidP="00481E15">
      <w:pPr>
        <w:spacing w:after="200" w:line="276" w:lineRule="auto"/>
        <w:ind w:firstLine="0"/>
        <w:contextualSpacing/>
        <w:rPr>
          <w:rFonts w:ascii="Arial" w:eastAsiaTheme="minorHAnsi" w:hAnsi="Arial" w:cs="Arial"/>
          <w:sz w:val="24"/>
          <w:szCs w:val="24"/>
        </w:rPr>
      </w:pPr>
    </w:p>
    <w:p w:rsidR="00481E15" w:rsidRPr="005776B2" w:rsidRDefault="00481E15" w:rsidP="00481E15">
      <w:pPr>
        <w:spacing w:after="200" w:line="276" w:lineRule="auto"/>
        <w:ind w:firstLine="0"/>
        <w:contextualSpacing/>
        <w:rPr>
          <w:rFonts w:ascii="Arial" w:eastAsiaTheme="minorHAnsi" w:hAnsi="Arial" w:cs="Arial"/>
          <w:sz w:val="24"/>
          <w:szCs w:val="24"/>
        </w:rPr>
      </w:pPr>
      <w:r w:rsidRPr="005776B2">
        <w:rPr>
          <w:rFonts w:ascii="Arial" w:eastAsia="Times New Roman" w:hAnsi="Arial" w:cs="Arial"/>
          <w:b/>
          <w:bCs/>
          <w:color w:val="000000"/>
          <w:sz w:val="24"/>
          <w:szCs w:val="24"/>
        </w:rPr>
        <w:t>Continuous Skilled Nursing—Unduplicated Member Counts</w:t>
      </w:r>
    </w:p>
    <w:tbl>
      <w:tblPr>
        <w:tblW w:w="1030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70"/>
        <w:gridCol w:w="1477"/>
        <w:gridCol w:w="1477"/>
        <w:gridCol w:w="1477"/>
      </w:tblGrid>
      <w:tr w:rsidR="00481E15" w:rsidRPr="005776B2" w:rsidTr="00B132B6">
        <w:trPr>
          <w:trHeight w:val="255"/>
          <w:tblHeader/>
        </w:trPr>
        <w:tc>
          <w:tcPr>
            <w:tcW w:w="5870" w:type="dxa"/>
            <w:shd w:val="clear" w:color="auto" w:fill="auto"/>
            <w:noWrap/>
            <w:vAlign w:val="bottom"/>
          </w:tcPr>
          <w:p w:rsidR="00481E15" w:rsidRPr="007910F9" w:rsidRDefault="00481E15" w:rsidP="007910F9">
            <w:pPr>
              <w:ind w:firstLine="0"/>
              <w:rPr>
                <w:rFonts w:ascii="Arial" w:hAnsi="Arial" w:cs="Arial"/>
                <w:b/>
                <w:sz w:val="24"/>
                <w:szCs w:val="24"/>
              </w:rPr>
            </w:pPr>
            <w:r w:rsidRPr="007910F9">
              <w:rPr>
                <w:rFonts w:ascii="Arial" w:hAnsi="Arial" w:cs="Arial"/>
                <w:b/>
                <w:sz w:val="24"/>
                <w:szCs w:val="24"/>
              </w:rPr>
              <w:t>Procedure Codes and Modifiers</w:t>
            </w:r>
          </w:p>
        </w:tc>
        <w:tc>
          <w:tcPr>
            <w:tcW w:w="1477" w:type="dxa"/>
            <w:shd w:val="clear" w:color="auto" w:fill="auto"/>
            <w:noWrap/>
            <w:vAlign w:val="bottom"/>
          </w:tcPr>
          <w:p w:rsidR="00481E15" w:rsidRPr="007910F9" w:rsidRDefault="00481E15" w:rsidP="007910F9">
            <w:pPr>
              <w:ind w:firstLine="0"/>
              <w:rPr>
                <w:rFonts w:ascii="Arial" w:hAnsi="Arial" w:cs="Arial"/>
                <w:b/>
                <w:sz w:val="24"/>
              </w:rPr>
            </w:pPr>
            <w:r w:rsidRPr="007910F9">
              <w:rPr>
                <w:rFonts w:ascii="Arial" w:hAnsi="Arial" w:cs="Arial"/>
                <w:b/>
                <w:sz w:val="24"/>
              </w:rPr>
              <w:t>SFY16</w:t>
            </w:r>
          </w:p>
        </w:tc>
        <w:tc>
          <w:tcPr>
            <w:tcW w:w="1477" w:type="dxa"/>
            <w:shd w:val="clear" w:color="auto" w:fill="auto"/>
            <w:noWrap/>
            <w:vAlign w:val="bottom"/>
          </w:tcPr>
          <w:p w:rsidR="00481E15" w:rsidRPr="007910F9" w:rsidRDefault="00481E15" w:rsidP="007910F9">
            <w:pPr>
              <w:ind w:firstLine="0"/>
              <w:rPr>
                <w:rFonts w:ascii="Arial" w:hAnsi="Arial" w:cs="Arial"/>
                <w:b/>
                <w:sz w:val="24"/>
              </w:rPr>
            </w:pPr>
            <w:r w:rsidRPr="007910F9">
              <w:rPr>
                <w:rFonts w:ascii="Arial" w:hAnsi="Arial" w:cs="Arial"/>
                <w:b/>
                <w:sz w:val="24"/>
              </w:rPr>
              <w:t>SFY17</w:t>
            </w:r>
          </w:p>
        </w:tc>
        <w:tc>
          <w:tcPr>
            <w:tcW w:w="1477" w:type="dxa"/>
            <w:shd w:val="clear" w:color="auto" w:fill="auto"/>
            <w:noWrap/>
            <w:vAlign w:val="bottom"/>
          </w:tcPr>
          <w:p w:rsidR="00481E15" w:rsidRPr="007910F9" w:rsidRDefault="00481E15" w:rsidP="007910F9">
            <w:pPr>
              <w:ind w:firstLine="0"/>
              <w:rPr>
                <w:rFonts w:ascii="Arial" w:hAnsi="Arial" w:cs="Arial"/>
                <w:b/>
                <w:sz w:val="24"/>
              </w:rPr>
            </w:pPr>
            <w:r w:rsidRPr="007910F9">
              <w:rPr>
                <w:rFonts w:ascii="Arial" w:hAnsi="Arial" w:cs="Arial"/>
                <w:b/>
                <w:sz w:val="24"/>
              </w:rPr>
              <w:t>SFY18</w:t>
            </w:r>
          </w:p>
        </w:tc>
      </w:tr>
      <w:tr w:rsidR="00481E15" w:rsidRPr="005776B2" w:rsidTr="007910F9">
        <w:trPr>
          <w:trHeight w:val="255"/>
          <w:tblHeader/>
        </w:trPr>
        <w:tc>
          <w:tcPr>
            <w:tcW w:w="5870" w:type="dxa"/>
            <w:shd w:val="clear" w:color="auto" w:fill="auto"/>
            <w:noWrap/>
            <w:vAlign w:val="bottom"/>
            <w:hideMark/>
          </w:tcPr>
          <w:p w:rsidR="00481E15" w:rsidRPr="007910F9" w:rsidRDefault="00481E15" w:rsidP="007910F9">
            <w:pPr>
              <w:ind w:firstLine="0"/>
              <w:rPr>
                <w:rFonts w:ascii="Arial" w:hAnsi="Arial" w:cs="Arial"/>
                <w:sz w:val="24"/>
              </w:rPr>
            </w:pPr>
            <w:r w:rsidRPr="007910F9">
              <w:rPr>
                <w:rFonts w:ascii="Arial" w:hAnsi="Arial" w:cs="Arial"/>
                <w:sz w:val="24"/>
              </w:rPr>
              <w:t>T1002 – Continuous Skilled Nursing provided by a RN (single-patient)</w:t>
            </w:r>
          </w:p>
        </w:tc>
        <w:tc>
          <w:tcPr>
            <w:tcW w:w="1477" w:type="dxa"/>
            <w:shd w:val="clear" w:color="auto" w:fill="auto"/>
            <w:noWrap/>
            <w:hideMark/>
          </w:tcPr>
          <w:p w:rsidR="00481E15" w:rsidRPr="007910F9" w:rsidRDefault="00481E15" w:rsidP="007910F9">
            <w:pPr>
              <w:pStyle w:val="NoSpacing"/>
              <w:ind w:firstLine="0"/>
              <w:rPr>
                <w:rFonts w:ascii="Arial" w:hAnsi="Arial" w:cs="Arial"/>
                <w:sz w:val="24"/>
              </w:rPr>
            </w:pPr>
            <w:r w:rsidRPr="007910F9">
              <w:rPr>
                <w:rFonts w:ascii="Arial" w:hAnsi="Arial" w:cs="Arial"/>
                <w:sz w:val="24"/>
              </w:rPr>
              <w:t xml:space="preserve">795 </w:t>
            </w:r>
          </w:p>
        </w:tc>
        <w:tc>
          <w:tcPr>
            <w:tcW w:w="1477" w:type="dxa"/>
            <w:shd w:val="clear" w:color="auto" w:fill="auto"/>
            <w:noWrap/>
            <w:hideMark/>
          </w:tcPr>
          <w:p w:rsidR="00481E15" w:rsidRPr="007910F9" w:rsidRDefault="00481E15" w:rsidP="007910F9">
            <w:pPr>
              <w:pStyle w:val="NoSpacing"/>
              <w:ind w:firstLine="0"/>
              <w:rPr>
                <w:rFonts w:ascii="Arial" w:hAnsi="Arial" w:cs="Arial"/>
                <w:sz w:val="24"/>
              </w:rPr>
            </w:pPr>
            <w:r w:rsidRPr="007910F9">
              <w:rPr>
                <w:rFonts w:ascii="Arial" w:hAnsi="Arial" w:cs="Arial"/>
                <w:sz w:val="24"/>
              </w:rPr>
              <w:t xml:space="preserve">786 </w:t>
            </w:r>
          </w:p>
        </w:tc>
        <w:tc>
          <w:tcPr>
            <w:tcW w:w="1477" w:type="dxa"/>
            <w:shd w:val="clear" w:color="auto" w:fill="auto"/>
            <w:noWrap/>
            <w:hideMark/>
          </w:tcPr>
          <w:p w:rsidR="00481E15" w:rsidRPr="007910F9" w:rsidRDefault="00481E15" w:rsidP="007910F9">
            <w:pPr>
              <w:pStyle w:val="NoSpacing"/>
              <w:ind w:firstLine="0"/>
              <w:rPr>
                <w:rFonts w:ascii="Arial" w:hAnsi="Arial" w:cs="Arial"/>
                <w:sz w:val="24"/>
              </w:rPr>
            </w:pPr>
            <w:r w:rsidRPr="007910F9">
              <w:rPr>
                <w:rFonts w:ascii="Arial" w:hAnsi="Arial" w:cs="Arial"/>
                <w:sz w:val="24"/>
              </w:rPr>
              <w:t xml:space="preserve">758 </w:t>
            </w:r>
          </w:p>
        </w:tc>
      </w:tr>
      <w:tr w:rsidR="00481E15" w:rsidRPr="005776B2" w:rsidTr="007910F9">
        <w:trPr>
          <w:trHeight w:val="255"/>
          <w:tblHeader/>
        </w:trPr>
        <w:tc>
          <w:tcPr>
            <w:tcW w:w="5870" w:type="dxa"/>
            <w:shd w:val="clear" w:color="auto" w:fill="auto"/>
            <w:noWrap/>
            <w:vAlign w:val="bottom"/>
            <w:hideMark/>
          </w:tcPr>
          <w:p w:rsidR="00481E15" w:rsidRPr="007910F9" w:rsidRDefault="00481E15" w:rsidP="007910F9">
            <w:pPr>
              <w:ind w:firstLine="0"/>
              <w:rPr>
                <w:rFonts w:ascii="Arial" w:hAnsi="Arial" w:cs="Arial"/>
                <w:sz w:val="24"/>
              </w:rPr>
            </w:pPr>
            <w:r w:rsidRPr="007910F9">
              <w:rPr>
                <w:rFonts w:ascii="Arial" w:hAnsi="Arial" w:cs="Arial"/>
                <w:sz w:val="24"/>
              </w:rPr>
              <w:t>T1002 (TT, U1, U2) – Continuous Skilled Nursing provided by a RN (multiple-patients)</w:t>
            </w:r>
          </w:p>
        </w:tc>
        <w:tc>
          <w:tcPr>
            <w:tcW w:w="1477" w:type="dxa"/>
            <w:shd w:val="clear" w:color="auto" w:fill="auto"/>
            <w:noWrap/>
            <w:hideMark/>
          </w:tcPr>
          <w:p w:rsidR="00481E15" w:rsidRPr="007910F9" w:rsidRDefault="00481E15" w:rsidP="007910F9">
            <w:pPr>
              <w:ind w:firstLine="0"/>
              <w:rPr>
                <w:rFonts w:ascii="Arial" w:hAnsi="Arial" w:cs="Arial"/>
                <w:sz w:val="24"/>
              </w:rPr>
            </w:pPr>
            <w:r w:rsidRPr="007910F9">
              <w:rPr>
                <w:rFonts w:ascii="Arial" w:hAnsi="Arial" w:cs="Arial"/>
                <w:sz w:val="24"/>
              </w:rPr>
              <w:t xml:space="preserve">42 </w:t>
            </w:r>
          </w:p>
        </w:tc>
        <w:tc>
          <w:tcPr>
            <w:tcW w:w="1477" w:type="dxa"/>
            <w:shd w:val="clear" w:color="auto" w:fill="auto"/>
            <w:noWrap/>
            <w:hideMark/>
          </w:tcPr>
          <w:p w:rsidR="00481E15" w:rsidRPr="007910F9" w:rsidRDefault="00481E15" w:rsidP="007910F9">
            <w:pPr>
              <w:ind w:firstLine="0"/>
              <w:rPr>
                <w:rFonts w:ascii="Arial" w:hAnsi="Arial" w:cs="Arial"/>
                <w:sz w:val="24"/>
              </w:rPr>
            </w:pPr>
            <w:r w:rsidRPr="007910F9">
              <w:rPr>
                <w:rFonts w:ascii="Arial" w:hAnsi="Arial" w:cs="Arial"/>
                <w:sz w:val="24"/>
              </w:rPr>
              <w:t xml:space="preserve">34 </w:t>
            </w:r>
          </w:p>
        </w:tc>
        <w:tc>
          <w:tcPr>
            <w:tcW w:w="1477" w:type="dxa"/>
            <w:shd w:val="clear" w:color="auto" w:fill="auto"/>
            <w:noWrap/>
            <w:hideMark/>
          </w:tcPr>
          <w:p w:rsidR="00481E15" w:rsidRPr="007910F9" w:rsidRDefault="00481E15" w:rsidP="007910F9">
            <w:pPr>
              <w:ind w:firstLine="0"/>
              <w:rPr>
                <w:rFonts w:ascii="Arial" w:hAnsi="Arial" w:cs="Arial"/>
                <w:sz w:val="24"/>
              </w:rPr>
            </w:pPr>
            <w:r w:rsidRPr="007910F9">
              <w:rPr>
                <w:rFonts w:ascii="Arial" w:hAnsi="Arial" w:cs="Arial"/>
                <w:sz w:val="24"/>
              </w:rPr>
              <w:t xml:space="preserve">35 </w:t>
            </w:r>
          </w:p>
        </w:tc>
      </w:tr>
      <w:tr w:rsidR="00481E15" w:rsidRPr="005776B2" w:rsidTr="007910F9">
        <w:trPr>
          <w:trHeight w:val="255"/>
          <w:tblHeader/>
        </w:trPr>
        <w:tc>
          <w:tcPr>
            <w:tcW w:w="5870" w:type="dxa"/>
            <w:shd w:val="clear" w:color="auto" w:fill="auto"/>
            <w:noWrap/>
            <w:vAlign w:val="bottom"/>
            <w:hideMark/>
          </w:tcPr>
          <w:p w:rsidR="00481E15" w:rsidRPr="007910F9" w:rsidRDefault="00481E15" w:rsidP="007910F9">
            <w:pPr>
              <w:ind w:firstLine="0"/>
              <w:rPr>
                <w:rFonts w:ascii="Arial" w:hAnsi="Arial" w:cs="Arial"/>
                <w:sz w:val="24"/>
              </w:rPr>
            </w:pPr>
            <w:r w:rsidRPr="007910F9">
              <w:rPr>
                <w:rFonts w:ascii="Arial" w:hAnsi="Arial" w:cs="Arial"/>
                <w:sz w:val="24"/>
              </w:rPr>
              <w:t>T1003 - Continuous Skilled Nursing provided by an LPN (single-patient)</w:t>
            </w:r>
          </w:p>
        </w:tc>
        <w:tc>
          <w:tcPr>
            <w:tcW w:w="1477" w:type="dxa"/>
            <w:shd w:val="clear" w:color="auto" w:fill="auto"/>
            <w:noWrap/>
            <w:hideMark/>
          </w:tcPr>
          <w:p w:rsidR="00481E15" w:rsidRPr="007910F9" w:rsidRDefault="00481E15" w:rsidP="007910F9">
            <w:pPr>
              <w:ind w:firstLine="0"/>
              <w:rPr>
                <w:rFonts w:ascii="Arial" w:hAnsi="Arial" w:cs="Arial"/>
                <w:sz w:val="24"/>
              </w:rPr>
            </w:pPr>
            <w:r w:rsidRPr="007910F9">
              <w:rPr>
                <w:rFonts w:ascii="Arial" w:hAnsi="Arial" w:cs="Arial"/>
                <w:sz w:val="24"/>
              </w:rPr>
              <w:t xml:space="preserve">719 </w:t>
            </w:r>
          </w:p>
        </w:tc>
        <w:tc>
          <w:tcPr>
            <w:tcW w:w="1477" w:type="dxa"/>
            <w:shd w:val="clear" w:color="auto" w:fill="auto"/>
            <w:noWrap/>
            <w:hideMark/>
          </w:tcPr>
          <w:p w:rsidR="00481E15" w:rsidRPr="007910F9" w:rsidRDefault="00481E15" w:rsidP="007910F9">
            <w:pPr>
              <w:ind w:firstLine="0"/>
              <w:rPr>
                <w:rFonts w:ascii="Arial" w:hAnsi="Arial" w:cs="Arial"/>
                <w:sz w:val="24"/>
              </w:rPr>
            </w:pPr>
            <w:r w:rsidRPr="007910F9">
              <w:rPr>
                <w:rFonts w:ascii="Arial" w:hAnsi="Arial" w:cs="Arial"/>
                <w:sz w:val="24"/>
              </w:rPr>
              <w:t xml:space="preserve">712 </w:t>
            </w:r>
          </w:p>
        </w:tc>
        <w:tc>
          <w:tcPr>
            <w:tcW w:w="1477" w:type="dxa"/>
            <w:shd w:val="clear" w:color="auto" w:fill="auto"/>
            <w:noWrap/>
            <w:hideMark/>
          </w:tcPr>
          <w:p w:rsidR="00481E15" w:rsidRPr="007910F9" w:rsidRDefault="00481E15" w:rsidP="007910F9">
            <w:pPr>
              <w:ind w:firstLine="0"/>
              <w:rPr>
                <w:rFonts w:ascii="Arial" w:hAnsi="Arial" w:cs="Arial"/>
                <w:sz w:val="24"/>
              </w:rPr>
            </w:pPr>
            <w:r w:rsidRPr="007910F9">
              <w:rPr>
                <w:rFonts w:ascii="Arial" w:hAnsi="Arial" w:cs="Arial"/>
                <w:sz w:val="24"/>
              </w:rPr>
              <w:t xml:space="preserve">662 </w:t>
            </w:r>
          </w:p>
        </w:tc>
      </w:tr>
      <w:tr w:rsidR="00481E15" w:rsidRPr="005776B2" w:rsidTr="007910F9">
        <w:trPr>
          <w:trHeight w:val="270"/>
          <w:tblHeader/>
        </w:trPr>
        <w:tc>
          <w:tcPr>
            <w:tcW w:w="5870" w:type="dxa"/>
            <w:shd w:val="clear" w:color="auto" w:fill="auto"/>
            <w:noWrap/>
            <w:vAlign w:val="bottom"/>
            <w:hideMark/>
          </w:tcPr>
          <w:p w:rsidR="00481E15" w:rsidRPr="007910F9" w:rsidRDefault="00481E15" w:rsidP="007910F9">
            <w:pPr>
              <w:ind w:firstLine="0"/>
              <w:rPr>
                <w:rFonts w:ascii="Arial" w:hAnsi="Arial" w:cs="Arial"/>
                <w:sz w:val="24"/>
              </w:rPr>
            </w:pPr>
            <w:r w:rsidRPr="007910F9">
              <w:rPr>
                <w:rFonts w:ascii="Arial" w:hAnsi="Arial" w:cs="Arial"/>
                <w:sz w:val="24"/>
              </w:rPr>
              <w:t>T1003 (TT, U1, U2) Continuous Skilled Nursing provided by an LPN (multiple-patients)</w:t>
            </w:r>
          </w:p>
        </w:tc>
        <w:tc>
          <w:tcPr>
            <w:tcW w:w="1477" w:type="dxa"/>
            <w:shd w:val="clear" w:color="auto" w:fill="auto"/>
            <w:noWrap/>
            <w:hideMark/>
          </w:tcPr>
          <w:p w:rsidR="00481E15" w:rsidRPr="007910F9" w:rsidRDefault="00481E15" w:rsidP="007910F9">
            <w:pPr>
              <w:ind w:firstLine="0"/>
              <w:rPr>
                <w:rFonts w:ascii="Arial" w:hAnsi="Arial" w:cs="Arial"/>
                <w:sz w:val="24"/>
              </w:rPr>
            </w:pPr>
            <w:r w:rsidRPr="007910F9">
              <w:rPr>
                <w:rFonts w:ascii="Arial" w:hAnsi="Arial" w:cs="Arial"/>
                <w:sz w:val="24"/>
              </w:rPr>
              <w:t xml:space="preserve">29 </w:t>
            </w:r>
          </w:p>
        </w:tc>
        <w:tc>
          <w:tcPr>
            <w:tcW w:w="1477" w:type="dxa"/>
            <w:shd w:val="clear" w:color="auto" w:fill="auto"/>
            <w:noWrap/>
            <w:hideMark/>
          </w:tcPr>
          <w:p w:rsidR="00481E15" w:rsidRPr="007910F9" w:rsidRDefault="00481E15" w:rsidP="007910F9">
            <w:pPr>
              <w:ind w:firstLine="0"/>
              <w:rPr>
                <w:rFonts w:ascii="Arial" w:hAnsi="Arial" w:cs="Arial"/>
                <w:sz w:val="24"/>
              </w:rPr>
            </w:pPr>
            <w:r w:rsidRPr="007910F9">
              <w:rPr>
                <w:rFonts w:ascii="Arial" w:hAnsi="Arial" w:cs="Arial"/>
                <w:sz w:val="24"/>
              </w:rPr>
              <w:t xml:space="preserve">22 </w:t>
            </w:r>
          </w:p>
        </w:tc>
        <w:tc>
          <w:tcPr>
            <w:tcW w:w="1477" w:type="dxa"/>
            <w:shd w:val="clear" w:color="auto" w:fill="auto"/>
            <w:noWrap/>
            <w:hideMark/>
          </w:tcPr>
          <w:p w:rsidR="00481E15" w:rsidRPr="007910F9" w:rsidRDefault="00481E15" w:rsidP="007910F9">
            <w:pPr>
              <w:ind w:firstLine="0"/>
              <w:rPr>
                <w:rFonts w:ascii="Arial" w:hAnsi="Arial" w:cs="Arial"/>
                <w:sz w:val="24"/>
              </w:rPr>
            </w:pPr>
            <w:r w:rsidRPr="007910F9">
              <w:rPr>
                <w:rFonts w:ascii="Arial" w:hAnsi="Arial" w:cs="Arial"/>
                <w:sz w:val="24"/>
              </w:rPr>
              <w:t xml:space="preserve"> 20 </w:t>
            </w:r>
          </w:p>
        </w:tc>
      </w:tr>
    </w:tbl>
    <w:p w:rsidR="00481E15" w:rsidRPr="005776B2" w:rsidRDefault="00481E15" w:rsidP="00481E15">
      <w:pPr>
        <w:ind w:firstLine="0"/>
        <w:rPr>
          <w:rFonts w:ascii="Arial" w:hAnsi="Arial" w:cs="Arial"/>
          <w:sz w:val="24"/>
          <w:szCs w:val="24"/>
        </w:rPr>
      </w:pPr>
    </w:p>
    <w:p w:rsidR="00C8470D" w:rsidRPr="005776B2" w:rsidRDefault="00C8470D" w:rsidP="00C8470D">
      <w:pPr>
        <w:ind w:firstLine="0"/>
        <w:rPr>
          <w:rFonts w:ascii="Arial" w:hAnsi="Arial" w:cs="Arial"/>
          <w:sz w:val="24"/>
          <w:szCs w:val="24"/>
        </w:rPr>
      </w:pPr>
      <w:r w:rsidRPr="005776B2" w:rsidDel="00977622">
        <w:rPr>
          <w:rFonts w:ascii="Arial" w:eastAsiaTheme="minorHAnsi" w:hAnsi="Arial" w:cs="Arial"/>
          <w:sz w:val="24"/>
          <w:szCs w:val="24"/>
        </w:rPr>
        <w:t xml:space="preserve">Note that </w:t>
      </w:r>
      <w:r w:rsidR="00775B65">
        <w:rPr>
          <w:rFonts w:ascii="Arial" w:eastAsiaTheme="minorHAnsi" w:hAnsi="Arial" w:cs="Arial"/>
          <w:sz w:val="24"/>
          <w:szCs w:val="24"/>
        </w:rPr>
        <w:t xml:space="preserve">while the data above indicates that the total number of unique members utilizing Continuous Skilled Nursing services has decreased slightly over SFY16- SFY18, </w:t>
      </w:r>
      <w:r w:rsidR="007873D6">
        <w:rPr>
          <w:rFonts w:ascii="Arial" w:eastAsiaTheme="minorHAnsi" w:hAnsi="Arial" w:cs="Arial"/>
          <w:sz w:val="24"/>
          <w:szCs w:val="24"/>
        </w:rPr>
        <w:t xml:space="preserve">MassHealth </w:t>
      </w:r>
      <w:r w:rsidR="00775B65">
        <w:rPr>
          <w:rFonts w:ascii="Arial" w:eastAsiaTheme="minorHAnsi" w:hAnsi="Arial" w:cs="Arial"/>
          <w:sz w:val="24"/>
          <w:szCs w:val="24"/>
        </w:rPr>
        <w:t xml:space="preserve">does not attribute this decrease to either access issues or </w:t>
      </w:r>
      <w:proofErr w:type="spellStart"/>
      <w:r w:rsidR="00A53974">
        <w:rPr>
          <w:rFonts w:ascii="Arial" w:eastAsiaTheme="minorHAnsi" w:hAnsi="Arial" w:cs="Arial"/>
          <w:sz w:val="24"/>
          <w:szCs w:val="24"/>
        </w:rPr>
        <w:t>MassHealth’s</w:t>
      </w:r>
      <w:proofErr w:type="spellEnd"/>
      <w:r w:rsidR="00A53974">
        <w:rPr>
          <w:rFonts w:ascii="Arial" w:eastAsiaTheme="minorHAnsi" w:hAnsi="Arial" w:cs="Arial"/>
          <w:sz w:val="24"/>
          <w:szCs w:val="24"/>
        </w:rPr>
        <w:t xml:space="preserve"> </w:t>
      </w:r>
      <w:r w:rsidR="00775B65">
        <w:rPr>
          <w:rFonts w:ascii="Arial" w:eastAsiaTheme="minorHAnsi" w:hAnsi="Arial" w:cs="Arial"/>
          <w:sz w:val="24"/>
          <w:szCs w:val="24"/>
        </w:rPr>
        <w:t xml:space="preserve">program integrity efforts, but rather to a reduction in the total number of members requiring Continuous Skilled Nursing Services. </w:t>
      </w:r>
      <w:r w:rsidR="007873D6">
        <w:rPr>
          <w:rFonts w:ascii="Arial" w:eastAsiaTheme="minorHAnsi" w:hAnsi="Arial" w:cs="Arial"/>
          <w:sz w:val="24"/>
          <w:szCs w:val="24"/>
        </w:rPr>
        <w:t xml:space="preserve">MassHealth </w:t>
      </w:r>
      <w:r w:rsidR="00775B65">
        <w:rPr>
          <w:rFonts w:ascii="Arial" w:eastAsiaTheme="minorHAnsi" w:hAnsi="Arial" w:cs="Arial"/>
          <w:sz w:val="24"/>
          <w:szCs w:val="24"/>
        </w:rPr>
        <w:t xml:space="preserve">provides all members who require Continuous Skilled </w:t>
      </w:r>
      <w:proofErr w:type="gramStart"/>
      <w:r w:rsidR="00775B65">
        <w:rPr>
          <w:rFonts w:ascii="Arial" w:eastAsiaTheme="minorHAnsi" w:hAnsi="Arial" w:cs="Arial"/>
          <w:sz w:val="24"/>
          <w:szCs w:val="24"/>
        </w:rPr>
        <w:t>Nursing</w:t>
      </w:r>
      <w:proofErr w:type="gramEnd"/>
      <w:r w:rsidR="00775B65">
        <w:rPr>
          <w:rFonts w:ascii="Arial" w:eastAsiaTheme="minorHAnsi" w:hAnsi="Arial" w:cs="Arial"/>
          <w:sz w:val="24"/>
          <w:szCs w:val="24"/>
        </w:rPr>
        <w:t xml:space="preserve"> services (referred to as “Complex Care Members”) with care coordination and works closely with such members on the authorization and scheduling of their Continuous Skilled Nursing services.</w:t>
      </w:r>
    </w:p>
    <w:p w:rsidR="00481E15" w:rsidRPr="005776B2" w:rsidRDefault="00481E15" w:rsidP="00481E15">
      <w:pPr>
        <w:ind w:firstLine="0"/>
        <w:rPr>
          <w:rFonts w:ascii="Arial" w:hAnsi="Arial" w:cs="Arial"/>
          <w:sz w:val="24"/>
          <w:szCs w:val="24"/>
        </w:rPr>
      </w:pPr>
    </w:p>
    <w:p w:rsidR="00481E15" w:rsidRPr="00472ED1" w:rsidRDefault="00481E15" w:rsidP="00481E15">
      <w:pPr>
        <w:pStyle w:val="Heading2"/>
        <w:rPr>
          <w:rFonts w:ascii="Arial" w:hAnsi="Arial" w:cs="Arial"/>
          <w:color w:val="auto"/>
          <w:sz w:val="24"/>
          <w:szCs w:val="24"/>
          <w:u w:val="single"/>
        </w:rPr>
      </w:pPr>
      <w:bookmarkStart w:id="78" w:name="_Toc10810602"/>
      <w:bookmarkStart w:id="79" w:name="_Toc20296952"/>
      <w:r>
        <w:rPr>
          <w:rFonts w:ascii="Arial" w:hAnsi="Arial" w:cs="Arial"/>
          <w:color w:val="auto"/>
          <w:sz w:val="24"/>
          <w:szCs w:val="24"/>
          <w:u w:val="single"/>
        </w:rPr>
        <w:t>4</w:t>
      </w:r>
      <w:r w:rsidRPr="00472ED1">
        <w:rPr>
          <w:rFonts w:ascii="Arial" w:hAnsi="Arial" w:cs="Arial"/>
          <w:color w:val="auto"/>
          <w:sz w:val="24"/>
          <w:szCs w:val="24"/>
          <w:u w:val="single"/>
        </w:rPr>
        <w:t>. Comparison Analysis of Medicaid Payment Rates to Medicare</w:t>
      </w:r>
      <w:r w:rsidR="009A771A">
        <w:rPr>
          <w:rFonts w:ascii="Arial" w:hAnsi="Arial" w:cs="Arial"/>
          <w:color w:val="auto"/>
          <w:sz w:val="24"/>
          <w:szCs w:val="24"/>
          <w:u w:val="single"/>
        </w:rPr>
        <w:t xml:space="preserve"> Payment Rates</w:t>
      </w:r>
      <w:r w:rsidRPr="00472ED1">
        <w:rPr>
          <w:rFonts w:ascii="Arial" w:hAnsi="Arial" w:cs="Arial"/>
          <w:color w:val="auto"/>
          <w:sz w:val="24"/>
          <w:szCs w:val="24"/>
          <w:u w:val="single"/>
        </w:rPr>
        <w:t xml:space="preserve"> for Home Health Services</w:t>
      </w:r>
      <w:bookmarkEnd w:id="78"/>
      <w:bookmarkEnd w:id="79"/>
    </w:p>
    <w:p w:rsidR="00481E15" w:rsidRPr="005776B2" w:rsidRDefault="00481E15" w:rsidP="00481E15">
      <w:pPr>
        <w:ind w:firstLine="0"/>
        <w:rPr>
          <w:rFonts w:ascii="Arial" w:hAnsi="Arial" w:cs="Arial"/>
          <w:sz w:val="24"/>
          <w:szCs w:val="24"/>
        </w:rPr>
      </w:pPr>
    </w:p>
    <w:p w:rsidR="00481E15" w:rsidRDefault="00481E15" w:rsidP="00481E15">
      <w:pPr>
        <w:ind w:firstLine="0"/>
        <w:rPr>
          <w:rFonts w:ascii="Arial" w:hAnsi="Arial" w:cs="Arial"/>
          <w:sz w:val="24"/>
          <w:szCs w:val="24"/>
        </w:rPr>
      </w:pPr>
      <w:proofErr w:type="spellStart"/>
      <w:r w:rsidRPr="005776B2">
        <w:rPr>
          <w:rFonts w:ascii="Arial" w:hAnsi="Arial" w:cs="Arial"/>
          <w:sz w:val="24"/>
          <w:szCs w:val="24"/>
        </w:rPr>
        <w:t>MassHealth’s</w:t>
      </w:r>
      <w:proofErr w:type="spellEnd"/>
      <w:r w:rsidRPr="005776B2">
        <w:rPr>
          <w:rFonts w:ascii="Arial" w:hAnsi="Arial" w:cs="Arial"/>
          <w:sz w:val="24"/>
          <w:szCs w:val="24"/>
        </w:rPr>
        <w:t xml:space="preserve"> payment rate analysis includes a comparison of rates for codes and services for 2018 for MassHealth and Medicare. Note that we were unable to obtain commercial plan rates for comparison. Overall, </w:t>
      </w:r>
      <w:proofErr w:type="spellStart"/>
      <w:r w:rsidRPr="005776B2">
        <w:rPr>
          <w:rFonts w:ascii="Arial" w:hAnsi="Arial" w:cs="Arial"/>
          <w:sz w:val="24"/>
          <w:szCs w:val="24"/>
        </w:rPr>
        <w:t>MassHealth’s</w:t>
      </w:r>
      <w:proofErr w:type="spellEnd"/>
      <w:r w:rsidRPr="005776B2">
        <w:rPr>
          <w:rFonts w:ascii="Arial" w:hAnsi="Arial" w:cs="Arial"/>
          <w:sz w:val="24"/>
          <w:szCs w:val="24"/>
        </w:rPr>
        <w:t xml:space="preserve"> FFS home health rates </w:t>
      </w:r>
      <w:r w:rsidR="009A771A">
        <w:rPr>
          <w:rFonts w:ascii="Arial" w:hAnsi="Arial" w:cs="Arial"/>
          <w:sz w:val="24"/>
          <w:szCs w:val="24"/>
        </w:rPr>
        <w:t>wer</w:t>
      </w:r>
      <w:r w:rsidRPr="005776B2">
        <w:rPr>
          <w:rFonts w:ascii="Arial" w:hAnsi="Arial" w:cs="Arial"/>
          <w:sz w:val="24"/>
          <w:szCs w:val="24"/>
        </w:rPr>
        <w:t xml:space="preserve">e 51.2% of Medicare FFS home health rates in 2018. It is also important to note, that MassHealth does </w:t>
      </w:r>
      <w:r w:rsidR="00775B65">
        <w:rPr>
          <w:rFonts w:ascii="Arial" w:hAnsi="Arial" w:cs="Arial"/>
          <w:sz w:val="24"/>
          <w:szCs w:val="24"/>
        </w:rPr>
        <w:t xml:space="preserve">not limit MassHealth coverage of home health services to only homebound members and that it also provides coverage of home health services for </w:t>
      </w:r>
      <w:r w:rsidR="004C7D99">
        <w:rPr>
          <w:rFonts w:ascii="Arial" w:hAnsi="Arial" w:cs="Arial"/>
          <w:sz w:val="24"/>
          <w:szCs w:val="24"/>
        </w:rPr>
        <w:t>individuals</w:t>
      </w:r>
      <w:r w:rsidR="00775B65">
        <w:rPr>
          <w:rFonts w:ascii="Arial" w:hAnsi="Arial" w:cs="Arial"/>
          <w:sz w:val="24"/>
          <w:szCs w:val="24"/>
        </w:rPr>
        <w:t xml:space="preserve"> with </w:t>
      </w:r>
      <w:r w:rsidRPr="005776B2">
        <w:rPr>
          <w:rFonts w:ascii="Arial" w:hAnsi="Arial" w:cs="Arial"/>
          <w:sz w:val="24"/>
          <w:szCs w:val="24"/>
        </w:rPr>
        <w:t>chronic care</w:t>
      </w:r>
      <w:r w:rsidR="00775B65">
        <w:rPr>
          <w:rFonts w:ascii="Arial" w:hAnsi="Arial" w:cs="Arial"/>
          <w:sz w:val="24"/>
          <w:szCs w:val="24"/>
        </w:rPr>
        <w:t xml:space="preserve"> needs</w:t>
      </w:r>
      <w:r w:rsidRPr="005776B2">
        <w:rPr>
          <w:rFonts w:ascii="Arial" w:hAnsi="Arial" w:cs="Arial"/>
          <w:sz w:val="24"/>
          <w:szCs w:val="24"/>
        </w:rPr>
        <w:t xml:space="preserve">, while Medicare does not provide coverage to </w:t>
      </w:r>
      <w:r w:rsidR="00775B65">
        <w:rPr>
          <w:rFonts w:ascii="Arial" w:hAnsi="Arial" w:cs="Arial"/>
          <w:sz w:val="24"/>
          <w:szCs w:val="24"/>
        </w:rPr>
        <w:t xml:space="preserve">such </w:t>
      </w:r>
      <w:r w:rsidRPr="005776B2">
        <w:rPr>
          <w:rFonts w:ascii="Arial" w:hAnsi="Arial" w:cs="Arial"/>
          <w:sz w:val="24"/>
          <w:szCs w:val="24"/>
        </w:rPr>
        <w:t>individuals. Despite th</w:t>
      </w:r>
      <w:r>
        <w:rPr>
          <w:rFonts w:ascii="Arial" w:hAnsi="Arial" w:cs="Arial"/>
          <w:sz w:val="24"/>
          <w:szCs w:val="24"/>
        </w:rPr>
        <w:t>e</w:t>
      </w:r>
      <w:r w:rsidRPr="005776B2">
        <w:rPr>
          <w:rFonts w:ascii="Arial" w:hAnsi="Arial" w:cs="Arial"/>
          <w:sz w:val="24"/>
          <w:szCs w:val="24"/>
        </w:rPr>
        <w:t xml:space="preserve"> differential between MassHealth and Medicare </w:t>
      </w:r>
      <w:r w:rsidR="00B21641">
        <w:rPr>
          <w:rFonts w:ascii="Arial" w:hAnsi="Arial" w:cs="Arial"/>
          <w:sz w:val="24"/>
          <w:szCs w:val="24"/>
        </w:rPr>
        <w:t>FFS</w:t>
      </w:r>
      <w:r w:rsidRPr="005776B2">
        <w:rPr>
          <w:rFonts w:ascii="Arial" w:hAnsi="Arial" w:cs="Arial"/>
          <w:sz w:val="24"/>
          <w:szCs w:val="24"/>
        </w:rPr>
        <w:t xml:space="preserve"> home health rates, MassHealth has not heard concerns regarding access to home health </w:t>
      </w:r>
      <w:r w:rsidR="000D49A9">
        <w:rPr>
          <w:rFonts w:ascii="Arial" w:hAnsi="Arial" w:cs="Arial"/>
          <w:sz w:val="24"/>
          <w:szCs w:val="24"/>
        </w:rPr>
        <w:t xml:space="preserve">agency </w:t>
      </w:r>
      <w:r w:rsidRPr="005776B2">
        <w:rPr>
          <w:rFonts w:ascii="Arial" w:hAnsi="Arial" w:cs="Arial"/>
          <w:sz w:val="24"/>
          <w:szCs w:val="24"/>
        </w:rPr>
        <w:t>services.</w:t>
      </w:r>
    </w:p>
    <w:p w:rsidR="006E2CA4" w:rsidRPr="006E2CA4" w:rsidRDefault="006E2CA4" w:rsidP="006E2CA4">
      <w:pPr>
        <w:ind w:firstLine="0"/>
        <w:rPr>
          <w:rFonts w:ascii="Arial" w:hAnsi="Arial" w:cs="Arial"/>
          <w:sz w:val="24"/>
          <w:szCs w:val="24"/>
        </w:rPr>
      </w:pPr>
    </w:p>
    <w:tbl>
      <w:tblPr>
        <w:tblStyle w:val="TableGrid6"/>
        <w:tblW w:w="8222" w:type="dxa"/>
        <w:tblLook w:val="04A0" w:firstRow="1" w:lastRow="0" w:firstColumn="1" w:lastColumn="0" w:noHBand="0" w:noVBand="1"/>
      </w:tblPr>
      <w:tblGrid>
        <w:gridCol w:w="1555"/>
        <w:gridCol w:w="2002"/>
        <w:gridCol w:w="1555"/>
        <w:gridCol w:w="1555"/>
        <w:gridCol w:w="1555"/>
      </w:tblGrid>
      <w:tr w:rsidR="006E2CA4" w:rsidRPr="006E2CA4" w:rsidTr="00E80727">
        <w:trPr>
          <w:tblHeader/>
        </w:trPr>
        <w:tc>
          <w:tcPr>
            <w:tcW w:w="1555" w:type="dxa"/>
            <w:vAlign w:val="bottom"/>
          </w:tcPr>
          <w:p w:rsidR="006E2CA4" w:rsidRPr="006E2CA4" w:rsidRDefault="006E2CA4" w:rsidP="006E2CA4">
            <w:pPr>
              <w:ind w:firstLine="0"/>
              <w:jc w:val="center"/>
              <w:rPr>
                <w:rFonts w:ascii="Arial" w:eastAsia="Times New Roman" w:hAnsi="Arial" w:cs="Arial"/>
                <w:color w:val="000000"/>
                <w:sz w:val="20"/>
                <w:szCs w:val="20"/>
              </w:rPr>
            </w:pPr>
            <w:bookmarkStart w:id="80" w:name="_GoBack"/>
            <w:bookmarkEnd w:id="80"/>
          </w:p>
          <w:p w:rsidR="006E2CA4" w:rsidRPr="006E2CA4" w:rsidRDefault="006E2CA4" w:rsidP="006E2CA4">
            <w:pPr>
              <w:ind w:firstLine="0"/>
              <w:rPr>
                <w:rFonts w:ascii="Arial" w:hAnsi="Arial" w:cs="Arial"/>
                <w:sz w:val="24"/>
                <w:szCs w:val="24"/>
              </w:rPr>
            </w:pPr>
            <w:r w:rsidRPr="006E2CA4">
              <w:rPr>
                <w:rFonts w:ascii="Arial" w:eastAsia="Times New Roman" w:hAnsi="Arial" w:cs="Arial"/>
                <w:b/>
                <w:color w:val="000000"/>
                <w:sz w:val="20"/>
                <w:szCs w:val="20"/>
              </w:rPr>
              <w:t>HCPCS</w:t>
            </w:r>
          </w:p>
        </w:tc>
        <w:tc>
          <w:tcPr>
            <w:tcW w:w="2002" w:type="dxa"/>
            <w:vAlign w:val="bottom"/>
          </w:tcPr>
          <w:p w:rsidR="006E2CA4" w:rsidRPr="006E2CA4" w:rsidRDefault="006E2CA4" w:rsidP="006E2CA4">
            <w:pPr>
              <w:ind w:firstLine="0"/>
              <w:jc w:val="center"/>
              <w:rPr>
                <w:rFonts w:ascii="Arial" w:eastAsia="Times New Roman" w:hAnsi="Arial" w:cs="Arial"/>
                <w:color w:val="000000"/>
                <w:sz w:val="20"/>
                <w:szCs w:val="20"/>
              </w:rPr>
            </w:pPr>
          </w:p>
          <w:p w:rsidR="006E2CA4" w:rsidRPr="006E2CA4" w:rsidRDefault="006E2CA4" w:rsidP="006E2CA4">
            <w:pPr>
              <w:ind w:firstLine="0"/>
              <w:rPr>
                <w:rFonts w:ascii="Arial" w:hAnsi="Arial" w:cs="Arial"/>
                <w:sz w:val="24"/>
                <w:szCs w:val="24"/>
              </w:rPr>
            </w:pPr>
            <w:r w:rsidRPr="006E2CA4">
              <w:rPr>
                <w:rFonts w:ascii="Arial" w:eastAsia="Times New Roman" w:hAnsi="Arial" w:cs="Arial"/>
                <w:b/>
                <w:bCs/>
                <w:color w:val="000000"/>
                <w:sz w:val="20"/>
                <w:szCs w:val="20"/>
              </w:rPr>
              <w:t>Home Health Description</w:t>
            </w:r>
          </w:p>
        </w:tc>
        <w:tc>
          <w:tcPr>
            <w:tcW w:w="1555"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b/>
                <w:bCs/>
                <w:color w:val="000000"/>
                <w:sz w:val="20"/>
                <w:szCs w:val="20"/>
              </w:rPr>
              <w:t>2018 Mass. Medicare Non-Facility Rate Statewide Average</w:t>
            </w:r>
          </w:p>
        </w:tc>
        <w:tc>
          <w:tcPr>
            <w:tcW w:w="1555" w:type="dxa"/>
            <w:vAlign w:val="bottom"/>
          </w:tcPr>
          <w:p w:rsidR="006E2CA4" w:rsidRPr="006E2CA4" w:rsidRDefault="006E2CA4" w:rsidP="006E2CA4">
            <w:pPr>
              <w:ind w:firstLine="0"/>
              <w:rPr>
                <w:rFonts w:ascii="Arial" w:hAnsi="Arial" w:cs="Arial"/>
                <w:sz w:val="24"/>
                <w:szCs w:val="24"/>
              </w:rPr>
            </w:pPr>
            <w:r w:rsidRPr="006E2CA4">
              <w:rPr>
                <w:rFonts w:ascii="Arial" w:hAnsi="Arial" w:cs="Arial"/>
                <w:b/>
                <w:sz w:val="20"/>
                <w:szCs w:val="20"/>
              </w:rPr>
              <w:t>2018 Mass. Medicaid Rate</w:t>
            </w:r>
          </w:p>
        </w:tc>
        <w:tc>
          <w:tcPr>
            <w:tcW w:w="1555" w:type="dxa"/>
            <w:vAlign w:val="bottom"/>
          </w:tcPr>
          <w:p w:rsidR="006E2CA4" w:rsidRPr="006E2CA4" w:rsidRDefault="006E2CA4" w:rsidP="006E2CA4">
            <w:pPr>
              <w:ind w:firstLine="0"/>
              <w:rPr>
                <w:rFonts w:ascii="Arial" w:hAnsi="Arial" w:cs="Arial"/>
                <w:sz w:val="24"/>
                <w:szCs w:val="24"/>
              </w:rPr>
            </w:pPr>
            <w:r w:rsidRPr="006E2CA4">
              <w:rPr>
                <w:rFonts w:ascii="Arial" w:hAnsi="Arial" w:cs="Arial"/>
                <w:b/>
                <w:sz w:val="20"/>
                <w:szCs w:val="20"/>
              </w:rPr>
              <w:t>Mass. Medicaid Payment as % of Medicare</w:t>
            </w:r>
          </w:p>
        </w:tc>
      </w:tr>
      <w:tr w:rsidR="006E2CA4" w:rsidRPr="006E2CA4" w:rsidTr="00E80727">
        <w:tc>
          <w:tcPr>
            <w:tcW w:w="1555"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G0151</w:t>
            </w:r>
          </w:p>
        </w:tc>
        <w:tc>
          <w:tcPr>
            <w:tcW w:w="2002"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Services of physical therapist in the home health setting</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$156.76</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$68.30</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43.6%</w:t>
            </w:r>
          </w:p>
        </w:tc>
      </w:tr>
      <w:tr w:rsidR="006E2CA4" w:rsidRPr="006E2CA4" w:rsidTr="00E80727">
        <w:tc>
          <w:tcPr>
            <w:tcW w:w="1555"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G0152</w:t>
            </w:r>
          </w:p>
        </w:tc>
        <w:tc>
          <w:tcPr>
            <w:tcW w:w="2002"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 xml:space="preserve">Services of speech </w:t>
            </w:r>
            <w:r w:rsidRPr="006E2CA4">
              <w:rPr>
                <w:rFonts w:ascii="Arial" w:eastAsia="Times New Roman" w:hAnsi="Arial" w:cs="Arial"/>
                <w:bCs/>
                <w:color w:val="000000"/>
                <w:sz w:val="20"/>
                <w:szCs w:val="20"/>
              </w:rPr>
              <w:lastRenderedPageBreak/>
              <w:t>therapist in the home health setting</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lastRenderedPageBreak/>
              <w:t>$157.83</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$71.20</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45.1%</w:t>
            </w:r>
          </w:p>
        </w:tc>
      </w:tr>
      <w:tr w:rsidR="006E2CA4" w:rsidRPr="006E2CA4" w:rsidTr="00E80727">
        <w:tc>
          <w:tcPr>
            <w:tcW w:w="1555"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lastRenderedPageBreak/>
              <w:t>G0153</w:t>
            </w:r>
          </w:p>
        </w:tc>
        <w:tc>
          <w:tcPr>
            <w:tcW w:w="2002"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Services of occupational therapist in the home health setting</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$170.68</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$72.88</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42.7%</w:t>
            </w:r>
          </w:p>
        </w:tc>
      </w:tr>
      <w:tr w:rsidR="006E2CA4" w:rsidRPr="006E2CA4" w:rsidTr="00E80727">
        <w:tc>
          <w:tcPr>
            <w:tcW w:w="1555"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G0299</w:t>
            </w:r>
          </w:p>
        </w:tc>
        <w:tc>
          <w:tcPr>
            <w:tcW w:w="2002"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Services of skilled nurse in home health setting (RN)</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$143.40</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$89.21</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62.2%</w:t>
            </w:r>
          </w:p>
        </w:tc>
      </w:tr>
      <w:tr w:rsidR="006E2CA4" w:rsidRPr="006E2CA4" w:rsidTr="00E80727">
        <w:tc>
          <w:tcPr>
            <w:tcW w:w="1555"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G0300</w:t>
            </w:r>
          </w:p>
        </w:tc>
        <w:tc>
          <w:tcPr>
            <w:tcW w:w="2002"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Services of skilled nurse in home health setting (LPN)</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143.40</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$89.21</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bCs/>
                <w:color w:val="000000"/>
                <w:sz w:val="20"/>
                <w:szCs w:val="20"/>
              </w:rPr>
              <w:t>62.2%</w:t>
            </w:r>
          </w:p>
        </w:tc>
      </w:tr>
      <w:tr w:rsidR="006E2CA4" w:rsidRPr="006E2CA4" w:rsidTr="00E80727">
        <w:tc>
          <w:tcPr>
            <w:tcW w:w="1555"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color w:val="000000"/>
                <w:sz w:val="20"/>
                <w:szCs w:val="20"/>
              </w:rPr>
              <w:t>G0156*</w:t>
            </w:r>
          </w:p>
        </w:tc>
        <w:tc>
          <w:tcPr>
            <w:tcW w:w="2002" w:type="dxa"/>
            <w:vAlign w:val="bottom"/>
          </w:tcPr>
          <w:p w:rsidR="006E2CA4" w:rsidRPr="006E2CA4" w:rsidRDefault="006E2CA4" w:rsidP="006E2CA4">
            <w:pPr>
              <w:ind w:firstLine="0"/>
              <w:rPr>
                <w:rFonts w:ascii="Arial" w:hAnsi="Arial" w:cs="Arial"/>
                <w:sz w:val="24"/>
                <w:szCs w:val="24"/>
              </w:rPr>
            </w:pPr>
            <w:r w:rsidRPr="006E2CA4">
              <w:rPr>
                <w:rFonts w:ascii="Arial" w:eastAsia="Times New Roman" w:hAnsi="Arial" w:cs="Arial"/>
                <w:color w:val="000000"/>
                <w:sz w:val="20"/>
                <w:szCs w:val="20"/>
              </w:rPr>
              <w:t>Services of home health aide</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color w:val="000000"/>
                <w:sz w:val="20"/>
                <w:szCs w:val="20"/>
              </w:rPr>
              <w:t>$64.94</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color w:val="000000"/>
                <w:sz w:val="20"/>
                <w:szCs w:val="20"/>
              </w:rPr>
              <w:t>$6.10*</w:t>
            </w:r>
          </w:p>
        </w:tc>
        <w:tc>
          <w:tcPr>
            <w:tcW w:w="1555" w:type="dxa"/>
            <w:vAlign w:val="center"/>
          </w:tcPr>
          <w:p w:rsidR="006E2CA4" w:rsidRPr="006E2CA4" w:rsidRDefault="006E2CA4" w:rsidP="006E2CA4">
            <w:pPr>
              <w:ind w:firstLine="0"/>
              <w:rPr>
                <w:rFonts w:ascii="Arial" w:hAnsi="Arial" w:cs="Arial"/>
                <w:sz w:val="24"/>
                <w:szCs w:val="24"/>
              </w:rPr>
            </w:pPr>
            <w:r w:rsidRPr="006E2CA4">
              <w:rPr>
                <w:rFonts w:ascii="Arial" w:eastAsia="Times New Roman" w:hAnsi="Arial" w:cs="Arial"/>
                <w:color w:val="000000"/>
                <w:sz w:val="20"/>
                <w:szCs w:val="20"/>
              </w:rPr>
              <w:t>N/A**</w:t>
            </w:r>
          </w:p>
        </w:tc>
      </w:tr>
      <w:tr w:rsidR="006E2CA4" w:rsidRPr="006E2CA4" w:rsidTr="00E80727">
        <w:tc>
          <w:tcPr>
            <w:tcW w:w="1555" w:type="dxa"/>
            <w:vAlign w:val="bottom"/>
          </w:tcPr>
          <w:p w:rsidR="006E2CA4" w:rsidRPr="006E2CA4" w:rsidRDefault="006E2CA4" w:rsidP="006E2CA4">
            <w:pPr>
              <w:ind w:firstLine="0"/>
              <w:rPr>
                <w:rFonts w:ascii="Arial" w:eastAsia="Times New Roman" w:hAnsi="Arial" w:cs="Arial"/>
                <w:color w:val="000000"/>
                <w:sz w:val="20"/>
                <w:szCs w:val="20"/>
              </w:rPr>
            </w:pPr>
            <w:r w:rsidRPr="006E2CA4">
              <w:rPr>
                <w:rFonts w:ascii="Arial" w:eastAsia="Times New Roman" w:hAnsi="Arial" w:cs="Arial"/>
                <w:b/>
                <w:bCs/>
                <w:color w:val="000000"/>
                <w:sz w:val="20"/>
                <w:szCs w:val="20"/>
              </w:rPr>
              <w:t>All Codes</w:t>
            </w:r>
          </w:p>
        </w:tc>
        <w:tc>
          <w:tcPr>
            <w:tcW w:w="2002" w:type="dxa"/>
            <w:vAlign w:val="bottom"/>
          </w:tcPr>
          <w:p w:rsidR="006E2CA4" w:rsidRPr="006E2CA4" w:rsidRDefault="006E2CA4" w:rsidP="006E2CA4">
            <w:pPr>
              <w:ind w:firstLine="0"/>
              <w:rPr>
                <w:rFonts w:ascii="Arial" w:eastAsia="Times New Roman" w:hAnsi="Arial" w:cs="Arial"/>
                <w:color w:val="000000"/>
                <w:sz w:val="20"/>
                <w:szCs w:val="20"/>
              </w:rPr>
            </w:pPr>
            <w:r w:rsidRPr="006E2CA4">
              <w:rPr>
                <w:rFonts w:ascii="Arial" w:eastAsia="Times New Roman" w:hAnsi="Arial" w:cs="Arial"/>
                <w:color w:val="000000"/>
                <w:sz w:val="20"/>
                <w:szCs w:val="20"/>
              </w:rPr>
              <w:t> Total Home Health Average</w:t>
            </w:r>
          </w:p>
        </w:tc>
        <w:tc>
          <w:tcPr>
            <w:tcW w:w="1555" w:type="dxa"/>
            <w:vAlign w:val="center"/>
          </w:tcPr>
          <w:p w:rsidR="006E2CA4" w:rsidRPr="006E2CA4" w:rsidRDefault="006E2CA4" w:rsidP="006E2CA4">
            <w:pPr>
              <w:ind w:firstLine="0"/>
              <w:rPr>
                <w:rFonts w:ascii="Arial" w:eastAsia="Times New Roman" w:hAnsi="Arial" w:cs="Arial"/>
                <w:color w:val="000000"/>
                <w:sz w:val="20"/>
                <w:szCs w:val="20"/>
              </w:rPr>
            </w:pPr>
            <w:r w:rsidRPr="006E2CA4">
              <w:rPr>
                <w:rFonts w:ascii="Arial" w:eastAsia="Times New Roman" w:hAnsi="Arial" w:cs="Arial"/>
                <w:b/>
                <w:bCs/>
                <w:color w:val="000000"/>
                <w:sz w:val="20"/>
                <w:szCs w:val="20"/>
              </w:rPr>
              <w:t>$154.41</w:t>
            </w:r>
          </w:p>
        </w:tc>
        <w:tc>
          <w:tcPr>
            <w:tcW w:w="1555" w:type="dxa"/>
            <w:vAlign w:val="center"/>
          </w:tcPr>
          <w:p w:rsidR="006E2CA4" w:rsidRPr="006E2CA4" w:rsidRDefault="006E2CA4" w:rsidP="006E2CA4">
            <w:pPr>
              <w:ind w:firstLine="0"/>
              <w:rPr>
                <w:rFonts w:ascii="Arial" w:eastAsia="Times New Roman" w:hAnsi="Arial" w:cs="Arial"/>
                <w:color w:val="000000"/>
                <w:sz w:val="20"/>
                <w:szCs w:val="20"/>
              </w:rPr>
            </w:pPr>
            <w:r w:rsidRPr="006E2CA4">
              <w:rPr>
                <w:rFonts w:ascii="Arial" w:eastAsia="Times New Roman" w:hAnsi="Arial" w:cs="Arial"/>
                <w:b/>
                <w:bCs/>
                <w:color w:val="000000"/>
                <w:sz w:val="20"/>
                <w:szCs w:val="20"/>
              </w:rPr>
              <w:t>$78.16</w:t>
            </w:r>
          </w:p>
        </w:tc>
        <w:tc>
          <w:tcPr>
            <w:tcW w:w="1555" w:type="dxa"/>
            <w:vAlign w:val="center"/>
          </w:tcPr>
          <w:p w:rsidR="006E2CA4" w:rsidRPr="006E2CA4" w:rsidRDefault="006E2CA4" w:rsidP="006E2CA4">
            <w:pPr>
              <w:ind w:firstLine="0"/>
              <w:rPr>
                <w:rFonts w:ascii="Arial" w:eastAsia="Times New Roman" w:hAnsi="Arial" w:cs="Arial"/>
                <w:color w:val="000000"/>
                <w:sz w:val="20"/>
                <w:szCs w:val="20"/>
              </w:rPr>
            </w:pPr>
            <w:r w:rsidRPr="006E2CA4">
              <w:rPr>
                <w:rFonts w:ascii="Arial" w:eastAsia="Times New Roman" w:hAnsi="Arial" w:cs="Arial"/>
                <w:b/>
                <w:bCs/>
                <w:color w:val="000000"/>
                <w:sz w:val="20"/>
                <w:szCs w:val="20"/>
              </w:rPr>
              <w:t>51.2%</w:t>
            </w:r>
          </w:p>
        </w:tc>
      </w:tr>
    </w:tbl>
    <w:p w:rsidR="00481E15" w:rsidRPr="00770033" w:rsidRDefault="00770033" w:rsidP="002F1BA4">
      <w:pPr>
        <w:pStyle w:val="FootnoteText"/>
        <w:ind w:firstLine="0"/>
        <w:rPr>
          <w:rFonts w:ascii="Arial" w:hAnsi="Arial" w:cs="Arial"/>
          <w:sz w:val="24"/>
          <w:szCs w:val="24"/>
        </w:rPr>
      </w:pPr>
      <w:r w:rsidRPr="00770033">
        <w:rPr>
          <w:rFonts w:ascii="Arial" w:hAnsi="Arial" w:cs="Arial"/>
          <w:sz w:val="24"/>
          <w:szCs w:val="24"/>
        </w:rPr>
        <w:t>*For home health aide services, Medicare pays by visit and Mass</w:t>
      </w:r>
      <w:r w:rsidR="002F1BA4">
        <w:rPr>
          <w:rFonts w:ascii="Arial" w:hAnsi="Arial" w:cs="Arial"/>
          <w:sz w:val="24"/>
          <w:szCs w:val="24"/>
        </w:rPr>
        <w:t xml:space="preserve">Health pays by 15-minute units. </w:t>
      </w:r>
      <w:r w:rsidRPr="00770033">
        <w:rPr>
          <w:rFonts w:ascii="Arial" w:hAnsi="Arial" w:cs="Arial"/>
          <w:sz w:val="24"/>
          <w:szCs w:val="24"/>
        </w:rPr>
        <w:t>Therefore, home health aide service rates are not included in the total average comparison of differences between rates</w:t>
      </w:r>
    </w:p>
    <w:p w:rsidR="00770033" w:rsidRPr="00770033" w:rsidRDefault="00770033" w:rsidP="00770033">
      <w:pPr>
        <w:pStyle w:val="FootnoteText"/>
        <w:ind w:firstLine="0"/>
        <w:rPr>
          <w:rFonts w:ascii="Arial" w:hAnsi="Arial" w:cs="Arial"/>
          <w:sz w:val="24"/>
          <w:szCs w:val="24"/>
        </w:rPr>
      </w:pPr>
      <w:r w:rsidRPr="00770033">
        <w:rPr>
          <w:rFonts w:ascii="Arial" w:hAnsi="Arial" w:cs="Arial"/>
          <w:sz w:val="24"/>
          <w:szCs w:val="24"/>
        </w:rPr>
        <w:t>** N/A is indicated because the rates are reimbursed differently and cannot be compared to each other.</w:t>
      </w:r>
    </w:p>
    <w:p w:rsidR="005411A5" w:rsidRPr="00DA770C" w:rsidRDefault="005411A5" w:rsidP="00DA770C">
      <w:pPr>
        <w:ind w:left="360" w:firstLine="0"/>
      </w:pPr>
      <w:bookmarkStart w:id="81" w:name="_Toc10810603"/>
    </w:p>
    <w:p w:rsidR="00481E15" w:rsidRPr="00472ED1" w:rsidRDefault="00481E15" w:rsidP="00481E15">
      <w:pPr>
        <w:pStyle w:val="Heading2"/>
        <w:rPr>
          <w:rFonts w:ascii="Arial" w:hAnsi="Arial" w:cs="Arial"/>
          <w:color w:val="auto"/>
          <w:sz w:val="24"/>
          <w:u w:val="single"/>
        </w:rPr>
      </w:pPr>
      <w:bookmarkStart w:id="82" w:name="_Toc20296953"/>
      <w:r w:rsidRPr="00472ED1">
        <w:rPr>
          <w:rFonts w:ascii="Arial" w:hAnsi="Arial" w:cs="Arial"/>
          <w:color w:val="auto"/>
          <w:sz w:val="24"/>
          <w:u w:val="single"/>
        </w:rPr>
        <w:t>5. Monitoring Standards and Procedures for Home Health Services</w:t>
      </w:r>
      <w:bookmarkEnd w:id="81"/>
      <w:bookmarkEnd w:id="82"/>
      <w:r w:rsidRPr="00472ED1">
        <w:rPr>
          <w:rFonts w:ascii="Arial" w:hAnsi="Arial" w:cs="Arial"/>
          <w:color w:val="auto"/>
          <w:sz w:val="24"/>
          <w:u w:val="single"/>
        </w:rPr>
        <w:t xml:space="preserve"> </w:t>
      </w:r>
    </w:p>
    <w:p w:rsidR="00481E15" w:rsidRPr="005776B2" w:rsidRDefault="00481E15" w:rsidP="00481E15">
      <w:pPr>
        <w:ind w:firstLine="0"/>
        <w:rPr>
          <w:rFonts w:ascii="Arial" w:hAnsi="Arial" w:cs="Arial"/>
          <w:sz w:val="24"/>
          <w:szCs w:val="24"/>
        </w:rPr>
      </w:pPr>
    </w:p>
    <w:p w:rsidR="00481E15" w:rsidRPr="00095A25" w:rsidRDefault="00481E15" w:rsidP="00481E15">
      <w:pPr>
        <w:ind w:firstLine="0"/>
        <w:rPr>
          <w:rFonts w:ascii="Arial" w:hAnsi="Arial" w:cs="Arial"/>
          <w:sz w:val="24"/>
          <w:szCs w:val="24"/>
        </w:rPr>
      </w:pPr>
      <w:r w:rsidRPr="005776B2">
        <w:rPr>
          <w:rFonts w:ascii="Arial" w:hAnsi="Arial" w:cs="Arial"/>
          <w:sz w:val="24"/>
          <w:szCs w:val="24"/>
        </w:rPr>
        <w:t xml:space="preserve">Pursuant to section 447.203(a)(b)(6)(ii), </w:t>
      </w:r>
      <w:r w:rsidR="007873D6">
        <w:rPr>
          <w:rFonts w:ascii="Arial" w:hAnsi="Arial" w:cs="Arial"/>
          <w:sz w:val="24"/>
          <w:szCs w:val="24"/>
        </w:rPr>
        <w:t>MassHealth</w:t>
      </w:r>
      <w:r w:rsidR="007873D6" w:rsidRPr="005776B2">
        <w:rPr>
          <w:rFonts w:ascii="Arial" w:hAnsi="Arial" w:cs="Arial"/>
          <w:sz w:val="24"/>
          <w:szCs w:val="24"/>
        </w:rPr>
        <w:t xml:space="preserve"> </w:t>
      </w:r>
      <w:r w:rsidRPr="005776B2">
        <w:rPr>
          <w:rFonts w:ascii="Arial" w:hAnsi="Arial" w:cs="Arial"/>
          <w:sz w:val="24"/>
          <w:szCs w:val="24"/>
        </w:rPr>
        <w:t xml:space="preserve">has added monitoring standards for home health </w:t>
      </w:r>
      <w:r w:rsidR="004C7D99">
        <w:rPr>
          <w:rFonts w:ascii="Arial" w:hAnsi="Arial" w:cs="Arial"/>
          <w:sz w:val="24"/>
          <w:szCs w:val="24"/>
        </w:rPr>
        <w:t xml:space="preserve">intermittent skilled </w:t>
      </w:r>
      <w:r w:rsidRPr="005776B2">
        <w:rPr>
          <w:rFonts w:ascii="Arial" w:hAnsi="Arial" w:cs="Arial"/>
          <w:sz w:val="24"/>
          <w:szCs w:val="24"/>
        </w:rPr>
        <w:t xml:space="preserve">services to comply with the </w:t>
      </w:r>
      <w:r w:rsidR="004C7D99">
        <w:rPr>
          <w:rFonts w:ascii="Arial" w:hAnsi="Arial" w:cs="Arial"/>
          <w:sz w:val="24"/>
          <w:szCs w:val="24"/>
        </w:rPr>
        <w:t xml:space="preserve">requirement to provide such monitoring </w:t>
      </w:r>
      <w:r w:rsidR="002F1BA4">
        <w:rPr>
          <w:rFonts w:ascii="Arial" w:hAnsi="Arial" w:cs="Arial"/>
          <w:sz w:val="24"/>
          <w:szCs w:val="24"/>
        </w:rPr>
        <w:t>when submitting a State Plan Amendment</w:t>
      </w:r>
      <w:r w:rsidRPr="005776B2">
        <w:rPr>
          <w:rFonts w:ascii="Arial" w:hAnsi="Arial" w:cs="Arial"/>
          <w:sz w:val="24"/>
          <w:szCs w:val="24"/>
        </w:rPr>
        <w:t xml:space="preserve"> </w:t>
      </w:r>
      <w:r w:rsidR="002F1BA4">
        <w:rPr>
          <w:rFonts w:ascii="Arial" w:hAnsi="Arial" w:cs="Arial"/>
          <w:sz w:val="24"/>
          <w:szCs w:val="24"/>
        </w:rPr>
        <w:t>(</w:t>
      </w:r>
      <w:r w:rsidRPr="005776B2">
        <w:rPr>
          <w:rFonts w:ascii="Arial" w:hAnsi="Arial" w:cs="Arial"/>
          <w:sz w:val="24"/>
          <w:szCs w:val="24"/>
        </w:rPr>
        <w:t>SPA</w:t>
      </w:r>
      <w:r w:rsidR="002F1BA4">
        <w:rPr>
          <w:rFonts w:ascii="Arial" w:hAnsi="Arial" w:cs="Arial"/>
          <w:sz w:val="24"/>
          <w:szCs w:val="24"/>
        </w:rPr>
        <w:t>)</w:t>
      </w:r>
      <w:r w:rsidRPr="005776B2">
        <w:rPr>
          <w:rFonts w:ascii="Arial" w:hAnsi="Arial" w:cs="Arial"/>
          <w:sz w:val="24"/>
          <w:szCs w:val="24"/>
        </w:rPr>
        <w:t xml:space="preserve"> that reflects a rate restructure or reduction. In April 2018, the AMRP was updated to include the </w:t>
      </w:r>
      <w:r w:rsidR="00D668A6">
        <w:rPr>
          <w:rFonts w:ascii="Arial" w:hAnsi="Arial" w:cs="Arial"/>
          <w:sz w:val="24"/>
          <w:szCs w:val="24"/>
        </w:rPr>
        <w:t xml:space="preserve">monitoring standards and analysis </w:t>
      </w:r>
      <w:r w:rsidR="004C7D99">
        <w:rPr>
          <w:rFonts w:ascii="Arial" w:hAnsi="Arial" w:cs="Arial"/>
          <w:sz w:val="24"/>
          <w:szCs w:val="24"/>
        </w:rPr>
        <w:t xml:space="preserve">described </w:t>
      </w:r>
      <w:r w:rsidR="00D668A6">
        <w:rPr>
          <w:rFonts w:ascii="Arial" w:hAnsi="Arial" w:cs="Arial"/>
          <w:sz w:val="24"/>
          <w:szCs w:val="24"/>
        </w:rPr>
        <w:t>below</w:t>
      </w:r>
      <w:r w:rsidR="004C7D99">
        <w:rPr>
          <w:rFonts w:ascii="Arial" w:hAnsi="Arial" w:cs="Arial"/>
          <w:sz w:val="24"/>
          <w:szCs w:val="24"/>
        </w:rPr>
        <w:t>.</w:t>
      </w:r>
    </w:p>
    <w:p w:rsidR="00481E15" w:rsidRPr="00DA770C" w:rsidRDefault="00481E15" w:rsidP="00DA770C">
      <w:pPr>
        <w:ind w:left="360" w:firstLine="0"/>
      </w:pPr>
    </w:p>
    <w:p w:rsidR="00481E15" w:rsidRDefault="004C7D99" w:rsidP="004E5DAE">
      <w:pPr>
        <w:ind w:firstLine="0"/>
        <w:rPr>
          <w:rFonts w:ascii="Arial" w:hAnsi="Arial" w:cs="Arial"/>
          <w:sz w:val="24"/>
          <w:szCs w:val="24"/>
        </w:rPr>
      </w:pPr>
      <w:r>
        <w:rPr>
          <w:rFonts w:ascii="Arial" w:hAnsi="Arial" w:cs="Arial"/>
          <w:sz w:val="24"/>
          <w:szCs w:val="24"/>
        </w:rPr>
        <w:t xml:space="preserve">In SPA MA-TN-017-005, </w:t>
      </w:r>
      <w:r w:rsidR="007873D6">
        <w:rPr>
          <w:rFonts w:ascii="Arial" w:hAnsi="Arial" w:cs="Arial"/>
          <w:sz w:val="24"/>
          <w:szCs w:val="24"/>
        </w:rPr>
        <w:t xml:space="preserve">MassHealth </w:t>
      </w:r>
      <w:r>
        <w:rPr>
          <w:rFonts w:ascii="Arial" w:hAnsi="Arial" w:cs="Arial"/>
          <w:sz w:val="24"/>
          <w:szCs w:val="24"/>
        </w:rPr>
        <w:t xml:space="preserve">implemented a rate restructure for intermittent skilled nursing services.  As part of SPA MA-TN-017-005 (Home Health), </w:t>
      </w:r>
      <w:r w:rsidR="007873D6">
        <w:rPr>
          <w:rFonts w:ascii="Arial" w:hAnsi="Arial" w:cs="Arial"/>
          <w:sz w:val="24"/>
          <w:szCs w:val="24"/>
        </w:rPr>
        <w:t xml:space="preserve">MassHealth </w:t>
      </w:r>
      <w:r>
        <w:rPr>
          <w:rFonts w:ascii="Arial" w:hAnsi="Arial" w:cs="Arial"/>
          <w:sz w:val="24"/>
          <w:szCs w:val="24"/>
        </w:rPr>
        <w:t xml:space="preserve">agreed to </w:t>
      </w:r>
      <w:r w:rsidR="00481E15" w:rsidRPr="005776B2">
        <w:rPr>
          <w:rFonts w:ascii="Arial" w:hAnsi="Arial" w:cs="Arial"/>
          <w:sz w:val="24"/>
          <w:szCs w:val="24"/>
        </w:rPr>
        <w:t>monitor the ratio of actively billing home health agencies to members receiving home health services bi-annually</w:t>
      </w:r>
      <w:r>
        <w:rPr>
          <w:rFonts w:ascii="Arial" w:hAnsi="Arial" w:cs="Arial"/>
          <w:sz w:val="24"/>
          <w:szCs w:val="24"/>
        </w:rPr>
        <w:t xml:space="preserve"> to </w:t>
      </w:r>
      <w:r w:rsidRPr="005776B2">
        <w:rPr>
          <w:rFonts w:ascii="Arial" w:hAnsi="Arial" w:cs="Arial"/>
          <w:sz w:val="24"/>
          <w:szCs w:val="24"/>
        </w:rPr>
        <w:t xml:space="preserve">determine whether </w:t>
      </w:r>
      <w:r>
        <w:rPr>
          <w:rFonts w:ascii="Arial" w:hAnsi="Arial" w:cs="Arial"/>
          <w:sz w:val="24"/>
          <w:szCs w:val="24"/>
        </w:rPr>
        <w:t xml:space="preserve">the rate restructure affected access to home health services. </w:t>
      </w:r>
      <w:r w:rsidR="000D02FC">
        <w:rPr>
          <w:rFonts w:ascii="Arial" w:hAnsi="Arial" w:cs="Arial"/>
          <w:sz w:val="24"/>
          <w:szCs w:val="24"/>
        </w:rPr>
        <w:t xml:space="preserve">MassHealth </w:t>
      </w:r>
      <w:r>
        <w:rPr>
          <w:rFonts w:ascii="Arial" w:hAnsi="Arial" w:cs="Arial"/>
          <w:sz w:val="24"/>
          <w:szCs w:val="24"/>
        </w:rPr>
        <w:t>further agreed to conduct additional monitoring if it</w:t>
      </w:r>
      <w:r w:rsidRPr="005776B2">
        <w:rPr>
          <w:rFonts w:ascii="Arial" w:hAnsi="Arial" w:cs="Arial"/>
          <w:sz w:val="24"/>
          <w:szCs w:val="24"/>
        </w:rPr>
        <w:t xml:space="preserve"> identifie</w:t>
      </w:r>
      <w:r>
        <w:rPr>
          <w:rFonts w:ascii="Arial" w:hAnsi="Arial" w:cs="Arial"/>
          <w:sz w:val="24"/>
          <w:szCs w:val="24"/>
        </w:rPr>
        <w:t>d</w:t>
      </w:r>
      <w:r w:rsidR="00481E15" w:rsidRPr="005776B2">
        <w:rPr>
          <w:rFonts w:ascii="Arial" w:hAnsi="Arial" w:cs="Arial"/>
          <w:sz w:val="24"/>
          <w:szCs w:val="24"/>
        </w:rPr>
        <w:t xml:space="preserve"> that the ratio of members to actively billing home health agencies increase</w:t>
      </w:r>
      <w:r>
        <w:rPr>
          <w:rFonts w:ascii="Arial" w:hAnsi="Arial" w:cs="Arial"/>
          <w:sz w:val="24"/>
          <w:szCs w:val="24"/>
        </w:rPr>
        <w:t>d</w:t>
      </w:r>
      <w:r w:rsidR="00481E15" w:rsidRPr="005776B2">
        <w:rPr>
          <w:rFonts w:ascii="Arial" w:hAnsi="Arial" w:cs="Arial"/>
          <w:sz w:val="24"/>
          <w:szCs w:val="24"/>
        </w:rPr>
        <w:t xml:space="preserve"> by 30% or more from the ratio of 126:1 identified during the time period of Jan</w:t>
      </w:r>
      <w:r>
        <w:rPr>
          <w:rFonts w:ascii="Arial" w:hAnsi="Arial" w:cs="Arial"/>
          <w:sz w:val="24"/>
          <w:szCs w:val="24"/>
        </w:rPr>
        <w:t>uary</w:t>
      </w:r>
      <w:r w:rsidR="00481E15" w:rsidRPr="005776B2">
        <w:rPr>
          <w:rFonts w:ascii="Arial" w:hAnsi="Arial" w:cs="Arial"/>
          <w:sz w:val="24"/>
          <w:szCs w:val="24"/>
        </w:rPr>
        <w:t xml:space="preserve">-April 2017 (i.e. there </w:t>
      </w:r>
      <w:r>
        <w:rPr>
          <w:rFonts w:ascii="Arial" w:hAnsi="Arial" w:cs="Arial"/>
          <w:sz w:val="24"/>
          <w:szCs w:val="24"/>
        </w:rPr>
        <w:t>wa</w:t>
      </w:r>
      <w:r w:rsidR="00481E15" w:rsidRPr="005776B2">
        <w:rPr>
          <w:rFonts w:ascii="Arial" w:hAnsi="Arial" w:cs="Arial"/>
          <w:sz w:val="24"/>
          <w:szCs w:val="24"/>
        </w:rPr>
        <w:t>s an increase in ratio that results in a ratio equal to or greater than 163.8:1)</w:t>
      </w:r>
      <w:r w:rsidR="00BB57AA">
        <w:rPr>
          <w:rFonts w:ascii="Arial" w:hAnsi="Arial" w:cs="Arial"/>
          <w:sz w:val="24"/>
          <w:szCs w:val="24"/>
        </w:rPr>
        <w:t>.</w:t>
      </w:r>
      <w:r w:rsidR="00481E15" w:rsidRPr="005776B2">
        <w:rPr>
          <w:rFonts w:ascii="Arial" w:hAnsi="Arial" w:cs="Arial"/>
          <w:sz w:val="24"/>
          <w:szCs w:val="24"/>
        </w:rPr>
        <w:t xml:space="preserve"> </w:t>
      </w:r>
      <w:r w:rsidR="000D02FC">
        <w:rPr>
          <w:rFonts w:ascii="Arial" w:hAnsi="Arial" w:cs="Arial"/>
          <w:sz w:val="24"/>
          <w:szCs w:val="24"/>
        </w:rPr>
        <w:t>MassHealth</w:t>
      </w:r>
      <w:r w:rsidR="000D02FC" w:rsidRPr="005776B2">
        <w:rPr>
          <w:rFonts w:ascii="Arial" w:hAnsi="Arial" w:cs="Arial"/>
          <w:sz w:val="24"/>
          <w:szCs w:val="24"/>
        </w:rPr>
        <w:t xml:space="preserve"> </w:t>
      </w:r>
      <w:r w:rsidR="00BB57AA">
        <w:rPr>
          <w:rFonts w:ascii="Arial" w:hAnsi="Arial" w:cs="Arial"/>
          <w:sz w:val="24"/>
          <w:szCs w:val="24"/>
        </w:rPr>
        <w:t xml:space="preserve">has been </w:t>
      </w:r>
      <w:r w:rsidR="00481E15" w:rsidRPr="005776B2">
        <w:rPr>
          <w:rFonts w:ascii="Arial" w:hAnsi="Arial" w:cs="Arial"/>
          <w:sz w:val="24"/>
          <w:szCs w:val="24"/>
        </w:rPr>
        <w:t>monitoring this ratio</w:t>
      </w:r>
      <w:r w:rsidR="00D668A6">
        <w:rPr>
          <w:rFonts w:ascii="Arial" w:hAnsi="Arial" w:cs="Arial"/>
          <w:sz w:val="24"/>
          <w:szCs w:val="24"/>
        </w:rPr>
        <w:t xml:space="preserve"> bi-annually</w:t>
      </w:r>
      <w:r w:rsidR="00481E15" w:rsidRPr="005776B2">
        <w:rPr>
          <w:rFonts w:ascii="Arial" w:hAnsi="Arial" w:cs="Arial"/>
          <w:sz w:val="24"/>
          <w:szCs w:val="24"/>
        </w:rPr>
        <w:t xml:space="preserve"> </w:t>
      </w:r>
      <w:r w:rsidR="00BB57AA">
        <w:rPr>
          <w:rFonts w:ascii="Arial" w:hAnsi="Arial" w:cs="Arial"/>
          <w:sz w:val="24"/>
          <w:szCs w:val="24"/>
        </w:rPr>
        <w:t xml:space="preserve">and has identified that no significant change in this ratio has occurred. </w:t>
      </w:r>
    </w:p>
    <w:p w:rsidR="00481E15" w:rsidRDefault="00481E15" w:rsidP="00481E15">
      <w:pPr>
        <w:ind w:firstLine="0"/>
        <w:rPr>
          <w:rFonts w:ascii="Arial" w:hAnsi="Arial" w:cs="Arial"/>
          <w:sz w:val="24"/>
          <w:szCs w:val="24"/>
        </w:rPr>
      </w:pPr>
    </w:p>
    <w:p w:rsidR="00481E15" w:rsidRPr="005776B2" w:rsidRDefault="00481E15" w:rsidP="00481E15">
      <w:pPr>
        <w:ind w:firstLine="0"/>
        <w:rPr>
          <w:rFonts w:ascii="Arial" w:hAnsi="Arial" w:cs="Arial"/>
          <w:sz w:val="24"/>
          <w:szCs w:val="24"/>
        </w:rPr>
      </w:pPr>
      <w:r w:rsidRPr="005776B2">
        <w:rPr>
          <w:rFonts w:ascii="Arial" w:hAnsi="Arial" w:cs="Arial"/>
          <w:sz w:val="24"/>
          <w:szCs w:val="24"/>
        </w:rPr>
        <w:t>Data source: MMIS provider enrollment data and MMIS claims data</w:t>
      </w:r>
    </w:p>
    <w:p w:rsidR="00481E15" w:rsidRPr="005776B2" w:rsidRDefault="00481E15" w:rsidP="00481E15">
      <w:pPr>
        <w:ind w:firstLine="0"/>
        <w:rPr>
          <w:rFonts w:ascii="Arial" w:hAnsi="Arial" w:cs="Arial"/>
          <w:sz w:val="24"/>
          <w:szCs w:val="24"/>
        </w:rPr>
      </w:pPr>
    </w:p>
    <w:p w:rsidR="00481E15" w:rsidRDefault="00481E15" w:rsidP="00481E15">
      <w:pPr>
        <w:ind w:firstLine="0"/>
        <w:rPr>
          <w:rFonts w:ascii="Arial" w:hAnsi="Arial" w:cs="Arial"/>
          <w:sz w:val="24"/>
          <w:szCs w:val="24"/>
        </w:rPr>
      </w:pPr>
      <w:r w:rsidRPr="005776B2">
        <w:rPr>
          <w:rFonts w:ascii="Arial" w:hAnsi="Arial" w:cs="Arial"/>
          <w:sz w:val="24"/>
          <w:szCs w:val="24"/>
        </w:rPr>
        <w:lastRenderedPageBreak/>
        <w:t>Methodology: Number of unduplicated members divided by the number of actively billing home health agencies</w:t>
      </w:r>
    </w:p>
    <w:p w:rsidR="00481E15" w:rsidRDefault="00481E15" w:rsidP="00481E15">
      <w:pPr>
        <w:ind w:firstLine="0"/>
        <w:rPr>
          <w:rFonts w:ascii="Arial" w:hAnsi="Arial" w:cs="Arial"/>
          <w:sz w:val="24"/>
          <w:szCs w:val="24"/>
        </w:rPr>
      </w:pPr>
    </w:p>
    <w:p w:rsidR="00B65603" w:rsidRDefault="00C90391" w:rsidP="00481E15">
      <w:pPr>
        <w:ind w:firstLine="0"/>
        <w:rPr>
          <w:rFonts w:ascii="Arial" w:hAnsi="Arial" w:cs="Arial"/>
          <w:sz w:val="24"/>
          <w:szCs w:val="24"/>
        </w:rPr>
      </w:pPr>
      <w:r w:rsidRPr="00C90391">
        <w:rPr>
          <w:rFonts w:ascii="Arial" w:eastAsiaTheme="minorHAnsi" w:hAnsi="Arial" w:cs="Arial"/>
          <w:sz w:val="24"/>
          <w:szCs w:val="24"/>
        </w:rPr>
        <w:t xml:space="preserve">Members are defined as PCC </w:t>
      </w:r>
      <w:r w:rsidR="004E78B8">
        <w:rPr>
          <w:rFonts w:ascii="Arial" w:eastAsiaTheme="minorHAnsi" w:hAnsi="Arial" w:cs="Arial"/>
          <w:sz w:val="24"/>
          <w:szCs w:val="24"/>
        </w:rPr>
        <w:t>P</w:t>
      </w:r>
      <w:r w:rsidRPr="00C90391">
        <w:rPr>
          <w:rFonts w:ascii="Arial" w:eastAsiaTheme="minorHAnsi" w:hAnsi="Arial" w:cs="Arial"/>
          <w:sz w:val="24"/>
          <w:szCs w:val="24"/>
        </w:rPr>
        <w:t>lan members, members enrolled in a Primary Care</w:t>
      </w:r>
      <w:r>
        <w:rPr>
          <w:rFonts w:ascii="Arial" w:eastAsiaTheme="minorHAnsi" w:hAnsi="Arial" w:cs="Arial"/>
          <w:sz w:val="24"/>
          <w:szCs w:val="24"/>
        </w:rPr>
        <w:t xml:space="preserve"> ACO</w:t>
      </w:r>
      <w:r w:rsidRPr="00C90391">
        <w:rPr>
          <w:rFonts w:ascii="Arial" w:eastAsiaTheme="minorHAnsi" w:hAnsi="Arial" w:cs="Arial"/>
          <w:sz w:val="24"/>
          <w:szCs w:val="24"/>
        </w:rPr>
        <w:t xml:space="preserve">, and FFS members with MassHealth primary coverage, and FFS members with MassHealth </w:t>
      </w:r>
      <w:r>
        <w:rPr>
          <w:rFonts w:ascii="Arial" w:eastAsiaTheme="minorHAnsi" w:hAnsi="Arial" w:cs="Arial"/>
          <w:sz w:val="24"/>
          <w:szCs w:val="24"/>
        </w:rPr>
        <w:t xml:space="preserve">as </w:t>
      </w:r>
      <w:r w:rsidRPr="00C90391">
        <w:rPr>
          <w:rFonts w:ascii="Arial" w:eastAsiaTheme="minorHAnsi" w:hAnsi="Arial" w:cs="Arial"/>
          <w:sz w:val="24"/>
          <w:szCs w:val="24"/>
        </w:rPr>
        <w:t>secondary coverage with TPL who are receiving</w:t>
      </w:r>
      <w:r w:rsidR="004E78B8">
        <w:rPr>
          <w:rFonts w:ascii="Arial" w:eastAsiaTheme="minorHAnsi" w:hAnsi="Arial" w:cs="Arial"/>
          <w:sz w:val="24"/>
          <w:szCs w:val="24"/>
        </w:rPr>
        <w:t xml:space="preserve"> home health services.</w:t>
      </w:r>
    </w:p>
    <w:p w:rsidR="00B65603" w:rsidRPr="005776B2" w:rsidRDefault="00B65603" w:rsidP="00481E15">
      <w:pPr>
        <w:ind w:firstLine="0"/>
        <w:rPr>
          <w:rFonts w:ascii="Arial" w:hAnsi="Arial" w:cs="Arial"/>
          <w:sz w:val="24"/>
          <w:szCs w:val="24"/>
        </w:rPr>
      </w:pPr>
    </w:p>
    <w:p w:rsidR="00770033" w:rsidRPr="003D3AD0" w:rsidRDefault="00770033" w:rsidP="00770033">
      <w:pPr>
        <w:ind w:firstLine="0"/>
        <w:rPr>
          <w:rFonts w:ascii="Arial" w:hAnsi="Arial" w:cs="Arial"/>
          <w:b/>
          <w:sz w:val="24"/>
          <w:szCs w:val="24"/>
        </w:rPr>
      </w:pPr>
      <w:r w:rsidRPr="003D3AD0">
        <w:rPr>
          <w:rFonts w:ascii="Arial" w:hAnsi="Arial" w:cs="Arial"/>
          <w:b/>
          <w:sz w:val="24"/>
          <w:szCs w:val="24"/>
        </w:rPr>
        <w:t>Utilization and Provider Enrollment Review to Determine Access Adequacy to Home Health Services</w:t>
      </w:r>
    </w:p>
    <w:tbl>
      <w:tblPr>
        <w:tblStyle w:val="TableGrid1"/>
        <w:tblW w:w="0" w:type="auto"/>
        <w:tblLook w:val="04A0" w:firstRow="1" w:lastRow="0" w:firstColumn="1" w:lastColumn="0" w:noHBand="0" w:noVBand="1"/>
        <w:tblCaption w:val="Utilization and Provider Enrollment Review to Determine Access Adequacy to Home Health Services"/>
      </w:tblPr>
      <w:tblGrid>
        <w:gridCol w:w="4153"/>
        <w:gridCol w:w="4153"/>
      </w:tblGrid>
      <w:tr w:rsidR="00770033" w:rsidRPr="005776B2" w:rsidTr="00B132B6">
        <w:trPr>
          <w:trHeight w:val="593"/>
          <w:tblHeader/>
        </w:trPr>
        <w:tc>
          <w:tcPr>
            <w:tcW w:w="4153" w:type="dxa"/>
          </w:tcPr>
          <w:p w:rsidR="00770033" w:rsidRPr="005776B2" w:rsidRDefault="00770033" w:rsidP="00B132B6">
            <w:pPr>
              <w:ind w:firstLine="0"/>
              <w:rPr>
                <w:rFonts w:ascii="Arial" w:hAnsi="Arial" w:cs="Arial"/>
                <w:b/>
                <w:sz w:val="24"/>
                <w:szCs w:val="24"/>
              </w:rPr>
            </w:pPr>
            <w:r w:rsidRPr="005776B2">
              <w:rPr>
                <w:rFonts w:ascii="Arial" w:hAnsi="Arial" w:cs="Arial"/>
                <w:b/>
                <w:sz w:val="24"/>
                <w:szCs w:val="24"/>
              </w:rPr>
              <w:t>Time Period</w:t>
            </w:r>
          </w:p>
        </w:tc>
        <w:tc>
          <w:tcPr>
            <w:tcW w:w="4153" w:type="dxa"/>
          </w:tcPr>
          <w:p w:rsidR="00770033" w:rsidRPr="005776B2" w:rsidRDefault="00770033" w:rsidP="008B22CC">
            <w:pPr>
              <w:ind w:firstLine="0"/>
              <w:rPr>
                <w:rFonts w:ascii="Arial" w:hAnsi="Arial" w:cs="Arial"/>
                <w:b/>
                <w:sz w:val="24"/>
                <w:szCs w:val="24"/>
              </w:rPr>
            </w:pPr>
            <w:r w:rsidRPr="005776B2">
              <w:rPr>
                <w:rFonts w:ascii="Arial" w:hAnsi="Arial" w:cs="Arial"/>
                <w:b/>
                <w:sz w:val="24"/>
                <w:szCs w:val="24"/>
              </w:rPr>
              <w:t xml:space="preserve">Ratio of </w:t>
            </w:r>
            <w:r w:rsidR="008B22CC">
              <w:rPr>
                <w:rFonts w:ascii="Arial" w:hAnsi="Arial" w:cs="Arial"/>
                <w:b/>
                <w:sz w:val="24"/>
                <w:szCs w:val="24"/>
              </w:rPr>
              <w:t>M</w:t>
            </w:r>
            <w:r w:rsidR="008B22CC" w:rsidRPr="005776B2">
              <w:rPr>
                <w:rFonts w:ascii="Arial" w:hAnsi="Arial" w:cs="Arial"/>
                <w:b/>
                <w:sz w:val="24"/>
                <w:szCs w:val="24"/>
              </w:rPr>
              <w:t xml:space="preserve">embers </w:t>
            </w:r>
            <w:r w:rsidRPr="005776B2">
              <w:rPr>
                <w:rFonts w:ascii="Arial" w:hAnsi="Arial" w:cs="Arial"/>
                <w:b/>
                <w:sz w:val="24"/>
                <w:szCs w:val="24"/>
              </w:rPr>
              <w:t xml:space="preserve">per Actively </w:t>
            </w:r>
            <w:r w:rsidR="008B22CC">
              <w:rPr>
                <w:rFonts w:ascii="Arial" w:hAnsi="Arial" w:cs="Arial"/>
                <w:b/>
                <w:sz w:val="24"/>
                <w:szCs w:val="24"/>
              </w:rPr>
              <w:t>B</w:t>
            </w:r>
            <w:r w:rsidRPr="005776B2">
              <w:rPr>
                <w:rFonts w:ascii="Arial" w:hAnsi="Arial" w:cs="Arial"/>
                <w:b/>
                <w:sz w:val="24"/>
                <w:szCs w:val="24"/>
              </w:rPr>
              <w:t xml:space="preserve">illing </w:t>
            </w:r>
            <w:r w:rsidR="008B22CC">
              <w:rPr>
                <w:rFonts w:ascii="Arial" w:hAnsi="Arial" w:cs="Arial"/>
                <w:b/>
                <w:sz w:val="24"/>
                <w:szCs w:val="24"/>
              </w:rPr>
              <w:t>H</w:t>
            </w:r>
            <w:r w:rsidRPr="005776B2">
              <w:rPr>
                <w:rFonts w:ascii="Arial" w:hAnsi="Arial" w:cs="Arial"/>
                <w:b/>
                <w:sz w:val="24"/>
                <w:szCs w:val="24"/>
              </w:rPr>
              <w:t xml:space="preserve">ome </w:t>
            </w:r>
            <w:r w:rsidR="008B22CC">
              <w:rPr>
                <w:rFonts w:ascii="Arial" w:hAnsi="Arial" w:cs="Arial"/>
                <w:b/>
                <w:sz w:val="24"/>
                <w:szCs w:val="24"/>
              </w:rPr>
              <w:t>H</w:t>
            </w:r>
            <w:r w:rsidRPr="005776B2">
              <w:rPr>
                <w:rFonts w:ascii="Arial" w:hAnsi="Arial" w:cs="Arial"/>
                <w:b/>
                <w:sz w:val="24"/>
                <w:szCs w:val="24"/>
              </w:rPr>
              <w:t xml:space="preserve">ealth </w:t>
            </w:r>
            <w:r w:rsidR="008B22CC">
              <w:rPr>
                <w:rFonts w:ascii="Arial" w:hAnsi="Arial" w:cs="Arial"/>
                <w:b/>
                <w:sz w:val="24"/>
                <w:szCs w:val="24"/>
              </w:rPr>
              <w:t>A</w:t>
            </w:r>
            <w:r w:rsidRPr="005776B2">
              <w:rPr>
                <w:rFonts w:ascii="Arial" w:hAnsi="Arial" w:cs="Arial"/>
                <w:b/>
                <w:sz w:val="24"/>
                <w:szCs w:val="24"/>
              </w:rPr>
              <w:t>gency</w:t>
            </w:r>
          </w:p>
        </w:tc>
      </w:tr>
      <w:tr w:rsidR="00770033" w:rsidRPr="005776B2" w:rsidTr="00B132B6">
        <w:trPr>
          <w:trHeight w:val="305"/>
        </w:trPr>
        <w:tc>
          <w:tcPr>
            <w:tcW w:w="4153" w:type="dxa"/>
          </w:tcPr>
          <w:p w:rsidR="00770033" w:rsidRPr="005776B2" w:rsidRDefault="00770033" w:rsidP="00B132B6">
            <w:pPr>
              <w:ind w:firstLine="0"/>
              <w:rPr>
                <w:rFonts w:ascii="Arial" w:hAnsi="Arial" w:cs="Arial"/>
                <w:sz w:val="24"/>
                <w:szCs w:val="24"/>
              </w:rPr>
            </w:pPr>
            <w:r w:rsidRPr="005776B2">
              <w:rPr>
                <w:rFonts w:ascii="Arial" w:hAnsi="Arial" w:cs="Arial"/>
                <w:sz w:val="24"/>
                <w:szCs w:val="24"/>
              </w:rPr>
              <w:t>July-Dec</w:t>
            </w:r>
            <w:r>
              <w:rPr>
                <w:rFonts w:ascii="Arial" w:hAnsi="Arial" w:cs="Arial"/>
                <w:sz w:val="24"/>
                <w:szCs w:val="24"/>
              </w:rPr>
              <w:t>ember</w:t>
            </w:r>
            <w:r w:rsidRPr="005776B2">
              <w:rPr>
                <w:rFonts w:ascii="Arial" w:hAnsi="Arial" w:cs="Arial"/>
                <w:sz w:val="24"/>
                <w:szCs w:val="24"/>
              </w:rPr>
              <w:t xml:space="preserve"> 2017</w:t>
            </w:r>
          </w:p>
        </w:tc>
        <w:tc>
          <w:tcPr>
            <w:tcW w:w="4153" w:type="dxa"/>
          </w:tcPr>
          <w:p w:rsidR="00770033" w:rsidRPr="005776B2" w:rsidRDefault="00770033" w:rsidP="00B132B6">
            <w:pPr>
              <w:ind w:firstLine="0"/>
              <w:rPr>
                <w:rFonts w:ascii="Arial" w:hAnsi="Arial" w:cs="Arial"/>
                <w:sz w:val="24"/>
                <w:szCs w:val="24"/>
              </w:rPr>
            </w:pPr>
            <w:r w:rsidRPr="005776B2">
              <w:rPr>
                <w:rFonts w:ascii="Arial" w:hAnsi="Arial" w:cs="Arial"/>
                <w:sz w:val="24"/>
                <w:szCs w:val="24"/>
              </w:rPr>
              <w:t>131</w:t>
            </w:r>
          </w:p>
        </w:tc>
      </w:tr>
      <w:tr w:rsidR="00770033" w:rsidRPr="005776B2" w:rsidTr="00B132B6">
        <w:trPr>
          <w:trHeight w:val="296"/>
        </w:trPr>
        <w:tc>
          <w:tcPr>
            <w:tcW w:w="4153" w:type="dxa"/>
          </w:tcPr>
          <w:p w:rsidR="00770033" w:rsidRPr="005776B2" w:rsidRDefault="00770033" w:rsidP="00B132B6">
            <w:pPr>
              <w:ind w:firstLine="0"/>
              <w:rPr>
                <w:rFonts w:ascii="Arial" w:hAnsi="Arial" w:cs="Arial"/>
                <w:sz w:val="24"/>
                <w:szCs w:val="24"/>
              </w:rPr>
            </w:pPr>
            <w:r w:rsidRPr="005776B2">
              <w:rPr>
                <w:rFonts w:ascii="Arial" w:hAnsi="Arial" w:cs="Arial"/>
                <w:sz w:val="24"/>
                <w:szCs w:val="24"/>
              </w:rPr>
              <w:t>Jan</w:t>
            </w:r>
            <w:r>
              <w:rPr>
                <w:rFonts w:ascii="Arial" w:hAnsi="Arial" w:cs="Arial"/>
                <w:sz w:val="24"/>
                <w:szCs w:val="24"/>
              </w:rPr>
              <w:t>uary</w:t>
            </w:r>
            <w:r w:rsidRPr="005776B2">
              <w:rPr>
                <w:rFonts w:ascii="Arial" w:hAnsi="Arial" w:cs="Arial"/>
                <w:sz w:val="24"/>
                <w:szCs w:val="24"/>
              </w:rPr>
              <w:t>-Jun</w:t>
            </w:r>
            <w:r>
              <w:rPr>
                <w:rFonts w:ascii="Arial" w:hAnsi="Arial" w:cs="Arial"/>
                <w:sz w:val="24"/>
                <w:szCs w:val="24"/>
              </w:rPr>
              <w:t>e</w:t>
            </w:r>
            <w:r w:rsidRPr="005776B2">
              <w:rPr>
                <w:rFonts w:ascii="Arial" w:hAnsi="Arial" w:cs="Arial"/>
                <w:sz w:val="24"/>
                <w:szCs w:val="24"/>
              </w:rPr>
              <w:t xml:space="preserve"> 2018</w:t>
            </w:r>
          </w:p>
        </w:tc>
        <w:tc>
          <w:tcPr>
            <w:tcW w:w="4153" w:type="dxa"/>
          </w:tcPr>
          <w:p w:rsidR="00770033" w:rsidRPr="005776B2" w:rsidRDefault="00770033" w:rsidP="00B132B6">
            <w:pPr>
              <w:ind w:firstLine="0"/>
              <w:rPr>
                <w:rFonts w:ascii="Arial" w:hAnsi="Arial" w:cs="Arial"/>
                <w:sz w:val="24"/>
                <w:szCs w:val="24"/>
              </w:rPr>
            </w:pPr>
            <w:r w:rsidRPr="005776B2">
              <w:rPr>
                <w:rFonts w:ascii="Arial" w:hAnsi="Arial" w:cs="Arial"/>
                <w:sz w:val="24"/>
                <w:szCs w:val="24"/>
              </w:rPr>
              <w:t>135</w:t>
            </w:r>
          </w:p>
        </w:tc>
      </w:tr>
      <w:tr w:rsidR="00770033" w:rsidRPr="005776B2" w:rsidTr="00B132B6">
        <w:trPr>
          <w:trHeight w:val="305"/>
        </w:trPr>
        <w:tc>
          <w:tcPr>
            <w:tcW w:w="4153" w:type="dxa"/>
          </w:tcPr>
          <w:p w:rsidR="00770033" w:rsidRPr="005776B2" w:rsidRDefault="00770033" w:rsidP="00B132B6">
            <w:pPr>
              <w:ind w:firstLine="0"/>
              <w:rPr>
                <w:rFonts w:ascii="Arial" w:hAnsi="Arial" w:cs="Arial"/>
                <w:sz w:val="24"/>
                <w:szCs w:val="24"/>
              </w:rPr>
            </w:pPr>
            <w:r w:rsidRPr="005776B2">
              <w:rPr>
                <w:rFonts w:ascii="Arial" w:hAnsi="Arial" w:cs="Arial"/>
                <w:sz w:val="24"/>
                <w:szCs w:val="24"/>
              </w:rPr>
              <w:t>Jul</w:t>
            </w:r>
            <w:r>
              <w:rPr>
                <w:rFonts w:ascii="Arial" w:hAnsi="Arial" w:cs="Arial"/>
                <w:sz w:val="24"/>
                <w:szCs w:val="24"/>
              </w:rPr>
              <w:t>y</w:t>
            </w:r>
            <w:r w:rsidRPr="005776B2">
              <w:rPr>
                <w:rFonts w:ascii="Arial" w:hAnsi="Arial" w:cs="Arial"/>
                <w:sz w:val="24"/>
                <w:szCs w:val="24"/>
              </w:rPr>
              <w:t>-Dec</w:t>
            </w:r>
            <w:r>
              <w:rPr>
                <w:rFonts w:ascii="Arial" w:hAnsi="Arial" w:cs="Arial"/>
                <w:sz w:val="24"/>
                <w:szCs w:val="24"/>
              </w:rPr>
              <w:t>ember</w:t>
            </w:r>
            <w:r w:rsidRPr="005776B2">
              <w:rPr>
                <w:rFonts w:ascii="Arial" w:hAnsi="Arial" w:cs="Arial"/>
                <w:sz w:val="24"/>
                <w:szCs w:val="24"/>
              </w:rPr>
              <w:t xml:space="preserve"> 2018</w:t>
            </w:r>
          </w:p>
        </w:tc>
        <w:tc>
          <w:tcPr>
            <w:tcW w:w="4153" w:type="dxa"/>
          </w:tcPr>
          <w:p w:rsidR="00770033" w:rsidRPr="005776B2" w:rsidRDefault="00770033" w:rsidP="00B132B6">
            <w:pPr>
              <w:ind w:firstLine="0"/>
              <w:rPr>
                <w:rFonts w:ascii="Arial" w:hAnsi="Arial" w:cs="Arial"/>
                <w:sz w:val="24"/>
                <w:szCs w:val="24"/>
              </w:rPr>
            </w:pPr>
            <w:r w:rsidRPr="005776B2">
              <w:rPr>
                <w:rFonts w:ascii="Arial" w:hAnsi="Arial" w:cs="Arial"/>
                <w:sz w:val="24"/>
                <w:szCs w:val="24"/>
              </w:rPr>
              <w:t>117</w:t>
            </w:r>
          </w:p>
        </w:tc>
      </w:tr>
    </w:tbl>
    <w:p w:rsidR="00770033" w:rsidRPr="005776B2" w:rsidRDefault="00770033" w:rsidP="00770033">
      <w:pPr>
        <w:ind w:firstLine="0"/>
        <w:rPr>
          <w:rFonts w:ascii="Arial" w:hAnsi="Arial" w:cs="Arial"/>
          <w:sz w:val="24"/>
          <w:szCs w:val="24"/>
        </w:rPr>
      </w:pPr>
    </w:p>
    <w:p w:rsidR="00770033" w:rsidRPr="005776B2" w:rsidRDefault="00BB57AA" w:rsidP="00770033">
      <w:pPr>
        <w:ind w:firstLine="0"/>
        <w:rPr>
          <w:rFonts w:ascii="Arial" w:hAnsi="Arial" w:cs="Arial"/>
          <w:sz w:val="24"/>
          <w:szCs w:val="24"/>
        </w:rPr>
      </w:pPr>
      <w:r>
        <w:rPr>
          <w:rFonts w:ascii="Arial" w:hAnsi="Arial" w:cs="Arial"/>
          <w:sz w:val="24"/>
          <w:szCs w:val="24"/>
        </w:rPr>
        <w:t>The above</w:t>
      </w:r>
      <w:r w:rsidR="00770033" w:rsidRPr="005776B2">
        <w:rPr>
          <w:rFonts w:ascii="Arial" w:hAnsi="Arial" w:cs="Arial"/>
          <w:sz w:val="24"/>
          <w:szCs w:val="24"/>
        </w:rPr>
        <w:t xml:space="preserve"> data </w:t>
      </w:r>
      <w:r>
        <w:rPr>
          <w:rFonts w:ascii="Arial" w:hAnsi="Arial" w:cs="Arial"/>
          <w:sz w:val="24"/>
          <w:szCs w:val="24"/>
        </w:rPr>
        <w:t xml:space="preserve">indicates that there has not been </w:t>
      </w:r>
      <w:r w:rsidR="00770033" w:rsidRPr="005776B2">
        <w:rPr>
          <w:rFonts w:ascii="Arial" w:hAnsi="Arial" w:cs="Arial"/>
          <w:sz w:val="24"/>
          <w:szCs w:val="24"/>
        </w:rPr>
        <w:t>a 30% increase in the ratio o</w:t>
      </w:r>
      <w:r>
        <w:rPr>
          <w:rFonts w:ascii="Arial" w:hAnsi="Arial" w:cs="Arial"/>
          <w:sz w:val="24"/>
          <w:szCs w:val="24"/>
        </w:rPr>
        <w:t>f</w:t>
      </w:r>
      <w:r w:rsidR="00770033" w:rsidRPr="005776B2">
        <w:rPr>
          <w:rFonts w:ascii="Arial" w:hAnsi="Arial" w:cs="Arial"/>
          <w:sz w:val="24"/>
          <w:szCs w:val="24"/>
        </w:rPr>
        <w:t xml:space="preserve"> members to billing home health agencies over the January-April 2017 ratio of 126:1.  While th</w:t>
      </w:r>
      <w:r>
        <w:rPr>
          <w:rFonts w:ascii="Arial" w:hAnsi="Arial" w:cs="Arial"/>
          <w:sz w:val="24"/>
          <w:szCs w:val="24"/>
        </w:rPr>
        <w:t>e</w:t>
      </w:r>
      <w:r w:rsidR="00770033" w:rsidRPr="005776B2">
        <w:rPr>
          <w:rFonts w:ascii="Arial" w:hAnsi="Arial" w:cs="Arial"/>
          <w:sz w:val="24"/>
          <w:szCs w:val="24"/>
        </w:rPr>
        <w:t xml:space="preserve"> ratio did increase slightly during the time periods of July-December 2017 and January-June 2018, the ratio decrease</w:t>
      </w:r>
      <w:r w:rsidR="000D49A9">
        <w:rPr>
          <w:rFonts w:ascii="Arial" w:hAnsi="Arial" w:cs="Arial"/>
          <w:sz w:val="24"/>
          <w:szCs w:val="24"/>
        </w:rPr>
        <w:t xml:space="preserve">d </w:t>
      </w:r>
      <w:r w:rsidR="00770033" w:rsidRPr="005776B2">
        <w:rPr>
          <w:rFonts w:ascii="Arial" w:hAnsi="Arial" w:cs="Arial"/>
          <w:sz w:val="24"/>
          <w:szCs w:val="24"/>
        </w:rPr>
        <w:t>during the time period of July-December 2018 below the i</w:t>
      </w:r>
      <w:r w:rsidR="00770033">
        <w:rPr>
          <w:rFonts w:ascii="Arial" w:hAnsi="Arial" w:cs="Arial"/>
          <w:sz w:val="24"/>
          <w:szCs w:val="24"/>
        </w:rPr>
        <w:t>nitial benchmark ratio of 126:1.</w:t>
      </w:r>
      <w:r w:rsidR="00770033" w:rsidRPr="005776B2">
        <w:rPr>
          <w:rFonts w:ascii="Arial" w:hAnsi="Arial" w:cs="Arial"/>
          <w:sz w:val="24"/>
          <w:szCs w:val="24"/>
        </w:rPr>
        <w:t xml:space="preserve">Given this data, </w:t>
      </w:r>
      <w:r>
        <w:rPr>
          <w:rFonts w:ascii="Arial" w:hAnsi="Arial" w:cs="Arial"/>
          <w:sz w:val="24"/>
          <w:szCs w:val="24"/>
        </w:rPr>
        <w:t xml:space="preserve">MassHealth has </w:t>
      </w:r>
      <w:proofErr w:type="gramStart"/>
      <w:r>
        <w:rPr>
          <w:rFonts w:ascii="Arial" w:hAnsi="Arial" w:cs="Arial"/>
          <w:sz w:val="24"/>
          <w:szCs w:val="24"/>
        </w:rPr>
        <w:t xml:space="preserve">determined </w:t>
      </w:r>
      <w:r w:rsidR="00770033" w:rsidRPr="005776B2">
        <w:rPr>
          <w:rFonts w:ascii="Arial" w:hAnsi="Arial" w:cs="Arial"/>
          <w:sz w:val="24"/>
          <w:szCs w:val="24"/>
        </w:rPr>
        <w:t xml:space="preserve"> that</w:t>
      </w:r>
      <w:proofErr w:type="gramEnd"/>
      <w:r w:rsidR="00770033" w:rsidRPr="005776B2">
        <w:rPr>
          <w:rFonts w:ascii="Arial" w:hAnsi="Arial" w:cs="Arial"/>
          <w:sz w:val="24"/>
          <w:szCs w:val="24"/>
        </w:rPr>
        <w:t xml:space="preserve"> the rate restructure </w:t>
      </w:r>
      <w:r>
        <w:rPr>
          <w:rFonts w:ascii="Arial" w:hAnsi="Arial" w:cs="Arial"/>
          <w:sz w:val="24"/>
          <w:szCs w:val="24"/>
        </w:rPr>
        <w:t xml:space="preserve">for intermittent skilled nursing services </w:t>
      </w:r>
      <w:r w:rsidR="00770033" w:rsidRPr="005776B2">
        <w:rPr>
          <w:rFonts w:ascii="Arial" w:hAnsi="Arial" w:cs="Arial"/>
          <w:sz w:val="24"/>
          <w:szCs w:val="24"/>
        </w:rPr>
        <w:t xml:space="preserve">implemented </w:t>
      </w:r>
      <w:r>
        <w:rPr>
          <w:rFonts w:ascii="Arial" w:hAnsi="Arial" w:cs="Arial"/>
          <w:sz w:val="24"/>
          <w:szCs w:val="24"/>
        </w:rPr>
        <w:t>through</w:t>
      </w:r>
      <w:r w:rsidR="00770033" w:rsidRPr="005776B2">
        <w:rPr>
          <w:rFonts w:ascii="Arial" w:hAnsi="Arial" w:cs="Arial"/>
          <w:sz w:val="24"/>
          <w:szCs w:val="24"/>
        </w:rPr>
        <w:t xml:space="preserve"> SPA MA-TN-017-005 has not </w:t>
      </w:r>
      <w:r>
        <w:rPr>
          <w:rFonts w:ascii="Arial" w:hAnsi="Arial" w:cs="Arial"/>
          <w:sz w:val="24"/>
          <w:szCs w:val="24"/>
        </w:rPr>
        <w:t>adversely impacted member access to home health services</w:t>
      </w:r>
      <w:r w:rsidR="00770033" w:rsidRPr="005776B2">
        <w:rPr>
          <w:rFonts w:ascii="Arial" w:hAnsi="Arial" w:cs="Arial"/>
          <w:sz w:val="24"/>
          <w:szCs w:val="24"/>
        </w:rPr>
        <w:t>.</w:t>
      </w:r>
    </w:p>
    <w:p w:rsidR="004B36EF" w:rsidRDefault="004B36EF" w:rsidP="004B36EF">
      <w:pPr>
        <w:pStyle w:val="NoSpacing"/>
      </w:pPr>
      <w:bookmarkStart w:id="83" w:name="_Toc10810605"/>
    </w:p>
    <w:p w:rsidR="00C7773F" w:rsidRDefault="00C7773F" w:rsidP="00070911">
      <w:pPr>
        <w:pStyle w:val="Heading1"/>
      </w:pPr>
      <w:bookmarkStart w:id="84" w:name="_Toc20296954"/>
      <w:r>
        <w:t>Section 7: Conclusion</w:t>
      </w:r>
      <w:bookmarkEnd w:id="83"/>
      <w:bookmarkEnd w:id="84"/>
    </w:p>
    <w:p w:rsidR="00C7773F" w:rsidRPr="002B3F5E" w:rsidRDefault="00C7773F" w:rsidP="00B26CE4">
      <w:pPr>
        <w:ind w:firstLine="0"/>
        <w:rPr>
          <w:rFonts w:asciiTheme="majorHAnsi" w:eastAsiaTheme="majorEastAsia" w:hAnsiTheme="majorHAnsi" w:cstheme="majorBidi"/>
          <w:b/>
          <w:bCs/>
          <w:color w:val="365F91" w:themeColor="accent1" w:themeShade="BF"/>
          <w:sz w:val="20"/>
          <w:szCs w:val="20"/>
        </w:rPr>
      </w:pPr>
    </w:p>
    <w:p w:rsidR="00336E6C" w:rsidRDefault="00565AC9" w:rsidP="0002460F">
      <w:pPr>
        <w:ind w:firstLine="0"/>
        <w:rPr>
          <w:rFonts w:ascii="Arial" w:hAnsi="Arial" w:cs="Arial"/>
          <w:sz w:val="24"/>
          <w:szCs w:val="24"/>
        </w:rPr>
      </w:pPr>
      <w:r w:rsidRPr="00F277EF">
        <w:rPr>
          <w:rFonts w:ascii="Arial" w:hAnsi="Arial" w:cs="Arial"/>
          <w:sz w:val="24"/>
          <w:szCs w:val="24"/>
        </w:rPr>
        <w:t xml:space="preserve">Based on the data and information </w:t>
      </w:r>
      <w:r w:rsidR="0002460F">
        <w:rPr>
          <w:rFonts w:ascii="Arial" w:hAnsi="Arial" w:cs="Arial"/>
          <w:sz w:val="24"/>
          <w:szCs w:val="24"/>
        </w:rPr>
        <w:t xml:space="preserve">available to </w:t>
      </w:r>
      <w:r w:rsidR="007C79A7" w:rsidRPr="00F277EF">
        <w:rPr>
          <w:rFonts w:ascii="Arial" w:hAnsi="Arial" w:cs="Arial"/>
          <w:sz w:val="24"/>
          <w:szCs w:val="24"/>
        </w:rPr>
        <w:t xml:space="preserve">MassHealth </w:t>
      </w:r>
      <w:r w:rsidR="0002460F">
        <w:rPr>
          <w:rFonts w:ascii="Arial" w:hAnsi="Arial" w:cs="Arial"/>
          <w:sz w:val="24"/>
          <w:szCs w:val="24"/>
        </w:rPr>
        <w:t xml:space="preserve">for its 2019 AMRP analysis, </w:t>
      </w:r>
      <w:r w:rsidR="000D02FC">
        <w:rPr>
          <w:rFonts w:ascii="Arial" w:hAnsi="Arial" w:cs="Arial"/>
          <w:sz w:val="24"/>
          <w:szCs w:val="24"/>
        </w:rPr>
        <w:t xml:space="preserve">MassHealth </w:t>
      </w:r>
      <w:r w:rsidR="0002460F">
        <w:rPr>
          <w:rFonts w:ascii="Arial" w:hAnsi="Arial" w:cs="Arial"/>
          <w:sz w:val="24"/>
          <w:szCs w:val="24"/>
        </w:rPr>
        <w:t xml:space="preserve">concludes that access </w:t>
      </w:r>
      <w:r w:rsidR="00336E6C" w:rsidRPr="00336E6C">
        <w:rPr>
          <w:rFonts w:ascii="Arial" w:hAnsi="Arial" w:cs="Arial"/>
          <w:sz w:val="24"/>
          <w:szCs w:val="24"/>
        </w:rPr>
        <w:t xml:space="preserve">to </w:t>
      </w:r>
      <w:r w:rsidR="00BB57AA">
        <w:rPr>
          <w:rFonts w:ascii="Arial" w:hAnsi="Arial" w:cs="Arial"/>
          <w:sz w:val="24"/>
          <w:szCs w:val="24"/>
        </w:rPr>
        <w:t xml:space="preserve">Medicaid covered </w:t>
      </w:r>
      <w:r w:rsidR="00336E6C" w:rsidRPr="00336E6C">
        <w:rPr>
          <w:rFonts w:ascii="Arial" w:hAnsi="Arial" w:cs="Arial"/>
          <w:sz w:val="24"/>
          <w:szCs w:val="24"/>
        </w:rPr>
        <w:t>health care services and providers</w:t>
      </w:r>
      <w:r w:rsidRPr="00F277EF">
        <w:rPr>
          <w:rFonts w:ascii="Arial" w:hAnsi="Arial" w:cs="Arial"/>
          <w:sz w:val="24"/>
          <w:szCs w:val="24"/>
        </w:rPr>
        <w:t xml:space="preserve"> </w:t>
      </w:r>
      <w:r w:rsidR="00BB57AA">
        <w:rPr>
          <w:rFonts w:ascii="Arial" w:hAnsi="Arial" w:cs="Arial"/>
          <w:sz w:val="24"/>
          <w:szCs w:val="24"/>
        </w:rPr>
        <w:t xml:space="preserve">in Massachusetts </w:t>
      </w:r>
      <w:r w:rsidR="001732B3" w:rsidRPr="00F277EF">
        <w:rPr>
          <w:rFonts w:ascii="Arial" w:hAnsi="Arial" w:cs="Arial"/>
          <w:sz w:val="24"/>
          <w:szCs w:val="24"/>
        </w:rPr>
        <w:t xml:space="preserve">is </w:t>
      </w:r>
      <w:r w:rsidRPr="00F277EF">
        <w:rPr>
          <w:rFonts w:ascii="Arial" w:hAnsi="Arial" w:cs="Arial"/>
          <w:sz w:val="24"/>
          <w:szCs w:val="24"/>
        </w:rPr>
        <w:t xml:space="preserve">currently sufficient and consistent with section 1902(a)(30)(A) of the </w:t>
      </w:r>
      <w:r w:rsidR="00E24F8E">
        <w:rPr>
          <w:rFonts w:ascii="Arial" w:hAnsi="Arial" w:cs="Arial"/>
          <w:sz w:val="24"/>
          <w:szCs w:val="24"/>
        </w:rPr>
        <w:t xml:space="preserve">Social Security </w:t>
      </w:r>
      <w:r w:rsidRPr="00F277EF">
        <w:rPr>
          <w:rFonts w:ascii="Arial" w:hAnsi="Arial" w:cs="Arial"/>
          <w:sz w:val="24"/>
          <w:szCs w:val="24"/>
        </w:rPr>
        <w:t xml:space="preserve">Act. </w:t>
      </w:r>
      <w:r w:rsidR="007C79A7" w:rsidRPr="00F277EF">
        <w:rPr>
          <w:rFonts w:ascii="Arial" w:hAnsi="Arial" w:cs="Arial"/>
          <w:sz w:val="24"/>
          <w:szCs w:val="24"/>
        </w:rPr>
        <w:t xml:space="preserve">We </w:t>
      </w:r>
      <w:r w:rsidR="00D915AB" w:rsidRPr="00F277EF">
        <w:rPr>
          <w:rFonts w:ascii="Arial" w:hAnsi="Arial" w:cs="Arial"/>
          <w:sz w:val="24"/>
          <w:szCs w:val="24"/>
        </w:rPr>
        <w:t>appreciate CMS’s recognition that</w:t>
      </w:r>
      <w:r w:rsidR="006C6670" w:rsidRPr="00F277EF">
        <w:rPr>
          <w:rFonts w:ascii="Arial" w:hAnsi="Arial" w:cs="Arial"/>
          <w:sz w:val="24"/>
          <w:szCs w:val="24"/>
        </w:rPr>
        <w:t>,</w:t>
      </w:r>
      <w:r w:rsidR="00D915AB" w:rsidRPr="00F277EF">
        <w:rPr>
          <w:rFonts w:ascii="Arial" w:hAnsi="Arial" w:cs="Arial"/>
          <w:sz w:val="24"/>
          <w:szCs w:val="24"/>
        </w:rPr>
        <w:t xml:space="preserve"> to meet the established timetable, states would base their </w:t>
      </w:r>
      <w:r w:rsidR="001D1FDA" w:rsidRPr="00F277EF">
        <w:rPr>
          <w:rFonts w:ascii="Arial" w:hAnsi="Arial" w:cs="Arial"/>
          <w:sz w:val="24"/>
          <w:szCs w:val="24"/>
        </w:rPr>
        <w:t>AMRPs</w:t>
      </w:r>
      <w:r w:rsidR="00D915AB" w:rsidRPr="00F277EF">
        <w:rPr>
          <w:rFonts w:ascii="Arial" w:hAnsi="Arial" w:cs="Arial"/>
          <w:sz w:val="24"/>
          <w:szCs w:val="24"/>
        </w:rPr>
        <w:t xml:space="preserve"> on the most recent available data and that such data may vary from program to program within a state, or from state to state.</w:t>
      </w:r>
      <w:r w:rsidR="00CC1C46" w:rsidRPr="00F277EF">
        <w:rPr>
          <w:rFonts w:ascii="Arial" w:hAnsi="Arial" w:cs="Arial"/>
          <w:sz w:val="24"/>
          <w:szCs w:val="24"/>
        </w:rPr>
        <w:t xml:space="preserve"> </w:t>
      </w:r>
      <w:r w:rsidR="00D915AB" w:rsidRPr="00F277EF">
        <w:rPr>
          <w:rFonts w:ascii="Arial" w:hAnsi="Arial" w:cs="Arial"/>
          <w:sz w:val="24"/>
          <w:szCs w:val="24"/>
        </w:rPr>
        <w:t xml:space="preserve">As such, MassHealth acknowledges </w:t>
      </w:r>
      <w:r w:rsidR="007C79A7" w:rsidRPr="00F277EF">
        <w:rPr>
          <w:rFonts w:ascii="Arial" w:hAnsi="Arial" w:cs="Arial"/>
          <w:sz w:val="24"/>
          <w:szCs w:val="24"/>
        </w:rPr>
        <w:t xml:space="preserve">that there </w:t>
      </w:r>
      <w:r w:rsidR="00D915AB" w:rsidRPr="00F277EF">
        <w:rPr>
          <w:rFonts w:ascii="Arial" w:hAnsi="Arial" w:cs="Arial"/>
          <w:sz w:val="24"/>
          <w:szCs w:val="24"/>
        </w:rPr>
        <w:t>may be</w:t>
      </w:r>
      <w:r w:rsidR="007C79A7" w:rsidRPr="00F277EF">
        <w:rPr>
          <w:rFonts w:ascii="Arial" w:hAnsi="Arial" w:cs="Arial"/>
          <w:sz w:val="24"/>
          <w:szCs w:val="24"/>
        </w:rPr>
        <w:t xml:space="preserve"> limitations to </w:t>
      </w:r>
      <w:r w:rsidR="001B0711" w:rsidRPr="00F277EF">
        <w:rPr>
          <w:rFonts w:ascii="Arial" w:hAnsi="Arial" w:cs="Arial"/>
          <w:sz w:val="24"/>
          <w:szCs w:val="24"/>
        </w:rPr>
        <w:t>interpret</w:t>
      </w:r>
      <w:r w:rsidR="00332696" w:rsidRPr="00F277EF">
        <w:rPr>
          <w:rFonts w:ascii="Arial" w:hAnsi="Arial" w:cs="Arial"/>
          <w:sz w:val="24"/>
          <w:szCs w:val="24"/>
        </w:rPr>
        <w:t>at</w:t>
      </w:r>
      <w:r w:rsidR="00D915AB" w:rsidRPr="00F277EF">
        <w:rPr>
          <w:rFonts w:ascii="Arial" w:hAnsi="Arial" w:cs="Arial"/>
          <w:sz w:val="24"/>
          <w:szCs w:val="24"/>
        </w:rPr>
        <w:t>ion</w:t>
      </w:r>
      <w:r w:rsidR="00417555" w:rsidRPr="00F277EF">
        <w:rPr>
          <w:rFonts w:ascii="Arial" w:hAnsi="Arial" w:cs="Arial"/>
          <w:sz w:val="24"/>
          <w:szCs w:val="24"/>
        </w:rPr>
        <w:t xml:space="preserve"> of</w:t>
      </w:r>
      <w:r w:rsidR="007C79A7" w:rsidRPr="00F277EF">
        <w:rPr>
          <w:rFonts w:ascii="Arial" w:hAnsi="Arial" w:cs="Arial"/>
          <w:sz w:val="24"/>
          <w:szCs w:val="24"/>
        </w:rPr>
        <w:t xml:space="preserve"> the </w:t>
      </w:r>
      <w:r w:rsidR="00417555" w:rsidRPr="00F277EF">
        <w:rPr>
          <w:rFonts w:ascii="Arial" w:hAnsi="Arial" w:cs="Arial"/>
          <w:sz w:val="24"/>
          <w:szCs w:val="24"/>
        </w:rPr>
        <w:t xml:space="preserve">available </w:t>
      </w:r>
      <w:r w:rsidR="007C79A7" w:rsidRPr="00F277EF">
        <w:rPr>
          <w:rFonts w:ascii="Arial" w:hAnsi="Arial" w:cs="Arial"/>
          <w:sz w:val="24"/>
          <w:szCs w:val="24"/>
        </w:rPr>
        <w:t xml:space="preserve">data </w:t>
      </w:r>
      <w:r w:rsidR="00417555" w:rsidRPr="00F277EF">
        <w:rPr>
          <w:rFonts w:ascii="Arial" w:hAnsi="Arial" w:cs="Arial"/>
          <w:sz w:val="24"/>
          <w:szCs w:val="24"/>
        </w:rPr>
        <w:t>and</w:t>
      </w:r>
      <w:r w:rsidR="007C79A7" w:rsidRPr="00F277EF">
        <w:rPr>
          <w:rFonts w:ascii="Arial" w:hAnsi="Arial" w:cs="Arial"/>
          <w:sz w:val="24"/>
          <w:szCs w:val="24"/>
        </w:rPr>
        <w:t xml:space="preserve"> </w:t>
      </w:r>
      <w:r w:rsidR="00732EAA" w:rsidRPr="00F277EF">
        <w:rPr>
          <w:rFonts w:ascii="Arial" w:hAnsi="Arial" w:cs="Arial"/>
          <w:sz w:val="24"/>
          <w:szCs w:val="24"/>
        </w:rPr>
        <w:t>benchmarks,</w:t>
      </w:r>
      <w:r w:rsidR="00417555" w:rsidRPr="00F277EF">
        <w:rPr>
          <w:rFonts w:ascii="Arial" w:hAnsi="Arial" w:cs="Arial"/>
          <w:sz w:val="24"/>
          <w:szCs w:val="24"/>
        </w:rPr>
        <w:t xml:space="preserve"> or proxy benchmarks employed.</w:t>
      </w:r>
    </w:p>
    <w:p w:rsidR="00336E6C" w:rsidRDefault="00336E6C" w:rsidP="0002460F">
      <w:pPr>
        <w:ind w:firstLine="0"/>
        <w:rPr>
          <w:rFonts w:ascii="Arial" w:hAnsi="Arial" w:cs="Arial"/>
          <w:sz w:val="24"/>
          <w:szCs w:val="24"/>
        </w:rPr>
      </w:pPr>
    </w:p>
    <w:p w:rsidR="00C477B7" w:rsidRDefault="0002460F" w:rsidP="00C477B7">
      <w:pPr>
        <w:pStyle w:val="NoSpacing"/>
        <w:ind w:firstLine="0"/>
        <w:rPr>
          <w:rFonts w:ascii="Arial" w:hAnsi="Arial" w:cs="Arial"/>
          <w:sz w:val="24"/>
          <w:szCs w:val="24"/>
        </w:rPr>
      </w:pPr>
      <w:r w:rsidRPr="00F277EF">
        <w:rPr>
          <w:rFonts w:ascii="Arial" w:hAnsi="Arial" w:cs="Arial"/>
          <w:sz w:val="24"/>
          <w:szCs w:val="24"/>
        </w:rPr>
        <w:t>Nonetheless, MassHealth views the data used to develop the AMRP as demonstrating overall sufficient member access to care in the areas CMS identified for assessment in states’ 2019 Access Review Monitoring Plans</w:t>
      </w:r>
      <w:r>
        <w:rPr>
          <w:rFonts w:ascii="Arial" w:hAnsi="Arial" w:cs="Arial"/>
          <w:sz w:val="24"/>
          <w:szCs w:val="24"/>
        </w:rPr>
        <w:t xml:space="preserve"> (t</w:t>
      </w:r>
      <w:r w:rsidRPr="00F277EF">
        <w:rPr>
          <w:rFonts w:ascii="Arial" w:hAnsi="Arial" w:cs="Arial"/>
          <w:sz w:val="24"/>
          <w:szCs w:val="24"/>
        </w:rPr>
        <w:t xml:space="preserve">he extent to which beneficiary needs are met; </w:t>
      </w:r>
      <w:r>
        <w:rPr>
          <w:rFonts w:ascii="Arial" w:hAnsi="Arial" w:cs="Arial"/>
          <w:sz w:val="24"/>
          <w:szCs w:val="24"/>
        </w:rPr>
        <w:t>t</w:t>
      </w:r>
      <w:r w:rsidRPr="00F277EF">
        <w:rPr>
          <w:rFonts w:ascii="Arial" w:hAnsi="Arial" w:cs="Arial"/>
          <w:sz w:val="24"/>
          <w:szCs w:val="24"/>
        </w:rPr>
        <w:t xml:space="preserve">he availability of care and providers; </w:t>
      </w:r>
      <w:r>
        <w:rPr>
          <w:rFonts w:ascii="Arial" w:hAnsi="Arial" w:cs="Arial"/>
          <w:sz w:val="24"/>
          <w:szCs w:val="24"/>
        </w:rPr>
        <w:t>c</w:t>
      </w:r>
      <w:r w:rsidRPr="00F277EF">
        <w:rPr>
          <w:rFonts w:ascii="Arial" w:hAnsi="Arial" w:cs="Arial"/>
          <w:sz w:val="24"/>
          <w:szCs w:val="24"/>
        </w:rPr>
        <w:t xml:space="preserve">hanges in beneficiary service utilization; and </w:t>
      </w:r>
      <w:r>
        <w:rPr>
          <w:rFonts w:ascii="Arial" w:hAnsi="Arial" w:cs="Arial"/>
          <w:sz w:val="24"/>
          <w:szCs w:val="24"/>
        </w:rPr>
        <w:t>c</w:t>
      </w:r>
      <w:r w:rsidRPr="00F277EF">
        <w:rPr>
          <w:rFonts w:ascii="Arial" w:hAnsi="Arial" w:cs="Arial"/>
          <w:sz w:val="24"/>
          <w:szCs w:val="24"/>
        </w:rPr>
        <w:t>omparisons between Medicaid rates and rates paid by other payers</w:t>
      </w:r>
      <w:r w:rsidR="002F1BA4">
        <w:rPr>
          <w:rFonts w:ascii="Arial" w:hAnsi="Arial" w:cs="Arial"/>
          <w:sz w:val="24"/>
          <w:szCs w:val="24"/>
        </w:rPr>
        <w:t>)</w:t>
      </w:r>
      <w:r w:rsidRPr="00F277EF">
        <w:rPr>
          <w:rFonts w:ascii="Arial" w:hAnsi="Arial" w:cs="Arial"/>
          <w:sz w:val="24"/>
          <w:szCs w:val="24"/>
        </w:rPr>
        <w:t>.</w:t>
      </w:r>
      <w:r>
        <w:rPr>
          <w:rFonts w:ascii="Arial" w:hAnsi="Arial" w:cs="Arial"/>
          <w:sz w:val="24"/>
          <w:szCs w:val="24"/>
        </w:rPr>
        <w:t xml:space="preserve"> </w:t>
      </w:r>
      <w:r w:rsidRPr="00F277EF">
        <w:rPr>
          <w:rFonts w:ascii="Arial" w:hAnsi="Arial" w:cs="Arial"/>
          <w:sz w:val="24"/>
          <w:szCs w:val="24"/>
        </w:rPr>
        <w:t xml:space="preserve">Massachusetts bases this conclusion </w:t>
      </w:r>
      <w:r w:rsidR="00BB57AA">
        <w:rPr>
          <w:rFonts w:ascii="Arial" w:hAnsi="Arial" w:cs="Arial"/>
          <w:sz w:val="24"/>
          <w:szCs w:val="24"/>
        </w:rPr>
        <w:t>on</w:t>
      </w:r>
      <w:r w:rsidRPr="00F277EF">
        <w:rPr>
          <w:rFonts w:ascii="Arial" w:hAnsi="Arial" w:cs="Arial"/>
          <w:sz w:val="24"/>
          <w:szCs w:val="24"/>
        </w:rPr>
        <w:t xml:space="preserve"> </w:t>
      </w:r>
      <w:r>
        <w:rPr>
          <w:rFonts w:ascii="Arial" w:hAnsi="Arial" w:cs="Arial"/>
          <w:sz w:val="24"/>
          <w:szCs w:val="24"/>
        </w:rPr>
        <w:t>its</w:t>
      </w:r>
      <w:r w:rsidRPr="00F277EF">
        <w:rPr>
          <w:rFonts w:ascii="Arial" w:hAnsi="Arial" w:cs="Arial"/>
          <w:sz w:val="24"/>
          <w:szCs w:val="24"/>
        </w:rPr>
        <w:t xml:space="preserve"> review of a core set of five services: primary care, physician special</w:t>
      </w:r>
      <w:r>
        <w:rPr>
          <w:rFonts w:ascii="Arial" w:hAnsi="Arial" w:cs="Arial"/>
          <w:sz w:val="24"/>
          <w:szCs w:val="24"/>
        </w:rPr>
        <w:t>ty care</w:t>
      </w:r>
      <w:r w:rsidRPr="00F277EF">
        <w:rPr>
          <w:rFonts w:ascii="Arial" w:hAnsi="Arial" w:cs="Arial"/>
          <w:sz w:val="24"/>
          <w:szCs w:val="24"/>
        </w:rPr>
        <w:t>, behavioral health</w:t>
      </w:r>
      <w:r>
        <w:rPr>
          <w:rFonts w:ascii="Arial" w:hAnsi="Arial" w:cs="Arial"/>
          <w:sz w:val="24"/>
          <w:szCs w:val="24"/>
        </w:rPr>
        <w:t xml:space="preserve"> care</w:t>
      </w:r>
      <w:r w:rsidRPr="00F277EF">
        <w:rPr>
          <w:rFonts w:ascii="Arial" w:hAnsi="Arial" w:cs="Arial"/>
          <w:sz w:val="24"/>
          <w:szCs w:val="24"/>
        </w:rPr>
        <w:t xml:space="preserve">, pre- </w:t>
      </w:r>
      <w:r w:rsidR="008D3006">
        <w:rPr>
          <w:rFonts w:ascii="Arial" w:hAnsi="Arial" w:cs="Arial"/>
          <w:sz w:val="24"/>
          <w:szCs w:val="24"/>
        </w:rPr>
        <w:t>perinatal services</w:t>
      </w:r>
      <w:r w:rsidRPr="00F277EF">
        <w:rPr>
          <w:rFonts w:ascii="Arial" w:hAnsi="Arial" w:cs="Arial"/>
          <w:sz w:val="24"/>
          <w:szCs w:val="24"/>
        </w:rPr>
        <w:t xml:space="preserve"> (including labor and delivery), and home health services. </w:t>
      </w:r>
      <w:r w:rsidR="00C477B7">
        <w:rPr>
          <w:rFonts w:ascii="Arial" w:hAnsi="Arial" w:cs="Arial"/>
          <w:sz w:val="24"/>
          <w:szCs w:val="24"/>
        </w:rPr>
        <w:t>A</w:t>
      </w:r>
      <w:r w:rsidR="002D1021">
        <w:rPr>
          <w:rFonts w:ascii="Arial" w:hAnsi="Arial" w:cs="Arial"/>
          <w:sz w:val="24"/>
          <w:szCs w:val="24"/>
        </w:rPr>
        <w:t>s MassHealth completed the AMRP</w:t>
      </w:r>
      <w:r w:rsidR="00C477B7">
        <w:rPr>
          <w:rFonts w:ascii="Arial" w:hAnsi="Arial" w:cs="Arial"/>
          <w:sz w:val="24"/>
          <w:szCs w:val="24"/>
        </w:rPr>
        <w:t xml:space="preserve"> and reviewed the utilization of services, we found that our members were utilizing </w:t>
      </w:r>
      <w:r w:rsidR="000D02FC">
        <w:rPr>
          <w:rFonts w:ascii="Arial" w:hAnsi="Arial" w:cs="Arial"/>
          <w:sz w:val="24"/>
          <w:szCs w:val="24"/>
        </w:rPr>
        <w:t xml:space="preserve">MassHealth </w:t>
      </w:r>
      <w:r w:rsidR="00C477B7">
        <w:rPr>
          <w:rFonts w:ascii="Arial" w:hAnsi="Arial" w:cs="Arial"/>
          <w:sz w:val="24"/>
          <w:szCs w:val="24"/>
        </w:rPr>
        <w:t xml:space="preserve">services </w:t>
      </w:r>
      <w:r w:rsidR="000D02FC">
        <w:rPr>
          <w:rFonts w:ascii="Arial" w:hAnsi="Arial" w:cs="Arial"/>
          <w:sz w:val="24"/>
          <w:szCs w:val="24"/>
        </w:rPr>
        <w:t xml:space="preserve">also </w:t>
      </w:r>
      <w:r w:rsidR="00C477B7">
        <w:rPr>
          <w:rFonts w:ascii="Arial" w:hAnsi="Arial" w:cs="Arial"/>
          <w:sz w:val="24"/>
          <w:szCs w:val="24"/>
        </w:rPr>
        <w:t>available</w:t>
      </w:r>
      <w:r w:rsidR="000D02FC">
        <w:rPr>
          <w:rFonts w:ascii="Arial" w:hAnsi="Arial" w:cs="Arial"/>
          <w:sz w:val="24"/>
          <w:szCs w:val="24"/>
        </w:rPr>
        <w:t xml:space="preserve"> to members of</w:t>
      </w:r>
      <w:r w:rsidR="00C477B7">
        <w:rPr>
          <w:rFonts w:ascii="Arial" w:hAnsi="Arial" w:cs="Arial"/>
          <w:sz w:val="24"/>
          <w:szCs w:val="24"/>
        </w:rPr>
        <w:t xml:space="preserve"> other health plans. </w:t>
      </w:r>
      <w:r w:rsidR="00541285">
        <w:rPr>
          <w:rFonts w:ascii="Arial" w:hAnsi="Arial" w:cs="Arial"/>
          <w:sz w:val="24"/>
          <w:szCs w:val="24"/>
        </w:rPr>
        <w:t>Furthermore, a</w:t>
      </w:r>
      <w:r w:rsidR="00C477B7" w:rsidRPr="006745F0">
        <w:rPr>
          <w:rFonts w:ascii="Arial" w:hAnsi="Arial" w:cs="Arial"/>
          <w:sz w:val="24"/>
          <w:szCs w:val="24"/>
        </w:rPr>
        <w:t xml:space="preserve">nalysis of the data and information contained in this AMRP in comparison to recent data available in </w:t>
      </w:r>
      <w:r w:rsidR="00C477B7" w:rsidRPr="006745F0">
        <w:rPr>
          <w:rFonts w:ascii="Arial" w:hAnsi="Arial" w:cs="Arial"/>
          <w:i/>
          <w:iCs/>
          <w:sz w:val="24"/>
          <w:szCs w:val="24"/>
        </w:rPr>
        <w:lastRenderedPageBreak/>
        <w:t>MassHealth: The Basics Facts and Trends prepared by the Center for Health Law and Economics</w:t>
      </w:r>
      <w:r w:rsidR="00C477B7">
        <w:rPr>
          <w:rStyle w:val="FootnoteReference"/>
          <w:rFonts w:ascii="Arial" w:hAnsi="Arial" w:cs="Arial"/>
          <w:i/>
          <w:iCs/>
          <w:sz w:val="24"/>
          <w:szCs w:val="24"/>
        </w:rPr>
        <w:footnoteReference w:id="14"/>
      </w:r>
      <w:r w:rsidR="00C477B7">
        <w:rPr>
          <w:rFonts w:ascii="Arial" w:hAnsi="Arial" w:cs="Arial"/>
          <w:sz w:val="24"/>
          <w:szCs w:val="24"/>
        </w:rPr>
        <w:t xml:space="preserve"> </w:t>
      </w:r>
      <w:r w:rsidR="00BB57AA">
        <w:rPr>
          <w:rFonts w:ascii="Arial" w:hAnsi="Arial" w:cs="Arial"/>
          <w:sz w:val="24"/>
          <w:szCs w:val="24"/>
        </w:rPr>
        <w:t xml:space="preserve">indicates </w:t>
      </w:r>
      <w:r w:rsidR="00C477B7" w:rsidRPr="006745F0">
        <w:rPr>
          <w:rFonts w:ascii="Arial" w:hAnsi="Arial" w:cs="Arial"/>
          <w:sz w:val="24"/>
          <w:szCs w:val="24"/>
        </w:rPr>
        <w:t xml:space="preserve">that </w:t>
      </w:r>
      <w:r w:rsidR="00C06006">
        <w:rPr>
          <w:rFonts w:ascii="Arial" w:hAnsi="Arial" w:cs="Arial"/>
          <w:sz w:val="24"/>
          <w:szCs w:val="24"/>
        </w:rPr>
        <w:t>MassHealth</w:t>
      </w:r>
      <w:r w:rsidR="00C477B7" w:rsidRPr="006745F0">
        <w:rPr>
          <w:rFonts w:ascii="Arial" w:hAnsi="Arial" w:cs="Arial"/>
          <w:sz w:val="24"/>
          <w:szCs w:val="24"/>
        </w:rPr>
        <w:t xml:space="preserve"> members have access to similar services as those who have commercial </w:t>
      </w:r>
      <w:r w:rsidR="002D1021">
        <w:rPr>
          <w:rFonts w:ascii="Arial" w:hAnsi="Arial" w:cs="Arial"/>
          <w:sz w:val="24"/>
          <w:szCs w:val="24"/>
        </w:rPr>
        <w:t xml:space="preserve">health </w:t>
      </w:r>
      <w:r w:rsidR="00C477B7" w:rsidRPr="006745F0">
        <w:rPr>
          <w:rFonts w:ascii="Arial" w:hAnsi="Arial" w:cs="Arial"/>
          <w:sz w:val="24"/>
          <w:szCs w:val="24"/>
        </w:rPr>
        <w:t xml:space="preserve">plans (i.e., hospital services, </w:t>
      </w:r>
      <w:r w:rsidR="00C477B7">
        <w:rPr>
          <w:rFonts w:ascii="Arial" w:hAnsi="Arial" w:cs="Arial"/>
          <w:sz w:val="24"/>
          <w:szCs w:val="24"/>
        </w:rPr>
        <w:t>p</w:t>
      </w:r>
      <w:r w:rsidR="00C477B7" w:rsidRPr="006745F0">
        <w:rPr>
          <w:rFonts w:ascii="Arial" w:hAnsi="Arial" w:cs="Arial"/>
          <w:sz w:val="24"/>
          <w:szCs w:val="24"/>
        </w:rPr>
        <w:t xml:space="preserve">hysician services, </w:t>
      </w:r>
      <w:r w:rsidR="00C477B7">
        <w:rPr>
          <w:rFonts w:ascii="Arial" w:hAnsi="Arial" w:cs="Arial"/>
          <w:sz w:val="24"/>
          <w:szCs w:val="24"/>
        </w:rPr>
        <w:t>well child visits and</w:t>
      </w:r>
      <w:r w:rsidR="00C477B7" w:rsidRPr="006745F0">
        <w:rPr>
          <w:rFonts w:ascii="Arial" w:hAnsi="Arial" w:cs="Arial"/>
          <w:sz w:val="24"/>
          <w:szCs w:val="24"/>
        </w:rPr>
        <w:t xml:space="preserve"> </w:t>
      </w:r>
      <w:r w:rsidR="00C477B7">
        <w:rPr>
          <w:rFonts w:ascii="Arial" w:hAnsi="Arial" w:cs="Arial"/>
          <w:sz w:val="24"/>
          <w:szCs w:val="24"/>
        </w:rPr>
        <w:t>p</w:t>
      </w:r>
      <w:r w:rsidR="00C477B7" w:rsidRPr="006745F0">
        <w:rPr>
          <w:rFonts w:ascii="Arial" w:hAnsi="Arial" w:cs="Arial"/>
          <w:sz w:val="24"/>
          <w:szCs w:val="24"/>
        </w:rPr>
        <w:t xml:space="preserve">rescription drugs) plus additional services such as long-term services and supports, diversionary behavioral health services, </w:t>
      </w:r>
      <w:r w:rsidR="00C477B7">
        <w:rPr>
          <w:rFonts w:ascii="Arial" w:hAnsi="Arial" w:cs="Arial"/>
          <w:sz w:val="24"/>
          <w:szCs w:val="24"/>
        </w:rPr>
        <w:t xml:space="preserve">and </w:t>
      </w:r>
      <w:r w:rsidR="00C477B7" w:rsidRPr="006745F0">
        <w:rPr>
          <w:rFonts w:ascii="Arial" w:hAnsi="Arial" w:cs="Arial"/>
          <w:sz w:val="24"/>
          <w:szCs w:val="24"/>
        </w:rPr>
        <w:t>transportation services</w:t>
      </w:r>
      <w:r w:rsidR="00C477B7">
        <w:rPr>
          <w:rFonts w:ascii="Arial" w:hAnsi="Arial" w:cs="Arial"/>
          <w:sz w:val="24"/>
          <w:szCs w:val="24"/>
        </w:rPr>
        <w:t>).</w:t>
      </w:r>
    </w:p>
    <w:p w:rsidR="0002460F" w:rsidRDefault="0002460F" w:rsidP="0002460F">
      <w:pPr>
        <w:ind w:firstLine="0"/>
        <w:rPr>
          <w:rFonts w:ascii="Arial" w:hAnsi="Arial" w:cs="Arial"/>
          <w:sz w:val="24"/>
          <w:szCs w:val="24"/>
        </w:rPr>
      </w:pPr>
    </w:p>
    <w:p w:rsidR="0002460F" w:rsidRPr="00F277EF" w:rsidRDefault="0002460F" w:rsidP="0002460F">
      <w:pPr>
        <w:ind w:firstLine="0"/>
        <w:rPr>
          <w:rFonts w:ascii="Arial" w:hAnsi="Arial" w:cs="Arial"/>
          <w:sz w:val="24"/>
          <w:szCs w:val="24"/>
        </w:rPr>
      </w:pPr>
      <w:r w:rsidRPr="00F277EF">
        <w:rPr>
          <w:rFonts w:ascii="Arial" w:hAnsi="Arial" w:cs="Arial"/>
          <w:sz w:val="24"/>
          <w:szCs w:val="24"/>
        </w:rPr>
        <w:t>Within the AMRP, MassHealth evaluated access based on MMIS data sources, CSC call center data, geo-mapping software, HEDIS measures, and took into account Massachusetts’ specific delivery systems, beneficiary characteristics and geography.</w:t>
      </w:r>
      <w:r w:rsidR="00336E6C">
        <w:rPr>
          <w:rFonts w:ascii="Arial" w:hAnsi="Arial" w:cs="Arial"/>
          <w:sz w:val="24"/>
          <w:szCs w:val="24"/>
        </w:rPr>
        <w:t xml:space="preserve"> </w:t>
      </w:r>
      <w:r w:rsidRPr="00F277EF">
        <w:rPr>
          <w:rFonts w:ascii="Arial" w:hAnsi="Arial" w:cs="Arial"/>
          <w:sz w:val="24"/>
          <w:szCs w:val="24"/>
        </w:rPr>
        <w:t xml:space="preserve">Furthermore, </w:t>
      </w:r>
      <w:proofErr w:type="spellStart"/>
      <w:r w:rsidRPr="00F277EF">
        <w:rPr>
          <w:rFonts w:ascii="Arial" w:hAnsi="Arial" w:cs="Arial"/>
          <w:sz w:val="24"/>
          <w:szCs w:val="24"/>
        </w:rPr>
        <w:t>MassHealth's</w:t>
      </w:r>
      <w:proofErr w:type="spellEnd"/>
      <w:r w:rsidRPr="00F277EF">
        <w:rPr>
          <w:rFonts w:ascii="Arial" w:hAnsi="Arial" w:cs="Arial"/>
          <w:sz w:val="24"/>
          <w:szCs w:val="24"/>
        </w:rPr>
        <w:t xml:space="preserve"> monitoring of provider participation and members' calls</w:t>
      </w:r>
      <w:r>
        <w:rPr>
          <w:rFonts w:ascii="Arial" w:hAnsi="Arial" w:cs="Arial"/>
          <w:sz w:val="24"/>
          <w:szCs w:val="24"/>
        </w:rPr>
        <w:t xml:space="preserve"> to MassHealth customer service</w:t>
      </w:r>
      <w:r w:rsidRPr="00F277EF">
        <w:rPr>
          <w:rFonts w:ascii="Arial" w:hAnsi="Arial" w:cs="Arial"/>
          <w:sz w:val="24"/>
          <w:szCs w:val="24"/>
        </w:rPr>
        <w:t xml:space="preserve"> for provider access issues indicate continued satisfactory access to services.</w:t>
      </w:r>
    </w:p>
    <w:p w:rsidR="004A1FAF" w:rsidRDefault="004A1FAF" w:rsidP="00BF3F21">
      <w:pPr>
        <w:ind w:firstLine="0"/>
        <w:rPr>
          <w:rFonts w:ascii="Calibri" w:hAnsi="Calibri" w:cs="Calibri"/>
          <w:color w:val="212121"/>
        </w:rPr>
      </w:pPr>
    </w:p>
    <w:p w:rsidR="004A1FAF" w:rsidRPr="00BF3F21" w:rsidRDefault="002F3A97" w:rsidP="00BF3F21">
      <w:pPr>
        <w:ind w:firstLine="0"/>
        <w:rPr>
          <w:rFonts w:ascii="Arial" w:hAnsi="Arial" w:cs="Arial"/>
          <w:color w:val="212121"/>
          <w:sz w:val="24"/>
          <w:szCs w:val="24"/>
        </w:rPr>
      </w:pPr>
      <w:r>
        <w:rPr>
          <w:rFonts w:ascii="Arial" w:hAnsi="Arial" w:cs="Arial"/>
          <w:color w:val="212121"/>
          <w:sz w:val="24"/>
          <w:szCs w:val="24"/>
        </w:rPr>
        <w:t xml:space="preserve">Through </w:t>
      </w:r>
      <w:proofErr w:type="spellStart"/>
      <w:r w:rsidR="004A1FAF" w:rsidRPr="00BF3F21">
        <w:rPr>
          <w:rFonts w:ascii="Arial" w:hAnsi="Arial" w:cs="Arial"/>
          <w:color w:val="212121"/>
          <w:sz w:val="24"/>
          <w:szCs w:val="24"/>
        </w:rPr>
        <w:t>MassHealth’s</w:t>
      </w:r>
      <w:proofErr w:type="spellEnd"/>
      <w:r w:rsidR="004A1FAF" w:rsidRPr="00BF3F21">
        <w:rPr>
          <w:rFonts w:ascii="Arial" w:hAnsi="Arial" w:cs="Arial"/>
          <w:color w:val="212121"/>
          <w:sz w:val="24"/>
          <w:szCs w:val="24"/>
        </w:rPr>
        <w:t xml:space="preserve"> most recent Section 1115 Demonstration Waiver</w:t>
      </w:r>
      <w:r>
        <w:rPr>
          <w:rFonts w:ascii="Arial" w:hAnsi="Arial" w:cs="Arial"/>
          <w:color w:val="212121"/>
          <w:sz w:val="24"/>
          <w:szCs w:val="24"/>
        </w:rPr>
        <w:t xml:space="preserve"> renewal</w:t>
      </w:r>
      <w:r w:rsidR="004A1FAF" w:rsidRPr="00BF3F21">
        <w:rPr>
          <w:rFonts w:ascii="Arial" w:hAnsi="Arial" w:cs="Arial"/>
          <w:color w:val="212121"/>
          <w:sz w:val="24"/>
          <w:szCs w:val="24"/>
        </w:rPr>
        <w:t>, the agency</w:t>
      </w:r>
      <w:r>
        <w:rPr>
          <w:rFonts w:ascii="Arial" w:hAnsi="Arial" w:cs="Arial"/>
          <w:color w:val="212121"/>
          <w:sz w:val="24"/>
          <w:szCs w:val="24"/>
        </w:rPr>
        <w:t xml:space="preserve"> has implemented</w:t>
      </w:r>
      <w:r w:rsidR="004A1FAF" w:rsidRPr="00BF3F21">
        <w:rPr>
          <w:rFonts w:ascii="Arial" w:hAnsi="Arial" w:cs="Arial"/>
          <w:color w:val="212121"/>
          <w:sz w:val="24"/>
          <w:szCs w:val="24"/>
        </w:rPr>
        <w:t xml:space="preserve"> innovative service delivery systems that improve care, increase efficiency, and reduce cost</w:t>
      </w:r>
      <w:r>
        <w:rPr>
          <w:rFonts w:ascii="Arial" w:hAnsi="Arial" w:cs="Arial"/>
          <w:color w:val="212121"/>
          <w:sz w:val="24"/>
          <w:szCs w:val="24"/>
        </w:rPr>
        <w:t xml:space="preserve">s. </w:t>
      </w:r>
      <w:r w:rsidR="00D92D5D" w:rsidRPr="00D92D5D">
        <w:rPr>
          <w:rFonts w:ascii="Arial" w:hAnsi="Arial" w:cs="Arial"/>
          <w:color w:val="212121"/>
          <w:sz w:val="24"/>
          <w:szCs w:val="24"/>
        </w:rPr>
        <w:t>Goals of the r</w:t>
      </w:r>
      <w:r w:rsidR="00F005CF">
        <w:rPr>
          <w:rFonts w:ascii="Arial" w:hAnsi="Arial" w:cs="Arial"/>
          <w:color w:val="212121"/>
          <w:sz w:val="24"/>
          <w:szCs w:val="24"/>
        </w:rPr>
        <w:t>eform</w:t>
      </w:r>
      <w:r w:rsidR="00D92D5D" w:rsidRPr="00D92D5D">
        <w:rPr>
          <w:rFonts w:ascii="Arial" w:hAnsi="Arial" w:cs="Arial"/>
          <w:color w:val="212121"/>
          <w:sz w:val="24"/>
          <w:szCs w:val="24"/>
        </w:rPr>
        <w:t xml:space="preserve"> include advancing</w:t>
      </w:r>
      <w:r w:rsidR="00C90391">
        <w:rPr>
          <w:rFonts w:ascii="Arial" w:hAnsi="Arial" w:cs="Arial"/>
          <w:color w:val="212121"/>
          <w:sz w:val="24"/>
          <w:szCs w:val="24"/>
        </w:rPr>
        <w:t xml:space="preserve"> </w:t>
      </w:r>
      <w:r w:rsidR="00D92D5D" w:rsidRPr="00D92D5D">
        <w:rPr>
          <w:rFonts w:ascii="Arial" w:hAnsi="Arial" w:cs="Arial"/>
          <w:color w:val="212121"/>
          <w:sz w:val="24"/>
          <w:szCs w:val="24"/>
        </w:rPr>
        <w:t xml:space="preserve">alternative payment methodologies; strengthening the relationships between members and their </w:t>
      </w:r>
      <w:r w:rsidR="008E288F">
        <w:rPr>
          <w:rFonts w:ascii="Arial" w:hAnsi="Arial" w:cs="Arial"/>
          <w:color w:val="212121"/>
          <w:sz w:val="24"/>
          <w:szCs w:val="24"/>
        </w:rPr>
        <w:t>p</w:t>
      </w:r>
      <w:r w:rsidR="00D92D5D" w:rsidRPr="00D92D5D">
        <w:rPr>
          <w:rFonts w:ascii="Arial" w:hAnsi="Arial" w:cs="Arial"/>
          <w:color w:val="212121"/>
          <w:sz w:val="24"/>
          <w:szCs w:val="24"/>
        </w:rPr>
        <w:t xml:space="preserve">rimary </w:t>
      </w:r>
      <w:r w:rsidR="008E288F">
        <w:rPr>
          <w:rFonts w:ascii="Arial" w:hAnsi="Arial" w:cs="Arial"/>
          <w:color w:val="212121"/>
          <w:sz w:val="24"/>
          <w:szCs w:val="24"/>
        </w:rPr>
        <w:t>c</w:t>
      </w:r>
      <w:r w:rsidR="00D92D5D" w:rsidRPr="00D92D5D">
        <w:rPr>
          <w:rFonts w:ascii="Arial" w:hAnsi="Arial" w:cs="Arial"/>
          <w:color w:val="212121"/>
          <w:sz w:val="24"/>
          <w:szCs w:val="24"/>
        </w:rPr>
        <w:t xml:space="preserve">are </w:t>
      </w:r>
      <w:r w:rsidR="008E288F">
        <w:rPr>
          <w:rFonts w:ascii="Arial" w:hAnsi="Arial" w:cs="Arial"/>
          <w:color w:val="212121"/>
          <w:sz w:val="24"/>
          <w:szCs w:val="24"/>
        </w:rPr>
        <w:t>p</w:t>
      </w:r>
      <w:r w:rsidR="00D92D5D" w:rsidRPr="00D92D5D">
        <w:rPr>
          <w:rFonts w:ascii="Arial" w:hAnsi="Arial" w:cs="Arial"/>
          <w:color w:val="212121"/>
          <w:sz w:val="24"/>
          <w:szCs w:val="24"/>
        </w:rPr>
        <w:t xml:space="preserve">roviders; increasing linkages and integration with behavioral health care and long-term services and supports; and materially improving the member experience. </w:t>
      </w:r>
      <w:r>
        <w:rPr>
          <w:rFonts w:ascii="Arial" w:hAnsi="Arial" w:cs="Arial"/>
          <w:color w:val="212121"/>
          <w:sz w:val="24"/>
          <w:szCs w:val="24"/>
        </w:rPr>
        <w:t xml:space="preserve">While not the focus of the AMRP, </w:t>
      </w:r>
      <w:r w:rsidR="004A1FAF" w:rsidRPr="00BF3F21">
        <w:rPr>
          <w:rFonts w:ascii="Arial" w:hAnsi="Arial" w:cs="Arial"/>
          <w:color w:val="212121"/>
          <w:sz w:val="24"/>
          <w:szCs w:val="24"/>
        </w:rPr>
        <w:t>MassHealth believes that these efforts will continue to improve timely and appropriate access to care for our members</w:t>
      </w:r>
      <w:r>
        <w:rPr>
          <w:rFonts w:ascii="Arial" w:hAnsi="Arial" w:cs="Arial"/>
          <w:color w:val="212121"/>
          <w:sz w:val="24"/>
          <w:szCs w:val="24"/>
        </w:rPr>
        <w:t xml:space="preserve"> enrolled in managed care entities.</w:t>
      </w:r>
    </w:p>
    <w:p w:rsidR="00521634" w:rsidRDefault="00521634" w:rsidP="00521634">
      <w:pPr>
        <w:ind w:firstLine="0"/>
        <w:rPr>
          <w:sz w:val="24"/>
          <w:highlight w:val="yellow"/>
        </w:rPr>
      </w:pPr>
    </w:p>
    <w:sectPr w:rsidR="00521634" w:rsidSect="00060134">
      <w:headerReference w:type="default" r:id="rId20"/>
      <w:footerReference w:type="default" r:id="rId21"/>
      <w:headerReference w:type="first" r:id="rId2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24ED2D" w15:done="0"/>
  <w15:commentEx w15:paraId="641BAA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24ED2D" w16cid:durableId="212E06E2"/>
  <w16cid:commentId w16cid:paraId="641BAA43" w16cid:durableId="212E07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01C" w:rsidRDefault="00E9301C" w:rsidP="00B94C98">
      <w:r>
        <w:separator/>
      </w:r>
    </w:p>
  </w:endnote>
  <w:endnote w:type="continuationSeparator" w:id="0">
    <w:p w:rsidR="00E9301C" w:rsidRDefault="00E9301C" w:rsidP="00B9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9301C">
      <w:tc>
        <w:tcPr>
          <w:tcW w:w="500" w:type="pct"/>
          <w:tcBorders>
            <w:top w:val="single" w:sz="4" w:space="0" w:color="943634" w:themeColor="accent2" w:themeShade="BF"/>
          </w:tcBorders>
          <w:shd w:val="clear" w:color="auto" w:fill="943634" w:themeFill="accent2" w:themeFillShade="BF"/>
        </w:tcPr>
        <w:p w:rsidR="00E9301C" w:rsidRDefault="00E9301C">
          <w:pPr>
            <w:pStyle w:val="Footer"/>
            <w:jc w:val="right"/>
            <w:rPr>
              <w:b/>
              <w:bCs/>
              <w:color w:val="FFFFFF" w:themeColor="background1"/>
            </w:rPr>
          </w:pPr>
          <w:r>
            <w:fldChar w:fldCharType="begin"/>
          </w:r>
          <w:r>
            <w:instrText xml:space="preserve"> PAGE   \* MERGEFORMAT </w:instrText>
          </w:r>
          <w:r>
            <w:fldChar w:fldCharType="separate"/>
          </w:r>
          <w:r w:rsidR="00DA770C" w:rsidRPr="00DA770C">
            <w:rPr>
              <w:noProof/>
              <w:color w:val="FFFFFF" w:themeColor="background1"/>
            </w:rPr>
            <w:t>65</w:t>
          </w:r>
          <w:r>
            <w:rPr>
              <w:noProof/>
              <w:color w:val="FFFFFF" w:themeColor="background1"/>
            </w:rPr>
            <w:fldChar w:fldCharType="end"/>
          </w:r>
        </w:p>
      </w:tc>
      <w:tc>
        <w:tcPr>
          <w:tcW w:w="4500" w:type="pct"/>
          <w:tcBorders>
            <w:top w:val="single" w:sz="4" w:space="0" w:color="auto"/>
          </w:tcBorders>
        </w:tcPr>
        <w:p w:rsidR="00E9301C" w:rsidRDefault="00E9301C" w:rsidP="007A69D4">
          <w:pPr>
            <w:pStyle w:val="Footer"/>
            <w:ind w:firstLine="0"/>
          </w:pPr>
          <w:r>
            <w:t xml:space="preserve">September 2019 Massachusetts Access Monitoring Review Plan | </w:t>
          </w:r>
          <w:sdt>
            <w:sdtPr>
              <w:alias w:val="Company"/>
              <w:id w:val="-458335747"/>
              <w:dataBinding w:prefixMappings="xmlns:ns0='http://schemas.openxmlformats.org/officeDocument/2006/extended-properties'" w:xpath="/ns0:Properties[1]/ns0:Company[1]" w:storeItemID="{6668398D-A668-4E3E-A5EB-62B293D839F1}"/>
              <w:text/>
            </w:sdtPr>
            <w:sdtEndPr/>
            <w:sdtContent>
              <w:r>
                <w:t>EOHHS- MassHealth</w:t>
              </w:r>
            </w:sdtContent>
          </w:sdt>
          <w:r>
            <w:t xml:space="preserve"> </w:t>
          </w:r>
        </w:p>
      </w:tc>
    </w:tr>
  </w:tbl>
  <w:p w:rsidR="00E9301C" w:rsidRDefault="00E930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01C" w:rsidRDefault="00E9301C" w:rsidP="00B94C98">
      <w:r>
        <w:separator/>
      </w:r>
    </w:p>
  </w:footnote>
  <w:footnote w:type="continuationSeparator" w:id="0">
    <w:p w:rsidR="00E9301C" w:rsidRDefault="00E9301C" w:rsidP="00B94C98">
      <w:r>
        <w:continuationSeparator/>
      </w:r>
    </w:p>
  </w:footnote>
  <w:footnote w:id="1">
    <w:p w:rsidR="00E9301C" w:rsidRPr="00130F4C" w:rsidRDefault="00E9301C" w:rsidP="00130F4C">
      <w:pPr>
        <w:pStyle w:val="FootnoteText"/>
        <w:ind w:firstLine="0"/>
        <w:rPr>
          <w:rFonts w:ascii="Arial" w:hAnsi="Arial" w:cs="Arial"/>
        </w:rPr>
      </w:pPr>
      <w:r w:rsidRPr="00130F4C">
        <w:rPr>
          <w:rStyle w:val="FootnoteReference"/>
          <w:rFonts w:ascii="Arial" w:hAnsi="Arial" w:cs="Arial"/>
        </w:rPr>
        <w:footnoteRef/>
      </w:r>
      <w:r w:rsidRPr="00130F4C">
        <w:rPr>
          <w:rFonts w:ascii="Arial" w:hAnsi="Arial" w:cs="Arial"/>
        </w:rPr>
        <w:t xml:space="preserve"> </w:t>
      </w:r>
      <w:r>
        <w:rPr>
          <w:rFonts w:ascii="Arial" w:hAnsi="Arial" w:cs="Arial"/>
        </w:rPr>
        <w:t xml:space="preserve">42 USC </w:t>
      </w:r>
      <w:proofErr w:type="gramStart"/>
      <w:r>
        <w:rPr>
          <w:rFonts w:ascii="Arial" w:hAnsi="Arial" w:cs="Arial"/>
        </w:rPr>
        <w:t>1396a(</w:t>
      </w:r>
      <w:proofErr w:type="gramEnd"/>
      <w:r>
        <w:rPr>
          <w:rFonts w:ascii="Arial" w:hAnsi="Arial" w:cs="Arial"/>
        </w:rPr>
        <w:t xml:space="preserve">a)(30)(A); </w:t>
      </w:r>
      <w:hyperlink r:id="rId1" w:tooltip="Final Access Rule" w:history="1">
        <w:r w:rsidRPr="00130F4C">
          <w:rPr>
            <w:rStyle w:val="Hyperlink"/>
            <w:rFonts w:ascii="Arial" w:hAnsi="Arial" w:cs="Arial"/>
          </w:rPr>
          <w:t>https://www.govinfo.gov/content/pkg/FR-2015-11-02/pdf/2015-27697.pdf</w:t>
        </w:r>
      </w:hyperlink>
      <w:r w:rsidRPr="00130F4C">
        <w:rPr>
          <w:rFonts w:ascii="Arial" w:hAnsi="Arial" w:cs="Arial"/>
        </w:rPr>
        <w:t>. Final Rule: Medicaid Program; Methods for Assuring Access to Covered Medicaid Services.</w:t>
      </w:r>
    </w:p>
  </w:footnote>
  <w:footnote w:id="2">
    <w:p w:rsidR="00E9301C" w:rsidRPr="00EB3C31" w:rsidRDefault="00E9301C" w:rsidP="006745F0">
      <w:pPr>
        <w:ind w:left="360" w:firstLine="0"/>
        <w:rPr>
          <w:rStyle w:val="Hyperlink"/>
          <w:rFonts w:ascii="Arial" w:hAnsi="Arial" w:cs="Arial"/>
          <w:sz w:val="20"/>
          <w:szCs w:val="20"/>
        </w:rPr>
      </w:pPr>
      <w:r w:rsidRPr="002B2ECC">
        <w:rPr>
          <w:rStyle w:val="FootnoteReference"/>
          <w:rFonts w:ascii="Arial" w:hAnsi="Arial" w:cs="Arial"/>
          <w:sz w:val="20"/>
          <w:szCs w:val="20"/>
        </w:rPr>
        <w:footnoteRef/>
      </w:r>
      <w:r w:rsidRPr="002B2ECC">
        <w:rPr>
          <w:rFonts w:ascii="Arial" w:hAnsi="Arial" w:cs="Arial"/>
          <w:sz w:val="20"/>
          <w:szCs w:val="20"/>
        </w:rPr>
        <w:t xml:space="preserve"> </w:t>
      </w:r>
      <w:r w:rsidRPr="002B2ECC">
        <w:rPr>
          <w:rFonts w:ascii="Arial" w:hAnsi="Arial" w:cs="Arial"/>
          <w:bCs/>
          <w:sz w:val="20"/>
          <w:szCs w:val="20"/>
        </w:rPr>
        <w:t>Massachusetts County Map with County Seat Cities</w:t>
      </w:r>
      <w:r w:rsidRPr="002B2ECC">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"https://geology.com/county-map/massachusetts.shtml" \o "Massachusetts County Map" </w:instrText>
      </w:r>
      <w:r>
        <w:rPr>
          <w:rFonts w:ascii="Arial" w:hAnsi="Arial" w:cs="Arial"/>
          <w:sz w:val="20"/>
          <w:szCs w:val="20"/>
        </w:rPr>
        <w:fldChar w:fldCharType="separate"/>
      </w:r>
      <w:r w:rsidRPr="00EB3C31">
        <w:rPr>
          <w:rStyle w:val="Hyperlink"/>
          <w:rFonts w:ascii="Arial" w:hAnsi="Arial" w:cs="Arial"/>
          <w:sz w:val="20"/>
          <w:szCs w:val="20"/>
        </w:rPr>
        <w:t>https://geology.com/county-map/massachusetts.shtml</w:t>
      </w:r>
    </w:p>
    <w:p w:rsidR="00E9301C" w:rsidRDefault="00E9301C" w:rsidP="00F057DF">
      <w:r>
        <w:fldChar w:fldCharType="end"/>
      </w:r>
    </w:p>
  </w:footnote>
  <w:footnote w:id="3">
    <w:p w:rsidR="00E9301C" w:rsidRPr="00F057DF" w:rsidRDefault="00E9301C" w:rsidP="00F057DF">
      <w:pPr>
        <w:rPr>
          <w:rFonts w:ascii="Arial" w:hAnsi="Arial" w:cs="Arial"/>
          <w:sz w:val="20"/>
          <w:szCs w:val="20"/>
        </w:rPr>
      </w:pPr>
      <w:r w:rsidRPr="00F057DF">
        <w:rPr>
          <w:rStyle w:val="FootnoteReference"/>
          <w:rFonts w:ascii="Arial" w:hAnsi="Arial" w:cs="Arial"/>
          <w:sz w:val="20"/>
          <w:szCs w:val="20"/>
        </w:rPr>
        <w:footnoteRef/>
      </w:r>
      <w:r w:rsidRPr="00F057DF">
        <w:rPr>
          <w:rFonts w:ascii="Arial" w:hAnsi="Arial" w:cs="Arial"/>
          <w:sz w:val="20"/>
          <w:szCs w:val="20"/>
        </w:rPr>
        <w:t xml:space="preserve"> </w:t>
      </w:r>
      <w:proofErr w:type="gramStart"/>
      <w:r w:rsidRPr="00F057DF">
        <w:rPr>
          <w:rFonts w:ascii="Arial" w:hAnsi="Arial" w:cs="Arial"/>
          <w:sz w:val="20"/>
          <w:szCs w:val="20"/>
        </w:rPr>
        <w:t>Includes FFS members, PCC Plan members and members enrolled in a Primary Care ACO.</w:t>
      </w:r>
      <w:proofErr w:type="gramEnd"/>
    </w:p>
    <w:p w:rsidR="00E9301C" w:rsidRDefault="00E9301C">
      <w:pPr>
        <w:pStyle w:val="FootnoteText"/>
      </w:pPr>
    </w:p>
  </w:footnote>
  <w:footnote w:id="4">
    <w:p w:rsidR="00E9301C" w:rsidRPr="00E4343A" w:rsidRDefault="00E9301C" w:rsidP="00E4343A">
      <w:pPr>
        <w:pStyle w:val="FootnoteText"/>
        <w:ind w:left="360" w:firstLine="0"/>
        <w:rPr>
          <w:rFonts w:ascii="Arial" w:hAnsi="Arial" w:cs="Arial"/>
        </w:rPr>
      </w:pPr>
      <w:r w:rsidRPr="00E4343A">
        <w:rPr>
          <w:rStyle w:val="FootnoteReference"/>
          <w:rFonts w:ascii="Arial" w:hAnsi="Arial" w:cs="Arial"/>
        </w:rPr>
        <w:footnoteRef/>
      </w:r>
      <w:r w:rsidRPr="00E4343A">
        <w:rPr>
          <w:rFonts w:ascii="Arial" w:hAnsi="Arial" w:cs="Arial"/>
        </w:rPr>
        <w:t xml:space="preserve"> For a provider to be considered actively billing, the provider is in an active pay status with </w:t>
      </w:r>
      <w:r>
        <w:rPr>
          <w:rFonts w:ascii="Arial" w:hAnsi="Arial" w:cs="Arial"/>
        </w:rPr>
        <w:t>MassHealth</w:t>
      </w:r>
      <w:r w:rsidRPr="00E4343A">
        <w:rPr>
          <w:rFonts w:ascii="Arial" w:hAnsi="Arial" w:cs="Arial"/>
        </w:rPr>
        <w:t xml:space="preserve"> and actively billing within the time period of the analysis</w:t>
      </w:r>
    </w:p>
  </w:footnote>
  <w:footnote w:id="5">
    <w:p w:rsidR="00E9301C" w:rsidRPr="00767099" w:rsidRDefault="00E9301C">
      <w:pPr>
        <w:pStyle w:val="FootnoteText"/>
        <w:rPr>
          <w:rFonts w:ascii="Arial" w:hAnsi="Arial" w:cs="Arial"/>
        </w:rPr>
      </w:pPr>
      <w:r w:rsidRPr="00767099">
        <w:rPr>
          <w:rStyle w:val="FootnoteReference"/>
          <w:rFonts w:ascii="Arial" w:hAnsi="Arial" w:cs="Arial"/>
        </w:rPr>
        <w:footnoteRef/>
      </w:r>
      <w:r w:rsidRPr="00767099">
        <w:rPr>
          <w:rFonts w:ascii="Arial" w:hAnsi="Arial" w:cs="Arial"/>
        </w:rPr>
        <w:t xml:space="preserve"> For purposes of the AMRP geographic access analysis, access is calculated for primary care physicians only.</w:t>
      </w:r>
    </w:p>
  </w:footnote>
  <w:footnote w:id="6">
    <w:p w:rsidR="00E9301C" w:rsidRPr="002B2ECC" w:rsidRDefault="00E9301C" w:rsidP="004C1607">
      <w:pPr>
        <w:pStyle w:val="CommentText"/>
        <w:ind w:firstLine="0"/>
        <w:rPr>
          <w:rFonts w:ascii="Arial" w:hAnsi="Arial" w:cs="Arial"/>
        </w:rPr>
      </w:pPr>
      <w:r w:rsidRPr="002B2ECC">
        <w:rPr>
          <w:rStyle w:val="FootnoteReference"/>
          <w:rFonts w:ascii="Arial" w:hAnsi="Arial" w:cs="Arial"/>
        </w:rPr>
        <w:footnoteRef/>
      </w:r>
      <w:r w:rsidRPr="002B2ECC">
        <w:rPr>
          <w:rFonts w:ascii="Arial" w:hAnsi="Arial" w:cs="Arial"/>
        </w:rPr>
        <w:t xml:space="preserve"> American Dental Association Health Policy Institute FAQ found at </w:t>
      </w:r>
      <w:hyperlink r:id="rId2" w:tooltip="American Dental Association Health Policy Institute FAQ " w:history="1">
        <w:r w:rsidRPr="002B2ECC">
          <w:rPr>
            <w:rStyle w:val="Hyperlink"/>
            <w:rFonts w:ascii="Arial" w:hAnsi="Arial" w:cs="Arial"/>
          </w:rPr>
          <w:t>https://www.ada.org/en/science-research/health-policy-institute/dental-statistics/patients</w:t>
        </w:r>
      </w:hyperlink>
      <w:r w:rsidRPr="002B2ECC">
        <w:rPr>
          <w:rFonts w:ascii="Arial" w:hAnsi="Arial" w:cs="Arial"/>
        </w:rPr>
        <w:t xml:space="preserve">. </w:t>
      </w:r>
      <w:proofErr w:type="gramStart"/>
      <w:r w:rsidRPr="002B2ECC">
        <w:rPr>
          <w:rFonts w:ascii="Arial" w:hAnsi="Arial" w:cs="Arial"/>
        </w:rPr>
        <w:t>Accessed on June 4, 2019.</w:t>
      </w:r>
      <w:proofErr w:type="gramEnd"/>
    </w:p>
    <w:p w:rsidR="00E9301C" w:rsidRDefault="00E9301C">
      <w:pPr>
        <w:pStyle w:val="FootnoteText"/>
      </w:pPr>
    </w:p>
  </w:footnote>
  <w:footnote w:id="7">
    <w:p w:rsidR="00E9301C" w:rsidRPr="0042629D" w:rsidRDefault="00E9301C" w:rsidP="009E6464">
      <w:pPr>
        <w:pStyle w:val="FootnoteText"/>
        <w:rPr>
          <w:rFonts w:ascii="Arial" w:hAnsi="Arial" w:cs="Arial"/>
        </w:rPr>
      </w:pPr>
      <w:r>
        <w:rPr>
          <w:rStyle w:val="FootnoteReference"/>
        </w:rPr>
        <w:footnoteRef/>
      </w:r>
      <w:r>
        <w:t xml:space="preserve"> </w:t>
      </w:r>
      <w:r w:rsidRPr="001B12FB">
        <w:rPr>
          <w:rFonts w:ascii="Arial" w:hAnsi="Arial" w:cs="Arial"/>
        </w:rPr>
        <w:t xml:space="preserve">Key Differences in Dental Care Seeking Behavior between Medicaid and Non-Medicaid Adults and Children,” ADA Health Policy Institute, September </w:t>
      </w:r>
      <w:r w:rsidRPr="0042629D">
        <w:rPr>
          <w:rFonts w:ascii="Arial" w:hAnsi="Arial" w:cs="Arial"/>
        </w:rPr>
        <w:t>2014</w:t>
      </w:r>
      <w:r>
        <w:rPr>
          <w:rFonts w:ascii="Arial" w:hAnsi="Arial" w:cs="Arial"/>
        </w:rPr>
        <w:t xml:space="preserve"> at 1, footnote 6,</w:t>
      </w:r>
      <w:r w:rsidRPr="0042629D">
        <w:rPr>
          <w:rFonts w:ascii="Arial" w:hAnsi="Arial" w:cs="Arial"/>
        </w:rPr>
        <w:t xml:space="preserve"> </w:t>
      </w:r>
      <w:r w:rsidRPr="0042629D">
        <w:rPr>
          <w:rFonts w:ascii="Arial" w:hAnsi="Arial" w:cs="Arial"/>
          <w:i/>
          <w:u w:val="single"/>
        </w:rPr>
        <w:t>c</w:t>
      </w:r>
      <w:r w:rsidRPr="0042629D">
        <w:rPr>
          <w:rFonts w:ascii="Arial" w:hAnsi="Arial" w:cs="Arial"/>
          <w:i/>
        </w:rPr>
        <w:t>iting</w:t>
      </w:r>
      <w:r w:rsidRPr="0042629D">
        <w:rPr>
          <w:rFonts w:ascii="Arial" w:hAnsi="Arial" w:cs="Arial"/>
        </w:rPr>
        <w:t xml:space="preserve"> </w:t>
      </w:r>
      <w:r>
        <w:rPr>
          <w:rFonts w:ascii="Arial" w:hAnsi="Arial" w:cs="Arial"/>
        </w:rPr>
        <w:t>“</w:t>
      </w:r>
      <w:r w:rsidRPr="00F3201B">
        <w:rPr>
          <w:rFonts w:ascii="Arial" w:hAnsi="Arial" w:cs="Arial"/>
        </w:rPr>
        <w:t>Periodicity of Examination, Preventive Dental Services, Anticipatory Guidance/Counseling, and Oral Treatment for Infants, Children, and Adolescents</w:t>
      </w:r>
      <w:r>
        <w:rPr>
          <w:rFonts w:ascii="Arial" w:hAnsi="Arial" w:cs="Arial"/>
        </w:rPr>
        <w:t>,”</w:t>
      </w:r>
      <w:r w:rsidRPr="00F3201B">
        <w:rPr>
          <w:rFonts w:ascii="Arial" w:hAnsi="Arial" w:cs="Arial"/>
        </w:rPr>
        <w:t xml:space="preserve"> </w:t>
      </w:r>
      <w:hyperlink r:id="rId3" w:tooltip="American Academy Pediatric Dentistry" w:history="1">
        <w:r w:rsidRPr="00946D45">
          <w:rPr>
            <w:rStyle w:val="Hyperlink"/>
            <w:rFonts w:ascii="Arial" w:hAnsi="Arial" w:cs="Arial"/>
          </w:rPr>
          <w:t>https://www.aapd.org/globalassets/media/policies_guidelines/bp_periodicity.pdf</w:t>
        </w:r>
      </w:hyperlink>
      <w:r>
        <w:rPr>
          <w:rFonts w:ascii="Arial" w:hAnsi="Arial" w:cs="Arial"/>
        </w:rPr>
        <w:t xml:space="preserve"> (latest revision 2018).</w:t>
      </w:r>
    </w:p>
    <w:p w:rsidR="00E9301C" w:rsidRDefault="00E9301C">
      <w:pPr>
        <w:pStyle w:val="FootnoteText"/>
      </w:pPr>
    </w:p>
  </w:footnote>
  <w:footnote w:id="8">
    <w:p w:rsidR="00E9301C" w:rsidRPr="00BA2C64" w:rsidRDefault="00E9301C">
      <w:pPr>
        <w:pStyle w:val="FootnoteText"/>
        <w:rPr>
          <w:rFonts w:ascii="Arial" w:hAnsi="Arial" w:cs="Arial"/>
        </w:rPr>
      </w:pPr>
      <w:r w:rsidRPr="00BA2C64">
        <w:rPr>
          <w:rStyle w:val="FootnoteReference"/>
          <w:rFonts w:ascii="Arial" w:hAnsi="Arial" w:cs="Arial"/>
        </w:rPr>
        <w:footnoteRef/>
      </w:r>
      <w:r w:rsidRPr="00BA2C64">
        <w:rPr>
          <w:rFonts w:ascii="Arial" w:hAnsi="Arial" w:cs="Arial"/>
        </w:rPr>
        <w:t xml:space="preserve">   “American Dental Association Statement on Regular Dental Visits,” June 10, 2013</w:t>
      </w:r>
    </w:p>
  </w:footnote>
  <w:footnote w:id="9">
    <w:p w:rsidR="00E9301C" w:rsidRDefault="00E9301C">
      <w:pPr>
        <w:pStyle w:val="FootnoteText"/>
      </w:pPr>
      <w:r>
        <w:rPr>
          <w:rStyle w:val="FootnoteReference"/>
        </w:rPr>
        <w:footnoteRef/>
      </w:r>
      <w:r>
        <w:t xml:space="preserve"> </w:t>
      </w:r>
      <w:r w:rsidRPr="000D3D06">
        <w:rPr>
          <w:rFonts w:ascii="Arial" w:hAnsi="Arial" w:cs="Arial"/>
        </w:rPr>
        <w:t>Perinatal includes pre- and post-natal obstetric services, including labor and delivery.</w:t>
      </w:r>
    </w:p>
  </w:footnote>
  <w:footnote w:id="10">
    <w:p w:rsidR="00E9301C" w:rsidRPr="001C7495" w:rsidRDefault="00E9301C" w:rsidP="00481E15">
      <w:pPr>
        <w:pStyle w:val="FootnoteText"/>
        <w:ind w:firstLine="0"/>
        <w:rPr>
          <w:rFonts w:ascii="Arial" w:hAnsi="Arial" w:cs="Arial"/>
        </w:rPr>
      </w:pPr>
      <w:r>
        <w:rPr>
          <w:rStyle w:val="FootnoteReference"/>
        </w:rPr>
        <w:footnoteRef/>
      </w:r>
      <w:r w:rsidRPr="001C7495">
        <w:rPr>
          <w:rFonts w:ascii="Arial" w:hAnsi="Arial" w:cs="Arial"/>
        </w:rPr>
        <w:t xml:space="preserve"> MassHealth changed the skilled nursing services pricing methodolog</w:t>
      </w:r>
      <w:r>
        <w:rPr>
          <w:rFonts w:ascii="Arial" w:hAnsi="Arial" w:cs="Arial"/>
        </w:rPr>
        <w:t xml:space="preserve">y in July 2017. </w:t>
      </w:r>
      <w:r w:rsidRPr="001C7495">
        <w:rPr>
          <w:rFonts w:ascii="Arial" w:hAnsi="Arial" w:cs="Arial"/>
        </w:rPr>
        <w:t>Prior to July 2017, skilled nursing services provided within 1-60 days of a member’s home health start of care was reimbursed by procedure codes G0299 (RN) or G0300 (LPN), with a reduced rate reimbursed on days 61+ with the modifier UD.  As of July 2017, skilled nursing services were reimbursed with procedure codes G0299 and G0300 for services provided within 1-30 days of a member’s home health start of care, with a reduced rate reimbursed on days 31+ with the modifier UD+.</w:t>
      </w:r>
    </w:p>
  </w:footnote>
  <w:footnote w:id="11">
    <w:p w:rsidR="00E9301C" w:rsidRDefault="00E9301C" w:rsidP="00481E15">
      <w:pPr>
        <w:pStyle w:val="FootnoteText"/>
        <w:ind w:firstLine="0"/>
      </w:pPr>
      <w:r w:rsidRPr="001C7495">
        <w:rPr>
          <w:rStyle w:val="FootnoteReference"/>
          <w:rFonts w:ascii="Arial" w:hAnsi="Arial" w:cs="Arial"/>
        </w:rPr>
        <w:footnoteRef/>
      </w:r>
      <w:r w:rsidRPr="001C7495">
        <w:rPr>
          <w:rFonts w:ascii="Arial" w:hAnsi="Arial" w:cs="Arial"/>
        </w:rPr>
        <w:t xml:space="preserve"> See footnote 5.</w:t>
      </w:r>
    </w:p>
  </w:footnote>
  <w:footnote w:id="12">
    <w:p w:rsidR="00E9301C" w:rsidRPr="001C7495" w:rsidRDefault="00E9301C" w:rsidP="00481E15">
      <w:pPr>
        <w:pStyle w:val="FootnoteText"/>
        <w:ind w:firstLine="0"/>
        <w:rPr>
          <w:rFonts w:ascii="Arial" w:hAnsi="Arial" w:cs="Arial"/>
        </w:rPr>
      </w:pPr>
      <w:r w:rsidRPr="001C7495">
        <w:rPr>
          <w:rStyle w:val="FootnoteReference"/>
          <w:rFonts w:ascii="Arial" w:hAnsi="Arial" w:cs="Arial"/>
        </w:rPr>
        <w:footnoteRef/>
      </w:r>
      <w:r w:rsidRPr="001C7495">
        <w:rPr>
          <w:rFonts w:ascii="Arial" w:hAnsi="Arial" w:cs="Arial"/>
        </w:rPr>
        <w:t xml:space="preserve"> Procedure Code G0154: Services for Skilled Nursing in a home health setting was ret</w:t>
      </w:r>
      <w:r>
        <w:rPr>
          <w:rFonts w:ascii="Arial" w:hAnsi="Arial" w:cs="Arial"/>
        </w:rPr>
        <w:t>ired by CMS December 31, 2016.</w:t>
      </w:r>
      <w:r w:rsidRPr="001C7495">
        <w:rPr>
          <w:rFonts w:ascii="Arial" w:hAnsi="Arial" w:cs="Arial"/>
        </w:rPr>
        <w:t xml:space="preserve">For </w:t>
      </w:r>
      <w:proofErr w:type="gramStart"/>
      <w:r w:rsidRPr="001C7495">
        <w:rPr>
          <w:rFonts w:ascii="Arial" w:hAnsi="Arial" w:cs="Arial"/>
        </w:rPr>
        <w:t>Skilled</w:t>
      </w:r>
      <w:proofErr w:type="gramEnd"/>
      <w:r w:rsidRPr="001C7495">
        <w:rPr>
          <w:rFonts w:ascii="Arial" w:hAnsi="Arial" w:cs="Arial"/>
        </w:rPr>
        <w:t xml:space="preserve"> nursing utilization after this date, please refer to procedure codes G0299 and G0300</w:t>
      </w:r>
      <w:r>
        <w:rPr>
          <w:rFonts w:ascii="Arial" w:hAnsi="Arial" w:cs="Arial"/>
        </w:rPr>
        <w:t>.</w:t>
      </w:r>
    </w:p>
  </w:footnote>
  <w:footnote w:id="13">
    <w:p w:rsidR="00E9301C" w:rsidRDefault="00E9301C" w:rsidP="00481E15">
      <w:pPr>
        <w:pStyle w:val="FootnoteText"/>
        <w:ind w:firstLine="0"/>
      </w:pPr>
      <w:r w:rsidRPr="001C7495">
        <w:rPr>
          <w:rStyle w:val="FootnoteReference"/>
          <w:rFonts w:ascii="Arial" w:hAnsi="Arial" w:cs="Arial"/>
        </w:rPr>
        <w:footnoteRef/>
      </w:r>
      <w:r w:rsidRPr="001C7495">
        <w:rPr>
          <w:rFonts w:ascii="Arial" w:hAnsi="Arial" w:cs="Arial"/>
        </w:rPr>
        <w:t xml:space="preserve"> Procedure codes T1502 and T1503 were implemented by MassHealth in July 2017, hence the absence of utilization in SFY16 and SFY17.</w:t>
      </w:r>
    </w:p>
  </w:footnote>
  <w:footnote w:id="14">
    <w:p w:rsidR="00E9301C" w:rsidRPr="00F057DF" w:rsidRDefault="00E9301C" w:rsidP="00C477B7">
      <w:pPr>
        <w:pStyle w:val="NoSpacing"/>
        <w:tabs>
          <w:tab w:val="left" w:pos="90"/>
        </w:tabs>
        <w:ind w:left="360" w:firstLine="0"/>
        <w:rPr>
          <w:rFonts w:ascii="Arial" w:hAnsi="Arial" w:cs="Arial"/>
          <w:sz w:val="20"/>
        </w:rPr>
      </w:pPr>
      <w:r w:rsidRPr="000C13F3">
        <w:rPr>
          <w:rStyle w:val="FootnoteReference"/>
          <w:rFonts w:ascii="Arial" w:hAnsi="Arial" w:cs="Arial"/>
          <w:sz w:val="20"/>
        </w:rPr>
        <w:footnoteRef/>
      </w:r>
      <w:r w:rsidRPr="000C13F3">
        <w:rPr>
          <w:rFonts w:ascii="Arial" w:hAnsi="Arial" w:cs="Arial"/>
          <w:sz w:val="20"/>
          <w:vertAlign w:val="superscript"/>
        </w:rPr>
        <w:t xml:space="preserve"> </w:t>
      </w:r>
      <w:r w:rsidRPr="00F057DF">
        <w:rPr>
          <w:rFonts w:ascii="Arial" w:hAnsi="Arial" w:cs="Arial"/>
          <w:sz w:val="20"/>
        </w:rPr>
        <w:t xml:space="preserve">MassHealth: The Basics Facts and Trends prepared by the Center for Health Law and Economics, </w:t>
      </w:r>
      <w:hyperlink r:id="rId4" w:tooltip="MassHealth Basic Facts and Trends" w:history="1">
        <w:r w:rsidRPr="001355AC">
          <w:rPr>
            <w:rStyle w:val="Hyperlink"/>
            <w:rFonts w:ascii="Arial" w:hAnsi="Arial" w:cs="Arial"/>
            <w:sz w:val="20"/>
          </w:rPr>
          <w:t>https://bluecrossmafoundation.org/sites/default/files/download/publication/MassHealthBasics_Chartpack_v11_10-22-18update_Final%202017.pdf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1C" w:rsidRDefault="00E9301C" w:rsidP="00286FAE">
    <w:pPr>
      <w:pStyle w:val="Header"/>
      <w:ind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1C" w:rsidRDefault="00E9301C" w:rsidP="00B50D7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732D"/>
    <w:multiLevelType w:val="hybridMultilevel"/>
    <w:tmpl w:val="C7185F7E"/>
    <w:lvl w:ilvl="0" w:tplc="CF86CAAA">
      <w:start w:val="1"/>
      <w:numFmt w:val="bullet"/>
      <w:lvlText w:val="•"/>
      <w:lvlJc w:val="left"/>
      <w:pPr>
        <w:tabs>
          <w:tab w:val="num" w:pos="720"/>
        </w:tabs>
        <w:ind w:left="720" w:hanging="360"/>
      </w:pPr>
      <w:rPr>
        <w:rFonts w:ascii="Arial" w:hAnsi="Arial" w:hint="default"/>
      </w:rPr>
    </w:lvl>
    <w:lvl w:ilvl="1" w:tplc="608EAFF8" w:tentative="1">
      <w:start w:val="1"/>
      <w:numFmt w:val="bullet"/>
      <w:lvlText w:val="•"/>
      <w:lvlJc w:val="left"/>
      <w:pPr>
        <w:tabs>
          <w:tab w:val="num" w:pos="1440"/>
        </w:tabs>
        <w:ind w:left="1440" w:hanging="360"/>
      </w:pPr>
      <w:rPr>
        <w:rFonts w:ascii="Arial" w:hAnsi="Arial" w:hint="default"/>
      </w:rPr>
    </w:lvl>
    <w:lvl w:ilvl="2" w:tplc="4E2EB494" w:tentative="1">
      <w:start w:val="1"/>
      <w:numFmt w:val="bullet"/>
      <w:lvlText w:val="•"/>
      <w:lvlJc w:val="left"/>
      <w:pPr>
        <w:tabs>
          <w:tab w:val="num" w:pos="2160"/>
        </w:tabs>
        <w:ind w:left="2160" w:hanging="360"/>
      </w:pPr>
      <w:rPr>
        <w:rFonts w:ascii="Arial" w:hAnsi="Arial" w:hint="default"/>
      </w:rPr>
    </w:lvl>
    <w:lvl w:ilvl="3" w:tplc="29724E00" w:tentative="1">
      <w:start w:val="1"/>
      <w:numFmt w:val="bullet"/>
      <w:lvlText w:val="•"/>
      <w:lvlJc w:val="left"/>
      <w:pPr>
        <w:tabs>
          <w:tab w:val="num" w:pos="2880"/>
        </w:tabs>
        <w:ind w:left="2880" w:hanging="360"/>
      </w:pPr>
      <w:rPr>
        <w:rFonts w:ascii="Arial" w:hAnsi="Arial" w:hint="default"/>
      </w:rPr>
    </w:lvl>
    <w:lvl w:ilvl="4" w:tplc="E3C82ACA" w:tentative="1">
      <w:start w:val="1"/>
      <w:numFmt w:val="bullet"/>
      <w:lvlText w:val="•"/>
      <w:lvlJc w:val="left"/>
      <w:pPr>
        <w:tabs>
          <w:tab w:val="num" w:pos="3600"/>
        </w:tabs>
        <w:ind w:left="3600" w:hanging="360"/>
      </w:pPr>
      <w:rPr>
        <w:rFonts w:ascii="Arial" w:hAnsi="Arial" w:hint="default"/>
      </w:rPr>
    </w:lvl>
    <w:lvl w:ilvl="5" w:tplc="DC26413A" w:tentative="1">
      <w:start w:val="1"/>
      <w:numFmt w:val="bullet"/>
      <w:lvlText w:val="•"/>
      <w:lvlJc w:val="left"/>
      <w:pPr>
        <w:tabs>
          <w:tab w:val="num" w:pos="4320"/>
        </w:tabs>
        <w:ind w:left="4320" w:hanging="360"/>
      </w:pPr>
      <w:rPr>
        <w:rFonts w:ascii="Arial" w:hAnsi="Arial" w:hint="default"/>
      </w:rPr>
    </w:lvl>
    <w:lvl w:ilvl="6" w:tplc="C7103DA6" w:tentative="1">
      <w:start w:val="1"/>
      <w:numFmt w:val="bullet"/>
      <w:lvlText w:val="•"/>
      <w:lvlJc w:val="left"/>
      <w:pPr>
        <w:tabs>
          <w:tab w:val="num" w:pos="5040"/>
        </w:tabs>
        <w:ind w:left="5040" w:hanging="360"/>
      </w:pPr>
      <w:rPr>
        <w:rFonts w:ascii="Arial" w:hAnsi="Arial" w:hint="default"/>
      </w:rPr>
    </w:lvl>
    <w:lvl w:ilvl="7" w:tplc="7452F43E" w:tentative="1">
      <w:start w:val="1"/>
      <w:numFmt w:val="bullet"/>
      <w:lvlText w:val="•"/>
      <w:lvlJc w:val="left"/>
      <w:pPr>
        <w:tabs>
          <w:tab w:val="num" w:pos="5760"/>
        </w:tabs>
        <w:ind w:left="5760" w:hanging="360"/>
      </w:pPr>
      <w:rPr>
        <w:rFonts w:ascii="Arial" w:hAnsi="Arial" w:hint="default"/>
      </w:rPr>
    </w:lvl>
    <w:lvl w:ilvl="8" w:tplc="8F2E45BC" w:tentative="1">
      <w:start w:val="1"/>
      <w:numFmt w:val="bullet"/>
      <w:lvlText w:val="•"/>
      <w:lvlJc w:val="left"/>
      <w:pPr>
        <w:tabs>
          <w:tab w:val="num" w:pos="6480"/>
        </w:tabs>
        <w:ind w:left="6480" w:hanging="360"/>
      </w:pPr>
      <w:rPr>
        <w:rFonts w:ascii="Arial" w:hAnsi="Arial" w:hint="default"/>
      </w:rPr>
    </w:lvl>
  </w:abstractNum>
  <w:abstractNum w:abstractNumId="1">
    <w:nsid w:val="091935A8"/>
    <w:multiLevelType w:val="hybridMultilevel"/>
    <w:tmpl w:val="5F0A5626"/>
    <w:lvl w:ilvl="0" w:tplc="9D1CAAA0">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9552842"/>
    <w:multiLevelType w:val="multilevel"/>
    <w:tmpl w:val="71D6B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C5F4071"/>
    <w:multiLevelType w:val="hybridMultilevel"/>
    <w:tmpl w:val="C96C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607F6"/>
    <w:multiLevelType w:val="hybridMultilevel"/>
    <w:tmpl w:val="0BEE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E0D6A"/>
    <w:multiLevelType w:val="hybridMultilevel"/>
    <w:tmpl w:val="3CAE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8EF2E7E"/>
    <w:multiLevelType w:val="hybridMultilevel"/>
    <w:tmpl w:val="B246B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9B27BD5"/>
    <w:multiLevelType w:val="hybridMultilevel"/>
    <w:tmpl w:val="05D05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A16CD"/>
    <w:multiLevelType w:val="hybridMultilevel"/>
    <w:tmpl w:val="CE900B50"/>
    <w:lvl w:ilvl="0" w:tplc="1480BD0A">
      <w:start w:val="201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15837"/>
    <w:multiLevelType w:val="hybridMultilevel"/>
    <w:tmpl w:val="3440E4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F037C"/>
    <w:multiLevelType w:val="hybridMultilevel"/>
    <w:tmpl w:val="D5D0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A4E46"/>
    <w:multiLevelType w:val="hybridMultilevel"/>
    <w:tmpl w:val="0DF2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86F16"/>
    <w:multiLevelType w:val="hybridMultilevel"/>
    <w:tmpl w:val="CCC6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C7843"/>
    <w:multiLevelType w:val="hybridMultilevel"/>
    <w:tmpl w:val="B036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DE1DFC"/>
    <w:multiLevelType w:val="hybridMultilevel"/>
    <w:tmpl w:val="4B64B26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5">
    <w:nsid w:val="2846449A"/>
    <w:multiLevelType w:val="hybridMultilevel"/>
    <w:tmpl w:val="22FEBB30"/>
    <w:lvl w:ilvl="0" w:tplc="EA707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6F0DF1"/>
    <w:multiLevelType w:val="hybridMultilevel"/>
    <w:tmpl w:val="EC20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005468"/>
    <w:multiLevelType w:val="hybridMultilevel"/>
    <w:tmpl w:val="BDBA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67409B"/>
    <w:multiLevelType w:val="multilevel"/>
    <w:tmpl w:val="8FA43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41E309D"/>
    <w:multiLevelType w:val="hybridMultilevel"/>
    <w:tmpl w:val="B088BDD6"/>
    <w:lvl w:ilvl="0" w:tplc="9452A6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107D44"/>
    <w:multiLevelType w:val="hybridMultilevel"/>
    <w:tmpl w:val="41E20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1B91C00"/>
    <w:multiLevelType w:val="hybridMultilevel"/>
    <w:tmpl w:val="246CA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21C5D70"/>
    <w:multiLevelType w:val="hybridMultilevel"/>
    <w:tmpl w:val="D7E8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052B91"/>
    <w:multiLevelType w:val="hybridMultilevel"/>
    <w:tmpl w:val="E15C3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D73D3F"/>
    <w:multiLevelType w:val="hybridMultilevel"/>
    <w:tmpl w:val="D2582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81D45B1"/>
    <w:multiLevelType w:val="hybridMultilevel"/>
    <w:tmpl w:val="F91EA718"/>
    <w:lvl w:ilvl="0" w:tplc="4EB8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B51653"/>
    <w:multiLevelType w:val="hybridMultilevel"/>
    <w:tmpl w:val="8202F82C"/>
    <w:lvl w:ilvl="0" w:tplc="A1329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C83B0C"/>
    <w:multiLevelType w:val="hybridMultilevel"/>
    <w:tmpl w:val="DF381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7D7DF1"/>
    <w:multiLevelType w:val="hybridMultilevel"/>
    <w:tmpl w:val="96FA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3019B9"/>
    <w:multiLevelType w:val="hybridMultilevel"/>
    <w:tmpl w:val="AA028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F9229C"/>
    <w:multiLevelType w:val="hybridMultilevel"/>
    <w:tmpl w:val="3D38E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DB7496"/>
    <w:multiLevelType w:val="hybridMultilevel"/>
    <w:tmpl w:val="E6A0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8A1D7C"/>
    <w:multiLevelType w:val="hybridMultilevel"/>
    <w:tmpl w:val="8FE6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C46246"/>
    <w:multiLevelType w:val="hybridMultilevel"/>
    <w:tmpl w:val="D70C6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19E13CD"/>
    <w:multiLevelType w:val="hybridMultilevel"/>
    <w:tmpl w:val="867EF4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FD30CF"/>
    <w:multiLevelType w:val="hybridMultilevel"/>
    <w:tmpl w:val="7050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CC55364"/>
    <w:multiLevelType w:val="hybridMultilevel"/>
    <w:tmpl w:val="8064F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9"/>
  </w:num>
  <w:num w:numId="3">
    <w:abstractNumId w:val="1"/>
  </w:num>
  <w:num w:numId="4">
    <w:abstractNumId w:val="15"/>
  </w:num>
  <w:num w:numId="5">
    <w:abstractNumId w:val="26"/>
  </w:num>
  <w:num w:numId="6">
    <w:abstractNumId w:val="25"/>
  </w:num>
  <w:num w:numId="7">
    <w:abstractNumId w:val="34"/>
  </w:num>
  <w:num w:numId="8">
    <w:abstractNumId w:val="9"/>
  </w:num>
  <w:num w:numId="9">
    <w:abstractNumId w:val="7"/>
  </w:num>
  <w:num w:numId="10">
    <w:abstractNumId w:val="21"/>
  </w:num>
  <w:num w:numId="11">
    <w:abstractNumId w:val="31"/>
  </w:num>
  <w:num w:numId="12">
    <w:abstractNumId w:val="27"/>
  </w:num>
  <w:num w:numId="13">
    <w:abstractNumId w:val="23"/>
  </w:num>
  <w:num w:numId="14">
    <w:abstractNumId w:val="17"/>
  </w:num>
  <w:num w:numId="15">
    <w:abstractNumId w:val="5"/>
  </w:num>
  <w:num w:numId="16">
    <w:abstractNumId w:val="22"/>
  </w:num>
  <w:num w:numId="17">
    <w:abstractNumId w:val="24"/>
  </w:num>
  <w:num w:numId="18">
    <w:abstractNumId w:val="6"/>
  </w:num>
  <w:num w:numId="19">
    <w:abstractNumId w:val="33"/>
  </w:num>
  <w:num w:numId="20">
    <w:abstractNumId w:val="30"/>
  </w:num>
  <w:num w:numId="21">
    <w:abstractNumId w:val="12"/>
  </w:num>
  <w:num w:numId="22">
    <w:abstractNumId w:val="20"/>
  </w:num>
  <w:num w:numId="23">
    <w:abstractNumId w:val="13"/>
  </w:num>
  <w:num w:numId="24">
    <w:abstractNumId w:val="29"/>
  </w:num>
  <w:num w:numId="25">
    <w:abstractNumId w:val="18"/>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0"/>
  </w:num>
  <w:num w:numId="29">
    <w:abstractNumId w:val="0"/>
  </w:num>
  <w:num w:numId="30">
    <w:abstractNumId w:val="4"/>
  </w:num>
  <w:num w:numId="31">
    <w:abstractNumId w:val="11"/>
  </w:num>
  <w:num w:numId="32">
    <w:abstractNumId w:val="16"/>
  </w:num>
  <w:num w:numId="33">
    <w:abstractNumId w:val="32"/>
  </w:num>
  <w:num w:numId="34">
    <w:abstractNumId w:val="35"/>
  </w:num>
  <w:num w:numId="35">
    <w:abstractNumId w:val="36"/>
  </w:num>
  <w:num w:numId="36">
    <w:abstractNumId w:val="8"/>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dy machera">
    <w15:presenceInfo w15:providerId="Windows Live" w15:userId="7162c6e4393b88d8"/>
  </w15:person>
  <w15:person w15:author="Joan Bennett">
    <w15:presenceInfo w15:providerId="Windows Live" w15:userId="317530eef1489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2B"/>
    <w:rsid w:val="00000223"/>
    <w:rsid w:val="00002788"/>
    <w:rsid w:val="000028BC"/>
    <w:rsid w:val="00002B56"/>
    <w:rsid w:val="00002E3C"/>
    <w:rsid w:val="00003250"/>
    <w:rsid w:val="00003969"/>
    <w:rsid w:val="00004022"/>
    <w:rsid w:val="00004563"/>
    <w:rsid w:val="000052EF"/>
    <w:rsid w:val="00005858"/>
    <w:rsid w:val="000069E1"/>
    <w:rsid w:val="00006CE5"/>
    <w:rsid w:val="00006D8E"/>
    <w:rsid w:val="00007568"/>
    <w:rsid w:val="00007671"/>
    <w:rsid w:val="00007A27"/>
    <w:rsid w:val="00007C59"/>
    <w:rsid w:val="00011069"/>
    <w:rsid w:val="000114FE"/>
    <w:rsid w:val="00013EE5"/>
    <w:rsid w:val="0001554A"/>
    <w:rsid w:val="000160F7"/>
    <w:rsid w:val="0001777E"/>
    <w:rsid w:val="00017AFB"/>
    <w:rsid w:val="000202B9"/>
    <w:rsid w:val="000202C9"/>
    <w:rsid w:val="00021BE2"/>
    <w:rsid w:val="00022BFD"/>
    <w:rsid w:val="0002460F"/>
    <w:rsid w:val="00024CC9"/>
    <w:rsid w:val="00024F15"/>
    <w:rsid w:val="00025623"/>
    <w:rsid w:val="00025F35"/>
    <w:rsid w:val="00026CF1"/>
    <w:rsid w:val="00027252"/>
    <w:rsid w:val="00027BF5"/>
    <w:rsid w:val="000302D7"/>
    <w:rsid w:val="0003088E"/>
    <w:rsid w:val="00030CF6"/>
    <w:rsid w:val="00031D82"/>
    <w:rsid w:val="00032C9F"/>
    <w:rsid w:val="000362AC"/>
    <w:rsid w:val="000409DC"/>
    <w:rsid w:val="00040E7E"/>
    <w:rsid w:val="00041291"/>
    <w:rsid w:val="00041F3C"/>
    <w:rsid w:val="00042004"/>
    <w:rsid w:val="00043183"/>
    <w:rsid w:val="000444E4"/>
    <w:rsid w:val="000462FC"/>
    <w:rsid w:val="00046C80"/>
    <w:rsid w:val="00047093"/>
    <w:rsid w:val="00047357"/>
    <w:rsid w:val="0004746E"/>
    <w:rsid w:val="00051D79"/>
    <w:rsid w:val="0005207A"/>
    <w:rsid w:val="00052ADA"/>
    <w:rsid w:val="00052CAB"/>
    <w:rsid w:val="000541D0"/>
    <w:rsid w:val="0005559E"/>
    <w:rsid w:val="00056645"/>
    <w:rsid w:val="0005671C"/>
    <w:rsid w:val="00056AC7"/>
    <w:rsid w:val="00056E8D"/>
    <w:rsid w:val="0005724C"/>
    <w:rsid w:val="000573D1"/>
    <w:rsid w:val="00060134"/>
    <w:rsid w:val="00060ABF"/>
    <w:rsid w:val="00062B90"/>
    <w:rsid w:val="00064B26"/>
    <w:rsid w:val="00065204"/>
    <w:rsid w:val="00065F27"/>
    <w:rsid w:val="0006606C"/>
    <w:rsid w:val="00066374"/>
    <w:rsid w:val="00066C4C"/>
    <w:rsid w:val="00066C84"/>
    <w:rsid w:val="00066E6F"/>
    <w:rsid w:val="00067948"/>
    <w:rsid w:val="00070911"/>
    <w:rsid w:val="000715CA"/>
    <w:rsid w:val="00071A27"/>
    <w:rsid w:val="00071A4F"/>
    <w:rsid w:val="0007259C"/>
    <w:rsid w:val="00072C36"/>
    <w:rsid w:val="00074070"/>
    <w:rsid w:val="00074467"/>
    <w:rsid w:val="000749A8"/>
    <w:rsid w:val="000756BD"/>
    <w:rsid w:val="000761B9"/>
    <w:rsid w:val="0007635E"/>
    <w:rsid w:val="00077296"/>
    <w:rsid w:val="00077C3C"/>
    <w:rsid w:val="00077D68"/>
    <w:rsid w:val="0008032B"/>
    <w:rsid w:val="000823C5"/>
    <w:rsid w:val="0008241E"/>
    <w:rsid w:val="00082DEC"/>
    <w:rsid w:val="00083865"/>
    <w:rsid w:val="00083BA7"/>
    <w:rsid w:val="00083BD3"/>
    <w:rsid w:val="00084103"/>
    <w:rsid w:val="0008548E"/>
    <w:rsid w:val="00086203"/>
    <w:rsid w:val="0008669A"/>
    <w:rsid w:val="00086B58"/>
    <w:rsid w:val="00087C7F"/>
    <w:rsid w:val="000913EB"/>
    <w:rsid w:val="00091D99"/>
    <w:rsid w:val="000920A0"/>
    <w:rsid w:val="000922D8"/>
    <w:rsid w:val="00092341"/>
    <w:rsid w:val="00097B19"/>
    <w:rsid w:val="000A0086"/>
    <w:rsid w:val="000A0E85"/>
    <w:rsid w:val="000A1846"/>
    <w:rsid w:val="000A2102"/>
    <w:rsid w:val="000A29D9"/>
    <w:rsid w:val="000A2C97"/>
    <w:rsid w:val="000A308F"/>
    <w:rsid w:val="000A4C6F"/>
    <w:rsid w:val="000A6709"/>
    <w:rsid w:val="000A6D64"/>
    <w:rsid w:val="000A7CB3"/>
    <w:rsid w:val="000A7F81"/>
    <w:rsid w:val="000B07C7"/>
    <w:rsid w:val="000B0B9B"/>
    <w:rsid w:val="000B1A47"/>
    <w:rsid w:val="000B2163"/>
    <w:rsid w:val="000B2B78"/>
    <w:rsid w:val="000B2C9C"/>
    <w:rsid w:val="000B2E88"/>
    <w:rsid w:val="000B33C2"/>
    <w:rsid w:val="000B3B5C"/>
    <w:rsid w:val="000B3B6A"/>
    <w:rsid w:val="000B404E"/>
    <w:rsid w:val="000B4D09"/>
    <w:rsid w:val="000B4F02"/>
    <w:rsid w:val="000B5B75"/>
    <w:rsid w:val="000B7740"/>
    <w:rsid w:val="000C05E2"/>
    <w:rsid w:val="000C1193"/>
    <w:rsid w:val="000C13F3"/>
    <w:rsid w:val="000C1D55"/>
    <w:rsid w:val="000C40C4"/>
    <w:rsid w:val="000C4745"/>
    <w:rsid w:val="000C554B"/>
    <w:rsid w:val="000C561F"/>
    <w:rsid w:val="000D02FC"/>
    <w:rsid w:val="000D36AC"/>
    <w:rsid w:val="000D3D06"/>
    <w:rsid w:val="000D408E"/>
    <w:rsid w:val="000D46E3"/>
    <w:rsid w:val="000D49A9"/>
    <w:rsid w:val="000D79F9"/>
    <w:rsid w:val="000E08C2"/>
    <w:rsid w:val="000E256E"/>
    <w:rsid w:val="000E2EF4"/>
    <w:rsid w:val="000E65EE"/>
    <w:rsid w:val="000E6910"/>
    <w:rsid w:val="000E6B38"/>
    <w:rsid w:val="000F1266"/>
    <w:rsid w:val="000F1C74"/>
    <w:rsid w:val="000F2CE7"/>
    <w:rsid w:val="000F3E95"/>
    <w:rsid w:val="000F4541"/>
    <w:rsid w:val="000F5304"/>
    <w:rsid w:val="000F58E2"/>
    <w:rsid w:val="000F5935"/>
    <w:rsid w:val="000F66FB"/>
    <w:rsid w:val="00100488"/>
    <w:rsid w:val="00100E59"/>
    <w:rsid w:val="001023A4"/>
    <w:rsid w:val="001027A9"/>
    <w:rsid w:val="001029EA"/>
    <w:rsid w:val="001031C2"/>
    <w:rsid w:val="001032CF"/>
    <w:rsid w:val="00103B06"/>
    <w:rsid w:val="0010542D"/>
    <w:rsid w:val="0010617E"/>
    <w:rsid w:val="00110A48"/>
    <w:rsid w:val="00111275"/>
    <w:rsid w:val="00112C0C"/>
    <w:rsid w:val="00112D30"/>
    <w:rsid w:val="00113762"/>
    <w:rsid w:val="00113C3D"/>
    <w:rsid w:val="00114A26"/>
    <w:rsid w:val="00115275"/>
    <w:rsid w:val="001157BC"/>
    <w:rsid w:val="001159B2"/>
    <w:rsid w:val="00115BB7"/>
    <w:rsid w:val="001170C6"/>
    <w:rsid w:val="00120995"/>
    <w:rsid w:val="001209EA"/>
    <w:rsid w:val="00121E25"/>
    <w:rsid w:val="001220B0"/>
    <w:rsid w:val="001227D9"/>
    <w:rsid w:val="00123254"/>
    <w:rsid w:val="001246D4"/>
    <w:rsid w:val="001260CC"/>
    <w:rsid w:val="0012674E"/>
    <w:rsid w:val="00126996"/>
    <w:rsid w:val="00127313"/>
    <w:rsid w:val="00127943"/>
    <w:rsid w:val="00127A5F"/>
    <w:rsid w:val="00127BB5"/>
    <w:rsid w:val="00130CE5"/>
    <w:rsid w:val="00130F4C"/>
    <w:rsid w:val="00131178"/>
    <w:rsid w:val="00131791"/>
    <w:rsid w:val="00131EE0"/>
    <w:rsid w:val="00131F58"/>
    <w:rsid w:val="00132519"/>
    <w:rsid w:val="0013265E"/>
    <w:rsid w:val="00133A76"/>
    <w:rsid w:val="00133EB1"/>
    <w:rsid w:val="00133F92"/>
    <w:rsid w:val="00134E96"/>
    <w:rsid w:val="00135E1E"/>
    <w:rsid w:val="00136481"/>
    <w:rsid w:val="00136D0C"/>
    <w:rsid w:val="00140276"/>
    <w:rsid w:val="0014059A"/>
    <w:rsid w:val="00142654"/>
    <w:rsid w:val="00143254"/>
    <w:rsid w:val="001437B2"/>
    <w:rsid w:val="00143AE6"/>
    <w:rsid w:val="00147EFC"/>
    <w:rsid w:val="00150921"/>
    <w:rsid w:val="00151793"/>
    <w:rsid w:val="00151CFF"/>
    <w:rsid w:val="00151DFF"/>
    <w:rsid w:val="00152665"/>
    <w:rsid w:val="00152750"/>
    <w:rsid w:val="00152A05"/>
    <w:rsid w:val="00152B12"/>
    <w:rsid w:val="00153F70"/>
    <w:rsid w:val="001540FA"/>
    <w:rsid w:val="001545EC"/>
    <w:rsid w:val="00154AF1"/>
    <w:rsid w:val="00154F38"/>
    <w:rsid w:val="00155003"/>
    <w:rsid w:val="00156257"/>
    <w:rsid w:val="00156590"/>
    <w:rsid w:val="00160F26"/>
    <w:rsid w:val="00162359"/>
    <w:rsid w:val="00163EE7"/>
    <w:rsid w:val="00164070"/>
    <w:rsid w:val="001643AF"/>
    <w:rsid w:val="001643D1"/>
    <w:rsid w:val="00165381"/>
    <w:rsid w:val="001666DA"/>
    <w:rsid w:val="00170B1F"/>
    <w:rsid w:val="00170FA4"/>
    <w:rsid w:val="001715F8"/>
    <w:rsid w:val="001717D2"/>
    <w:rsid w:val="00172002"/>
    <w:rsid w:val="00172C01"/>
    <w:rsid w:val="001732B3"/>
    <w:rsid w:val="00173551"/>
    <w:rsid w:val="00173D39"/>
    <w:rsid w:val="00180698"/>
    <w:rsid w:val="00181DF8"/>
    <w:rsid w:val="00182C8F"/>
    <w:rsid w:val="00183434"/>
    <w:rsid w:val="00183441"/>
    <w:rsid w:val="00183DFD"/>
    <w:rsid w:val="0018440F"/>
    <w:rsid w:val="00185698"/>
    <w:rsid w:val="00185C4B"/>
    <w:rsid w:val="00186602"/>
    <w:rsid w:val="00186C46"/>
    <w:rsid w:val="00186D69"/>
    <w:rsid w:val="00187BEB"/>
    <w:rsid w:val="001911DB"/>
    <w:rsid w:val="001921BC"/>
    <w:rsid w:val="0019256C"/>
    <w:rsid w:val="001935F1"/>
    <w:rsid w:val="0019723A"/>
    <w:rsid w:val="0019773A"/>
    <w:rsid w:val="001A0773"/>
    <w:rsid w:val="001A0954"/>
    <w:rsid w:val="001A10D0"/>
    <w:rsid w:val="001A173E"/>
    <w:rsid w:val="001A1791"/>
    <w:rsid w:val="001A2FCE"/>
    <w:rsid w:val="001A4179"/>
    <w:rsid w:val="001A4403"/>
    <w:rsid w:val="001A524A"/>
    <w:rsid w:val="001A6053"/>
    <w:rsid w:val="001A68A1"/>
    <w:rsid w:val="001B0711"/>
    <w:rsid w:val="001B0CBC"/>
    <w:rsid w:val="001B12FB"/>
    <w:rsid w:val="001B177A"/>
    <w:rsid w:val="001B2D8F"/>
    <w:rsid w:val="001B3B1B"/>
    <w:rsid w:val="001B3E52"/>
    <w:rsid w:val="001B4B94"/>
    <w:rsid w:val="001B7C0C"/>
    <w:rsid w:val="001C0E2A"/>
    <w:rsid w:val="001C2455"/>
    <w:rsid w:val="001C2769"/>
    <w:rsid w:val="001C3028"/>
    <w:rsid w:val="001C4389"/>
    <w:rsid w:val="001C490F"/>
    <w:rsid w:val="001C51E5"/>
    <w:rsid w:val="001C6B54"/>
    <w:rsid w:val="001C7495"/>
    <w:rsid w:val="001D1FDA"/>
    <w:rsid w:val="001D4F56"/>
    <w:rsid w:val="001D533F"/>
    <w:rsid w:val="001D67D0"/>
    <w:rsid w:val="001D6928"/>
    <w:rsid w:val="001D6981"/>
    <w:rsid w:val="001D70A6"/>
    <w:rsid w:val="001E058E"/>
    <w:rsid w:val="001E1A44"/>
    <w:rsid w:val="001E3064"/>
    <w:rsid w:val="001E353A"/>
    <w:rsid w:val="001E3A62"/>
    <w:rsid w:val="001E406C"/>
    <w:rsid w:val="001E7D85"/>
    <w:rsid w:val="001F09B0"/>
    <w:rsid w:val="001F13C2"/>
    <w:rsid w:val="001F29C1"/>
    <w:rsid w:val="001F40AE"/>
    <w:rsid w:val="001F537E"/>
    <w:rsid w:val="001F562A"/>
    <w:rsid w:val="001F5846"/>
    <w:rsid w:val="001F6F9A"/>
    <w:rsid w:val="001F71AC"/>
    <w:rsid w:val="001F7310"/>
    <w:rsid w:val="001F7E27"/>
    <w:rsid w:val="00200FE0"/>
    <w:rsid w:val="002025E7"/>
    <w:rsid w:val="00203733"/>
    <w:rsid w:val="00205C06"/>
    <w:rsid w:val="0020688E"/>
    <w:rsid w:val="00207F81"/>
    <w:rsid w:val="002102A9"/>
    <w:rsid w:val="002151CD"/>
    <w:rsid w:val="002159C1"/>
    <w:rsid w:val="002165D9"/>
    <w:rsid w:val="002174E4"/>
    <w:rsid w:val="00217AD7"/>
    <w:rsid w:val="0022056B"/>
    <w:rsid w:val="002205F3"/>
    <w:rsid w:val="00221171"/>
    <w:rsid w:val="00221531"/>
    <w:rsid w:val="00221F8B"/>
    <w:rsid w:val="0022277A"/>
    <w:rsid w:val="002235AD"/>
    <w:rsid w:val="002240B0"/>
    <w:rsid w:val="00224DB9"/>
    <w:rsid w:val="00224EBC"/>
    <w:rsid w:val="00224EFB"/>
    <w:rsid w:val="0022552E"/>
    <w:rsid w:val="002262CD"/>
    <w:rsid w:val="0022638C"/>
    <w:rsid w:val="0022697C"/>
    <w:rsid w:val="00227001"/>
    <w:rsid w:val="0023013C"/>
    <w:rsid w:val="00232251"/>
    <w:rsid w:val="00232C83"/>
    <w:rsid w:val="002331D5"/>
    <w:rsid w:val="00234E0A"/>
    <w:rsid w:val="00235059"/>
    <w:rsid w:val="0023588D"/>
    <w:rsid w:val="00235939"/>
    <w:rsid w:val="002369EC"/>
    <w:rsid w:val="00237735"/>
    <w:rsid w:val="00240443"/>
    <w:rsid w:val="0024076E"/>
    <w:rsid w:val="002410E2"/>
    <w:rsid w:val="00241C6B"/>
    <w:rsid w:val="002476C2"/>
    <w:rsid w:val="00250280"/>
    <w:rsid w:val="00250D59"/>
    <w:rsid w:val="00252037"/>
    <w:rsid w:val="00252421"/>
    <w:rsid w:val="00252DB4"/>
    <w:rsid w:val="0025320D"/>
    <w:rsid w:val="00255197"/>
    <w:rsid w:val="00256019"/>
    <w:rsid w:val="00260110"/>
    <w:rsid w:val="00260662"/>
    <w:rsid w:val="002608C1"/>
    <w:rsid w:val="00260EAC"/>
    <w:rsid w:val="002615D1"/>
    <w:rsid w:val="00261C2B"/>
    <w:rsid w:val="00261FC4"/>
    <w:rsid w:val="00262C50"/>
    <w:rsid w:val="00262F85"/>
    <w:rsid w:val="00263C2A"/>
    <w:rsid w:val="002641AC"/>
    <w:rsid w:val="0026488A"/>
    <w:rsid w:val="002658F2"/>
    <w:rsid w:val="00266496"/>
    <w:rsid w:val="002664D8"/>
    <w:rsid w:val="00266B4C"/>
    <w:rsid w:val="0027048E"/>
    <w:rsid w:val="00271B50"/>
    <w:rsid w:val="00271BE4"/>
    <w:rsid w:val="00271DF1"/>
    <w:rsid w:val="00271E49"/>
    <w:rsid w:val="00271E97"/>
    <w:rsid w:val="00272197"/>
    <w:rsid w:val="002724DE"/>
    <w:rsid w:val="00272AF7"/>
    <w:rsid w:val="00272DF3"/>
    <w:rsid w:val="002732BE"/>
    <w:rsid w:val="00276B17"/>
    <w:rsid w:val="00277783"/>
    <w:rsid w:val="0027782F"/>
    <w:rsid w:val="002802AB"/>
    <w:rsid w:val="00281600"/>
    <w:rsid w:val="00281D2F"/>
    <w:rsid w:val="002833AF"/>
    <w:rsid w:val="00283753"/>
    <w:rsid w:val="00283846"/>
    <w:rsid w:val="00284B60"/>
    <w:rsid w:val="00286FAE"/>
    <w:rsid w:val="00290423"/>
    <w:rsid w:val="00291981"/>
    <w:rsid w:val="00291B40"/>
    <w:rsid w:val="00294828"/>
    <w:rsid w:val="00295263"/>
    <w:rsid w:val="00295861"/>
    <w:rsid w:val="0029597A"/>
    <w:rsid w:val="00296272"/>
    <w:rsid w:val="002A0411"/>
    <w:rsid w:val="002A2678"/>
    <w:rsid w:val="002A2DDE"/>
    <w:rsid w:val="002A306F"/>
    <w:rsid w:val="002A31F7"/>
    <w:rsid w:val="002A3479"/>
    <w:rsid w:val="002A37CD"/>
    <w:rsid w:val="002A403D"/>
    <w:rsid w:val="002A5DEE"/>
    <w:rsid w:val="002A6152"/>
    <w:rsid w:val="002B07B8"/>
    <w:rsid w:val="002B0BB0"/>
    <w:rsid w:val="002B1A37"/>
    <w:rsid w:val="002B1C47"/>
    <w:rsid w:val="002B27F3"/>
    <w:rsid w:val="002B2ECC"/>
    <w:rsid w:val="002B2ED6"/>
    <w:rsid w:val="002B36DC"/>
    <w:rsid w:val="002B3F5E"/>
    <w:rsid w:val="002B5017"/>
    <w:rsid w:val="002B5728"/>
    <w:rsid w:val="002B5CAA"/>
    <w:rsid w:val="002B5E62"/>
    <w:rsid w:val="002B5F00"/>
    <w:rsid w:val="002C1F2A"/>
    <w:rsid w:val="002C23BB"/>
    <w:rsid w:val="002C27BF"/>
    <w:rsid w:val="002C2825"/>
    <w:rsid w:val="002C360B"/>
    <w:rsid w:val="002C37D2"/>
    <w:rsid w:val="002C407C"/>
    <w:rsid w:val="002C52B6"/>
    <w:rsid w:val="002C56FA"/>
    <w:rsid w:val="002C718D"/>
    <w:rsid w:val="002C7CED"/>
    <w:rsid w:val="002D017B"/>
    <w:rsid w:val="002D0430"/>
    <w:rsid w:val="002D05D2"/>
    <w:rsid w:val="002D0774"/>
    <w:rsid w:val="002D08A9"/>
    <w:rsid w:val="002D0CC9"/>
    <w:rsid w:val="002D0D66"/>
    <w:rsid w:val="002D0E48"/>
    <w:rsid w:val="002D1021"/>
    <w:rsid w:val="002D146B"/>
    <w:rsid w:val="002D173B"/>
    <w:rsid w:val="002D25B0"/>
    <w:rsid w:val="002D26A8"/>
    <w:rsid w:val="002D28DC"/>
    <w:rsid w:val="002D2CAA"/>
    <w:rsid w:val="002D2F3E"/>
    <w:rsid w:val="002D4B73"/>
    <w:rsid w:val="002D4BD1"/>
    <w:rsid w:val="002D5741"/>
    <w:rsid w:val="002D7017"/>
    <w:rsid w:val="002E09D5"/>
    <w:rsid w:val="002E0F55"/>
    <w:rsid w:val="002E18FC"/>
    <w:rsid w:val="002E2150"/>
    <w:rsid w:val="002E2241"/>
    <w:rsid w:val="002E2823"/>
    <w:rsid w:val="002E2C59"/>
    <w:rsid w:val="002E3AE1"/>
    <w:rsid w:val="002E6DC3"/>
    <w:rsid w:val="002E70FC"/>
    <w:rsid w:val="002E7CE0"/>
    <w:rsid w:val="002E7D65"/>
    <w:rsid w:val="002E7F48"/>
    <w:rsid w:val="002F05C4"/>
    <w:rsid w:val="002F1564"/>
    <w:rsid w:val="002F1BA4"/>
    <w:rsid w:val="002F20FA"/>
    <w:rsid w:val="002F3A97"/>
    <w:rsid w:val="002F4FB1"/>
    <w:rsid w:val="002F570C"/>
    <w:rsid w:val="0030007B"/>
    <w:rsid w:val="003019C8"/>
    <w:rsid w:val="00301F8E"/>
    <w:rsid w:val="003032DE"/>
    <w:rsid w:val="00303A85"/>
    <w:rsid w:val="00304847"/>
    <w:rsid w:val="00304C09"/>
    <w:rsid w:val="00304DD4"/>
    <w:rsid w:val="0030514F"/>
    <w:rsid w:val="00305AD3"/>
    <w:rsid w:val="00306C38"/>
    <w:rsid w:val="00306D6F"/>
    <w:rsid w:val="00307335"/>
    <w:rsid w:val="00307FF0"/>
    <w:rsid w:val="00311043"/>
    <w:rsid w:val="00312547"/>
    <w:rsid w:val="0031257F"/>
    <w:rsid w:val="00312D7C"/>
    <w:rsid w:val="00313201"/>
    <w:rsid w:val="00314B05"/>
    <w:rsid w:val="003163FE"/>
    <w:rsid w:val="003170CD"/>
    <w:rsid w:val="0031787F"/>
    <w:rsid w:val="00321BFF"/>
    <w:rsid w:val="00322D9D"/>
    <w:rsid w:val="00323276"/>
    <w:rsid w:val="003241EC"/>
    <w:rsid w:val="003256E4"/>
    <w:rsid w:val="00326EC2"/>
    <w:rsid w:val="00330323"/>
    <w:rsid w:val="003314D0"/>
    <w:rsid w:val="003317CE"/>
    <w:rsid w:val="00332696"/>
    <w:rsid w:val="003335BB"/>
    <w:rsid w:val="00333724"/>
    <w:rsid w:val="00333C84"/>
    <w:rsid w:val="003358CE"/>
    <w:rsid w:val="00336E6C"/>
    <w:rsid w:val="003403FE"/>
    <w:rsid w:val="003405B6"/>
    <w:rsid w:val="00342172"/>
    <w:rsid w:val="00342778"/>
    <w:rsid w:val="00342C85"/>
    <w:rsid w:val="003438B7"/>
    <w:rsid w:val="00343F9A"/>
    <w:rsid w:val="003458DF"/>
    <w:rsid w:val="00345B16"/>
    <w:rsid w:val="00345B6F"/>
    <w:rsid w:val="00350A66"/>
    <w:rsid w:val="00350D94"/>
    <w:rsid w:val="00351167"/>
    <w:rsid w:val="00352C45"/>
    <w:rsid w:val="00353A61"/>
    <w:rsid w:val="00353BB4"/>
    <w:rsid w:val="003559D0"/>
    <w:rsid w:val="00356320"/>
    <w:rsid w:val="00356C72"/>
    <w:rsid w:val="00357198"/>
    <w:rsid w:val="003605C3"/>
    <w:rsid w:val="00361658"/>
    <w:rsid w:val="00361ADE"/>
    <w:rsid w:val="00361DB9"/>
    <w:rsid w:val="0036346C"/>
    <w:rsid w:val="00363BA2"/>
    <w:rsid w:val="00364684"/>
    <w:rsid w:val="003663B3"/>
    <w:rsid w:val="0037031C"/>
    <w:rsid w:val="00370BB6"/>
    <w:rsid w:val="003711C6"/>
    <w:rsid w:val="00372EA9"/>
    <w:rsid w:val="00374547"/>
    <w:rsid w:val="00374E40"/>
    <w:rsid w:val="00375219"/>
    <w:rsid w:val="003752A7"/>
    <w:rsid w:val="00376031"/>
    <w:rsid w:val="00376656"/>
    <w:rsid w:val="00376B75"/>
    <w:rsid w:val="00377B13"/>
    <w:rsid w:val="00380DF5"/>
    <w:rsid w:val="00381A16"/>
    <w:rsid w:val="00382FA2"/>
    <w:rsid w:val="00383250"/>
    <w:rsid w:val="00383B29"/>
    <w:rsid w:val="003840E1"/>
    <w:rsid w:val="00384A30"/>
    <w:rsid w:val="00384DC3"/>
    <w:rsid w:val="00385204"/>
    <w:rsid w:val="003853FD"/>
    <w:rsid w:val="0038602D"/>
    <w:rsid w:val="003879A4"/>
    <w:rsid w:val="003916D7"/>
    <w:rsid w:val="00391A1C"/>
    <w:rsid w:val="00391FA5"/>
    <w:rsid w:val="00392AE8"/>
    <w:rsid w:val="00394A8E"/>
    <w:rsid w:val="00394F34"/>
    <w:rsid w:val="00395353"/>
    <w:rsid w:val="003954D0"/>
    <w:rsid w:val="0039584E"/>
    <w:rsid w:val="003958B1"/>
    <w:rsid w:val="003A0ABB"/>
    <w:rsid w:val="003A0C93"/>
    <w:rsid w:val="003A15AF"/>
    <w:rsid w:val="003A1CC9"/>
    <w:rsid w:val="003A343F"/>
    <w:rsid w:val="003A3716"/>
    <w:rsid w:val="003A4099"/>
    <w:rsid w:val="003A426E"/>
    <w:rsid w:val="003A53B5"/>
    <w:rsid w:val="003A54F1"/>
    <w:rsid w:val="003A583E"/>
    <w:rsid w:val="003A5A9C"/>
    <w:rsid w:val="003A5ECF"/>
    <w:rsid w:val="003A6312"/>
    <w:rsid w:val="003A6539"/>
    <w:rsid w:val="003A66C5"/>
    <w:rsid w:val="003A6C61"/>
    <w:rsid w:val="003B0DBA"/>
    <w:rsid w:val="003B26D9"/>
    <w:rsid w:val="003B68BC"/>
    <w:rsid w:val="003B6BE4"/>
    <w:rsid w:val="003C026B"/>
    <w:rsid w:val="003C0823"/>
    <w:rsid w:val="003C2594"/>
    <w:rsid w:val="003C360F"/>
    <w:rsid w:val="003C4F2C"/>
    <w:rsid w:val="003C6F0C"/>
    <w:rsid w:val="003C77F1"/>
    <w:rsid w:val="003D1AE3"/>
    <w:rsid w:val="003D3AD0"/>
    <w:rsid w:val="003D3C71"/>
    <w:rsid w:val="003D485D"/>
    <w:rsid w:val="003D5D53"/>
    <w:rsid w:val="003D646A"/>
    <w:rsid w:val="003D6D87"/>
    <w:rsid w:val="003D722E"/>
    <w:rsid w:val="003D7879"/>
    <w:rsid w:val="003D7997"/>
    <w:rsid w:val="003E18BA"/>
    <w:rsid w:val="003E1CEB"/>
    <w:rsid w:val="003E2A8C"/>
    <w:rsid w:val="003E2C79"/>
    <w:rsid w:val="003E4755"/>
    <w:rsid w:val="003E532D"/>
    <w:rsid w:val="003E5DFA"/>
    <w:rsid w:val="003E6994"/>
    <w:rsid w:val="003E6BBE"/>
    <w:rsid w:val="003E6DAB"/>
    <w:rsid w:val="003E6DAE"/>
    <w:rsid w:val="003E73AC"/>
    <w:rsid w:val="003E77EB"/>
    <w:rsid w:val="003E7A00"/>
    <w:rsid w:val="003E7F62"/>
    <w:rsid w:val="003F0642"/>
    <w:rsid w:val="003F23BC"/>
    <w:rsid w:val="003F50E5"/>
    <w:rsid w:val="003F734E"/>
    <w:rsid w:val="003F7DE3"/>
    <w:rsid w:val="003F7FDE"/>
    <w:rsid w:val="00400278"/>
    <w:rsid w:val="0040087E"/>
    <w:rsid w:val="00400D75"/>
    <w:rsid w:val="004016BD"/>
    <w:rsid w:val="00402897"/>
    <w:rsid w:val="00402F0D"/>
    <w:rsid w:val="004037C6"/>
    <w:rsid w:val="00403846"/>
    <w:rsid w:val="00403A8F"/>
    <w:rsid w:val="004054D7"/>
    <w:rsid w:val="0040562B"/>
    <w:rsid w:val="00405E30"/>
    <w:rsid w:val="004101D4"/>
    <w:rsid w:val="00410E5C"/>
    <w:rsid w:val="00410F9B"/>
    <w:rsid w:val="0041410D"/>
    <w:rsid w:val="00415600"/>
    <w:rsid w:val="00417555"/>
    <w:rsid w:val="00417AEE"/>
    <w:rsid w:val="00421791"/>
    <w:rsid w:val="004219C0"/>
    <w:rsid w:val="0042214F"/>
    <w:rsid w:val="00422343"/>
    <w:rsid w:val="004224B4"/>
    <w:rsid w:val="00423F7E"/>
    <w:rsid w:val="00423FD1"/>
    <w:rsid w:val="0042445A"/>
    <w:rsid w:val="00425E75"/>
    <w:rsid w:val="00426CEA"/>
    <w:rsid w:val="00427662"/>
    <w:rsid w:val="00430647"/>
    <w:rsid w:val="00430683"/>
    <w:rsid w:val="004312C8"/>
    <w:rsid w:val="004320D7"/>
    <w:rsid w:val="00432C23"/>
    <w:rsid w:val="0043344B"/>
    <w:rsid w:val="00433B55"/>
    <w:rsid w:val="00434649"/>
    <w:rsid w:val="00436A57"/>
    <w:rsid w:val="00436EBB"/>
    <w:rsid w:val="00437F78"/>
    <w:rsid w:val="004400F7"/>
    <w:rsid w:val="004405D6"/>
    <w:rsid w:val="00440D0A"/>
    <w:rsid w:val="004417CB"/>
    <w:rsid w:val="004417E0"/>
    <w:rsid w:val="00443385"/>
    <w:rsid w:val="00443AC9"/>
    <w:rsid w:val="00443FD0"/>
    <w:rsid w:val="00444835"/>
    <w:rsid w:val="00445C78"/>
    <w:rsid w:val="004461C1"/>
    <w:rsid w:val="00447FDB"/>
    <w:rsid w:val="00450C79"/>
    <w:rsid w:val="00451B9A"/>
    <w:rsid w:val="00454215"/>
    <w:rsid w:val="0045495A"/>
    <w:rsid w:val="004560C0"/>
    <w:rsid w:val="00456C1B"/>
    <w:rsid w:val="0045733B"/>
    <w:rsid w:val="00457F88"/>
    <w:rsid w:val="00460BFB"/>
    <w:rsid w:val="00460CCE"/>
    <w:rsid w:val="004611E4"/>
    <w:rsid w:val="00462BC4"/>
    <w:rsid w:val="00463286"/>
    <w:rsid w:val="004653E7"/>
    <w:rsid w:val="004656E7"/>
    <w:rsid w:val="00465E86"/>
    <w:rsid w:val="004705EC"/>
    <w:rsid w:val="00470B6E"/>
    <w:rsid w:val="004711B0"/>
    <w:rsid w:val="00471947"/>
    <w:rsid w:val="00472A5D"/>
    <w:rsid w:val="00472ED1"/>
    <w:rsid w:val="00474511"/>
    <w:rsid w:val="0047541D"/>
    <w:rsid w:val="0047562E"/>
    <w:rsid w:val="004760D3"/>
    <w:rsid w:val="004809F3"/>
    <w:rsid w:val="00481E15"/>
    <w:rsid w:val="00484152"/>
    <w:rsid w:val="004856AF"/>
    <w:rsid w:val="00485965"/>
    <w:rsid w:val="00485FD7"/>
    <w:rsid w:val="00490B7F"/>
    <w:rsid w:val="00491C81"/>
    <w:rsid w:val="004923B0"/>
    <w:rsid w:val="0049271D"/>
    <w:rsid w:val="00492805"/>
    <w:rsid w:val="004928E4"/>
    <w:rsid w:val="004948A7"/>
    <w:rsid w:val="00494BA0"/>
    <w:rsid w:val="00496B87"/>
    <w:rsid w:val="004A0378"/>
    <w:rsid w:val="004A1045"/>
    <w:rsid w:val="004A1203"/>
    <w:rsid w:val="004A1BB2"/>
    <w:rsid w:val="004A1CA1"/>
    <w:rsid w:val="004A1FAF"/>
    <w:rsid w:val="004A20DF"/>
    <w:rsid w:val="004A28D8"/>
    <w:rsid w:val="004A32F6"/>
    <w:rsid w:val="004A35BA"/>
    <w:rsid w:val="004A3845"/>
    <w:rsid w:val="004A47BD"/>
    <w:rsid w:val="004A5A44"/>
    <w:rsid w:val="004A640B"/>
    <w:rsid w:val="004A70F1"/>
    <w:rsid w:val="004A7930"/>
    <w:rsid w:val="004B11E4"/>
    <w:rsid w:val="004B2633"/>
    <w:rsid w:val="004B2A6C"/>
    <w:rsid w:val="004B2B10"/>
    <w:rsid w:val="004B36EF"/>
    <w:rsid w:val="004B468B"/>
    <w:rsid w:val="004B4D73"/>
    <w:rsid w:val="004B4F4D"/>
    <w:rsid w:val="004C00C1"/>
    <w:rsid w:val="004C10FA"/>
    <w:rsid w:val="004C1607"/>
    <w:rsid w:val="004C1C71"/>
    <w:rsid w:val="004C2499"/>
    <w:rsid w:val="004C35C4"/>
    <w:rsid w:val="004C406C"/>
    <w:rsid w:val="004C4919"/>
    <w:rsid w:val="004C528D"/>
    <w:rsid w:val="004C6309"/>
    <w:rsid w:val="004C69BC"/>
    <w:rsid w:val="004C7D99"/>
    <w:rsid w:val="004C7E5F"/>
    <w:rsid w:val="004D06D9"/>
    <w:rsid w:val="004D0D66"/>
    <w:rsid w:val="004D146F"/>
    <w:rsid w:val="004D209B"/>
    <w:rsid w:val="004D34C0"/>
    <w:rsid w:val="004D3ECA"/>
    <w:rsid w:val="004D6178"/>
    <w:rsid w:val="004D7140"/>
    <w:rsid w:val="004D7B43"/>
    <w:rsid w:val="004E03BA"/>
    <w:rsid w:val="004E0765"/>
    <w:rsid w:val="004E0C2B"/>
    <w:rsid w:val="004E1431"/>
    <w:rsid w:val="004E1CB5"/>
    <w:rsid w:val="004E26BD"/>
    <w:rsid w:val="004E3215"/>
    <w:rsid w:val="004E3C4B"/>
    <w:rsid w:val="004E4450"/>
    <w:rsid w:val="004E4594"/>
    <w:rsid w:val="004E545F"/>
    <w:rsid w:val="004E5DAE"/>
    <w:rsid w:val="004E699C"/>
    <w:rsid w:val="004E78B8"/>
    <w:rsid w:val="004E7DC5"/>
    <w:rsid w:val="004E7ECD"/>
    <w:rsid w:val="004F108E"/>
    <w:rsid w:val="004F2A95"/>
    <w:rsid w:val="004F3A80"/>
    <w:rsid w:val="004F466F"/>
    <w:rsid w:val="004F484B"/>
    <w:rsid w:val="004F5C3C"/>
    <w:rsid w:val="004F6A05"/>
    <w:rsid w:val="004F7C18"/>
    <w:rsid w:val="00500C11"/>
    <w:rsid w:val="0050218B"/>
    <w:rsid w:val="00502318"/>
    <w:rsid w:val="00502F0D"/>
    <w:rsid w:val="0050311A"/>
    <w:rsid w:val="0050330E"/>
    <w:rsid w:val="00503A0F"/>
    <w:rsid w:val="00504AF1"/>
    <w:rsid w:val="00504DC6"/>
    <w:rsid w:val="00510357"/>
    <w:rsid w:val="0051067D"/>
    <w:rsid w:val="0051142A"/>
    <w:rsid w:val="00513121"/>
    <w:rsid w:val="00513128"/>
    <w:rsid w:val="0051312E"/>
    <w:rsid w:val="00513C9A"/>
    <w:rsid w:val="0051402C"/>
    <w:rsid w:val="00514B97"/>
    <w:rsid w:val="00514DA0"/>
    <w:rsid w:val="00515B36"/>
    <w:rsid w:val="00516C29"/>
    <w:rsid w:val="0051733C"/>
    <w:rsid w:val="00521634"/>
    <w:rsid w:val="00524B12"/>
    <w:rsid w:val="005257EF"/>
    <w:rsid w:val="00527171"/>
    <w:rsid w:val="00530363"/>
    <w:rsid w:val="0053130C"/>
    <w:rsid w:val="00531E4A"/>
    <w:rsid w:val="00531ECA"/>
    <w:rsid w:val="00532892"/>
    <w:rsid w:val="00534331"/>
    <w:rsid w:val="00534F3C"/>
    <w:rsid w:val="005357DF"/>
    <w:rsid w:val="005358B8"/>
    <w:rsid w:val="00535BFA"/>
    <w:rsid w:val="00536486"/>
    <w:rsid w:val="00536CCB"/>
    <w:rsid w:val="005404E2"/>
    <w:rsid w:val="00540EDA"/>
    <w:rsid w:val="005411A5"/>
    <w:rsid w:val="00541285"/>
    <w:rsid w:val="005416F5"/>
    <w:rsid w:val="005417D5"/>
    <w:rsid w:val="00541DA5"/>
    <w:rsid w:val="00541DB8"/>
    <w:rsid w:val="00541F6C"/>
    <w:rsid w:val="00543D66"/>
    <w:rsid w:val="00544631"/>
    <w:rsid w:val="00545328"/>
    <w:rsid w:val="0054657B"/>
    <w:rsid w:val="00546E1A"/>
    <w:rsid w:val="0054776F"/>
    <w:rsid w:val="0055010D"/>
    <w:rsid w:val="00551134"/>
    <w:rsid w:val="00551A95"/>
    <w:rsid w:val="0055204F"/>
    <w:rsid w:val="00552417"/>
    <w:rsid w:val="005543AA"/>
    <w:rsid w:val="0055457A"/>
    <w:rsid w:val="00556130"/>
    <w:rsid w:val="005570FF"/>
    <w:rsid w:val="00557BC0"/>
    <w:rsid w:val="00557DC1"/>
    <w:rsid w:val="00557EA1"/>
    <w:rsid w:val="00561125"/>
    <w:rsid w:val="0056151B"/>
    <w:rsid w:val="0056328A"/>
    <w:rsid w:val="005647D4"/>
    <w:rsid w:val="00565553"/>
    <w:rsid w:val="00565AC9"/>
    <w:rsid w:val="00565D94"/>
    <w:rsid w:val="005675A1"/>
    <w:rsid w:val="00567BBC"/>
    <w:rsid w:val="005702DE"/>
    <w:rsid w:val="005705C4"/>
    <w:rsid w:val="00570A16"/>
    <w:rsid w:val="00570BEC"/>
    <w:rsid w:val="005713BF"/>
    <w:rsid w:val="00572339"/>
    <w:rsid w:val="0057273A"/>
    <w:rsid w:val="00574674"/>
    <w:rsid w:val="00575A03"/>
    <w:rsid w:val="00576081"/>
    <w:rsid w:val="005762E7"/>
    <w:rsid w:val="005762F9"/>
    <w:rsid w:val="00576899"/>
    <w:rsid w:val="00576C24"/>
    <w:rsid w:val="005776B2"/>
    <w:rsid w:val="00577CEB"/>
    <w:rsid w:val="00580D5A"/>
    <w:rsid w:val="00582B5F"/>
    <w:rsid w:val="00583617"/>
    <w:rsid w:val="00583DC9"/>
    <w:rsid w:val="00584468"/>
    <w:rsid w:val="00584A7A"/>
    <w:rsid w:val="00584D97"/>
    <w:rsid w:val="00584F92"/>
    <w:rsid w:val="00584FCF"/>
    <w:rsid w:val="0058650A"/>
    <w:rsid w:val="00586D7A"/>
    <w:rsid w:val="005901DB"/>
    <w:rsid w:val="00590E2F"/>
    <w:rsid w:val="00593103"/>
    <w:rsid w:val="00593237"/>
    <w:rsid w:val="005956B2"/>
    <w:rsid w:val="00596792"/>
    <w:rsid w:val="005977AF"/>
    <w:rsid w:val="00597C53"/>
    <w:rsid w:val="005A02A7"/>
    <w:rsid w:val="005A045D"/>
    <w:rsid w:val="005A0509"/>
    <w:rsid w:val="005A0AB9"/>
    <w:rsid w:val="005A0C38"/>
    <w:rsid w:val="005A1089"/>
    <w:rsid w:val="005A2BC0"/>
    <w:rsid w:val="005A2E2E"/>
    <w:rsid w:val="005A3EDF"/>
    <w:rsid w:val="005A534F"/>
    <w:rsid w:val="005A535B"/>
    <w:rsid w:val="005A5DE6"/>
    <w:rsid w:val="005A6D00"/>
    <w:rsid w:val="005A7BD5"/>
    <w:rsid w:val="005B13F2"/>
    <w:rsid w:val="005B1745"/>
    <w:rsid w:val="005B5788"/>
    <w:rsid w:val="005B5E2D"/>
    <w:rsid w:val="005B623C"/>
    <w:rsid w:val="005B7CF1"/>
    <w:rsid w:val="005C1970"/>
    <w:rsid w:val="005C1E53"/>
    <w:rsid w:val="005C20AA"/>
    <w:rsid w:val="005C26FF"/>
    <w:rsid w:val="005C410B"/>
    <w:rsid w:val="005D07D8"/>
    <w:rsid w:val="005D1809"/>
    <w:rsid w:val="005D1FA5"/>
    <w:rsid w:val="005D283E"/>
    <w:rsid w:val="005D2E48"/>
    <w:rsid w:val="005D3073"/>
    <w:rsid w:val="005D381C"/>
    <w:rsid w:val="005D4998"/>
    <w:rsid w:val="005D621E"/>
    <w:rsid w:val="005D67A4"/>
    <w:rsid w:val="005D6DF0"/>
    <w:rsid w:val="005E1F68"/>
    <w:rsid w:val="005E24BB"/>
    <w:rsid w:val="005E2F64"/>
    <w:rsid w:val="005E3744"/>
    <w:rsid w:val="005E6072"/>
    <w:rsid w:val="005E6399"/>
    <w:rsid w:val="005E78B5"/>
    <w:rsid w:val="005E7C91"/>
    <w:rsid w:val="005E7F0B"/>
    <w:rsid w:val="005E7F9B"/>
    <w:rsid w:val="005F15B9"/>
    <w:rsid w:val="005F2771"/>
    <w:rsid w:val="005F2DB0"/>
    <w:rsid w:val="005F3CFC"/>
    <w:rsid w:val="005F3D7E"/>
    <w:rsid w:val="005F564C"/>
    <w:rsid w:val="005F5C3F"/>
    <w:rsid w:val="005F6C1E"/>
    <w:rsid w:val="005F7142"/>
    <w:rsid w:val="005F731E"/>
    <w:rsid w:val="006002E5"/>
    <w:rsid w:val="00600ED0"/>
    <w:rsid w:val="00602114"/>
    <w:rsid w:val="0060257F"/>
    <w:rsid w:val="00605074"/>
    <w:rsid w:val="006052E3"/>
    <w:rsid w:val="00606935"/>
    <w:rsid w:val="00606A68"/>
    <w:rsid w:val="006071BF"/>
    <w:rsid w:val="00611129"/>
    <w:rsid w:val="006121AA"/>
    <w:rsid w:val="00612A49"/>
    <w:rsid w:val="0061374A"/>
    <w:rsid w:val="006137DF"/>
    <w:rsid w:val="006160B7"/>
    <w:rsid w:val="00617FE2"/>
    <w:rsid w:val="006202EE"/>
    <w:rsid w:val="00621A31"/>
    <w:rsid w:val="0062252B"/>
    <w:rsid w:val="00623946"/>
    <w:rsid w:val="00623A70"/>
    <w:rsid w:val="0062499B"/>
    <w:rsid w:val="00624AC8"/>
    <w:rsid w:val="0062680C"/>
    <w:rsid w:val="006271D4"/>
    <w:rsid w:val="00627E73"/>
    <w:rsid w:val="006320A2"/>
    <w:rsid w:val="006325C8"/>
    <w:rsid w:val="00632951"/>
    <w:rsid w:val="00633886"/>
    <w:rsid w:val="00633C86"/>
    <w:rsid w:val="0063424D"/>
    <w:rsid w:val="00635151"/>
    <w:rsid w:val="0063608C"/>
    <w:rsid w:val="006361C3"/>
    <w:rsid w:val="006367B6"/>
    <w:rsid w:val="00636F97"/>
    <w:rsid w:val="006375ED"/>
    <w:rsid w:val="00637D54"/>
    <w:rsid w:val="00642312"/>
    <w:rsid w:val="006442F6"/>
    <w:rsid w:val="00644559"/>
    <w:rsid w:val="00644CE1"/>
    <w:rsid w:val="00645028"/>
    <w:rsid w:val="0064594F"/>
    <w:rsid w:val="0064634E"/>
    <w:rsid w:val="006464FB"/>
    <w:rsid w:val="00647D1A"/>
    <w:rsid w:val="00647F94"/>
    <w:rsid w:val="00647FAE"/>
    <w:rsid w:val="00651FD7"/>
    <w:rsid w:val="006523D2"/>
    <w:rsid w:val="00652AFC"/>
    <w:rsid w:val="006535FA"/>
    <w:rsid w:val="00653AC0"/>
    <w:rsid w:val="006547B9"/>
    <w:rsid w:val="006577F6"/>
    <w:rsid w:val="00657DD8"/>
    <w:rsid w:val="0066249C"/>
    <w:rsid w:val="00662514"/>
    <w:rsid w:val="00662696"/>
    <w:rsid w:val="0066291B"/>
    <w:rsid w:val="00662B51"/>
    <w:rsid w:val="00663F78"/>
    <w:rsid w:val="00665644"/>
    <w:rsid w:val="00665D8F"/>
    <w:rsid w:val="00667C35"/>
    <w:rsid w:val="00667E57"/>
    <w:rsid w:val="0067028F"/>
    <w:rsid w:val="0067116E"/>
    <w:rsid w:val="006714D2"/>
    <w:rsid w:val="00672B90"/>
    <w:rsid w:val="00674472"/>
    <w:rsid w:val="006745C3"/>
    <w:rsid w:val="006745F0"/>
    <w:rsid w:val="006752EE"/>
    <w:rsid w:val="0067539E"/>
    <w:rsid w:val="00676CB6"/>
    <w:rsid w:val="00682C2A"/>
    <w:rsid w:val="00682DDD"/>
    <w:rsid w:val="00683C3F"/>
    <w:rsid w:val="00686250"/>
    <w:rsid w:val="0068637E"/>
    <w:rsid w:val="006864AF"/>
    <w:rsid w:val="0068787A"/>
    <w:rsid w:val="00687CDD"/>
    <w:rsid w:val="00687ED0"/>
    <w:rsid w:val="00690982"/>
    <w:rsid w:val="00691A70"/>
    <w:rsid w:val="00692BE8"/>
    <w:rsid w:val="00693518"/>
    <w:rsid w:val="00693E72"/>
    <w:rsid w:val="00693F8F"/>
    <w:rsid w:val="006944AA"/>
    <w:rsid w:val="0069459F"/>
    <w:rsid w:val="006953E4"/>
    <w:rsid w:val="00695950"/>
    <w:rsid w:val="0069596E"/>
    <w:rsid w:val="00697F12"/>
    <w:rsid w:val="006A04C0"/>
    <w:rsid w:val="006A1C72"/>
    <w:rsid w:val="006A2354"/>
    <w:rsid w:val="006A2863"/>
    <w:rsid w:val="006A3642"/>
    <w:rsid w:val="006A3A19"/>
    <w:rsid w:val="006A43B7"/>
    <w:rsid w:val="006A457F"/>
    <w:rsid w:val="006A4B20"/>
    <w:rsid w:val="006A63C8"/>
    <w:rsid w:val="006A64D7"/>
    <w:rsid w:val="006A67DE"/>
    <w:rsid w:val="006A6D61"/>
    <w:rsid w:val="006A6ECF"/>
    <w:rsid w:val="006B3583"/>
    <w:rsid w:val="006B3E02"/>
    <w:rsid w:val="006B4A2B"/>
    <w:rsid w:val="006B639C"/>
    <w:rsid w:val="006B7CDF"/>
    <w:rsid w:val="006C0F07"/>
    <w:rsid w:val="006C1A35"/>
    <w:rsid w:val="006C20C3"/>
    <w:rsid w:val="006C22BD"/>
    <w:rsid w:val="006C2B9E"/>
    <w:rsid w:val="006C304E"/>
    <w:rsid w:val="006C3439"/>
    <w:rsid w:val="006C4B61"/>
    <w:rsid w:val="006C543F"/>
    <w:rsid w:val="006C61CA"/>
    <w:rsid w:val="006C6533"/>
    <w:rsid w:val="006C6670"/>
    <w:rsid w:val="006D1EC5"/>
    <w:rsid w:val="006D21D6"/>
    <w:rsid w:val="006D28EE"/>
    <w:rsid w:val="006D2DDC"/>
    <w:rsid w:val="006D367E"/>
    <w:rsid w:val="006D41A3"/>
    <w:rsid w:val="006D4496"/>
    <w:rsid w:val="006D45D1"/>
    <w:rsid w:val="006D463C"/>
    <w:rsid w:val="006D4AC5"/>
    <w:rsid w:val="006D4ED6"/>
    <w:rsid w:val="006D5AC0"/>
    <w:rsid w:val="006E02AB"/>
    <w:rsid w:val="006E07B8"/>
    <w:rsid w:val="006E11E4"/>
    <w:rsid w:val="006E2CA4"/>
    <w:rsid w:val="006E3A4E"/>
    <w:rsid w:val="006E4608"/>
    <w:rsid w:val="006E64EA"/>
    <w:rsid w:val="006F0266"/>
    <w:rsid w:val="006F049F"/>
    <w:rsid w:val="006F195C"/>
    <w:rsid w:val="006F1966"/>
    <w:rsid w:val="006F4E3C"/>
    <w:rsid w:val="006F4F76"/>
    <w:rsid w:val="006F7708"/>
    <w:rsid w:val="007017E6"/>
    <w:rsid w:val="0070252A"/>
    <w:rsid w:val="007029F5"/>
    <w:rsid w:val="00703238"/>
    <w:rsid w:val="007036E5"/>
    <w:rsid w:val="007037D3"/>
    <w:rsid w:val="00704268"/>
    <w:rsid w:val="007043D1"/>
    <w:rsid w:val="00704C1A"/>
    <w:rsid w:val="007050C8"/>
    <w:rsid w:val="00705729"/>
    <w:rsid w:val="00705BA2"/>
    <w:rsid w:val="00706A8E"/>
    <w:rsid w:val="00706AA9"/>
    <w:rsid w:val="00706BEA"/>
    <w:rsid w:val="007104E1"/>
    <w:rsid w:val="00710EFE"/>
    <w:rsid w:val="00711FF7"/>
    <w:rsid w:val="007120C2"/>
    <w:rsid w:val="00712C1C"/>
    <w:rsid w:val="00714B63"/>
    <w:rsid w:val="00716B38"/>
    <w:rsid w:val="007171C8"/>
    <w:rsid w:val="00717357"/>
    <w:rsid w:val="00720645"/>
    <w:rsid w:val="00721737"/>
    <w:rsid w:val="00721BD3"/>
    <w:rsid w:val="00721CF3"/>
    <w:rsid w:val="0072225A"/>
    <w:rsid w:val="00722705"/>
    <w:rsid w:val="007236B1"/>
    <w:rsid w:val="00723B12"/>
    <w:rsid w:val="007243EB"/>
    <w:rsid w:val="00725792"/>
    <w:rsid w:val="00725D85"/>
    <w:rsid w:val="00726180"/>
    <w:rsid w:val="0072727E"/>
    <w:rsid w:val="00727544"/>
    <w:rsid w:val="0073045B"/>
    <w:rsid w:val="00731A78"/>
    <w:rsid w:val="00731EC4"/>
    <w:rsid w:val="00731FEA"/>
    <w:rsid w:val="00732B53"/>
    <w:rsid w:val="00732E22"/>
    <w:rsid w:val="00732EAA"/>
    <w:rsid w:val="00733C22"/>
    <w:rsid w:val="00734F17"/>
    <w:rsid w:val="0073663E"/>
    <w:rsid w:val="007371F9"/>
    <w:rsid w:val="00737310"/>
    <w:rsid w:val="00737A10"/>
    <w:rsid w:val="00741082"/>
    <w:rsid w:val="00741EA6"/>
    <w:rsid w:val="007442C7"/>
    <w:rsid w:val="00745090"/>
    <w:rsid w:val="007450EE"/>
    <w:rsid w:val="00745FDB"/>
    <w:rsid w:val="00746485"/>
    <w:rsid w:val="00746A6C"/>
    <w:rsid w:val="00746B45"/>
    <w:rsid w:val="00750197"/>
    <w:rsid w:val="00750784"/>
    <w:rsid w:val="007523D8"/>
    <w:rsid w:val="0075269F"/>
    <w:rsid w:val="00752D4C"/>
    <w:rsid w:val="0075313E"/>
    <w:rsid w:val="0075359F"/>
    <w:rsid w:val="0075414D"/>
    <w:rsid w:val="00754819"/>
    <w:rsid w:val="00754D94"/>
    <w:rsid w:val="0075640C"/>
    <w:rsid w:val="00756641"/>
    <w:rsid w:val="0075698B"/>
    <w:rsid w:val="007569F8"/>
    <w:rsid w:val="00756A60"/>
    <w:rsid w:val="0076040C"/>
    <w:rsid w:val="00760F16"/>
    <w:rsid w:val="0076239E"/>
    <w:rsid w:val="007625CB"/>
    <w:rsid w:val="007625DF"/>
    <w:rsid w:val="00764ACB"/>
    <w:rsid w:val="00765F27"/>
    <w:rsid w:val="00766353"/>
    <w:rsid w:val="007669D9"/>
    <w:rsid w:val="0076707B"/>
    <w:rsid w:val="00767099"/>
    <w:rsid w:val="00767D48"/>
    <w:rsid w:val="00770033"/>
    <w:rsid w:val="0077025D"/>
    <w:rsid w:val="007705E1"/>
    <w:rsid w:val="00770CB8"/>
    <w:rsid w:val="00771975"/>
    <w:rsid w:val="00771F8A"/>
    <w:rsid w:val="007735A1"/>
    <w:rsid w:val="007738E4"/>
    <w:rsid w:val="00775B65"/>
    <w:rsid w:val="007761D0"/>
    <w:rsid w:val="00776566"/>
    <w:rsid w:val="00776E51"/>
    <w:rsid w:val="007773CD"/>
    <w:rsid w:val="00781F6A"/>
    <w:rsid w:val="00782622"/>
    <w:rsid w:val="00782E56"/>
    <w:rsid w:val="007834D5"/>
    <w:rsid w:val="00783CD2"/>
    <w:rsid w:val="0078446F"/>
    <w:rsid w:val="00785324"/>
    <w:rsid w:val="00786B75"/>
    <w:rsid w:val="007872EB"/>
    <w:rsid w:val="007873D6"/>
    <w:rsid w:val="00790078"/>
    <w:rsid w:val="00790C44"/>
    <w:rsid w:val="00790FA1"/>
    <w:rsid w:val="007910F9"/>
    <w:rsid w:val="00791E07"/>
    <w:rsid w:val="00793339"/>
    <w:rsid w:val="00793BD1"/>
    <w:rsid w:val="00795149"/>
    <w:rsid w:val="00796088"/>
    <w:rsid w:val="0079705D"/>
    <w:rsid w:val="00797449"/>
    <w:rsid w:val="007975BF"/>
    <w:rsid w:val="00797EBC"/>
    <w:rsid w:val="007A005C"/>
    <w:rsid w:val="007A210C"/>
    <w:rsid w:val="007A26C5"/>
    <w:rsid w:val="007A3FE9"/>
    <w:rsid w:val="007A502F"/>
    <w:rsid w:val="007A5457"/>
    <w:rsid w:val="007A5706"/>
    <w:rsid w:val="007A576C"/>
    <w:rsid w:val="007A6026"/>
    <w:rsid w:val="007A69D4"/>
    <w:rsid w:val="007A7198"/>
    <w:rsid w:val="007A74FB"/>
    <w:rsid w:val="007A789F"/>
    <w:rsid w:val="007B09D3"/>
    <w:rsid w:val="007B18AD"/>
    <w:rsid w:val="007B2529"/>
    <w:rsid w:val="007B34F9"/>
    <w:rsid w:val="007B4FB9"/>
    <w:rsid w:val="007B6E50"/>
    <w:rsid w:val="007C0419"/>
    <w:rsid w:val="007C186A"/>
    <w:rsid w:val="007C25C0"/>
    <w:rsid w:val="007C56A0"/>
    <w:rsid w:val="007C5854"/>
    <w:rsid w:val="007C58EB"/>
    <w:rsid w:val="007C6115"/>
    <w:rsid w:val="007C79A7"/>
    <w:rsid w:val="007C7F39"/>
    <w:rsid w:val="007D10C7"/>
    <w:rsid w:val="007D2BFC"/>
    <w:rsid w:val="007D3FAA"/>
    <w:rsid w:val="007D4795"/>
    <w:rsid w:val="007D5848"/>
    <w:rsid w:val="007D5852"/>
    <w:rsid w:val="007D6994"/>
    <w:rsid w:val="007E27DC"/>
    <w:rsid w:val="007E305E"/>
    <w:rsid w:val="007E369D"/>
    <w:rsid w:val="007E4554"/>
    <w:rsid w:val="007E7E56"/>
    <w:rsid w:val="007E7FF9"/>
    <w:rsid w:val="007F00A0"/>
    <w:rsid w:val="007F028A"/>
    <w:rsid w:val="007F0E89"/>
    <w:rsid w:val="007F2F83"/>
    <w:rsid w:val="007F3A52"/>
    <w:rsid w:val="007F3AFF"/>
    <w:rsid w:val="007F43FA"/>
    <w:rsid w:val="007F4C9E"/>
    <w:rsid w:val="007F4CC2"/>
    <w:rsid w:val="007F4F2B"/>
    <w:rsid w:val="007F5053"/>
    <w:rsid w:val="007F61C1"/>
    <w:rsid w:val="007F681A"/>
    <w:rsid w:val="007F7FCD"/>
    <w:rsid w:val="0080246A"/>
    <w:rsid w:val="008032D4"/>
    <w:rsid w:val="00803BF2"/>
    <w:rsid w:val="008048A4"/>
    <w:rsid w:val="00804D18"/>
    <w:rsid w:val="0080556C"/>
    <w:rsid w:val="00806CEA"/>
    <w:rsid w:val="008073B7"/>
    <w:rsid w:val="008102B3"/>
    <w:rsid w:val="008114BE"/>
    <w:rsid w:val="008129D1"/>
    <w:rsid w:val="00812DF7"/>
    <w:rsid w:val="008136C3"/>
    <w:rsid w:val="00813D52"/>
    <w:rsid w:val="0081429E"/>
    <w:rsid w:val="008167F8"/>
    <w:rsid w:val="008172D3"/>
    <w:rsid w:val="0081769B"/>
    <w:rsid w:val="00817EAE"/>
    <w:rsid w:val="008203D1"/>
    <w:rsid w:val="00820471"/>
    <w:rsid w:val="00820CC6"/>
    <w:rsid w:val="00822202"/>
    <w:rsid w:val="0082356E"/>
    <w:rsid w:val="0082497B"/>
    <w:rsid w:val="008249A4"/>
    <w:rsid w:val="0082528A"/>
    <w:rsid w:val="00825D8B"/>
    <w:rsid w:val="008267C8"/>
    <w:rsid w:val="00826AFA"/>
    <w:rsid w:val="0083161A"/>
    <w:rsid w:val="00831A4D"/>
    <w:rsid w:val="00832107"/>
    <w:rsid w:val="008324F2"/>
    <w:rsid w:val="00832CF9"/>
    <w:rsid w:val="008336C4"/>
    <w:rsid w:val="00833FDD"/>
    <w:rsid w:val="00834D23"/>
    <w:rsid w:val="008352A7"/>
    <w:rsid w:val="00835D9E"/>
    <w:rsid w:val="00835EF5"/>
    <w:rsid w:val="0083704F"/>
    <w:rsid w:val="0083727D"/>
    <w:rsid w:val="00837412"/>
    <w:rsid w:val="00837B1A"/>
    <w:rsid w:val="00843F33"/>
    <w:rsid w:val="00845E80"/>
    <w:rsid w:val="008478D0"/>
    <w:rsid w:val="008508CA"/>
    <w:rsid w:val="00850E98"/>
    <w:rsid w:val="008523F8"/>
    <w:rsid w:val="00853D14"/>
    <w:rsid w:val="008549DF"/>
    <w:rsid w:val="0085598A"/>
    <w:rsid w:val="008559E1"/>
    <w:rsid w:val="00855C25"/>
    <w:rsid w:val="008563A4"/>
    <w:rsid w:val="008568F7"/>
    <w:rsid w:val="00857253"/>
    <w:rsid w:val="00857F9A"/>
    <w:rsid w:val="008607F9"/>
    <w:rsid w:val="008608F7"/>
    <w:rsid w:val="00860FE0"/>
    <w:rsid w:val="008611F0"/>
    <w:rsid w:val="008623F0"/>
    <w:rsid w:val="00862AB7"/>
    <w:rsid w:val="00862D11"/>
    <w:rsid w:val="0086413A"/>
    <w:rsid w:val="00864BCF"/>
    <w:rsid w:val="00864EB8"/>
    <w:rsid w:val="008658E5"/>
    <w:rsid w:val="0086597E"/>
    <w:rsid w:val="00865A25"/>
    <w:rsid w:val="00867918"/>
    <w:rsid w:val="00867B59"/>
    <w:rsid w:val="0087051F"/>
    <w:rsid w:val="00870C63"/>
    <w:rsid w:val="00871446"/>
    <w:rsid w:val="0087170D"/>
    <w:rsid w:val="008726A4"/>
    <w:rsid w:val="008728B2"/>
    <w:rsid w:val="00873740"/>
    <w:rsid w:val="00873A22"/>
    <w:rsid w:val="008744E1"/>
    <w:rsid w:val="00874F31"/>
    <w:rsid w:val="008758D8"/>
    <w:rsid w:val="008762B7"/>
    <w:rsid w:val="00880278"/>
    <w:rsid w:val="00881497"/>
    <w:rsid w:val="0088202F"/>
    <w:rsid w:val="00882488"/>
    <w:rsid w:val="008832E4"/>
    <w:rsid w:val="008835BA"/>
    <w:rsid w:val="00884545"/>
    <w:rsid w:val="00884A71"/>
    <w:rsid w:val="00886E5E"/>
    <w:rsid w:val="00886F38"/>
    <w:rsid w:val="00887128"/>
    <w:rsid w:val="00887B40"/>
    <w:rsid w:val="00887FC6"/>
    <w:rsid w:val="00890663"/>
    <w:rsid w:val="00891032"/>
    <w:rsid w:val="0089129A"/>
    <w:rsid w:val="00891A59"/>
    <w:rsid w:val="0089213D"/>
    <w:rsid w:val="00893176"/>
    <w:rsid w:val="00893397"/>
    <w:rsid w:val="00893A88"/>
    <w:rsid w:val="008940EA"/>
    <w:rsid w:val="00894EF3"/>
    <w:rsid w:val="00895ED7"/>
    <w:rsid w:val="00897496"/>
    <w:rsid w:val="00897D64"/>
    <w:rsid w:val="008A0DF8"/>
    <w:rsid w:val="008A1177"/>
    <w:rsid w:val="008A1B8C"/>
    <w:rsid w:val="008A3343"/>
    <w:rsid w:val="008A3479"/>
    <w:rsid w:val="008A5CCE"/>
    <w:rsid w:val="008A6B2E"/>
    <w:rsid w:val="008A6B3A"/>
    <w:rsid w:val="008A6BD3"/>
    <w:rsid w:val="008A7041"/>
    <w:rsid w:val="008A7122"/>
    <w:rsid w:val="008A7413"/>
    <w:rsid w:val="008A7EDA"/>
    <w:rsid w:val="008B051B"/>
    <w:rsid w:val="008B093E"/>
    <w:rsid w:val="008B0A68"/>
    <w:rsid w:val="008B0DB6"/>
    <w:rsid w:val="008B1504"/>
    <w:rsid w:val="008B187E"/>
    <w:rsid w:val="008B22CC"/>
    <w:rsid w:val="008B2D69"/>
    <w:rsid w:val="008B3EFB"/>
    <w:rsid w:val="008B3F54"/>
    <w:rsid w:val="008B4A14"/>
    <w:rsid w:val="008B5606"/>
    <w:rsid w:val="008B6F2B"/>
    <w:rsid w:val="008B764D"/>
    <w:rsid w:val="008B789E"/>
    <w:rsid w:val="008B79B1"/>
    <w:rsid w:val="008B7DED"/>
    <w:rsid w:val="008C03E3"/>
    <w:rsid w:val="008C252D"/>
    <w:rsid w:val="008C3004"/>
    <w:rsid w:val="008C3DED"/>
    <w:rsid w:val="008C42B4"/>
    <w:rsid w:val="008C4A67"/>
    <w:rsid w:val="008C549F"/>
    <w:rsid w:val="008C575A"/>
    <w:rsid w:val="008C6475"/>
    <w:rsid w:val="008C6776"/>
    <w:rsid w:val="008C703D"/>
    <w:rsid w:val="008D03F9"/>
    <w:rsid w:val="008D1DD7"/>
    <w:rsid w:val="008D20B2"/>
    <w:rsid w:val="008D3006"/>
    <w:rsid w:val="008D3B48"/>
    <w:rsid w:val="008D4645"/>
    <w:rsid w:val="008D556C"/>
    <w:rsid w:val="008D6FD1"/>
    <w:rsid w:val="008E012B"/>
    <w:rsid w:val="008E0A30"/>
    <w:rsid w:val="008E2710"/>
    <w:rsid w:val="008E288F"/>
    <w:rsid w:val="008E2B4E"/>
    <w:rsid w:val="008E4097"/>
    <w:rsid w:val="008E502F"/>
    <w:rsid w:val="008E5B38"/>
    <w:rsid w:val="008E759C"/>
    <w:rsid w:val="008E7A75"/>
    <w:rsid w:val="008F04DE"/>
    <w:rsid w:val="008F160D"/>
    <w:rsid w:val="008F1D48"/>
    <w:rsid w:val="008F2F71"/>
    <w:rsid w:val="008F4A6B"/>
    <w:rsid w:val="008F5108"/>
    <w:rsid w:val="008F5AE0"/>
    <w:rsid w:val="008F6B19"/>
    <w:rsid w:val="008F7AF1"/>
    <w:rsid w:val="00900026"/>
    <w:rsid w:val="0090090C"/>
    <w:rsid w:val="009035A8"/>
    <w:rsid w:val="009046B3"/>
    <w:rsid w:val="0090515C"/>
    <w:rsid w:val="00905A7C"/>
    <w:rsid w:val="0090654A"/>
    <w:rsid w:val="00906989"/>
    <w:rsid w:val="00907729"/>
    <w:rsid w:val="00907F2F"/>
    <w:rsid w:val="00911098"/>
    <w:rsid w:val="009149B0"/>
    <w:rsid w:val="00914A3C"/>
    <w:rsid w:val="00914B8B"/>
    <w:rsid w:val="00915281"/>
    <w:rsid w:val="00916466"/>
    <w:rsid w:val="0091665B"/>
    <w:rsid w:val="00917D5A"/>
    <w:rsid w:val="0092005E"/>
    <w:rsid w:val="00920D52"/>
    <w:rsid w:val="00921237"/>
    <w:rsid w:val="00921DAD"/>
    <w:rsid w:val="00922FA7"/>
    <w:rsid w:val="0092360C"/>
    <w:rsid w:val="00923B4A"/>
    <w:rsid w:val="00924077"/>
    <w:rsid w:val="00924958"/>
    <w:rsid w:val="009255D3"/>
    <w:rsid w:val="00926668"/>
    <w:rsid w:val="00926C65"/>
    <w:rsid w:val="00927389"/>
    <w:rsid w:val="00927575"/>
    <w:rsid w:val="0092767F"/>
    <w:rsid w:val="00927703"/>
    <w:rsid w:val="00927F34"/>
    <w:rsid w:val="00930B3B"/>
    <w:rsid w:val="00931AFA"/>
    <w:rsid w:val="00931D70"/>
    <w:rsid w:val="00932D91"/>
    <w:rsid w:val="009331F3"/>
    <w:rsid w:val="00934CB2"/>
    <w:rsid w:val="00934D8E"/>
    <w:rsid w:val="00935F49"/>
    <w:rsid w:val="0093740B"/>
    <w:rsid w:val="00937E86"/>
    <w:rsid w:val="00941CB8"/>
    <w:rsid w:val="00942EF2"/>
    <w:rsid w:val="009431FF"/>
    <w:rsid w:val="00944392"/>
    <w:rsid w:val="00944661"/>
    <w:rsid w:val="009446CA"/>
    <w:rsid w:val="00944741"/>
    <w:rsid w:val="00944A33"/>
    <w:rsid w:val="00946167"/>
    <w:rsid w:val="0094683A"/>
    <w:rsid w:val="00946E27"/>
    <w:rsid w:val="00947EC7"/>
    <w:rsid w:val="0095027D"/>
    <w:rsid w:val="009529B5"/>
    <w:rsid w:val="00952A0A"/>
    <w:rsid w:val="0095482E"/>
    <w:rsid w:val="009563AC"/>
    <w:rsid w:val="0095659E"/>
    <w:rsid w:val="00956A9D"/>
    <w:rsid w:val="00956E0D"/>
    <w:rsid w:val="00957161"/>
    <w:rsid w:val="00960800"/>
    <w:rsid w:val="00961A83"/>
    <w:rsid w:val="00963303"/>
    <w:rsid w:val="009639B3"/>
    <w:rsid w:val="00964094"/>
    <w:rsid w:val="00964309"/>
    <w:rsid w:val="00964C4E"/>
    <w:rsid w:val="009664C4"/>
    <w:rsid w:val="009668F8"/>
    <w:rsid w:val="009706F8"/>
    <w:rsid w:val="00970755"/>
    <w:rsid w:val="00971E39"/>
    <w:rsid w:val="00971F0F"/>
    <w:rsid w:val="0097368B"/>
    <w:rsid w:val="00973A4A"/>
    <w:rsid w:val="00973B12"/>
    <w:rsid w:val="009743F9"/>
    <w:rsid w:val="009749B4"/>
    <w:rsid w:val="00974E3A"/>
    <w:rsid w:val="00975D9D"/>
    <w:rsid w:val="00977622"/>
    <w:rsid w:val="009779E6"/>
    <w:rsid w:val="00980998"/>
    <w:rsid w:val="00982228"/>
    <w:rsid w:val="009825FB"/>
    <w:rsid w:val="00983082"/>
    <w:rsid w:val="0098539D"/>
    <w:rsid w:val="00985776"/>
    <w:rsid w:val="00985B7A"/>
    <w:rsid w:val="00985DA9"/>
    <w:rsid w:val="0098623E"/>
    <w:rsid w:val="00986B6B"/>
    <w:rsid w:val="009875A4"/>
    <w:rsid w:val="00987A4E"/>
    <w:rsid w:val="009900DA"/>
    <w:rsid w:val="00990D83"/>
    <w:rsid w:val="00992F04"/>
    <w:rsid w:val="00994017"/>
    <w:rsid w:val="0099453E"/>
    <w:rsid w:val="009946EB"/>
    <w:rsid w:val="00995824"/>
    <w:rsid w:val="009958F0"/>
    <w:rsid w:val="00996E33"/>
    <w:rsid w:val="00997CC7"/>
    <w:rsid w:val="009A0329"/>
    <w:rsid w:val="009A0973"/>
    <w:rsid w:val="009A0F72"/>
    <w:rsid w:val="009A0FF6"/>
    <w:rsid w:val="009A18AD"/>
    <w:rsid w:val="009A260D"/>
    <w:rsid w:val="009A366F"/>
    <w:rsid w:val="009A3A09"/>
    <w:rsid w:val="009A51AC"/>
    <w:rsid w:val="009A53EE"/>
    <w:rsid w:val="009A6EDF"/>
    <w:rsid w:val="009A771A"/>
    <w:rsid w:val="009B08A1"/>
    <w:rsid w:val="009B0DF2"/>
    <w:rsid w:val="009B2D0E"/>
    <w:rsid w:val="009B2EA4"/>
    <w:rsid w:val="009B464E"/>
    <w:rsid w:val="009B5874"/>
    <w:rsid w:val="009B6705"/>
    <w:rsid w:val="009B6F56"/>
    <w:rsid w:val="009C0312"/>
    <w:rsid w:val="009C090A"/>
    <w:rsid w:val="009C0D6D"/>
    <w:rsid w:val="009C1091"/>
    <w:rsid w:val="009C1CDF"/>
    <w:rsid w:val="009C2219"/>
    <w:rsid w:val="009C3882"/>
    <w:rsid w:val="009C458E"/>
    <w:rsid w:val="009C4890"/>
    <w:rsid w:val="009C675A"/>
    <w:rsid w:val="009C681C"/>
    <w:rsid w:val="009C70F6"/>
    <w:rsid w:val="009C7415"/>
    <w:rsid w:val="009C7E0E"/>
    <w:rsid w:val="009D12E5"/>
    <w:rsid w:val="009D2941"/>
    <w:rsid w:val="009D33C6"/>
    <w:rsid w:val="009D35E0"/>
    <w:rsid w:val="009D40D6"/>
    <w:rsid w:val="009D6BFD"/>
    <w:rsid w:val="009D6E7B"/>
    <w:rsid w:val="009D6EDD"/>
    <w:rsid w:val="009D7164"/>
    <w:rsid w:val="009E00B3"/>
    <w:rsid w:val="009E077F"/>
    <w:rsid w:val="009E0920"/>
    <w:rsid w:val="009E2409"/>
    <w:rsid w:val="009E2727"/>
    <w:rsid w:val="009E3021"/>
    <w:rsid w:val="009E34EC"/>
    <w:rsid w:val="009E3D34"/>
    <w:rsid w:val="009E4726"/>
    <w:rsid w:val="009E5F3B"/>
    <w:rsid w:val="009E6464"/>
    <w:rsid w:val="009E6BE4"/>
    <w:rsid w:val="009E6F9C"/>
    <w:rsid w:val="009E7756"/>
    <w:rsid w:val="009E7AEE"/>
    <w:rsid w:val="009F18D3"/>
    <w:rsid w:val="009F193D"/>
    <w:rsid w:val="009F1C67"/>
    <w:rsid w:val="009F43FE"/>
    <w:rsid w:val="009F646C"/>
    <w:rsid w:val="009F7776"/>
    <w:rsid w:val="009F7DBA"/>
    <w:rsid w:val="00A01F53"/>
    <w:rsid w:val="00A0205A"/>
    <w:rsid w:val="00A02385"/>
    <w:rsid w:val="00A02A9E"/>
    <w:rsid w:val="00A02F44"/>
    <w:rsid w:val="00A036F7"/>
    <w:rsid w:val="00A03E24"/>
    <w:rsid w:val="00A04B11"/>
    <w:rsid w:val="00A054EB"/>
    <w:rsid w:val="00A06973"/>
    <w:rsid w:val="00A100CF"/>
    <w:rsid w:val="00A108D1"/>
    <w:rsid w:val="00A10B64"/>
    <w:rsid w:val="00A10F95"/>
    <w:rsid w:val="00A12100"/>
    <w:rsid w:val="00A123A1"/>
    <w:rsid w:val="00A13519"/>
    <w:rsid w:val="00A155EC"/>
    <w:rsid w:val="00A16278"/>
    <w:rsid w:val="00A177A0"/>
    <w:rsid w:val="00A208F4"/>
    <w:rsid w:val="00A21855"/>
    <w:rsid w:val="00A219AA"/>
    <w:rsid w:val="00A21FF6"/>
    <w:rsid w:val="00A22742"/>
    <w:rsid w:val="00A22853"/>
    <w:rsid w:val="00A22A09"/>
    <w:rsid w:val="00A22EFB"/>
    <w:rsid w:val="00A23BB3"/>
    <w:rsid w:val="00A23FA8"/>
    <w:rsid w:val="00A25250"/>
    <w:rsid w:val="00A25CAA"/>
    <w:rsid w:val="00A25D3D"/>
    <w:rsid w:val="00A26391"/>
    <w:rsid w:val="00A26785"/>
    <w:rsid w:val="00A26993"/>
    <w:rsid w:val="00A26E30"/>
    <w:rsid w:val="00A26E37"/>
    <w:rsid w:val="00A2744C"/>
    <w:rsid w:val="00A301EB"/>
    <w:rsid w:val="00A303AB"/>
    <w:rsid w:val="00A3160F"/>
    <w:rsid w:val="00A31956"/>
    <w:rsid w:val="00A31B2F"/>
    <w:rsid w:val="00A326C4"/>
    <w:rsid w:val="00A338D1"/>
    <w:rsid w:val="00A343AC"/>
    <w:rsid w:val="00A35382"/>
    <w:rsid w:val="00A37FAB"/>
    <w:rsid w:val="00A37FC6"/>
    <w:rsid w:val="00A402EF"/>
    <w:rsid w:val="00A4064C"/>
    <w:rsid w:val="00A41592"/>
    <w:rsid w:val="00A41CB3"/>
    <w:rsid w:val="00A4253C"/>
    <w:rsid w:val="00A43BF5"/>
    <w:rsid w:val="00A44D83"/>
    <w:rsid w:val="00A4538E"/>
    <w:rsid w:val="00A45BEE"/>
    <w:rsid w:val="00A46B06"/>
    <w:rsid w:val="00A510F9"/>
    <w:rsid w:val="00A514D8"/>
    <w:rsid w:val="00A515DA"/>
    <w:rsid w:val="00A51DFD"/>
    <w:rsid w:val="00A52E53"/>
    <w:rsid w:val="00A52FC5"/>
    <w:rsid w:val="00A53974"/>
    <w:rsid w:val="00A53F5B"/>
    <w:rsid w:val="00A54370"/>
    <w:rsid w:val="00A54E05"/>
    <w:rsid w:val="00A55EEE"/>
    <w:rsid w:val="00A560FF"/>
    <w:rsid w:val="00A56543"/>
    <w:rsid w:val="00A56825"/>
    <w:rsid w:val="00A56BA8"/>
    <w:rsid w:val="00A56C2B"/>
    <w:rsid w:val="00A605C0"/>
    <w:rsid w:val="00A60CCB"/>
    <w:rsid w:val="00A614B8"/>
    <w:rsid w:val="00A62CA4"/>
    <w:rsid w:val="00A6302B"/>
    <w:rsid w:val="00A65152"/>
    <w:rsid w:val="00A656F8"/>
    <w:rsid w:val="00A65C3C"/>
    <w:rsid w:val="00A65E9B"/>
    <w:rsid w:val="00A66593"/>
    <w:rsid w:val="00A70475"/>
    <w:rsid w:val="00A7129C"/>
    <w:rsid w:val="00A71CD9"/>
    <w:rsid w:val="00A71D2F"/>
    <w:rsid w:val="00A73152"/>
    <w:rsid w:val="00A73A10"/>
    <w:rsid w:val="00A73F5D"/>
    <w:rsid w:val="00A7589F"/>
    <w:rsid w:val="00A76B38"/>
    <w:rsid w:val="00A779BD"/>
    <w:rsid w:val="00A801E6"/>
    <w:rsid w:val="00A8034B"/>
    <w:rsid w:val="00A80820"/>
    <w:rsid w:val="00A80BA4"/>
    <w:rsid w:val="00A80CB4"/>
    <w:rsid w:val="00A815A7"/>
    <w:rsid w:val="00A82E95"/>
    <w:rsid w:val="00A82F22"/>
    <w:rsid w:val="00A83A17"/>
    <w:rsid w:val="00A83B24"/>
    <w:rsid w:val="00A847CB"/>
    <w:rsid w:val="00A85B10"/>
    <w:rsid w:val="00A86C6F"/>
    <w:rsid w:val="00A87220"/>
    <w:rsid w:val="00A873C1"/>
    <w:rsid w:val="00A87DF3"/>
    <w:rsid w:val="00A9207C"/>
    <w:rsid w:val="00A92D1C"/>
    <w:rsid w:val="00A93B18"/>
    <w:rsid w:val="00A945FF"/>
    <w:rsid w:val="00A97022"/>
    <w:rsid w:val="00A97D5D"/>
    <w:rsid w:val="00AA02D6"/>
    <w:rsid w:val="00AA07AB"/>
    <w:rsid w:val="00AA2985"/>
    <w:rsid w:val="00AA45B1"/>
    <w:rsid w:val="00AA5843"/>
    <w:rsid w:val="00AA5993"/>
    <w:rsid w:val="00AA69E8"/>
    <w:rsid w:val="00AA6EE0"/>
    <w:rsid w:val="00AB00B9"/>
    <w:rsid w:val="00AB12A7"/>
    <w:rsid w:val="00AB2406"/>
    <w:rsid w:val="00AB266A"/>
    <w:rsid w:val="00AB3663"/>
    <w:rsid w:val="00AB4F20"/>
    <w:rsid w:val="00AB57D4"/>
    <w:rsid w:val="00AB5D98"/>
    <w:rsid w:val="00AB62DF"/>
    <w:rsid w:val="00AB6F7C"/>
    <w:rsid w:val="00AB6FED"/>
    <w:rsid w:val="00AB7BDA"/>
    <w:rsid w:val="00AB7BE3"/>
    <w:rsid w:val="00AB7CA9"/>
    <w:rsid w:val="00AB7E88"/>
    <w:rsid w:val="00AC0BCB"/>
    <w:rsid w:val="00AC2822"/>
    <w:rsid w:val="00AC3877"/>
    <w:rsid w:val="00AC4045"/>
    <w:rsid w:val="00AC4CFA"/>
    <w:rsid w:val="00AC79CD"/>
    <w:rsid w:val="00AD00C8"/>
    <w:rsid w:val="00AD032E"/>
    <w:rsid w:val="00AD0785"/>
    <w:rsid w:val="00AD11C4"/>
    <w:rsid w:val="00AD198A"/>
    <w:rsid w:val="00AD1E57"/>
    <w:rsid w:val="00AD1FB9"/>
    <w:rsid w:val="00AD24BC"/>
    <w:rsid w:val="00AD41D1"/>
    <w:rsid w:val="00AD46E6"/>
    <w:rsid w:val="00AD4A38"/>
    <w:rsid w:val="00AD5CDA"/>
    <w:rsid w:val="00AD6D8D"/>
    <w:rsid w:val="00AD6E70"/>
    <w:rsid w:val="00AE14B9"/>
    <w:rsid w:val="00AE20BA"/>
    <w:rsid w:val="00AE3568"/>
    <w:rsid w:val="00AE38AD"/>
    <w:rsid w:val="00AE4158"/>
    <w:rsid w:val="00AE6D1E"/>
    <w:rsid w:val="00AE7CCD"/>
    <w:rsid w:val="00AF354B"/>
    <w:rsid w:val="00AF3D59"/>
    <w:rsid w:val="00AF7027"/>
    <w:rsid w:val="00AF744A"/>
    <w:rsid w:val="00B00239"/>
    <w:rsid w:val="00B01783"/>
    <w:rsid w:val="00B02831"/>
    <w:rsid w:val="00B03424"/>
    <w:rsid w:val="00B04271"/>
    <w:rsid w:val="00B055FE"/>
    <w:rsid w:val="00B05AFA"/>
    <w:rsid w:val="00B05B10"/>
    <w:rsid w:val="00B0684F"/>
    <w:rsid w:val="00B06CEC"/>
    <w:rsid w:val="00B06DA0"/>
    <w:rsid w:val="00B07318"/>
    <w:rsid w:val="00B107AD"/>
    <w:rsid w:val="00B10B80"/>
    <w:rsid w:val="00B12678"/>
    <w:rsid w:val="00B1289E"/>
    <w:rsid w:val="00B132B6"/>
    <w:rsid w:val="00B1433A"/>
    <w:rsid w:val="00B16D62"/>
    <w:rsid w:val="00B174D4"/>
    <w:rsid w:val="00B174F4"/>
    <w:rsid w:val="00B2031C"/>
    <w:rsid w:val="00B21641"/>
    <w:rsid w:val="00B221D4"/>
    <w:rsid w:val="00B22F22"/>
    <w:rsid w:val="00B23484"/>
    <w:rsid w:val="00B24813"/>
    <w:rsid w:val="00B24AA2"/>
    <w:rsid w:val="00B256C8"/>
    <w:rsid w:val="00B25B25"/>
    <w:rsid w:val="00B25F4A"/>
    <w:rsid w:val="00B26CE4"/>
    <w:rsid w:val="00B27E3B"/>
    <w:rsid w:val="00B30897"/>
    <w:rsid w:val="00B3376A"/>
    <w:rsid w:val="00B33D0B"/>
    <w:rsid w:val="00B3462E"/>
    <w:rsid w:val="00B3481A"/>
    <w:rsid w:val="00B34BFF"/>
    <w:rsid w:val="00B354EA"/>
    <w:rsid w:val="00B35B20"/>
    <w:rsid w:val="00B43367"/>
    <w:rsid w:val="00B43DFB"/>
    <w:rsid w:val="00B44FB3"/>
    <w:rsid w:val="00B46470"/>
    <w:rsid w:val="00B50D7C"/>
    <w:rsid w:val="00B5101B"/>
    <w:rsid w:val="00B51224"/>
    <w:rsid w:val="00B51DDA"/>
    <w:rsid w:val="00B51FDA"/>
    <w:rsid w:val="00B5265B"/>
    <w:rsid w:val="00B52842"/>
    <w:rsid w:val="00B52A34"/>
    <w:rsid w:val="00B53321"/>
    <w:rsid w:val="00B54495"/>
    <w:rsid w:val="00B54572"/>
    <w:rsid w:val="00B558BD"/>
    <w:rsid w:val="00B55E9D"/>
    <w:rsid w:val="00B571A0"/>
    <w:rsid w:val="00B622B1"/>
    <w:rsid w:val="00B62F72"/>
    <w:rsid w:val="00B64733"/>
    <w:rsid w:val="00B648E6"/>
    <w:rsid w:val="00B6510C"/>
    <w:rsid w:val="00B65380"/>
    <w:rsid w:val="00B65603"/>
    <w:rsid w:val="00B66051"/>
    <w:rsid w:val="00B674BC"/>
    <w:rsid w:val="00B676C9"/>
    <w:rsid w:val="00B70BC4"/>
    <w:rsid w:val="00B718D9"/>
    <w:rsid w:val="00B73EDB"/>
    <w:rsid w:val="00B7532D"/>
    <w:rsid w:val="00B75BE2"/>
    <w:rsid w:val="00B76057"/>
    <w:rsid w:val="00B7737A"/>
    <w:rsid w:val="00B7758A"/>
    <w:rsid w:val="00B802C2"/>
    <w:rsid w:val="00B80481"/>
    <w:rsid w:val="00B81029"/>
    <w:rsid w:val="00B818B9"/>
    <w:rsid w:val="00B8196A"/>
    <w:rsid w:val="00B821E0"/>
    <w:rsid w:val="00B830F6"/>
    <w:rsid w:val="00B833D0"/>
    <w:rsid w:val="00B8368A"/>
    <w:rsid w:val="00B83C6B"/>
    <w:rsid w:val="00B84D88"/>
    <w:rsid w:val="00B863B4"/>
    <w:rsid w:val="00B8692A"/>
    <w:rsid w:val="00B86A3D"/>
    <w:rsid w:val="00B8714B"/>
    <w:rsid w:val="00B90167"/>
    <w:rsid w:val="00B933B4"/>
    <w:rsid w:val="00B93553"/>
    <w:rsid w:val="00B94C98"/>
    <w:rsid w:val="00BA01E4"/>
    <w:rsid w:val="00BA08D7"/>
    <w:rsid w:val="00BA0A4E"/>
    <w:rsid w:val="00BA20CE"/>
    <w:rsid w:val="00BA27E1"/>
    <w:rsid w:val="00BA2C64"/>
    <w:rsid w:val="00BA38B1"/>
    <w:rsid w:val="00BA41A4"/>
    <w:rsid w:val="00BA44E0"/>
    <w:rsid w:val="00BA49E8"/>
    <w:rsid w:val="00BA4F91"/>
    <w:rsid w:val="00BA6439"/>
    <w:rsid w:val="00BA690C"/>
    <w:rsid w:val="00BA7560"/>
    <w:rsid w:val="00BA7F38"/>
    <w:rsid w:val="00BB01FA"/>
    <w:rsid w:val="00BB0491"/>
    <w:rsid w:val="00BB0939"/>
    <w:rsid w:val="00BB13DC"/>
    <w:rsid w:val="00BB1919"/>
    <w:rsid w:val="00BB2ED5"/>
    <w:rsid w:val="00BB2FF5"/>
    <w:rsid w:val="00BB355B"/>
    <w:rsid w:val="00BB38EA"/>
    <w:rsid w:val="00BB3C20"/>
    <w:rsid w:val="00BB3F31"/>
    <w:rsid w:val="00BB43FA"/>
    <w:rsid w:val="00BB4F9D"/>
    <w:rsid w:val="00BB5566"/>
    <w:rsid w:val="00BB56A1"/>
    <w:rsid w:val="00BB57AA"/>
    <w:rsid w:val="00BB5868"/>
    <w:rsid w:val="00BB5A5B"/>
    <w:rsid w:val="00BB5BB1"/>
    <w:rsid w:val="00BB643E"/>
    <w:rsid w:val="00BB6C01"/>
    <w:rsid w:val="00BB729F"/>
    <w:rsid w:val="00BC019E"/>
    <w:rsid w:val="00BC0A9A"/>
    <w:rsid w:val="00BC1C09"/>
    <w:rsid w:val="00BC1DE0"/>
    <w:rsid w:val="00BC2ADB"/>
    <w:rsid w:val="00BC2CB5"/>
    <w:rsid w:val="00BC31C3"/>
    <w:rsid w:val="00BC3C2D"/>
    <w:rsid w:val="00BC3C74"/>
    <w:rsid w:val="00BC3E7B"/>
    <w:rsid w:val="00BC4B4F"/>
    <w:rsid w:val="00BC51EE"/>
    <w:rsid w:val="00BC7482"/>
    <w:rsid w:val="00BD0972"/>
    <w:rsid w:val="00BD1245"/>
    <w:rsid w:val="00BD1F0B"/>
    <w:rsid w:val="00BD22BC"/>
    <w:rsid w:val="00BD2339"/>
    <w:rsid w:val="00BD2F49"/>
    <w:rsid w:val="00BD45A0"/>
    <w:rsid w:val="00BD45CC"/>
    <w:rsid w:val="00BD5938"/>
    <w:rsid w:val="00BD5ED0"/>
    <w:rsid w:val="00BD6731"/>
    <w:rsid w:val="00BD745D"/>
    <w:rsid w:val="00BD77BF"/>
    <w:rsid w:val="00BE10AF"/>
    <w:rsid w:val="00BE1A18"/>
    <w:rsid w:val="00BE1C6E"/>
    <w:rsid w:val="00BE2704"/>
    <w:rsid w:val="00BE29EB"/>
    <w:rsid w:val="00BE2E79"/>
    <w:rsid w:val="00BE33EA"/>
    <w:rsid w:val="00BE3FE8"/>
    <w:rsid w:val="00BE5757"/>
    <w:rsid w:val="00BE63CF"/>
    <w:rsid w:val="00BE68A3"/>
    <w:rsid w:val="00BE6A09"/>
    <w:rsid w:val="00BE6F2E"/>
    <w:rsid w:val="00BF120A"/>
    <w:rsid w:val="00BF22D6"/>
    <w:rsid w:val="00BF3F21"/>
    <w:rsid w:val="00BF4F1C"/>
    <w:rsid w:val="00C00783"/>
    <w:rsid w:val="00C02CE6"/>
    <w:rsid w:val="00C040C0"/>
    <w:rsid w:val="00C0545E"/>
    <w:rsid w:val="00C05ADB"/>
    <w:rsid w:val="00C05EB2"/>
    <w:rsid w:val="00C06006"/>
    <w:rsid w:val="00C06427"/>
    <w:rsid w:val="00C068F0"/>
    <w:rsid w:val="00C06ADF"/>
    <w:rsid w:val="00C06C3B"/>
    <w:rsid w:val="00C07011"/>
    <w:rsid w:val="00C1007D"/>
    <w:rsid w:val="00C10305"/>
    <w:rsid w:val="00C10763"/>
    <w:rsid w:val="00C10FED"/>
    <w:rsid w:val="00C1184E"/>
    <w:rsid w:val="00C119C4"/>
    <w:rsid w:val="00C11AAB"/>
    <w:rsid w:val="00C12307"/>
    <w:rsid w:val="00C1235D"/>
    <w:rsid w:val="00C12854"/>
    <w:rsid w:val="00C14256"/>
    <w:rsid w:val="00C14A34"/>
    <w:rsid w:val="00C15602"/>
    <w:rsid w:val="00C1570B"/>
    <w:rsid w:val="00C17134"/>
    <w:rsid w:val="00C218C3"/>
    <w:rsid w:val="00C21D09"/>
    <w:rsid w:val="00C22A24"/>
    <w:rsid w:val="00C2313C"/>
    <w:rsid w:val="00C241B6"/>
    <w:rsid w:val="00C24855"/>
    <w:rsid w:val="00C276C4"/>
    <w:rsid w:val="00C3192C"/>
    <w:rsid w:val="00C32B1B"/>
    <w:rsid w:val="00C333CA"/>
    <w:rsid w:val="00C33621"/>
    <w:rsid w:val="00C35A1F"/>
    <w:rsid w:val="00C36438"/>
    <w:rsid w:val="00C370C4"/>
    <w:rsid w:val="00C405A4"/>
    <w:rsid w:val="00C4084B"/>
    <w:rsid w:val="00C4127B"/>
    <w:rsid w:val="00C4165F"/>
    <w:rsid w:val="00C429C0"/>
    <w:rsid w:val="00C42AF8"/>
    <w:rsid w:val="00C447B0"/>
    <w:rsid w:val="00C448D6"/>
    <w:rsid w:val="00C451AC"/>
    <w:rsid w:val="00C45BB8"/>
    <w:rsid w:val="00C45D9A"/>
    <w:rsid w:val="00C4608F"/>
    <w:rsid w:val="00C46F1C"/>
    <w:rsid w:val="00C470A8"/>
    <w:rsid w:val="00C472EF"/>
    <w:rsid w:val="00C477B7"/>
    <w:rsid w:val="00C478D1"/>
    <w:rsid w:val="00C47B5D"/>
    <w:rsid w:val="00C5127E"/>
    <w:rsid w:val="00C518AA"/>
    <w:rsid w:val="00C526A1"/>
    <w:rsid w:val="00C548AC"/>
    <w:rsid w:val="00C54E23"/>
    <w:rsid w:val="00C55C97"/>
    <w:rsid w:val="00C55D08"/>
    <w:rsid w:val="00C56A05"/>
    <w:rsid w:val="00C6146F"/>
    <w:rsid w:val="00C61C54"/>
    <w:rsid w:val="00C61CE6"/>
    <w:rsid w:val="00C62D41"/>
    <w:rsid w:val="00C63067"/>
    <w:rsid w:val="00C63206"/>
    <w:rsid w:val="00C64FE0"/>
    <w:rsid w:val="00C6508F"/>
    <w:rsid w:val="00C65110"/>
    <w:rsid w:val="00C67383"/>
    <w:rsid w:val="00C70639"/>
    <w:rsid w:val="00C70834"/>
    <w:rsid w:val="00C717E3"/>
    <w:rsid w:val="00C72483"/>
    <w:rsid w:val="00C7330E"/>
    <w:rsid w:val="00C74185"/>
    <w:rsid w:val="00C7515D"/>
    <w:rsid w:val="00C76702"/>
    <w:rsid w:val="00C7773F"/>
    <w:rsid w:val="00C77E47"/>
    <w:rsid w:val="00C77FA5"/>
    <w:rsid w:val="00C8016B"/>
    <w:rsid w:val="00C804F2"/>
    <w:rsid w:val="00C80FA4"/>
    <w:rsid w:val="00C821CD"/>
    <w:rsid w:val="00C838F6"/>
    <w:rsid w:val="00C83B28"/>
    <w:rsid w:val="00C83E24"/>
    <w:rsid w:val="00C8470D"/>
    <w:rsid w:val="00C85CEE"/>
    <w:rsid w:val="00C85EF2"/>
    <w:rsid w:val="00C869F0"/>
    <w:rsid w:val="00C86C17"/>
    <w:rsid w:val="00C90391"/>
    <w:rsid w:val="00C904FD"/>
    <w:rsid w:val="00C908A9"/>
    <w:rsid w:val="00C90AD7"/>
    <w:rsid w:val="00C90DF7"/>
    <w:rsid w:val="00C943E5"/>
    <w:rsid w:val="00C9479B"/>
    <w:rsid w:val="00C94AD1"/>
    <w:rsid w:val="00C94D12"/>
    <w:rsid w:val="00C95738"/>
    <w:rsid w:val="00C959BC"/>
    <w:rsid w:val="00C95D5A"/>
    <w:rsid w:val="00C961E2"/>
    <w:rsid w:val="00CA0D57"/>
    <w:rsid w:val="00CA1F37"/>
    <w:rsid w:val="00CA29E6"/>
    <w:rsid w:val="00CA3063"/>
    <w:rsid w:val="00CA3AAB"/>
    <w:rsid w:val="00CA40E6"/>
    <w:rsid w:val="00CA4380"/>
    <w:rsid w:val="00CA4EE3"/>
    <w:rsid w:val="00CA6A00"/>
    <w:rsid w:val="00CA7814"/>
    <w:rsid w:val="00CB1711"/>
    <w:rsid w:val="00CB3EE6"/>
    <w:rsid w:val="00CB677F"/>
    <w:rsid w:val="00CB6EAF"/>
    <w:rsid w:val="00CB71BC"/>
    <w:rsid w:val="00CB764A"/>
    <w:rsid w:val="00CB7733"/>
    <w:rsid w:val="00CB78F6"/>
    <w:rsid w:val="00CC1C46"/>
    <w:rsid w:val="00CC1CB5"/>
    <w:rsid w:val="00CC1F35"/>
    <w:rsid w:val="00CC2868"/>
    <w:rsid w:val="00CC2B38"/>
    <w:rsid w:val="00CC2EE0"/>
    <w:rsid w:val="00CC3187"/>
    <w:rsid w:val="00CC4261"/>
    <w:rsid w:val="00CC435C"/>
    <w:rsid w:val="00CC4B61"/>
    <w:rsid w:val="00CC57F0"/>
    <w:rsid w:val="00CC59EB"/>
    <w:rsid w:val="00CC6AF6"/>
    <w:rsid w:val="00CC6DCC"/>
    <w:rsid w:val="00CC76C4"/>
    <w:rsid w:val="00CD01D3"/>
    <w:rsid w:val="00CD0834"/>
    <w:rsid w:val="00CD244E"/>
    <w:rsid w:val="00CD3161"/>
    <w:rsid w:val="00CD36E4"/>
    <w:rsid w:val="00CD3AA8"/>
    <w:rsid w:val="00CD471E"/>
    <w:rsid w:val="00CD4CA9"/>
    <w:rsid w:val="00CE009D"/>
    <w:rsid w:val="00CE11E0"/>
    <w:rsid w:val="00CE27FC"/>
    <w:rsid w:val="00CE30BE"/>
    <w:rsid w:val="00CE3598"/>
    <w:rsid w:val="00CE3EBD"/>
    <w:rsid w:val="00CE6814"/>
    <w:rsid w:val="00CF0540"/>
    <w:rsid w:val="00CF1253"/>
    <w:rsid w:val="00CF1668"/>
    <w:rsid w:val="00CF2509"/>
    <w:rsid w:val="00CF4CBE"/>
    <w:rsid w:val="00CF5106"/>
    <w:rsid w:val="00CF5131"/>
    <w:rsid w:val="00CF532F"/>
    <w:rsid w:val="00CF5595"/>
    <w:rsid w:val="00CF5EAB"/>
    <w:rsid w:val="00CF69FE"/>
    <w:rsid w:val="00CF6BDC"/>
    <w:rsid w:val="00CF7034"/>
    <w:rsid w:val="00CF74D5"/>
    <w:rsid w:val="00CF7E60"/>
    <w:rsid w:val="00CF7FCC"/>
    <w:rsid w:val="00D017FF"/>
    <w:rsid w:val="00D025B9"/>
    <w:rsid w:val="00D033C8"/>
    <w:rsid w:val="00D03B6D"/>
    <w:rsid w:val="00D0464A"/>
    <w:rsid w:val="00D06B50"/>
    <w:rsid w:val="00D071D7"/>
    <w:rsid w:val="00D10404"/>
    <w:rsid w:val="00D1055A"/>
    <w:rsid w:val="00D11A19"/>
    <w:rsid w:val="00D13176"/>
    <w:rsid w:val="00D13B2F"/>
    <w:rsid w:val="00D146C0"/>
    <w:rsid w:val="00D14E70"/>
    <w:rsid w:val="00D159CE"/>
    <w:rsid w:val="00D1627C"/>
    <w:rsid w:val="00D162A5"/>
    <w:rsid w:val="00D16413"/>
    <w:rsid w:val="00D16BCD"/>
    <w:rsid w:val="00D1743E"/>
    <w:rsid w:val="00D20626"/>
    <w:rsid w:val="00D20CE1"/>
    <w:rsid w:val="00D219E2"/>
    <w:rsid w:val="00D21A6F"/>
    <w:rsid w:val="00D21A73"/>
    <w:rsid w:val="00D21B40"/>
    <w:rsid w:val="00D2254A"/>
    <w:rsid w:val="00D2288F"/>
    <w:rsid w:val="00D23101"/>
    <w:rsid w:val="00D23382"/>
    <w:rsid w:val="00D2369D"/>
    <w:rsid w:val="00D25716"/>
    <w:rsid w:val="00D26378"/>
    <w:rsid w:val="00D27133"/>
    <w:rsid w:val="00D30BE7"/>
    <w:rsid w:val="00D31669"/>
    <w:rsid w:val="00D326F8"/>
    <w:rsid w:val="00D33BD2"/>
    <w:rsid w:val="00D33C55"/>
    <w:rsid w:val="00D3442D"/>
    <w:rsid w:val="00D34492"/>
    <w:rsid w:val="00D34AAA"/>
    <w:rsid w:val="00D37236"/>
    <w:rsid w:val="00D3775E"/>
    <w:rsid w:val="00D378B2"/>
    <w:rsid w:val="00D41394"/>
    <w:rsid w:val="00D42AEC"/>
    <w:rsid w:val="00D44061"/>
    <w:rsid w:val="00D44F9E"/>
    <w:rsid w:val="00D452B3"/>
    <w:rsid w:val="00D45FD8"/>
    <w:rsid w:val="00D46B4A"/>
    <w:rsid w:val="00D4717D"/>
    <w:rsid w:val="00D472FF"/>
    <w:rsid w:val="00D507CA"/>
    <w:rsid w:val="00D510EA"/>
    <w:rsid w:val="00D52A5C"/>
    <w:rsid w:val="00D52DB0"/>
    <w:rsid w:val="00D52FBC"/>
    <w:rsid w:val="00D5383A"/>
    <w:rsid w:val="00D53C89"/>
    <w:rsid w:val="00D556F4"/>
    <w:rsid w:val="00D5598B"/>
    <w:rsid w:val="00D6021F"/>
    <w:rsid w:val="00D6050B"/>
    <w:rsid w:val="00D60755"/>
    <w:rsid w:val="00D60775"/>
    <w:rsid w:val="00D609E5"/>
    <w:rsid w:val="00D61268"/>
    <w:rsid w:val="00D623C6"/>
    <w:rsid w:val="00D6309A"/>
    <w:rsid w:val="00D639CA"/>
    <w:rsid w:val="00D64979"/>
    <w:rsid w:val="00D64AC7"/>
    <w:rsid w:val="00D65439"/>
    <w:rsid w:val="00D65CF6"/>
    <w:rsid w:val="00D65E69"/>
    <w:rsid w:val="00D65F53"/>
    <w:rsid w:val="00D668A6"/>
    <w:rsid w:val="00D67970"/>
    <w:rsid w:val="00D701D8"/>
    <w:rsid w:val="00D70992"/>
    <w:rsid w:val="00D71A32"/>
    <w:rsid w:val="00D7221A"/>
    <w:rsid w:val="00D73039"/>
    <w:rsid w:val="00D739E7"/>
    <w:rsid w:val="00D75AEC"/>
    <w:rsid w:val="00D765D6"/>
    <w:rsid w:val="00D76815"/>
    <w:rsid w:val="00D76D4F"/>
    <w:rsid w:val="00D77A6A"/>
    <w:rsid w:val="00D77A9A"/>
    <w:rsid w:val="00D80EFD"/>
    <w:rsid w:val="00D8186D"/>
    <w:rsid w:val="00D827C1"/>
    <w:rsid w:val="00D82A0D"/>
    <w:rsid w:val="00D82E8E"/>
    <w:rsid w:val="00D83878"/>
    <w:rsid w:val="00D840A2"/>
    <w:rsid w:val="00D84C1D"/>
    <w:rsid w:val="00D84FF2"/>
    <w:rsid w:val="00D85153"/>
    <w:rsid w:val="00D855BE"/>
    <w:rsid w:val="00D909C1"/>
    <w:rsid w:val="00D91183"/>
    <w:rsid w:val="00D915AB"/>
    <w:rsid w:val="00D919AC"/>
    <w:rsid w:val="00D919DE"/>
    <w:rsid w:val="00D925CB"/>
    <w:rsid w:val="00D92D5D"/>
    <w:rsid w:val="00D92F08"/>
    <w:rsid w:val="00D93787"/>
    <w:rsid w:val="00D938F4"/>
    <w:rsid w:val="00D93D3C"/>
    <w:rsid w:val="00D9452D"/>
    <w:rsid w:val="00D94B92"/>
    <w:rsid w:val="00D951D4"/>
    <w:rsid w:val="00D95BEB"/>
    <w:rsid w:val="00D97462"/>
    <w:rsid w:val="00DA0A72"/>
    <w:rsid w:val="00DA20D0"/>
    <w:rsid w:val="00DA33A2"/>
    <w:rsid w:val="00DA5426"/>
    <w:rsid w:val="00DA5F6F"/>
    <w:rsid w:val="00DA6519"/>
    <w:rsid w:val="00DA6677"/>
    <w:rsid w:val="00DA6A9D"/>
    <w:rsid w:val="00DA7021"/>
    <w:rsid w:val="00DA770C"/>
    <w:rsid w:val="00DB1327"/>
    <w:rsid w:val="00DB167C"/>
    <w:rsid w:val="00DB2D5B"/>
    <w:rsid w:val="00DB33F9"/>
    <w:rsid w:val="00DB3552"/>
    <w:rsid w:val="00DB497B"/>
    <w:rsid w:val="00DB49FD"/>
    <w:rsid w:val="00DB512C"/>
    <w:rsid w:val="00DB5269"/>
    <w:rsid w:val="00DB5A13"/>
    <w:rsid w:val="00DB66BA"/>
    <w:rsid w:val="00DB6E40"/>
    <w:rsid w:val="00DB734B"/>
    <w:rsid w:val="00DC09A0"/>
    <w:rsid w:val="00DC1DB6"/>
    <w:rsid w:val="00DC30EF"/>
    <w:rsid w:val="00DC36AD"/>
    <w:rsid w:val="00DC3E3A"/>
    <w:rsid w:val="00DC3EE9"/>
    <w:rsid w:val="00DC3FD1"/>
    <w:rsid w:val="00DC415D"/>
    <w:rsid w:val="00DC6250"/>
    <w:rsid w:val="00DC71AD"/>
    <w:rsid w:val="00DD052F"/>
    <w:rsid w:val="00DD0C04"/>
    <w:rsid w:val="00DD1785"/>
    <w:rsid w:val="00DD2180"/>
    <w:rsid w:val="00DD30AB"/>
    <w:rsid w:val="00DD3900"/>
    <w:rsid w:val="00DD4855"/>
    <w:rsid w:val="00DD4936"/>
    <w:rsid w:val="00DD5353"/>
    <w:rsid w:val="00DD5956"/>
    <w:rsid w:val="00DD65BC"/>
    <w:rsid w:val="00DD757F"/>
    <w:rsid w:val="00DD77EC"/>
    <w:rsid w:val="00DD7B40"/>
    <w:rsid w:val="00DD7DD5"/>
    <w:rsid w:val="00DE10CC"/>
    <w:rsid w:val="00DE11FB"/>
    <w:rsid w:val="00DE13E9"/>
    <w:rsid w:val="00DE3442"/>
    <w:rsid w:val="00DE3BDE"/>
    <w:rsid w:val="00DE4105"/>
    <w:rsid w:val="00DE56E3"/>
    <w:rsid w:val="00DE57C9"/>
    <w:rsid w:val="00DF0573"/>
    <w:rsid w:val="00DF1432"/>
    <w:rsid w:val="00DF192D"/>
    <w:rsid w:val="00DF2C7F"/>
    <w:rsid w:val="00DF302D"/>
    <w:rsid w:val="00DF3786"/>
    <w:rsid w:val="00DF3AAC"/>
    <w:rsid w:val="00DF41A6"/>
    <w:rsid w:val="00DF4AA5"/>
    <w:rsid w:val="00DF58B1"/>
    <w:rsid w:val="00E00F24"/>
    <w:rsid w:val="00E01522"/>
    <w:rsid w:val="00E03B5B"/>
    <w:rsid w:val="00E04740"/>
    <w:rsid w:val="00E0498B"/>
    <w:rsid w:val="00E055CC"/>
    <w:rsid w:val="00E065F9"/>
    <w:rsid w:val="00E1077D"/>
    <w:rsid w:val="00E11971"/>
    <w:rsid w:val="00E12325"/>
    <w:rsid w:val="00E12F34"/>
    <w:rsid w:val="00E144A4"/>
    <w:rsid w:val="00E14D2E"/>
    <w:rsid w:val="00E14D4D"/>
    <w:rsid w:val="00E155AD"/>
    <w:rsid w:val="00E15E0A"/>
    <w:rsid w:val="00E1676E"/>
    <w:rsid w:val="00E16F90"/>
    <w:rsid w:val="00E179DF"/>
    <w:rsid w:val="00E21531"/>
    <w:rsid w:val="00E21917"/>
    <w:rsid w:val="00E2464F"/>
    <w:rsid w:val="00E24F8E"/>
    <w:rsid w:val="00E25512"/>
    <w:rsid w:val="00E259CD"/>
    <w:rsid w:val="00E26112"/>
    <w:rsid w:val="00E264ED"/>
    <w:rsid w:val="00E268E8"/>
    <w:rsid w:val="00E27692"/>
    <w:rsid w:val="00E301FF"/>
    <w:rsid w:val="00E311B1"/>
    <w:rsid w:val="00E3162C"/>
    <w:rsid w:val="00E32449"/>
    <w:rsid w:val="00E33595"/>
    <w:rsid w:val="00E33EB4"/>
    <w:rsid w:val="00E3456F"/>
    <w:rsid w:val="00E351C9"/>
    <w:rsid w:val="00E3564C"/>
    <w:rsid w:val="00E358C0"/>
    <w:rsid w:val="00E3758D"/>
    <w:rsid w:val="00E37B60"/>
    <w:rsid w:val="00E41279"/>
    <w:rsid w:val="00E428A3"/>
    <w:rsid w:val="00E4343A"/>
    <w:rsid w:val="00E445A5"/>
    <w:rsid w:val="00E44E3E"/>
    <w:rsid w:val="00E45010"/>
    <w:rsid w:val="00E45A79"/>
    <w:rsid w:val="00E45CB3"/>
    <w:rsid w:val="00E45E8C"/>
    <w:rsid w:val="00E47233"/>
    <w:rsid w:val="00E506E4"/>
    <w:rsid w:val="00E51CE5"/>
    <w:rsid w:val="00E52138"/>
    <w:rsid w:val="00E5276C"/>
    <w:rsid w:val="00E532E8"/>
    <w:rsid w:val="00E54FC5"/>
    <w:rsid w:val="00E552C8"/>
    <w:rsid w:val="00E567A4"/>
    <w:rsid w:val="00E56F70"/>
    <w:rsid w:val="00E57C49"/>
    <w:rsid w:val="00E57D01"/>
    <w:rsid w:val="00E602A9"/>
    <w:rsid w:val="00E61BD9"/>
    <w:rsid w:val="00E62A0B"/>
    <w:rsid w:val="00E6460E"/>
    <w:rsid w:val="00E65FE4"/>
    <w:rsid w:val="00E66043"/>
    <w:rsid w:val="00E67A0D"/>
    <w:rsid w:val="00E71948"/>
    <w:rsid w:val="00E7293F"/>
    <w:rsid w:val="00E73405"/>
    <w:rsid w:val="00E73A18"/>
    <w:rsid w:val="00E73CD4"/>
    <w:rsid w:val="00E73DC7"/>
    <w:rsid w:val="00E74070"/>
    <w:rsid w:val="00E74C3C"/>
    <w:rsid w:val="00E75290"/>
    <w:rsid w:val="00E75560"/>
    <w:rsid w:val="00E758E9"/>
    <w:rsid w:val="00E76455"/>
    <w:rsid w:val="00E76BFF"/>
    <w:rsid w:val="00E76F86"/>
    <w:rsid w:val="00E776AE"/>
    <w:rsid w:val="00E8024C"/>
    <w:rsid w:val="00E80727"/>
    <w:rsid w:val="00E80C25"/>
    <w:rsid w:val="00E81D8E"/>
    <w:rsid w:val="00E82FE4"/>
    <w:rsid w:val="00E830DC"/>
    <w:rsid w:val="00E83EB1"/>
    <w:rsid w:val="00E8691B"/>
    <w:rsid w:val="00E903CB"/>
    <w:rsid w:val="00E9258A"/>
    <w:rsid w:val="00E92704"/>
    <w:rsid w:val="00E9301C"/>
    <w:rsid w:val="00E93056"/>
    <w:rsid w:val="00E94F36"/>
    <w:rsid w:val="00E951EE"/>
    <w:rsid w:val="00E9618F"/>
    <w:rsid w:val="00E96463"/>
    <w:rsid w:val="00E96551"/>
    <w:rsid w:val="00E96CD9"/>
    <w:rsid w:val="00E96E31"/>
    <w:rsid w:val="00EA01D6"/>
    <w:rsid w:val="00EA0DA1"/>
    <w:rsid w:val="00EA0DEB"/>
    <w:rsid w:val="00EA1CEB"/>
    <w:rsid w:val="00EA2832"/>
    <w:rsid w:val="00EA2F3B"/>
    <w:rsid w:val="00EA35BC"/>
    <w:rsid w:val="00EA3821"/>
    <w:rsid w:val="00EA4689"/>
    <w:rsid w:val="00EA480B"/>
    <w:rsid w:val="00EA4CA0"/>
    <w:rsid w:val="00EA6712"/>
    <w:rsid w:val="00EA6847"/>
    <w:rsid w:val="00EA7277"/>
    <w:rsid w:val="00EB09A1"/>
    <w:rsid w:val="00EB1C6E"/>
    <w:rsid w:val="00EB2169"/>
    <w:rsid w:val="00EB22D5"/>
    <w:rsid w:val="00EB22E1"/>
    <w:rsid w:val="00EB2E14"/>
    <w:rsid w:val="00EB3773"/>
    <w:rsid w:val="00EB3C31"/>
    <w:rsid w:val="00EB4AE7"/>
    <w:rsid w:val="00EB4C48"/>
    <w:rsid w:val="00EB50F0"/>
    <w:rsid w:val="00EB69DA"/>
    <w:rsid w:val="00EB6C70"/>
    <w:rsid w:val="00EC1495"/>
    <w:rsid w:val="00EC267C"/>
    <w:rsid w:val="00EC2833"/>
    <w:rsid w:val="00EC2932"/>
    <w:rsid w:val="00EC2A32"/>
    <w:rsid w:val="00EC2E47"/>
    <w:rsid w:val="00EC3047"/>
    <w:rsid w:val="00EC49C6"/>
    <w:rsid w:val="00EC53FF"/>
    <w:rsid w:val="00EC54D1"/>
    <w:rsid w:val="00EC5B8E"/>
    <w:rsid w:val="00EC653B"/>
    <w:rsid w:val="00EC6586"/>
    <w:rsid w:val="00EC7963"/>
    <w:rsid w:val="00EC7DE0"/>
    <w:rsid w:val="00ED0AD6"/>
    <w:rsid w:val="00ED154D"/>
    <w:rsid w:val="00ED1B3E"/>
    <w:rsid w:val="00ED2B8F"/>
    <w:rsid w:val="00ED33F1"/>
    <w:rsid w:val="00ED37AA"/>
    <w:rsid w:val="00ED4B63"/>
    <w:rsid w:val="00ED5362"/>
    <w:rsid w:val="00ED625F"/>
    <w:rsid w:val="00ED6B42"/>
    <w:rsid w:val="00ED73E8"/>
    <w:rsid w:val="00ED7F5D"/>
    <w:rsid w:val="00EE15DA"/>
    <w:rsid w:val="00EE1DFC"/>
    <w:rsid w:val="00EE24A4"/>
    <w:rsid w:val="00EE2FD6"/>
    <w:rsid w:val="00EE3590"/>
    <w:rsid w:val="00EE482B"/>
    <w:rsid w:val="00EE5957"/>
    <w:rsid w:val="00EE59E2"/>
    <w:rsid w:val="00EE61C0"/>
    <w:rsid w:val="00EE7AA1"/>
    <w:rsid w:val="00EE7E56"/>
    <w:rsid w:val="00EF2450"/>
    <w:rsid w:val="00EF3423"/>
    <w:rsid w:val="00EF4CCB"/>
    <w:rsid w:val="00EF5110"/>
    <w:rsid w:val="00EF5EDF"/>
    <w:rsid w:val="00EF67AE"/>
    <w:rsid w:val="00EF7172"/>
    <w:rsid w:val="00EF77AE"/>
    <w:rsid w:val="00F005CF"/>
    <w:rsid w:val="00F02D03"/>
    <w:rsid w:val="00F03CDC"/>
    <w:rsid w:val="00F040DA"/>
    <w:rsid w:val="00F057CD"/>
    <w:rsid w:val="00F057DF"/>
    <w:rsid w:val="00F05B44"/>
    <w:rsid w:val="00F0697F"/>
    <w:rsid w:val="00F1004F"/>
    <w:rsid w:val="00F10241"/>
    <w:rsid w:val="00F1050F"/>
    <w:rsid w:val="00F10AA5"/>
    <w:rsid w:val="00F11C18"/>
    <w:rsid w:val="00F12300"/>
    <w:rsid w:val="00F132AB"/>
    <w:rsid w:val="00F139FB"/>
    <w:rsid w:val="00F13ED7"/>
    <w:rsid w:val="00F155CC"/>
    <w:rsid w:val="00F167E0"/>
    <w:rsid w:val="00F16AE0"/>
    <w:rsid w:val="00F16DDF"/>
    <w:rsid w:val="00F17368"/>
    <w:rsid w:val="00F20C62"/>
    <w:rsid w:val="00F21318"/>
    <w:rsid w:val="00F21542"/>
    <w:rsid w:val="00F216BB"/>
    <w:rsid w:val="00F21A31"/>
    <w:rsid w:val="00F227B0"/>
    <w:rsid w:val="00F22827"/>
    <w:rsid w:val="00F22A40"/>
    <w:rsid w:val="00F22A7C"/>
    <w:rsid w:val="00F22ECC"/>
    <w:rsid w:val="00F2329F"/>
    <w:rsid w:val="00F24DB6"/>
    <w:rsid w:val="00F260C7"/>
    <w:rsid w:val="00F2762E"/>
    <w:rsid w:val="00F277EF"/>
    <w:rsid w:val="00F27E80"/>
    <w:rsid w:val="00F30804"/>
    <w:rsid w:val="00F32B1D"/>
    <w:rsid w:val="00F32B46"/>
    <w:rsid w:val="00F3363F"/>
    <w:rsid w:val="00F3429F"/>
    <w:rsid w:val="00F349EB"/>
    <w:rsid w:val="00F352FA"/>
    <w:rsid w:val="00F35606"/>
    <w:rsid w:val="00F359EC"/>
    <w:rsid w:val="00F35A0C"/>
    <w:rsid w:val="00F3775E"/>
    <w:rsid w:val="00F41118"/>
    <w:rsid w:val="00F41A1A"/>
    <w:rsid w:val="00F41BC4"/>
    <w:rsid w:val="00F43206"/>
    <w:rsid w:val="00F43EA2"/>
    <w:rsid w:val="00F4603E"/>
    <w:rsid w:val="00F46144"/>
    <w:rsid w:val="00F46408"/>
    <w:rsid w:val="00F46505"/>
    <w:rsid w:val="00F47429"/>
    <w:rsid w:val="00F500C2"/>
    <w:rsid w:val="00F50D16"/>
    <w:rsid w:val="00F5159F"/>
    <w:rsid w:val="00F51C3F"/>
    <w:rsid w:val="00F51C75"/>
    <w:rsid w:val="00F52303"/>
    <w:rsid w:val="00F52DB2"/>
    <w:rsid w:val="00F54904"/>
    <w:rsid w:val="00F5576E"/>
    <w:rsid w:val="00F5606F"/>
    <w:rsid w:val="00F56661"/>
    <w:rsid w:val="00F574B4"/>
    <w:rsid w:val="00F57D44"/>
    <w:rsid w:val="00F61503"/>
    <w:rsid w:val="00F61A66"/>
    <w:rsid w:val="00F62D08"/>
    <w:rsid w:val="00F6355F"/>
    <w:rsid w:val="00F63BA6"/>
    <w:rsid w:val="00F6435C"/>
    <w:rsid w:val="00F649A7"/>
    <w:rsid w:val="00F64CE5"/>
    <w:rsid w:val="00F673F3"/>
    <w:rsid w:val="00F676CE"/>
    <w:rsid w:val="00F70A32"/>
    <w:rsid w:val="00F71FA0"/>
    <w:rsid w:val="00F722A7"/>
    <w:rsid w:val="00F744DD"/>
    <w:rsid w:val="00F7479A"/>
    <w:rsid w:val="00F7483B"/>
    <w:rsid w:val="00F751C6"/>
    <w:rsid w:val="00F755D5"/>
    <w:rsid w:val="00F76311"/>
    <w:rsid w:val="00F7776B"/>
    <w:rsid w:val="00F77F98"/>
    <w:rsid w:val="00F81B39"/>
    <w:rsid w:val="00F82BDC"/>
    <w:rsid w:val="00F85CDC"/>
    <w:rsid w:val="00F863D6"/>
    <w:rsid w:val="00F8655E"/>
    <w:rsid w:val="00F8662A"/>
    <w:rsid w:val="00F866ED"/>
    <w:rsid w:val="00F87236"/>
    <w:rsid w:val="00F873DF"/>
    <w:rsid w:val="00F9082F"/>
    <w:rsid w:val="00F964CE"/>
    <w:rsid w:val="00F97080"/>
    <w:rsid w:val="00FA0381"/>
    <w:rsid w:val="00FA1421"/>
    <w:rsid w:val="00FA1567"/>
    <w:rsid w:val="00FA17F0"/>
    <w:rsid w:val="00FA189F"/>
    <w:rsid w:val="00FA28D6"/>
    <w:rsid w:val="00FA2910"/>
    <w:rsid w:val="00FA3656"/>
    <w:rsid w:val="00FA5016"/>
    <w:rsid w:val="00FA5E47"/>
    <w:rsid w:val="00FA5E60"/>
    <w:rsid w:val="00FA67F3"/>
    <w:rsid w:val="00FA6F19"/>
    <w:rsid w:val="00FA7179"/>
    <w:rsid w:val="00FA7381"/>
    <w:rsid w:val="00FB1395"/>
    <w:rsid w:val="00FB23F3"/>
    <w:rsid w:val="00FB2EA6"/>
    <w:rsid w:val="00FB37AE"/>
    <w:rsid w:val="00FB397A"/>
    <w:rsid w:val="00FB50FD"/>
    <w:rsid w:val="00FB6C18"/>
    <w:rsid w:val="00FB75A2"/>
    <w:rsid w:val="00FB7601"/>
    <w:rsid w:val="00FB79CD"/>
    <w:rsid w:val="00FC0279"/>
    <w:rsid w:val="00FC0497"/>
    <w:rsid w:val="00FC0607"/>
    <w:rsid w:val="00FC09BE"/>
    <w:rsid w:val="00FC5C52"/>
    <w:rsid w:val="00FC622C"/>
    <w:rsid w:val="00FC6FDF"/>
    <w:rsid w:val="00FC7788"/>
    <w:rsid w:val="00FC7F3A"/>
    <w:rsid w:val="00FD0597"/>
    <w:rsid w:val="00FD084B"/>
    <w:rsid w:val="00FD10CF"/>
    <w:rsid w:val="00FD21FF"/>
    <w:rsid w:val="00FD3108"/>
    <w:rsid w:val="00FD3595"/>
    <w:rsid w:val="00FD3C72"/>
    <w:rsid w:val="00FD3F53"/>
    <w:rsid w:val="00FD405F"/>
    <w:rsid w:val="00FD498A"/>
    <w:rsid w:val="00FD4FED"/>
    <w:rsid w:val="00FD6DB3"/>
    <w:rsid w:val="00FE2048"/>
    <w:rsid w:val="00FE2AC9"/>
    <w:rsid w:val="00FE2DB5"/>
    <w:rsid w:val="00FE36C4"/>
    <w:rsid w:val="00FE45C8"/>
    <w:rsid w:val="00FE54D0"/>
    <w:rsid w:val="00FE62A4"/>
    <w:rsid w:val="00FE7F34"/>
    <w:rsid w:val="00FF025F"/>
    <w:rsid w:val="00FF2973"/>
    <w:rsid w:val="00FF385A"/>
    <w:rsid w:val="00FF472E"/>
    <w:rsid w:val="00FF47F2"/>
    <w:rsid w:val="00FF4E77"/>
    <w:rsid w:val="00FF672B"/>
    <w:rsid w:val="00FF686A"/>
    <w:rsid w:val="00FF6F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9C4"/>
    <w:pPr>
      <w:ind w:firstLine="360"/>
    </w:pPr>
    <w:rPr>
      <w:rFonts w:eastAsiaTheme="minorEastAsia"/>
    </w:rPr>
  </w:style>
  <w:style w:type="paragraph" w:styleId="Heading1">
    <w:name w:val="heading 1"/>
    <w:basedOn w:val="Normal"/>
    <w:next w:val="Normal"/>
    <w:link w:val="Heading1Char"/>
    <w:uiPriority w:val="9"/>
    <w:qFormat/>
    <w:rsid w:val="0022638C"/>
    <w:pPr>
      <w:ind w:firstLine="0"/>
      <w:outlineLvl w:val="0"/>
    </w:pPr>
    <w:rPr>
      <w:rFonts w:asciiTheme="majorHAnsi" w:eastAsiaTheme="majorEastAsia" w:hAnsiTheme="majorHAnsi" w:cstheme="majorBidi"/>
      <w:b/>
      <w:bCs/>
      <w:color w:val="365F91" w:themeColor="accent1" w:themeShade="BF"/>
      <w:sz w:val="28"/>
      <w:szCs w:val="28"/>
      <w:u w:val="single"/>
    </w:rPr>
  </w:style>
  <w:style w:type="paragraph" w:styleId="Heading2">
    <w:name w:val="heading 2"/>
    <w:basedOn w:val="Normal"/>
    <w:next w:val="Normal"/>
    <w:link w:val="Heading2Char"/>
    <w:uiPriority w:val="9"/>
    <w:unhideWhenUsed/>
    <w:qFormat/>
    <w:rsid w:val="0022638C"/>
    <w:pPr>
      <w:ind w:firstLine="0"/>
      <w:outlineLvl w:val="1"/>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2638C"/>
    <w:pPr>
      <w:ind w:firstLine="0"/>
      <w:outlineLvl w:val="2"/>
    </w:pPr>
    <w:rPr>
      <w:b/>
      <w:sz w:val="24"/>
      <w:u w:val="single"/>
    </w:rPr>
  </w:style>
  <w:style w:type="paragraph" w:styleId="Heading4">
    <w:name w:val="heading 4"/>
    <w:basedOn w:val="Normal"/>
    <w:next w:val="Normal"/>
    <w:link w:val="Heading4Char"/>
    <w:uiPriority w:val="9"/>
    <w:unhideWhenUsed/>
    <w:qFormat/>
    <w:rsid w:val="001C276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C2B"/>
    <w:rPr>
      <w:rFonts w:ascii="Tahoma" w:hAnsi="Tahoma" w:cs="Tahoma"/>
      <w:sz w:val="16"/>
      <w:szCs w:val="16"/>
    </w:rPr>
  </w:style>
  <w:style w:type="character" w:customStyle="1" w:styleId="BalloonTextChar">
    <w:name w:val="Balloon Text Char"/>
    <w:basedOn w:val="DefaultParagraphFont"/>
    <w:link w:val="BalloonText"/>
    <w:uiPriority w:val="99"/>
    <w:semiHidden/>
    <w:rsid w:val="004E0C2B"/>
    <w:rPr>
      <w:rFonts w:ascii="Tahoma" w:eastAsiaTheme="minorEastAsia" w:hAnsi="Tahoma" w:cs="Tahoma"/>
      <w:sz w:val="16"/>
      <w:szCs w:val="16"/>
    </w:rPr>
  </w:style>
  <w:style w:type="paragraph" w:styleId="ListParagraph">
    <w:name w:val="List Paragraph"/>
    <w:basedOn w:val="Normal"/>
    <w:uiPriority w:val="34"/>
    <w:qFormat/>
    <w:rsid w:val="0075698B"/>
    <w:pPr>
      <w:ind w:left="720"/>
      <w:contextualSpacing/>
    </w:pPr>
  </w:style>
  <w:style w:type="paragraph" w:styleId="NoSpacing">
    <w:name w:val="No Spacing"/>
    <w:link w:val="NoSpacingChar"/>
    <w:uiPriority w:val="1"/>
    <w:qFormat/>
    <w:rsid w:val="00C14A34"/>
    <w:pPr>
      <w:ind w:firstLine="360"/>
    </w:pPr>
    <w:rPr>
      <w:rFonts w:eastAsiaTheme="minorEastAsia"/>
    </w:rPr>
  </w:style>
  <w:style w:type="paragraph" w:styleId="Header">
    <w:name w:val="header"/>
    <w:basedOn w:val="Normal"/>
    <w:link w:val="HeaderChar"/>
    <w:uiPriority w:val="99"/>
    <w:unhideWhenUsed/>
    <w:rsid w:val="00B94C98"/>
    <w:pPr>
      <w:tabs>
        <w:tab w:val="center" w:pos="4680"/>
        <w:tab w:val="right" w:pos="9360"/>
      </w:tabs>
    </w:pPr>
  </w:style>
  <w:style w:type="character" w:customStyle="1" w:styleId="HeaderChar">
    <w:name w:val="Header Char"/>
    <w:basedOn w:val="DefaultParagraphFont"/>
    <w:link w:val="Header"/>
    <w:uiPriority w:val="99"/>
    <w:rsid w:val="00B94C98"/>
    <w:rPr>
      <w:rFonts w:eastAsiaTheme="minorEastAsia"/>
    </w:rPr>
  </w:style>
  <w:style w:type="paragraph" w:styleId="Footer">
    <w:name w:val="footer"/>
    <w:basedOn w:val="Normal"/>
    <w:link w:val="FooterChar"/>
    <w:uiPriority w:val="99"/>
    <w:unhideWhenUsed/>
    <w:rsid w:val="00B94C98"/>
    <w:pPr>
      <w:tabs>
        <w:tab w:val="center" w:pos="4680"/>
        <w:tab w:val="right" w:pos="9360"/>
      </w:tabs>
    </w:pPr>
  </w:style>
  <w:style w:type="character" w:customStyle="1" w:styleId="FooterChar">
    <w:name w:val="Footer Char"/>
    <w:basedOn w:val="DefaultParagraphFont"/>
    <w:link w:val="Footer"/>
    <w:uiPriority w:val="99"/>
    <w:rsid w:val="00B94C98"/>
    <w:rPr>
      <w:rFonts w:eastAsiaTheme="minorEastAsia"/>
    </w:rPr>
  </w:style>
  <w:style w:type="character" w:styleId="CommentReference">
    <w:name w:val="annotation reference"/>
    <w:basedOn w:val="DefaultParagraphFont"/>
    <w:uiPriority w:val="99"/>
    <w:semiHidden/>
    <w:unhideWhenUsed/>
    <w:rsid w:val="00647F94"/>
    <w:rPr>
      <w:sz w:val="16"/>
      <w:szCs w:val="16"/>
    </w:rPr>
  </w:style>
  <w:style w:type="paragraph" w:styleId="CommentText">
    <w:name w:val="annotation text"/>
    <w:basedOn w:val="Normal"/>
    <w:link w:val="CommentTextChar"/>
    <w:uiPriority w:val="99"/>
    <w:unhideWhenUsed/>
    <w:rsid w:val="00647F94"/>
    <w:rPr>
      <w:sz w:val="20"/>
      <w:szCs w:val="20"/>
    </w:rPr>
  </w:style>
  <w:style w:type="character" w:customStyle="1" w:styleId="CommentTextChar">
    <w:name w:val="Comment Text Char"/>
    <w:basedOn w:val="DefaultParagraphFont"/>
    <w:link w:val="CommentText"/>
    <w:uiPriority w:val="99"/>
    <w:rsid w:val="00647F94"/>
    <w:rPr>
      <w:rFonts w:eastAsiaTheme="minorEastAsia"/>
      <w:sz w:val="20"/>
      <w:szCs w:val="20"/>
    </w:rPr>
  </w:style>
  <w:style w:type="table" w:styleId="TableGrid">
    <w:name w:val="Table Grid"/>
    <w:basedOn w:val="TableNormal"/>
    <w:uiPriority w:val="59"/>
    <w:rsid w:val="00D6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823"/>
    <w:rPr>
      <w:color w:val="0000FF"/>
      <w:u w:val="single"/>
    </w:rPr>
  </w:style>
  <w:style w:type="paragraph" w:styleId="CommentSubject">
    <w:name w:val="annotation subject"/>
    <w:basedOn w:val="CommentText"/>
    <w:next w:val="CommentText"/>
    <w:link w:val="CommentSubjectChar"/>
    <w:uiPriority w:val="99"/>
    <w:semiHidden/>
    <w:unhideWhenUsed/>
    <w:rsid w:val="00CE30BE"/>
    <w:rPr>
      <w:b/>
      <w:bCs/>
    </w:rPr>
  </w:style>
  <w:style w:type="character" w:customStyle="1" w:styleId="CommentSubjectChar">
    <w:name w:val="Comment Subject Char"/>
    <w:basedOn w:val="CommentTextChar"/>
    <w:link w:val="CommentSubject"/>
    <w:uiPriority w:val="99"/>
    <w:semiHidden/>
    <w:rsid w:val="00CE30BE"/>
    <w:rPr>
      <w:rFonts w:eastAsiaTheme="minorEastAsia"/>
      <w:b/>
      <w:bCs/>
      <w:sz w:val="20"/>
      <w:szCs w:val="20"/>
    </w:rPr>
  </w:style>
  <w:style w:type="table" w:customStyle="1" w:styleId="TableGrid1">
    <w:name w:val="Table Grid1"/>
    <w:basedOn w:val="TableNormal"/>
    <w:next w:val="TableGrid"/>
    <w:uiPriority w:val="59"/>
    <w:rsid w:val="00E94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4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2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5151"/>
    <w:rPr>
      <w:color w:val="800080"/>
      <w:u w:val="single"/>
    </w:rPr>
  </w:style>
  <w:style w:type="paragraph" w:customStyle="1" w:styleId="xl63">
    <w:name w:val="xl63"/>
    <w:basedOn w:val="Normal"/>
    <w:rsid w:val="00635151"/>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ind w:firstLine="0"/>
    </w:pPr>
    <w:rPr>
      <w:rFonts w:ascii="Times New Roman" w:eastAsia="Times New Roman" w:hAnsi="Times New Roman" w:cs="Times New Roman"/>
      <w:sz w:val="24"/>
      <w:szCs w:val="24"/>
    </w:rPr>
  </w:style>
  <w:style w:type="paragraph" w:customStyle="1" w:styleId="xl64">
    <w:name w:val="xl64"/>
    <w:basedOn w:val="Normal"/>
    <w:rsid w:val="0063515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rPr>
  </w:style>
  <w:style w:type="paragraph" w:customStyle="1" w:styleId="xl65">
    <w:name w:val="xl65"/>
    <w:basedOn w:val="Normal"/>
    <w:rsid w:val="0063515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rPr>
  </w:style>
  <w:style w:type="paragraph" w:styleId="Revision">
    <w:name w:val="Revision"/>
    <w:hidden/>
    <w:uiPriority w:val="99"/>
    <w:semiHidden/>
    <w:rsid w:val="00FD0597"/>
    <w:rPr>
      <w:rFonts w:eastAsiaTheme="minorEastAsia"/>
    </w:rPr>
  </w:style>
  <w:style w:type="numbering" w:customStyle="1" w:styleId="NoList1">
    <w:name w:val="No List1"/>
    <w:next w:val="NoList"/>
    <w:uiPriority w:val="99"/>
    <w:semiHidden/>
    <w:unhideWhenUsed/>
    <w:rsid w:val="00256019"/>
  </w:style>
  <w:style w:type="table" w:customStyle="1" w:styleId="TableGrid5">
    <w:name w:val="Table Grid5"/>
    <w:basedOn w:val="TableNormal"/>
    <w:next w:val="TableGrid"/>
    <w:uiPriority w:val="59"/>
    <w:rsid w:val="00256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56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56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56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56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6151B"/>
    <w:rPr>
      <w:rFonts w:ascii="Calibri" w:eastAsiaTheme="minorHAnsi" w:hAnsi="Calibri" w:cs="Times New Roman"/>
      <w:sz w:val="20"/>
      <w:szCs w:val="20"/>
    </w:rPr>
  </w:style>
  <w:style w:type="character" w:customStyle="1" w:styleId="FootnoteTextChar">
    <w:name w:val="Footnote Text Char"/>
    <w:basedOn w:val="DefaultParagraphFont"/>
    <w:link w:val="FootnoteText"/>
    <w:uiPriority w:val="99"/>
    <w:rsid w:val="0056151B"/>
    <w:rPr>
      <w:rFonts w:ascii="Calibri" w:hAnsi="Calibri" w:cs="Times New Roman"/>
      <w:sz w:val="20"/>
      <w:szCs w:val="20"/>
    </w:rPr>
  </w:style>
  <w:style w:type="character" w:styleId="FootnoteReference">
    <w:name w:val="footnote reference"/>
    <w:basedOn w:val="DefaultParagraphFont"/>
    <w:uiPriority w:val="99"/>
    <w:semiHidden/>
    <w:unhideWhenUsed/>
    <w:rsid w:val="0056151B"/>
    <w:rPr>
      <w:vertAlign w:val="superscript"/>
    </w:rPr>
  </w:style>
  <w:style w:type="paragraph" w:styleId="NormalWeb">
    <w:name w:val="Normal (Web)"/>
    <w:basedOn w:val="Normal"/>
    <w:uiPriority w:val="99"/>
    <w:semiHidden/>
    <w:unhideWhenUsed/>
    <w:rsid w:val="00D21A6F"/>
    <w:pPr>
      <w:spacing w:before="100" w:beforeAutospacing="1" w:after="100" w:afterAutospacing="1"/>
      <w:ind w:firstLine="0"/>
    </w:pPr>
    <w:rPr>
      <w:rFonts w:ascii="Times New Roman" w:eastAsia="Calibri" w:hAnsi="Times New Roman" w:cs="Times New Roman"/>
      <w:sz w:val="24"/>
      <w:szCs w:val="24"/>
    </w:rPr>
  </w:style>
  <w:style w:type="paragraph" w:styleId="EndnoteText">
    <w:name w:val="endnote text"/>
    <w:basedOn w:val="Normal"/>
    <w:link w:val="EndnoteTextChar"/>
    <w:uiPriority w:val="99"/>
    <w:semiHidden/>
    <w:unhideWhenUsed/>
    <w:rsid w:val="0098539D"/>
    <w:rPr>
      <w:sz w:val="20"/>
      <w:szCs w:val="20"/>
    </w:rPr>
  </w:style>
  <w:style w:type="character" w:customStyle="1" w:styleId="EndnoteTextChar">
    <w:name w:val="Endnote Text Char"/>
    <w:basedOn w:val="DefaultParagraphFont"/>
    <w:link w:val="EndnoteText"/>
    <w:uiPriority w:val="99"/>
    <w:semiHidden/>
    <w:rsid w:val="0098539D"/>
    <w:rPr>
      <w:rFonts w:eastAsiaTheme="minorEastAsia"/>
      <w:sz w:val="20"/>
      <w:szCs w:val="20"/>
    </w:rPr>
  </w:style>
  <w:style w:type="character" w:styleId="EndnoteReference">
    <w:name w:val="endnote reference"/>
    <w:basedOn w:val="DefaultParagraphFont"/>
    <w:uiPriority w:val="99"/>
    <w:semiHidden/>
    <w:unhideWhenUsed/>
    <w:rsid w:val="0098539D"/>
    <w:rPr>
      <w:vertAlign w:val="superscript"/>
    </w:rPr>
  </w:style>
  <w:style w:type="paragraph" w:customStyle="1" w:styleId="Default">
    <w:name w:val="Default"/>
    <w:rsid w:val="00303A85"/>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22638C"/>
    <w:rPr>
      <w:rFonts w:asciiTheme="majorHAnsi" w:eastAsiaTheme="majorEastAsia" w:hAnsiTheme="majorHAnsi" w:cstheme="majorBidi"/>
      <w:b/>
      <w:bCs/>
      <w:color w:val="365F91" w:themeColor="accent1" w:themeShade="BF"/>
      <w:sz w:val="28"/>
      <w:szCs w:val="28"/>
      <w:u w:val="single"/>
    </w:rPr>
  </w:style>
  <w:style w:type="character" w:customStyle="1" w:styleId="Heading2Char">
    <w:name w:val="Heading 2 Char"/>
    <w:basedOn w:val="DefaultParagraphFont"/>
    <w:link w:val="Heading2"/>
    <w:uiPriority w:val="9"/>
    <w:rsid w:val="0022638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2638C"/>
    <w:rPr>
      <w:rFonts w:eastAsiaTheme="minorEastAsia"/>
      <w:b/>
      <w:sz w:val="24"/>
      <w:u w:val="single"/>
    </w:rPr>
  </w:style>
  <w:style w:type="paragraph" w:styleId="Title">
    <w:name w:val="Title"/>
    <w:basedOn w:val="Normal"/>
    <w:next w:val="Normal"/>
    <w:link w:val="TitleChar"/>
    <w:uiPriority w:val="10"/>
    <w:qFormat/>
    <w:rsid w:val="0095027D"/>
    <w:pPr>
      <w:spacing w:before="1440" w:after="240" w:line="480" w:lineRule="auto"/>
      <w:ind w:firstLine="0"/>
      <w:jc w:val="center"/>
    </w:pPr>
    <w:rPr>
      <w:rFonts w:ascii="Arial" w:hAnsi="Arial"/>
      <w:b/>
      <w:color w:val="C00000"/>
      <w:sz w:val="56"/>
      <w:szCs w:val="24"/>
    </w:rPr>
  </w:style>
  <w:style w:type="character" w:customStyle="1" w:styleId="TitleChar">
    <w:name w:val="Title Char"/>
    <w:basedOn w:val="DefaultParagraphFont"/>
    <w:link w:val="Title"/>
    <w:uiPriority w:val="10"/>
    <w:rsid w:val="0095027D"/>
    <w:rPr>
      <w:rFonts w:ascii="Arial" w:eastAsiaTheme="minorEastAsia" w:hAnsi="Arial"/>
      <w:b/>
      <w:color w:val="C00000"/>
      <w:sz w:val="56"/>
      <w:szCs w:val="24"/>
    </w:rPr>
  </w:style>
  <w:style w:type="paragraph" w:styleId="Subtitle">
    <w:name w:val="Subtitle"/>
    <w:basedOn w:val="Normal"/>
    <w:next w:val="Normal"/>
    <w:link w:val="SubtitleChar"/>
    <w:uiPriority w:val="11"/>
    <w:qFormat/>
    <w:rsid w:val="00CC1C46"/>
    <w:pPr>
      <w:ind w:firstLine="0"/>
    </w:pPr>
    <w:rPr>
      <w:sz w:val="24"/>
    </w:rPr>
  </w:style>
  <w:style w:type="character" w:customStyle="1" w:styleId="SubtitleChar">
    <w:name w:val="Subtitle Char"/>
    <w:basedOn w:val="DefaultParagraphFont"/>
    <w:link w:val="Subtitle"/>
    <w:uiPriority w:val="11"/>
    <w:rsid w:val="00CC1C46"/>
    <w:rPr>
      <w:rFonts w:eastAsiaTheme="minorEastAsia"/>
      <w:sz w:val="24"/>
    </w:rPr>
  </w:style>
  <w:style w:type="character" w:customStyle="1" w:styleId="UnresolvedMention1">
    <w:name w:val="Unresolved Mention1"/>
    <w:basedOn w:val="DefaultParagraphFont"/>
    <w:uiPriority w:val="99"/>
    <w:semiHidden/>
    <w:unhideWhenUsed/>
    <w:rsid w:val="001209EA"/>
    <w:rPr>
      <w:color w:val="605E5C"/>
      <w:shd w:val="clear" w:color="auto" w:fill="E1DFDD"/>
    </w:rPr>
  </w:style>
  <w:style w:type="character" w:customStyle="1" w:styleId="apple-converted-space">
    <w:name w:val="apple-converted-space"/>
    <w:basedOn w:val="DefaultParagraphFont"/>
    <w:rsid w:val="007625DF"/>
  </w:style>
  <w:style w:type="character" w:customStyle="1" w:styleId="UnresolvedMention2">
    <w:name w:val="Unresolved Mention2"/>
    <w:basedOn w:val="DefaultParagraphFont"/>
    <w:uiPriority w:val="99"/>
    <w:semiHidden/>
    <w:unhideWhenUsed/>
    <w:rsid w:val="000D36AC"/>
    <w:rPr>
      <w:color w:val="605E5C"/>
      <w:shd w:val="clear" w:color="auto" w:fill="E1DFDD"/>
    </w:rPr>
  </w:style>
  <w:style w:type="character" w:customStyle="1" w:styleId="UnresolvedMention3">
    <w:name w:val="Unresolved Mention3"/>
    <w:basedOn w:val="DefaultParagraphFont"/>
    <w:uiPriority w:val="99"/>
    <w:semiHidden/>
    <w:unhideWhenUsed/>
    <w:rsid w:val="00A054EB"/>
    <w:rPr>
      <w:color w:val="605E5C"/>
      <w:shd w:val="clear" w:color="auto" w:fill="E1DFDD"/>
    </w:rPr>
  </w:style>
  <w:style w:type="character" w:customStyle="1" w:styleId="UnresolvedMention4">
    <w:name w:val="Unresolved Mention4"/>
    <w:basedOn w:val="DefaultParagraphFont"/>
    <w:uiPriority w:val="99"/>
    <w:semiHidden/>
    <w:unhideWhenUsed/>
    <w:rsid w:val="00CB764A"/>
    <w:rPr>
      <w:color w:val="605E5C"/>
      <w:shd w:val="clear" w:color="auto" w:fill="E1DFDD"/>
    </w:rPr>
  </w:style>
  <w:style w:type="character" w:customStyle="1" w:styleId="Heading4Char">
    <w:name w:val="Heading 4 Char"/>
    <w:basedOn w:val="DefaultParagraphFont"/>
    <w:link w:val="Heading4"/>
    <w:uiPriority w:val="9"/>
    <w:rsid w:val="001C2769"/>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8C3DED"/>
    <w:pPr>
      <w:keepNext/>
      <w:keepLines/>
      <w:spacing w:before="480" w:line="276" w:lineRule="auto"/>
      <w:outlineLvl w:val="9"/>
    </w:pPr>
    <w:rPr>
      <w:u w:val="none"/>
      <w:lang w:eastAsia="ja-JP"/>
    </w:rPr>
  </w:style>
  <w:style w:type="paragraph" w:styleId="TOC1">
    <w:name w:val="toc 1"/>
    <w:basedOn w:val="Normal"/>
    <w:next w:val="Normal"/>
    <w:autoRedefine/>
    <w:uiPriority w:val="39"/>
    <w:unhideWhenUsed/>
    <w:rsid w:val="00E776AE"/>
    <w:pPr>
      <w:tabs>
        <w:tab w:val="right" w:leader="dot" w:pos="9350"/>
      </w:tabs>
      <w:spacing w:after="100"/>
      <w:ind w:left="360" w:firstLine="0"/>
    </w:pPr>
    <w:rPr>
      <w:rFonts w:ascii="Arial" w:hAnsi="Arial" w:cs="Arial"/>
      <w:noProof/>
      <w:sz w:val="24"/>
    </w:rPr>
  </w:style>
  <w:style w:type="paragraph" w:styleId="TOC2">
    <w:name w:val="toc 2"/>
    <w:basedOn w:val="Normal"/>
    <w:next w:val="Normal"/>
    <w:autoRedefine/>
    <w:uiPriority w:val="39"/>
    <w:unhideWhenUsed/>
    <w:rsid w:val="009664C4"/>
    <w:pPr>
      <w:tabs>
        <w:tab w:val="right" w:leader="dot" w:pos="9350"/>
      </w:tabs>
      <w:spacing w:after="100"/>
      <w:ind w:left="810" w:firstLine="0"/>
    </w:pPr>
    <w:rPr>
      <w:rFonts w:ascii="Arial" w:hAnsi="Arial" w:cs="Arial"/>
      <w:noProof/>
      <w:sz w:val="24"/>
    </w:rPr>
  </w:style>
  <w:style w:type="paragraph" w:styleId="TOC3">
    <w:name w:val="toc 3"/>
    <w:basedOn w:val="Normal"/>
    <w:next w:val="Normal"/>
    <w:autoRedefine/>
    <w:uiPriority w:val="39"/>
    <w:unhideWhenUsed/>
    <w:rsid w:val="00E776AE"/>
    <w:pPr>
      <w:tabs>
        <w:tab w:val="right" w:leader="dot" w:pos="9350"/>
      </w:tabs>
      <w:spacing w:after="100"/>
      <w:ind w:left="1080" w:hanging="10"/>
    </w:pPr>
  </w:style>
  <w:style w:type="character" w:customStyle="1" w:styleId="UnresolvedMention5">
    <w:name w:val="Unresolved Mention5"/>
    <w:basedOn w:val="DefaultParagraphFont"/>
    <w:uiPriority w:val="99"/>
    <w:semiHidden/>
    <w:unhideWhenUsed/>
    <w:rsid w:val="00FE7F34"/>
    <w:rPr>
      <w:color w:val="605E5C"/>
      <w:shd w:val="clear" w:color="auto" w:fill="E1DFDD"/>
    </w:rPr>
  </w:style>
  <w:style w:type="table" w:customStyle="1" w:styleId="TableGrid6">
    <w:name w:val="Table Grid6"/>
    <w:basedOn w:val="TableNormal"/>
    <w:next w:val="TableGrid"/>
    <w:uiPriority w:val="59"/>
    <w:rsid w:val="006E2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8172D3"/>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9C4"/>
    <w:pPr>
      <w:ind w:firstLine="360"/>
    </w:pPr>
    <w:rPr>
      <w:rFonts w:eastAsiaTheme="minorEastAsia"/>
    </w:rPr>
  </w:style>
  <w:style w:type="paragraph" w:styleId="Heading1">
    <w:name w:val="heading 1"/>
    <w:basedOn w:val="Normal"/>
    <w:next w:val="Normal"/>
    <w:link w:val="Heading1Char"/>
    <w:uiPriority w:val="9"/>
    <w:qFormat/>
    <w:rsid w:val="0022638C"/>
    <w:pPr>
      <w:ind w:firstLine="0"/>
      <w:outlineLvl w:val="0"/>
    </w:pPr>
    <w:rPr>
      <w:rFonts w:asciiTheme="majorHAnsi" w:eastAsiaTheme="majorEastAsia" w:hAnsiTheme="majorHAnsi" w:cstheme="majorBidi"/>
      <w:b/>
      <w:bCs/>
      <w:color w:val="365F91" w:themeColor="accent1" w:themeShade="BF"/>
      <w:sz w:val="28"/>
      <w:szCs w:val="28"/>
      <w:u w:val="single"/>
    </w:rPr>
  </w:style>
  <w:style w:type="paragraph" w:styleId="Heading2">
    <w:name w:val="heading 2"/>
    <w:basedOn w:val="Normal"/>
    <w:next w:val="Normal"/>
    <w:link w:val="Heading2Char"/>
    <w:uiPriority w:val="9"/>
    <w:unhideWhenUsed/>
    <w:qFormat/>
    <w:rsid w:val="0022638C"/>
    <w:pPr>
      <w:ind w:firstLine="0"/>
      <w:outlineLvl w:val="1"/>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2638C"/>
    <w:pPr>
      <w:ind w:firstLine="0"/>
      <w:outlineLvl w:val="2"/>
    </w:pPr>
    <w:rPr>
      <w:b/>
      <w:sz w:val="24"/>
      <w:u w:val="single"/>
    </w:rPr>
  </w:style>
  <w:style w:type="paragraph" w:styleId="Heading4">
    <w:name w:val="heading 4"/>
    <w:basedOn w:val="Normal"/>
    <w:next w:val="Normal"/>
    <w:link w:val="Heading4Char"/>
    <w:uiPriority w:val="9"/>
    <w:unhideWhenUsed/>
    <w:qFormat/>
    <w:rsid w:val="001C276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C2B"/>
    <w:rPr>
      <w:rFonts w:ascii="Tahoma" w:hAnsi="Tahoma" w:cs="Tahoma"/>
      <w:sz w:val="16"/>
      <w:szCs w:val="16"/>
    </w:rPr>
  </w:style>
  <w:style w:type="character" w:customStyle="1" w:styleId="BalloonTextChar">
    <w:name w:val="Balloon Text Char"/>
    <w:basedOn w:val="DefaultParagraphFont"/>
    <w:link w:val="BalloonText"/>
    <w:uiPriority w:val="99"/>
    <w:semiHidden/>
    <w:rsid w:val="004E0C2B"/>
    <w:rPr>
      <w:rFonts w:ascii="Tahoma" w:eastAsiaTheme="minorEastAsia" w:hAnsi="Tahoma" w:cs="Tahoma"/>
      <w:sz w:val="16"/>
      <w:szCs w:val="16"/>
    </w:rPr>
  </w:style>
  <w:style w:type="paragraph" w:styleId="ListParagraph">
    <w:name w:val="List Paragraph"/>
    <w:basedOn w:val="Normal"/>
    <w:uiPriority w:val="34"/>
    <w:qFormat/>
    <w:rsid w:val="0075698B"/>
    <w:pPr>
      <w:ind w:left="720"/>
      <w:contextualSpacing/>
    </w:pPr>
  </w:style>
  <w:style w:type="paragraph" w:styleId="NoSpacing">
    <w:name w:val="No Spacing"/>
    <w:link w:val="NoSpacingChar"/>
    <w:uiPriority w:val="1"/>
    <w:qFormat/>
    <w:rsid w:val="00C14A34"/>
    <w:pPr>
      <w:ind w:firstLine="360"/>
    </w:pPr>
    <w:rPr>
      <w:rFonts w:eastAsiaTheme="minorEastAsia"/>
    </w:rPr>
  </w:style>
  <w:style w:type="paragraph" w:styleId="Header">
    <w:name w:val="header"/>
    <w:basedOn w:val="Normal"/>
    <w:link w:val="HeaderChar"/>
    <w:uiPriority w:val="99"/>
    <w:unhideWhenUsed/>
    <w:rsid w:val="00B94C98"/>
    <w:pPr>
      <w:tabs>
        <w:tab w:val="center" w:pos="4680"/>
        <w:tab w:val="right" w:pos="9360"/>
      </w:tabs>
    </w:pPr>
  </w:style>
  <w:style w:type="character" w:customStyle="1" w:styleId="HeaderChar">
    <w:name w:val="Header Char"/>
    <w:basedOn w:val="DefaultParagraphFont"/>
    <w:link w:val="Header"/>
    <w:uiPriority w:val="99"/>
    <w:rsid w:val="00B94C98"/>
    <w:rPr>
      <w:rFonts w:eastAsiaTheme="minorEastAsia"/>
    </w:rPr>
  </w:style>
  <w:style w:type="paragraph" w:styleId="Footer">
    <w:name w:val="footer"/>
    <w:basedOn w:val="Normal"/>
    <w:link w:val="FooterChar"/>
    <w:uiPriority w:val="99"/>
    <w:unhideWhenUsed/>
    <w:rsid w:val="00B94C98"/>
    <w:pPr>
      <w:tabs>
        <w:tab w:val="center" w:pos="4680"/>
        <w:tab w:val="right" w:pos="9360"/>
      </w:tabs>
    </w:pPr>
  </w:style>
  <w:style w:type="character" w:customStyle="1" w:styleId="FooterChar">
    <w:name w:val="Footer Char"/>
    <w:basedOn w:val="DefaultParagraphFont"/>
    <w:link w:val="Footer"/>
    <w:uiPriority w:val="99"/>
    <w:rsid w:val="00B94C98"/>
    <w:rPr>
      <w:rFonts w:eastAsiaTheme="minorEastAsia"/>
    </w:rPr>
  </w:style>
  <w:style w:type="character" w:styleId="CommentReference">
    <w:name w:val="annotation reference"/>
    <w:basedOn w:val="DefaultParagraphFont"/>
    <w:uiPriority w:val="99"/>
    <w:semiHidden/>
    <w:unhideWhenUsed/>
    <w:rsid w:val="00647F94"/>
    <w:rPr>
      <w:sz w:val="16"/>
      <w:szCs w:val="16"/>
    </w:rPr>
  </w:style>
  <w:style w:type="paragraph" w:styleId="CommentText">
    <w:name w:val="annotation text"/>
    <w:basedOn w:val="Normal"/>
    <w:link w:val="CommentTextChar"/>
    <w:uiPriority w:val="99"/>
    <w:unhideWhenUsed/>
    <w:rsid w:val="00647F94"/>
    <w:rPr>
      <w:sz w:val="20"/>
      <w:szCs w:val="20"/>
    </w:rPr>
  </w:style>
  <w:style w:type="character" w:customStyle="1" w:styleId="CommentTextChar">
    <w:name w:val="Comment Text Char"/>
    <w:basedOn w:val="DefaultParagraphFont"/>
    <w:link w:val="CommentText"/>
    <w:uiPriority w:val="99"/>
    <w:rsid w:val="00647F94"/>
    <w:rPr>
      <w:rFonts w:eastAsiaTheme="minorEastAsia"/>
      <w:sz w:val="20"/>
      <w:szCs w:val="20"/>
    </w:rPr>
  </w:style>
  <w:style w:type="table" w:styleId="TableGrid">
    <w:name w:val="Table Grid"/>
    <w:basedOn w:val="TableNormal"/>
    <w:uiPriority w:val="59"/>
    <w:rsid w:val="00D6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823"/>
    <w:rPr>
      <w:color w:val="0000FF"/>
      <w:u w:val="single"/>
    </w:rPr>
  </w:style>
  <w:style w:type="paragraph" w:styleId="CommentSubject">
    <w:name w:val="annotation subject"/>
    <w:basedOn w:val="CommentText"/>
    <w:next w:val="CommentText"/>
    <w:link w:val="CommentSubjectChar"/>
    <w:uiPriority w:val="99"/>
    <w:semiHidden/>
    <w:unhideWhenUsed/>
    <w:rsid w:val="00CE30BE"/>
    <w:rPr>
      <w:b/>
      <w:bCs/>
    </w:rPr>
  </w:style>
  <w:style w:type="character" w:customStyle="1" w:styleId="CommentSubjectChar">
    <w:name w:val="Comment Subject Char"/>
    <w:basedOn w:val="CommentTextChar"/>
    <w:link w:val="CommentSubject"/>
    <w:uiPriority w:val="99"/>
    <w:semiHidden/>
    <w:rsid w:val="00CE30BE"/>
    <w:rPr>
      <w:rFonts w:eastAsiaTheme="minorEastAsia"/>
      <w:b/>
      <w:bCs/>
      <w:sz w:val="20"/>
      <w:szCs w:val="20"/>
    </w:rPr>
  </w:style>
  <w:style w:type="table" w:customStyle="1" w:styleId="TableGrid1">
    <w:name w:val="Table Grid1"/>
    <w:basedOn w:val="TableNormal"/>
    <w:next w:val="TableGrid"/>
    <w:uiPriority w:val="59"/>
    <w:rsid w:val="00E94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4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2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5151"/>
    <w:rPr>
      <w:color w:val="800080"/>
      <w:u w:val="single"/>
    </w:rPr>
  </w:style>
  <w:style w:type="paragraph" w:customStyle="1" w:styleId="xl63">
    <w:name w:val="xl63"/>
    <w:basedOn w:val="Normal"/>
    <w:rsid w:val="00635151"/>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ind w:firstLine="0"/>
    </w:pPr>
    <w:rPr>
      <w:rFonts w:ascii="Times New Roman" w:eastAsia="Times New Roman" w:hAnsi="Times New Roman" w:cs="Times New Roman"/>
      <w:sz w:val="24"/>
      <w:szCs w:val="24"/>
    </w:rPr>
  </w:style>
  <w:style w:type="paragraph" w:customStyle="1" w:styleId="xl64">
    <w:name w:val="xl64"/>
    <w:basedOn w:val="Normal"/>
    <w:rsid w:val="0063515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rPr>
  </w:style>
  <w:style w:type="paragraph" w:customStyle="1" w:styleId="xl65">
    <w:name w:val="xl65"/>
    <w:basedOn w:val="Normal"/>
    <w:rsid w:val="0063515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rPr>
  </w:style>
  <w:style w:type="paragraph" w:styleId="Revision">
    <w:name w:val="Revision"/>
    <w:hidden/>
    <w:uiPriority w:val="99"/>
    <w:semiHidden/>
    <w:rsid w:val="00FD0597"/>
    <w:rPr>
      <w:rFonts w:eastAsiaTheme="minorEastAsia"/>
    </w:rPr>
  </w:style>
  <w:style w:type="numbering" w:customStyle="1" w:styleId="NoList1">
    <w:name w:val="No List1"/>
    <w:next w:val="NoList"/>
    <w:uiPriority w:val="99"/>
    <w:semiHidden/>
    <w:unhideWhenUsed/>
    <w:rsid w:val="00256019"/>
  </w:style>
  <w:style w:type="table" w:customStyle="1" w:styleId="TableGrid5">
    <w:name w:val="Table Grid5"/>
    <w:basedOn w:val="TableNormal"/>
    <w:next w:val="TableGrid"/>
    <w:uiPriority w:val="59"/>
    <w:rsid w:val="00256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56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56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56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56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6151B"/>
    <w:rPr>
      <w:rFonts w:ascii="Calibri" w:eastAsiaTheme="minorHAnsi" w:hAnsi="Calibri" w:cs="Times New Roman"/>
      <w:sz w:val="20"/>
      <w:szCs w:val="20"/>
    </w:rPr>
  </w:style>
  <w:style w:type="character" w:customStyle="1" w:styleId="FootnoteTextChar">
    <w:name w:val="Footnote Text Char"/>
    <w:basedOn w:val="DefaultParagraphFont"/>
    <w:link w:val="FootnoteText"/>
    <w:uiPriority w:val="99"/>
    <w:rsid w:val="0056151B"/>
    <w:rPr>
      <w:rFonts w:ascii="Calibri" w:hAnsi="Calibri" w:cs="Times New Roman"/>
      <w:sz w:val="20"/>
      <w:szCs w:val="20"/>
    </w:rPr>
  </w:style>
  <w:style w:type="character" w:styleId="FootnoteReference">
    <w:name w:val="footnote reference"/>
    <w:basedOn w:val="DefaultParagraphFont"/>
    <w:uiPriority w:val="99"/>
    <w:semiHidden/>
    <w:unhideWhenUsed/>
    <w:rsid w:val="0056151B"/>
    <w:rPr>
      <w:vertAlign w:val="superscript"/>
    </w:rPr>
  </w:style>
  <w:style w:type="paragraph" w:styleId="NormalWeb">
    <w:name w:val="Normal (Web)"/>
    <w:basedOn w:val="Normal"/>
    <w:uiPriority w:val="99"/>
    <w:semiHidden/>
    <w:unhideWhenUsed/>
    <w:rsid w:val="00D21A6F"/>
    <w:pPr>
      <w:spacing w:before="100" w:beforeAutospacing="1" w:after="100" w:afterAutospacing="1"/>
      <w:ind w:firstLine="0"/>
    </w:pPr>
    <w:rPr>
      <w:rFonts w:ascii="Times New Roman" w:eastAsia="Calibri" w:hAnsi="Times New Roman" w:cs="Times New Roman"/>
      <w:sz w:val="24"/>
      <w:szCs w:val="24"/>
    </w:rPr>
  </w:style>
  <w:style w:type="paragraph" w:styleId="EndnoteText">
    <w:name w:val="endnote text"/>
    <w:basedOn w:val="Normal"/>
    <w:link w:val="EndnoteTextChar"/>
    <w:uiPriority w:val="99"/>
    <w:semiHidden/>
    <w:unhideWhenUsed/>
    <w:rsid w:val="0098539D"/>
    <w:rPr>
      <w:sz w:val="20"/>
      <w:szCs w:val="20"/>
    </w:rPr>
  </w:style>
  <w:style w:type="character" w:customStyle="1" w:styleId="EndnoteTextChar">
    <w:name w:val="Endnote Text Char"/>
    <w:basedOn w:val="DefaultParagraphFont"/>
    <w:link w:val="EndnoteText"/>
    <w:uiPriority w:val="99"/>
    <w:semiHidden/>
    <w:rsid w:val="0098539D"/>
    <w:rPr>
      <w:rFonts w:eastAsiaTheme="minorEastAsia"/>
      <w:sz w:val="20"/>
      <w:szCs w:val="20"/>
    </w:rPr>
  </w:style>
  <w:style w:type="character" w:styleId="EndnoteReference">
    <w:name w:val="endnote reference"/>
    <w:basedOn w:val="DefaultParagraphFont"/>
    <w:uiPriority w:val="99"/>
    <w:semiHidden/>
    <w:unhideWhenUsed/>
    <w:rsid w:val="0098539D"/>
    <w:rPr>
      <w:vertAlign w:val="superscript"/>
    </w:rPr>
  </w:style>
  <w:style w:type="paragraph" w:customStyle="1" w:styleId="Default">
    <w:name w:val="Default"/>
    <w:rsid w:val="00303A85"/>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22638C"/>
    <w:rPr>
      <w:rFonts w:asciiTheme="majorHAnsi" w:eastAsiaTheme="majorEastAsia" w:hAnsiTheme="majorHAnsi" w:cstheme="majorBidi"/>
      <w:b/>
      <w:bCs/>
      <w:color w:val="365F91" w:themeColor="accent1" w:themeShade="BF"/>
      <w:sz w:val="28"/>
      <w:szCs w:val="28"/>
      <w:u w:val="single"/>
    </w:rPr>
  </w:style>
  <w:style w:type="character" w:customStyle="1" w:styleId="Heading2Char">
    <w:name w:val="Heading 2 Char"/>
    <w:basedOn w:val="DefaultParagraphFont"/>
    <w:link w:val="Heading2"/>
    <w:uiPriority w:val="9"/>
    <w:rsid w:val="0022638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2638C"/>
    <w:rPr>
      <w:rFonts w:eastAsiaTheme="minorEastAsia"/>
      <w:b/>
      <w:sz w:val="24"/>
      <w:u w:val="single"/>
    </w:rPr>
  </w:style>
  <w:style w:type="paragraph" w:styleId="Title">
    <w:name w:val="Title"/>
    <w:basedOn w:val="Normal"/>
    <w:next w:val="Normal"/>
    <w:link w:val="TitleChar"/>
    <w:uiPriority w:val="10"/>
    <w:qFormat/>
    <w:rsid w:val="0095027D"/>
    <w:pPr>
      <w:spacing w:before="1440" w:after="240" w:line="480" w:lineRule="auto"/>
      <w:ind w:firstLine="0"/>
      <w:jc w:val="center"/>
    </w:pPr>
    <w:rPr>
      <w:rFonts w:ascii="Arial" w:hAnsi="Arial"/>
      <w:b/>
      <w:color w:val="C00000"/>
      <w:sz w:val="56"/>
      <w:szCs w:val="24"/>
    </w:rPr>
  </w:style>
  <w:style w:type="character" w:customStyle="1" w:styleId="TitleChar">
    <w:name w:val="Title Char"/>
    <w:basedOn w:val="DefaultParagraphFont"/>
    <w:link w:val="Title"/>
    <w:uiPriority w:val="10"/>
    <w:rsid w:val="0095027D"/>
    <w:rPr>
      <w:rFonts w:ascii="Arial" w:eastAsiaTheme="minorEastAsia" w:hAnsi="Arial"/>
      <w:b/>
      <w:color w:val="C00000"/>
      <w:sz w:val="56"/>
      <w:szCs w:val="24"/>
    </w:rPr>
  </w:style>
  <w:style w:type="paragraph" w:styleId="Subtitle">
    <w:name w:val="Subtitle"/>
    <w:basedOn w:val="Normal"/>
    <w:next w:val="Normal"/>
    <w:link w:val="SubtitleChar"/>
    <w:uiPriority w:val="11"/>
    <w:qFormat/>
    <w:rsid w:val="00CC1C46"/>
    <w:pPr>
      <w:ind w:firstLine="0"/>
    </w:pPr>
    <w:rPr>
      <w:sz w:val="24"/>
    </w:rPr>
  </w:style>
  <w:style w:type="character" w:customStyle="1" w:styleId="SubtitleChar">
    <w:name w:val="Subtitle Char"/>
    <w:basedOn w:val="DefaultParagraphFont"/>
    <w:link w:val="Subtitle"/>
    <w:uiPriority w:val="11"/>
    <w:rsid w:val="00CC1C46"/>
    <w:rPr>
      <w:rFonts w:eastAsiaTheme="minorEastAsia"/>
      <w:sz w:val="24"/>
    </w:rPr>
  </w:style>
  <w:style w:type="character" w:customStyle="1" w:styleId="UnresolvedMention1">
    <w:name w:val="Unresolved Mention1"/>
    <w:basedOn w:val="DefaultParagraphFont"/>
    <w:uiPriority w:val="99"/>
    <w:semiHidden/>
    <w:unhideWhenUsed/>
    <w:rsid w:val="001209EA"/>
    <w:rPr>
      <w:color w:val="605E5C"/>
      <w:shd w:val="clear" w:color="auto" w:fill="E1DFDD"/>
    </w:rPr>
  </w:style>
  <w:style w:type="character" w:customStyle="1" w:styleId="apple-converted-space">
    <w:name w:val="apple-converted-space"/>
    <w:basedOn w:val="DefaultParagraphFont"/>
    <w:rsid w:val="007625DF"/>
  </w:style>
  <w:style w:type="character" w:customStyle="1" w:styleId="UnresolvedMention2">
    <w:name w:val="Unresolved Mention2"/>
    <w:basedOn w:val="DefaultParagraphFont"/>
    <w:uiPriority w:val="99"/>
    <w:semiHidden/>
    <w:unhideWhenUsed/>
    <w:rsid w:val="000D36AC"/>
    <w:rPr>
      <w:color w:val="605E5C"/>
      <w:shd w:val="clear" w:color="auto" w:fill="E1DFDD"/>
    </w:rPr>
  </w:style>
  <w:style w:type="character" w:customStyle="1" w:styleId="UnresolvedMention3">
    <w:name w:val="Unresolved Mention3"/>
    <w:basedOn w:val="DefaultParagraphFont"/>
    <w:uiPriority w:val="99"/>
    <w:semiHidden/>
    <w:unhideWhenUsed/>
    <w:rsid w:val="00A054EB"/>
    <w:rPr>
      <w:color w:val="605E5C"/>
      <w:shd w:val="clear" w:color="auto" w:fill="E1DFDD"/>
    </w:rPr>
  </w:style>
  <w:style w:type="character" w:customStyle="1" w:styleId="UnresolvedMention4">
    <w:name w:val="Unresolved Mention4"/>
    <w:basedOn w:val="DefaultParagraphFont"/>
    <w:uiPriority w:val="99"/>
    <w:semiHidden/>
    <w:unhideWhenUsed/>
    <w:rsid w:val="00CB764A"/>
    <w:rPr>
      <w:color w:val="605E5C"/>
      <w:shd w:val="clear" w:color="auto" w:fill="E1DFDD"/>
    </w:rPr>
  </w:style>
  <w:style w:type="character" w:customStyle="1" w:styleId="Heading4Char">
    <w:name w:val="Heading 4 Char"/>
    <w:basedOn w:val="DefaultParagraphFont"/>
    <w:link w:val="Heading4"/>
    <w:uiPriority w:val="9"/>
    <w:rsid w:val="001C2769"/>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8C3DED"/>
    <w:pPr>
      <w:keepNext/>
      <w:keepLines/>
      <w:spacing w:before="480" w:line="276" w:lineRule="auto"/>
      <w:outlineLvl w:val="9"/>
    </w:pPr>
    <w:rPr>
      <w:u w:val="none"/>
      <w:lang w:eastAsia="ja-JP"/>
    </w:rPr>
  </w:style>
  <w:style w:type="paragraph" w:styleId="TOC1">
    <w:name w:val="toc 1"/>
    <w:basedOn w:val="Normal"/>
    <w:next w:val="Normal"/>
    <w:autoRedefine/>
    <w:uiPriority w:val="39"/>
    <w:unhideWhenUsed/>
    <w:rsid w:val="00E776AE"/>
    <w:pPr>
      <w:tabs>
        <w:tab w:val="right" w:leader="dot" w:pos="9350"/>
      </w:tabs>
      <w:spacing w:after="100"/>
      <w:ind w:left="360" w:firstLine="0"/>
    </w:pPr>
    <w:rPr>
      <w:rFonts w:ascii="Arial" w:hAnsi="Arial" w:cs="Arial"/>
      <w:noProof/>
      <w:sz w:val="24"/>
    </w:rPr>
  </w:style>
  <w:style w:type="paragraph" w:styleId="TOC2">
    <w:name w:val="toc 2"/>
    <w:basedOn w:val="Normal"/>
    <w:next w:val="Normal"/>
    <w:autoRedefine/>
    <w:uiPriority w:val="39"/>
    <w:unhideWhenUsed/>
    <w:rsid w:val="009664C4"/>
    <w:pPr>
      <w:tabs>
        <w:tab w:val="right" w:leader="dot" w:pos="9350"/>
      </w:tabs>
      <w:spacing w:after="100"/>
      <w:ind w:left="810" w:firstLine="0"/>
    </w:pPr>
    <w:rPr>
      <w:rFonts w:ascii="Arial" w:hAnsi="Arial" w:cs="Arial"/>
      <w:noProof/>
      <w:sz w:val="24"/>
    </w:rPr>
  </w:style>
  <w:style w:type="paragraph" w:styleId="TOC3">
    <w:name w:val="toc 3"/>
    <w:basedOn w:val="Normal"/>
    <w:next w:val="Normal"/>
    <w:autoRedefine/>
    <w:uiPriority w:val="39"/>
    <w:unhideWhenUsed/>
    <w:rsid w:val="00E776AE"/>
    <w:pPr>
      <w:tabs>
        <w:tab w:val="right" w:leader="dot" w:pos="9350"/>
      </w:tabs>
      <w:spacing w:after="100"/>
      <w:ind w:left="1080" w:hanging="10"/>
    </w:pPr>
  </w:style>
  <w:style w:type="character" w:customStyle="1" w:styleId="UnresolvedMention5">
    <w:name w:val="Unresolved Mention5"/>
    <w:basedOn w:val="DefaultParagraphFont"/>
    <w:uiPriority w:val="99"/>
    <w:semiHidden/>
    <w:unhideWhenUsed/>
    <w:rsid w:val="00FE7F34"/>
    <w:rPr>
      <w:color w:val="605E5C"/>
      <w:shd w:val="clear" w:color="auto" w:fill="E1DFDD"/>
    </w:rPr>
  </w:style>
  <w:style w:type="table" w:customStyle="1" w:styleId="TableGrid6">
    <w:name w:val="Table Grid6"/>
    <w:basedOn w:val="TableNormal"/>
    <w:next w:val="TableGrid"/>
    <w:uiPriority w:val="59"/>
    <w:rsid w:val="006E2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8172D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176">
      <w:bodyDiv w:val="1"/>
      <w:marLeft w:val="0"/>
      <w:marRight w:val="0"/>
      <w:marTop w:val="0"/>
      <w:marBottom w:val="0"/>
      <w:divBdr>
        <w:top w:val="none" w:sz="0" w:space="0" w:color="auto"/>
        <w:left w:val="none" w:sz="0" w:space="0" w:color="auto"/>
        <w:bottom w:val="none" w:sz="0" w:space="0" w:color="auto"/>
        <w:right w:val="none" w:sz="0" w:space="0" w:color="auto"/>
      </w:divBdr>
    </w:div>
    <w:div w:id="11147503">
      <w:bodyDiv w:val="1"/>
      <w:marLeft w:val="0"/>
      <w:marRight w:val="0"/>
      <w:marTop w:val="0"/>
      <w:marBottom w:val="0"/>
      <w:divBdr>
        <w:top w:val="none" w:sz="0" w:space="0" w:color="auto"/>
        <w:left w:val="none" w:sz="0" w:space="0" w:color="auto"/>
        <w:bottom w:val="none" w:sz="0" w:space="0" w:color="auto"/>
        <w:right w:val="none" w:sz="0" w:space="0" w:color="auto"/>
      </w:divBdr>
    </w:div>
    <w:div w:id="36273811">
      <w:bodyDiv w:val="1"/>
      <w:marLeft w:val="0"/>
      <w:marRight w:val="0"/>
      <w:marTop w:val="0"/>
      <w:marBottom w:val="0"/>
      <w:divBdr>
        <w:top w:val="none" w:sz="0" w:space="0" w:color="auto"/>
        <w:left w:val="none" w:sz="0" w:space="0" w:color="auto"/>
        <w:bottom w:val="none" w:sz="0" w:space="0" w:color="auto"/>
        <w:right w:val="none" w:sz="0" w:space="0" w:color="auto"/>
      </w:divBdr>
    </w:div>
    <w:div w:id="46994150">
      <w:bodyDiv w:val="1"/>
      <w:marLeft w:val="0"/>
      <w:marRight w:val="0"/>
      <w:marTop w:val="0"/>
      <w:marBottom w:val="0"/>
      <w:divBdr>
        <w:top w:val="none" w:sz="0" w:space="0" w:color="auto"/>
        <w:left w:val="none" w:sz="0" w:space="0" w:color="auto"/>
        <w:bottom w:val="none" w:sz="0" w:space="0" w:color="auto"/>
        <w:right w:val="none" w:sz="0" w:space="0" w:color="auto"/>
      </w:divBdr>
    </w:div>
    <w:div w:id="48308784">
      <w:bodyDiv w:val="1"/>
      <w:marLeft w:val="0"/>
      <w:marRight w:val="0"/>
      <w:marTop w:val="0"/>
      <w:marBottom w:val="0"/>
      <w:divBdr>
        <w:top w:val="none" w:sz="0" w:space="0" w:color="auto"/>
        <w:left w:val="none" w:sz="0" w:space="0" w:color="auto"/>
        <w:bottom w:val="none" w:sz="0" w:space="0" w:color="auto"/>
        <w:right w:val="none" w:sz="0" w:space="0" w:color="auto"/>
      </w:divBdr>
    </w:div>
    <w:div w:id="58940884">
      <w:bodyDiv w:val="1"/>
      <w:marLeft w:val="0"/>
      <w:marRight w:val="0"/>
      <w:marTop w:val="0"/>
      <w:marBottom w:val="0"/>
      <w:divBdr>
        <w:top w:val="none" w:sz="0" w:space="0" w:color="auto"/>
        <w:left w:val="none" w:sz="0" w:space="0" w:color="auto"/>
        <w:bottom w:val="none" w:sz="0" w:space="0" w:color="auto"/>
        <w:right w:val="none" w:sz="0" w:space="0" w:color="auto"/>
      </w:divBdr>
    </w:div>
    <w:div w:id="65108142">
      <w:bodyDiv w:val="1"/>
      <w:marLeft w:val="0"/>
      <w:marRight w:val="0"/>
      <w:marTop w:val="0"/>
      <w:marBottom w:val="0"/>
      <w:divBdr>
        <w:top w:val="none" w:sz="0" w:space="0" w:color="auto"/>
        <w:left w:val="none" w:sz="0" w:space="0" w:color="auto"/>
        <w:bottom w:val="none" w:sz="0" w:space="0" w:color="auto"/>
        <w:right w:val="none" w:sz="0" w:space="0" w:color="auto"/>
      </w:divBdr>
    </w:div>
    <w:div w:id="65693041">
      <w:bodyDiv w:val="1"/>
      <w:marLeft w:val="0"/>
      <w:marRight w:val="0"/>
      <w:marTop w:val="0"/>
      <w:marBottom w:val="0"/>
      <w:divBdr>
        <w:top w:val="none" w:sz="0" w:space="0" w:color="auto"/>
        <w:left w:val="none" w:sz="0" w:space="0" w:color="auto"/>
        <w:bottom w:val="none" w:sz="0" w:space="0" w:color="auto"/>
        <w:right w:val="none" w:sz="0" w:space="0" w:color="auto"/>
      </w:divBdr>
    </w:div>
    <w:div w:id="66415763">
      <w:bodyDiv w:val="1"/>
      <w:marLeft w:val="0"/>
      <w:marRight w:val="0"/>
      <w:marTop w:val="0"/>
      <w:marBottom w:val="0"/>
      <w:divBdr>
        <w:top w:val="none" w:sz="0" w:space="0" w:color="auto"/>
        <w:left w:val="none" w:sz="0" w:space="0" w:color="auto"/>
        <w:bottom w:val="none" w:sz="0" w:space="0" w:color="auto"/>
        <w:right w:val="none" w:sz="0" w:space="0" w:color="auto"/>
      </w:divBdr>
    </w:div>
    <w:div w:id="74524105">
      <w:bodyDiv w:val="1"/>
      <w:marLeft w:val="0"/>
      <w:marRight w:val="0"/>
      <w:marTop w:val="0"/>
      <w:marBottom w:val="0"/>
      <w:divBdr>
        <w:top w:val="none" w:sz="0" w:space="0" w:color="auto"/>
        <w:left w:val="none" w:sz="0" w:space="0" w:color="auto"/>
        <w:bottom w:val="none" w:sz="0" w:space="0" w:color="auto"/>
        <w:right w:val="none" w:sz="0" w:space="0" w:color="auto"/>
      </w:divBdr>
    </w:div>
    <w:div w:id="76757325">
      <w:bodyDiv w:val="1"/>
      <w:marLeft w:val="0"/>
      <w:marRight w:val="0"/>
      <w:marTop w:val="0"/>
      <w:marBottom w:val="0"/>
      <w:divBdr>
        <w:top w:val="none" w:sz="0" w:space="0" w:color="auto"/>
        <w:left w:val="none" w:sz="0" w:space="0" w:color="auto"/>
        <w:bottom w:val="none" w:sz="0" w:space="0" w:color="auto"/>
        <w:right w:val="none" w:sz="0" w:space="0" w:color="auto"/>
      </w:divBdr>
    </w:div>
    <w:div w:id="78722667">
      <w:bodyDiv w:val="1"/>
      <w:marLeft w:val="0"/>
      <w:marRight w:val="0"/>
      <w:marTop w:val="0"/>
      <w:marBottom w:val="0"/>
      <w:divBdr>
        <w:top w:val="none" w:sz="0" w:space="0" w:color="auto"/>
        <w:left w:val="none" w:sz="0" w:space="0" w:color="auto"/>
        <w:bottom w:val="none" w:sz="0" w:space="0" w:color="auto"/>
        <w:right w:val="none" w:sz="0" w:space="0" w:color="auto"/>
      </w:divBdr>
    </w:div>
    <w:div w:id="92894860">
      <w:bodyDiv w:val="1"/>
      <w:marLeft w:val="0"/>
      <w:marRight w:val="0"/>
      <w:marTop w:val="0"/>
      <w:marBottom w:val="0"/>
      <w:divBdr>
        <w:top w:val="none" w:sz="0" w:space="0" w:color="auto"/>
        <w:left w:val="none" w:sz="0" w:space="0" w:color="auto"/>
        <w:bottom w:val="none" w:sz="0" w:space="0" w:color="auto"/>
        <w:right w:val="none" w:sz="0" w:space="0" w:color="auto"/>
      </w:divBdr>
    </w:div>
    <w:div w:id="98331690">
      <w:bodyDiv w:val="1"/>
      <w:marLeft w:val="0"/>
      <w:marRight w:val="0"/>
      <w:marTop w:val="0"/>
      <w:marBottom w:val="0"/>
      <w:divBdr>
        <w:top w:val="none" w:sz="0" w:space="0" w:color="auto"/>
        <w:left w:val="none" w:sz="0" w:space="0" w:color="auto"/>
        <w:bottom w:val="none" w:sz="0" w:space="0" w:color="auto"/>
        <w:right w:val="none" w:sz="0" w:space="0" w:color="auto"/>
      </w:divBdr>
    </w:div>
    <w:div w:id="101194675">
      <w:bodyDiv w:val="1"/>
      <w:marLeft w:val="0"/>
      <w:marRight w:val="0"/>
      <w:marTop w:val="0"/>
      <w:marBottom w:val="0"/>
      <w:divBdr>
        <w:top w:val="none" w:sz="0" w:space="0" w:color="auto"/>
        <w:left w:val="none" w:sz="0" w:space="0" w:color="auto"/>
        <w:bottom w:val="none" w:sz="0" w:space="0" w:color="auto"/>
        <w:right w:val="none" w:sz="0" w:space="0" w:color="auto"/>
      </w:divBdr>
    </w:div>
    <w:div w:id="103816790">
      <w:bodyDiv w:val="1"/>
      <w:marLeft w:val="0"/>
      <w:marRight w:val="0"/>
      <w:marTop w:val="0"/>
      <w:marBottom w:val="0"/>
      <w:divBdr>
        <w:top w:val="none" w:sz="0" w:space="0" w:color="auto"/>
        <w:left w:val="none" w:sz="0" w:space="0" w:color="auto"/>
        <w:bottom w:val="none" w:sz="0" w:space="0" w:color="auto"/>
        <w:right w:val="none" w:sz="0" w:space="0" w:color="auto"/>
      </w:divBdr>
    </w:div>
    <w:div w:id="110898799">
      <w:bodyDiv w:val="1"/>
      <w:marLeft w:val="0"/>
      <w:marRight w:val="0"/>
      <w:marTop w:val="0"/>
      <w:marBottom w:val="0"/>
      <w:divBdr>
        <w:top w:val="none" w:sz="0" w:space="0" w:color="auto"/>
        <w:left w:val="none" w:sz="0" w:space="0" w:color="auto"/>
        <w:bottom w:val="none" w:sz="0" w:space="0" w:color="auto"/>
        <w:right w:val="none" w:sz="0" w:space="0" w:color="auto"/>
      </w:divBdr>
    </w:div>
    <w:div w:id="115606029">
      <w:bodyDiv w:val="1"/>
      <w:marLeft w:val="0"/>
      <w:marRight w:val="0"/>
      <w:marTop w:val="0"/>
      <w:marBottom w:val="0"/>
      <w:divBdr>
        <w:top w:val="none" w:sz="0" w:space="0" w:color="auto"/>
        <w:left w:val="none" w:sz="0" w:space="0" w:color="auto"/>
        <w:bottom w:val="none" w:sz="0" w:space="0" w:color="auto"/>
        <w:right w:val="none" w:sz="0" w:space="0" w:color="auto"/>
      </w:divBdr>
    </w:div>
    <w:div w:id="117921181">
      <w:bodyDiv w:val="1"/>
      <w:marLeft w:val="0"/>
      <w:marRight w:val="0"/>
      <w:marTop w:val="0"/>
      <w:marBottom w:val="0"/>
      <w:divBdr>
        <w:top w:val="none" w:sz="0" w:space="0" w:color="auto"/>
        <w:left w:val="none" w:sz="0" w:space="0" w:color="auto"/>
        <w:bottom w:val="none" w:sz="0" w:space="0" w:color="auto"/>
        <w:right w:val="none" w:sz="0" w:space="0" w:color="auto"/>
      </w:divBdr>
    </w:div>
    <w:div w:id="138543512">
      <w:bodyDiv w:val="1"/>
      <w:marLeft w:val="0"/>
      <w:marRight w:val="0"/>
      <w:marTop w:val="0"/>
      <w:marBottom w:val="0"/>
      <w:divBdr>
        <w:top w:val="none" w:sz="0" w:space="0" w:color="auto"/>
        <w:left w:val="none" w:sz="0" w:space="0" w:color="auto"/>
        <w:bottom w:val="none" w:sz="0" w:space="0" w:color="auto"/>
        <w:right w:val="none" w:sz="0" w:space="0" w:color="auto"/>
      </w:divBdr>
    </w:div>
    <w:div w:id="175779348">
      <w:bodyDiv w:val="1"/>
      <w:marLeft w:val="0"/>
      <w:marRight w:val="0"/>
      <w:marTop w:val="0"/>
      <w:marBottom w:val="0"/>
      <w:divBdr>
        <w:top w:val="none" w:sz="0" w:space="0" w:color="auto"/>
        <w:left w:val="none" w:sz="0" w:space="0" w:color="auto"/>
        <w:bottom w:val="none" w:sz="0" w:space="0" w:color="auto"/>
        <w:right w:val="none" w:sz="0" w:space="0" w:color="auto"/>
      </w:divBdr>
    </w:div>
    <w:div w:id="203062244">
      <w:bodyDiv w:val="1"/>
      <w:marLeft w:val="0"/>
      <w:marRight w:val="0"/>
      <w:marTop w:val="0"/>
      <w:marBottom w:val="0"/>
      <w:divBdr>
        <w:top w:val="none" w:sz="0" w:space="0" w:color="auto"/>
        <w:left w:val="none" w:sz="0" w:space="0" w:color="auto"/>
        <w:bottom w:val="none" w:sz="0" w:space="0" w:color="auto"/>
        <w:right w:val="none" w:sz="0" w:space="0" w:color="auto"/>
      </w:divBdr>
    </w:div>
    <w:div w:id="208733956">
      <w:bodyDiv w:val="1"/>
      <w:marLeft w:val="0"/>
      <w:marRight w:val="0"/>
      <w:marTop w:val="0"/>
      <w:marBottom w:val="0"/>
      <w:divBdr>
        <w:top w:val="none" w:sz="0" w:space="0" w:color="auto"/>
        <w:left w:val="none" w:sz="0" w:space="0" w:color="auto"/>
        <w:bottom w:val="none" w:sz="0" w:space="0" w:color="auto"/>
        <w:right w:val="none" w:sz="0" w:space="0" w:color="auto"/>
      </w:divBdr>
    </w:div>
    <w:div w:id="209146899">
      <w:bodyDiv w:val="1"/>
      <w:marLeft w:val="0"/>
      <w:marRight w:val="0"/>
      <w:marTop w:val="0"/>
      <w:marBottom w:val="0"/>
      <w:divBdr>
        <w:top w:val="none" w:sz="0" w:space="0" w:color="auto"/>
        <w:left w:val="none" w:sz="0" w:space="0" w:color="auto"/>
        <w:bottom w:val="none" w:sz="0" w:space="0" w:color="auto"/>
        <w:right w:val="none" w:sz="0" w:space="0" w:color="auto"/>
      </w:divBdr>
    </w:div>
    <w:div w:id="217210956">
      <w:bodyDiv w:val="1"/>
      <w:marLeft w:val="0"/>
      <w:marRight w:val="0"/>
      <w:marTop w:val="0"/>
      <w:marBottom w:val="0"/>
      <w:divBdr>
        <w:top w:val="none" w:sz="0" w:space="0" w:color="auto"/>
        <w:left w:val="none" w:sz="0" w:space="0" w:color="auto"/>
        <w:bottom w:val="none" w:sz="0" w:space="0" w:color="auto"/>
        <w:right w:val="none" w:sz="0" w:space="0" w:color="auto"/>
      </w:divBdr>
    </w:div>
    <w:div w:id="226958756">
      <w:bodyDiv w:val="1"/>
      <w:marLeft w:val="0"/>
      <w:marRight w:val="0"/>
      <w:marTop w:val="0"/>
      <w:marBottom w:val="0"/>
      <w:divBdr>
        <w:top w:val="none" w:sz="0" w:space="0" w:color="auto"/>
        <w:left w:val="none" w:sz="0" w:space="0" w:color="auto"/>
        <w:bottom w:val="none" w:sz="0" w:space="0" w:color="auto"/>
        <w:right w:val="none" w:sz="0" w:space="0" w:color="auto"/>
      </w:divBdr>
    </w:div>
    <w:div w:id="235820146">
      <w:bodyDiv w:val="1"/>
      <w:marLeft w:val="0"/>
      <w:marRight w:val="0"/>
      <w:marTop w:val="0"/>
      <w:marBottom w:val="0"/>
      <w:divBdr>
        <w:top w:val="none" w:sz="0" w:space="0" w:color="auto"/>
        <w:left w:val="none" w:sz="0" w:space="0" w:color="auto"/>
        <w:bottom w:val="none" w:sz="0" w:space="0" w:color="auto"/>
        <w:right w:val="none" w:sz="0" w:space="0" w:color="auto"/>
      </w:divBdr>
    </w:div>
    <w:div w:id="241574951">
      <w:bodyDiv w:val="1"/>
      <w:marLeft w:val="0"/>
      <w:marRight w:val="0"/>
      <w:marTop w:val="0"/>
      <w:marBottom w:val="0"/>
      <w:divBdr>
        <w:top w:val="none" w:sz="0" w:space="0" w:color="auto"/>
        <w:left w:val="none" w:sz="0" w:space="0" w:color="auto"/>
        <w:bottom w:val="none" w:sz="0" w:space="0" w:color="auto"/>
        <w:right w:val="none" w:sz="0" w:space="0" w:color="auto"/>
      </w:divBdr>
    </w:div>
    <w:div w:id="250746769">
      <w:bodyDiv w:val="1"/>
      <w:marLeft w:val="0"/>
      <w:marRight w:val="0"/>
      <w:marTop w:val="0"/>
      <w:marBottom w:val="0"/>
      <w:divBdr>
        <w:top w:val="none" w:sz="0" w:space="0" w:color="auto"/>
        <w:left w:val="none" w:sz="0" w:space="0" w:color="auto"/>
        <w:bottom w:val="none" w:sz="0" w:space="0" w:color="auto"/>
        <w:right w:val="none" w:sz="0" w:space="0" w:color="auto"/>
      </w:divBdr>
    </w:div>
    <w:div w:id="279535119">
      <w:bodyDiv w:val="1"/>
      <w:marLeft w:val="0"/>
      <w:marRight w:val="0"/>
      <w:marTop w:val="0"/>
      <w:marBottom w:val="0"/>
      <w:divBdr>
        <w:top w:val="none" w:sz="0" w:space="0" w:color="auto"/>
        <w:left w:val="none" w:sz="0" w:space="0" w:color="auto"/>
        <w:bottom w:val="none" w:sz="0" w:space="0" w:color="auto"/>
        <w:right w:val="none" w:sz="0" w:space="0" w:color="auto"/>
      </w:divBdr>
    </w:div>
    <w:div w:id="310670287">
      <w:bodyDiv w:val="1"/>
      <w:marLeft w:val="0"/>
      <w:marRight w:val="0"/>
      <w:marTop w:val="0"/>
      <w:marBottom w:val="0"/>
      <w:divBdr>
        <w:top w:val="none" w:sz="0" w:space="0" w:color="auto"/>
        <w:left w:val="none" w:sz="0" w:space="0" w:color="auto"/>
        <w:bottom w:val="none" w:sz="0" w:space="0" w:color="auto"/>
        <w:right w:val="none" w:sz="0" w:space="0" w:color="auto"/>
      </w:divBdr>
    </w:div>
    <w:div w:id="326715364">
      <w:bodyDiv w:val="1"/>
      <w:marLeft w:val="0"/>
      <w:marRight w:val="0"/>
      <w:marTop w:val="0"/>
      <w:marBottom w:val="0"/>
      <w:divBdr>
        <w:top w:val="none" w:sz="0" w:space="0" w:color="auto"/>
        <w:left w:val="none" w:sz="0" w:space="0" w:color="auto"/>
        <w:bottom w:val="none" w:sz="0" w:space="0" w:color="auto"/>
        <w:right w:val="none" w:sz="0" w:space="0" w:color="auto"/>
      </w:divBdr>
    </w:div>
    <w:div w:id="326789139">
      <w:bodyDiv w:val="1"/>
      <w:marLeft w:val="0"/>
      <w:marRight w:val="0"/>
      <w:marTop w:val="0"/>
      <w:marBottom w:val="0"/>
      <w:divBdr>
        <w:top w:val="none" w:sz="0" w:space="0" w:color="auto"/>
        <w:left w:val="none" w:sz="0" w:space="0" w:color="auto"/>
        <w:bottom w:val="none" w:sz="0" w:space="0" w:color="auto"/>
        <w:right w:val="none" w:sz="0" w:space="0" w:color="auto"/>
      </w:divBdr>
    </w:div>
    <w:div w:id="334311920">
      <w:bodyDiv w:val="1"/>
      <w:marLeft w:val="0"/>
      <w:marRight w:val="0"/>
      <w:marTop w:val="0"/>
      <w:marBottom w:val="0"/>
      <w:divBdr>
        <w:top w:val="none" w:sz="0" w:space="0" w:color="auto"/>
        <w:left w:val="none" w:sz="0" w:space="0" w:color="auto"/>
        <w:bottom w:val="none" w:sz="0" w:space="0" w:color="auto"/>
        <w:right w:val="none" w:sz="0" w:space="0" w:color="auto"/>
      </w:divBdr>
    </w:div>
    <w:div w:id="351882438">
      <w:bodyDiv w:val="1"/>
      <w:marLeft w:val="0"/>
      <w:marRight w:val="0"/>
      <w:marTop w:val="0"/>
      <w:marBottom w:val="0"/>
      <w:divBdr>
        <w:top w:val="none" w:sz="0" w:space="0" w:color="auto"/>
        <w:left w:val="none" w:sz="0" w:space="0" w:color="auto"/>
        <w:bottom w:val="none" w:sz="0" w:space="0" w:color="auto"/>
        <w:right w:val="none" w:sz="0" w:space="0" w:color="auto"/>
      </w:divBdr>
    </w:div>
    <w:div w:id="370033251">
      <w:bodyDiv w:val="1"/>
      <w:marLeft w:val="0"/>
      <w:marRight w:val="0"/>
      <w:marTop w:val="0"/>
      <w:marBottom w:val="0"/>
      <w:divBdr>
        <w:top w:val="none" w:sz="0" w:space="0" w:color="auto"/>
        <w:left w:val="none" w:sz="0" w:space="0" w:color="auto"/>
        <w:bottom w:val="none" w:sz="0" w:space="0" w:color="auto"/>
        <w:right w:val="none" w:sz="0" w:space="0" w:color="auto"/>
      </w:divBdr>
    </w:div>
    <w:div w:id="379863532">
      <w:bodyDiv w:val="1"/>
      <w:marLeft w:val="0"/>
      <w:marRight w:val="0"/>
      <w:marTop w:val="0"/>
      <w:marBottom w:val="0"/>
      <w:divBdr>
        <w:top w:val="none" w:sz="0" w:space="0" w:color="auto"/>
        <w:left w:val="none" w:sz="0" w:space="0" w:color="auto"/>
        <w:bottom w:val="none" w:sz="0" w:space="0" w:color="auto"/>
        <w:right w:val="none" w:sz="0" w:space="0" w:color="auto"/>
      </w:divBdr>
    </w:div>
    <w:div w:id="389958898">
      <w:bodyDiv w:val="1"/>
      <w:marLeft w:val="0"/>
      <w:marRight w:val="0"/>
      <w:marTop w:val="0"/>
      <w:marBottom w:val="0"/>
      <w:divBdr>
        <w:top w:val="none" w:sz="0" w:space="0" w:color="auto"/>
        <w:left w:val="none" w:sz="0" w:space="0" w:color="auto"/>
        <w:bottom w:val="none" w:sz="0" w:space="0" w:color="auto"/>
        <w:right w:val="none" w:sz="0" w:space="0" w:color="auto"/>
      </w:divBdr>
    </w:div>
    <w:div w:id="395205129">
      <w:bodyDiv w:val="1"/>
      <w:marLeft w:val="0"/>
      <w:marRight w:val="0"/>
      <w:marTop w:val="0"/>
      <w:marBottom w:val="0"/>
      <w:divBdr>
        <w:top w:val="none" w:sz="0" w:space="0" w:color="auto"/>
        <w:left w:val="none" w:sz="0" w:space="0" w:color="auto"/>
        <w:bottom w:val="none" w:sz="0" w:space="0" w:color="auto"/>
        <w:right w:val="none" w:sz="0" w:space="0" w:color="auto"/>
      </w:divBdr>
    </w:div>
    <w:div w:id="397558436">
      <w:bodyDiv w:val="1"/>
      <w:marLeft w:val="0"/>
      <w:marRight w:val="0"/>
      <w:marTop w:val="0"/>
      <w:marBottom w:val="0"/>
      <w:divBdr>
        <w:top w:val="none" w:sz="0" w:space="0" w:color="auto"/>
        <w:left w:val="none" w:sz="0" w:space="0" w:color="auto"/>
        <w:bottom w:val="none" w:sz="0" w:space="0" w:color="auto"/>
        <w:right w:val="none" w:sz="0" w:space="0" w:color="auto"/>
      </w:divBdr>
    </w:div>
    <w:div w:id="400951112">
      <w:bodyDiv w:val="1"/>
      <w:marLeft w:val="0"/>
      <w:marRight w:val="0"/>
      <w:marTop w:val="0"/>
      <w:marBottom w:val="0"/>
      <w:divBdr>
        <w:top w:val="none" w:sz="0" w:space="0" w:color="auto"/>
        <w:left w:val="none" w:sz="0" w:space="0" w:color="auto"/>
        <w:bottom w:val="none" w:sz="0" w:space="0" w:color="auto"/>
        <w:right w:val="none" w:sz="0" w:space="0" w:color="auto"/>
      </w:divBdr>
    </w:div>
    <w:div w:id="411633295">
      <w:bodyDiv w:val="1"/>
      <w:marLeft w:val="0"/>
      <w:marRight w:val="0"/>
      <w:marTop w:val="0"/>
      <w:marBottom w:val="0"/>
      <w:divBdr>
        <w:top w:val="none" w:sz="0" w:space="0" w:color="auto"/>
        <w:left w:val="none" w:sz="0" w:space="0" w:color="auto"/>
        <w:bottom w:val="none" w:sz="0" w:space="0" w:color="auto"/>
        <w:right w:val="none" w:sz="0" w:space="0" w:color="auto"/>
      </w:divBdr>
    </w:div>
    <w:div w:id="412824851">
      <w:bodyDiv w:val="1"/>
      <w:marLeft w:val="0"/>
      <w:marRight w:val="0"/>
      <w:marTop w:val="0"/>
      <w:marBottom w:val="0"/>
      <w:divBdr>
        <w:top w:val="none" w:sz="0" w:space="0" w:color="auto"/>
        <w:left w:val="none" w:sz="0" w:space="0" w:color="auto"/>
        <w:bottom w:val="none" w:sz="0" w:space="0" w:color="auto"/>
        <w:right w:val="none" w:sz="0" w:space="0" w:color="auto"/>
      </w:divBdr>
    </w:div>
    <w:div w:id="419643407">
      <w:bodyDiv w:val="1"/>
      <w:marLeft w:val="0"/>
      <w:marRight w:val="0"/>
      <w:marTop w:val="0"/>
      <w:marBottom w:val="0"/>
      <w:divBdr>
        <w:top w:val="none" w:sz="0" w:space="0" w:color="auto"/>
        <w:left w:val="none" w:sz="0" w:space="0" w:color="auto"/>
        <w:bottom w:val="none" w:sz="0" w:space="0" w:color="auto"/>
        <w:right w:val="none" w:sz="0" w:space="0" w:color="auto"/>
      </w:divBdr>
    </w:div>
    <w:div w:id="430127566">
      <w:bodyDiv w:val="1"/>
      <w:marLeft w:val="0"/>
      <w:marRight w:val="0"/>
      <w:marTop w:val="0"/>
      <w:marBottom w:val="0"/>
      <w:divBdr>
        <w:top w:val="none" w:sz="0" w:space="0" w:color="auto"/>
        <w:left w:val="none" w:sz="0" w:space="0" w:color="auto"/>
        <w:bottom w:val="none" w:sz="0" w:space="0" w:color="auto"/>
        <w:right w:val="none" w:sz="0" w:space="0" w:color="auto"/>
      </w:divBdr>
    </w:div>
    <w:div w:id="445275134">
      <w:bodyDiv w:val="1"/>
      <w:marLeft w:val="0"/>
      <w:marRight w:val="0"/>
      <w:marTop w:val="0"/>
      <w:marBottom w:val="0"/>
      <w:divBdr>
        <w:top w:val="none" w:sz="0" w:space="0" w:color="auto"/>
        <w:left w:val="none" w:sz="0" w:space="0" w:color="auto"/>
        <w:bottom w:val="none" w:sz="0" w:space="0" w:color="auto"/>
        <w:right w:val="none" w:sz="0" w:space="0" w:color="auto"/>
      </w:divBdr>
    </w:div>
    <w:div w:id="458498159">
      <w:bodyDiv w:val="1"/>
      <w:marLeft w:val="0"/>
      <w:marRight w:val="0"/>
      <w:marTop w:val="0"/>
      <w:marBottom w:val="0"/>
      <w:divBdr>
        <w:top w:val="none" w:sz="0" w:space="0" w:color="auto"/>
        <w:left w:val="none" w:sz="0" w:space="0" w:color="auto"/>
        <w:bottom w:val="none" w:sz="0" w:space="0" w:color="auto"/>
        <w:right w:val="none" w:sz="0" w:space="0" w:color="auto"/>
      </w:divBdr>
    </w:div>
    <w:div w:id="477113902">
      <w:bodyDiv w:val="1"/>
      <w:marLeft w:val="0"/>
      <w:marRight w:val="0"/>
      <w:marTop w:val="0"/>
      <w:marBottom w:val="0"/>
      <w:divBdr>
        <w:top w:val="none" w:sz="0" w:space="0" w:color="auto"/>
        <w:left w:val="none" w:sz="0" w:space="0" w:color="auto"/>
        <w:bottom w:val="none" w:sz="0" w:space="0" w:color="auto"/>
        <w:right w:val="none" w:sz="0" w:space="0" w:color="auto"/>
      </w:divBdr>
    </w:div>
    <w:div w:id="481193935">
      <w:bodyDiv w:val="1"/>
      <w:marLeft w:val="0"/>
      <w:marRight w:val="0"/>
      <w:marTop w:val="0"/>
      <w:marBottom w:val="0"/>
      <w:divBdr>
        <w:top w:val="none" w:sz="0" w:space="0" w:color="auto"/>
        <w:left w:val="none" w:sz="0" w:space="0" w:color="auto"/>
        <w:bottom w:val="none" w:sz="0" w:space="0" w:color="auto"/>
        <w:right w:val="none" w:sz="0" w:space="0" w:color="auto"/>
      </w:divBdr>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89103810">
      <w:bodyDiv w:val="1"/>
      <w:marLeft w:val="0"/>
      <w:marRight w:val="0"/>
      <w:marTop w:val="0"/>
      <w:marBottom w:val="0"/>
      <w:divBdr>
        <w:top w:val="none" w:sz="0" w:space="0" w:color="auto"/>
        <w:left w:val="none" w:sz="0" w:space="0" w:color="auto"/>
        <w:bottom w:val="none" w:sz="0" w:space="0" w:color="auto"/>
        <w:right w:val="none" w:sz="0" w:space="0" w:color="auto"/>
      </w:divBdr>
    </w:div>
    <w:div w:id="495730004">
      <w:bodyDiv w:val="1"/>
      <w:marLeft w:val="0"/>
      <w:marRight w:val="0"/>
      <w:marTop w:val="0"/>
      <w:marBottom w:val="0"/>
      <w:divBdr>
        <w:top w:val="none" w:sz="0" w:space="0" w:color="auto"/>
        <w:left w:val="none" w:sz="0" w:space="0" w:color="auto"/>
        <w:bottom w:val="none" w:sz="0" w:space="0" w:color="auto"/>
        <w:right w:val="none" w:sz="0" w:space="0" w:color="auto"/>
      </w:divBdr>
    </w:div>
    <w:div w:id="499346544">
      <w:bodyDiv w:val="1"/>
      <w:marLeft w:val="0"/>
      <w:marRight w:val="0"/>
      <w:marTop w:val="0"/>
      <w:marBottom w:val="0"/>
      <w:divBdr>
        <w:top w:val="none" w:sz="0" w:space="0" w:color="auto"/>
        <w:left w:val="none" w:sz="0" w:space="0" w:color="auto"/>
        <w:bottom w:val="none" w:sz="0" w:space="0" w:color="auto"/>
        <w:right w:val="none" w:sz="0" w:space="0" w:color="auto"/>
      </w:divBdr>
    </w:div>
    <w:div w:id="505827706">
      <w:bodyDiv w:val="1"/>
      <w:marLeft w:val="0"/>
      <w:marRight w:val="0"/>
      <w:marTop w:val="0"/>
      <w:marBottom w:val="0"/>
      <w:divBdr>
        <w:top w:val="none" w:sz="0" w:space="0" w:color="auto"/>
        <w:left w:val="none" w:sz="0" w:space="0" w:color="auto"/>
        <w:bottom w:val="none" w:sz="0" w:space="0" w:color="auto"/>
        <w:right w:val="none" w:sz="0" w:space="0" w:color="auto"/>
      </w:divBdr>
    </w:div>
    <w:div w:id="506553628">
      <w:bodyDiv w:val="1"/>
      <w:marLeft w:val="0"/>
      <w:marRight w:val="0"/>
      <w:marTop w:val="0"/>
      <w:marBottom w:val="0"/>
      <w:divBdr>
        <w:top w:val="none" w:sz="0" w:space="0" w:color="auto"/>
        <w:left w:val="none" w:sz="0" w:space="0" w:color="auto"/>
        <w:bottom w:val="none" w:sz="0" w:space="0" w:color="auto"/>
        <w:right w:val="none" w:sz="0" w:space="0" w:color="auto"/>
      </w:divBdr>
    </w:div>
    <w:div w:id="509831425">
      <w:bodyDiv w:val="1"/>
      <w:marLeft w:val="0"/>
      <w:marRight w:val="0"/>
      <w:marTop w:val="0"/>
      <w:marBottom w:val="0"/>
      <w:divBdr>
        <w:top w:val="none" w:sz="0" w:space="0" w:color="auto"/>
        <w:left w:val="none" w:sz="0" w:space="0" w:color="auto"/>
        <w:bottom w:val="none" w:sz="0" w:space="0" w:color="auto"/>
        <w:right w:val="none" w:sz="0" w:space="0" w:color="auto"/>
      </w:divBdr>
    </w:div>
    <w:div w:id="519046253">
      <w:bodyDiv w:val="1"/>
      <w:marLeft w:val="0"/>
      <w:marRight w:val="0"/>
      <w:marTop w:val="0"/>
      <w:marBottom w:val="0"/>
      <w:divBdr>
        <w:top w:val="none" w:sz="0" w:space="0" w:color="auto"/>
        <w:left w:val="none" w:sz="0" w:space="0" w:color="auto"/>
        <w:bottom w:val="none" w:sz="0" w:space="0" w:color="auto"/>
        <w:right w:val="none" w:sz="0" w:space="0" w:color="auto"/>
      </w:divBdr>
    </w:div>
    <w:div w:id="529802110">
      <w:bodyDiv w:val="1"/>
      <w:marLeft w:val="0"/>
      <w:marRight w:val="0"/>
      <w:marTop w:val="0"/>
      <w:marBottom w:val="0"/>
      <w:divBdr>
        <w:top w:val="none" w:sz="0" w:space="0" w:color="auto"/>
        <w:left w:val="none" w:sz="0" w:space="0" w:color="auto"/>
        <w:bottom w:val="none" w:sz="0" w:space="0" w:color="auto"/>
        <w:right w:val="none" w:sz="0" w:space="0" w:color="auto"/>
      </w:divBdr>
    </w:div>
    <w:div w:id="537358353">
      <w:bodyDiv w:val="1"/>
      <w:marLeft w:val="0"/>
      <w:marRight w:val="0"/>
      <w:marTop w:val="0"/>
      <w:marBottom w:val="0"/>
      <w:divBdr>
        <w:top w:val="none" w:sz="0" w:space="0" w:color="auto"/>
        <w:left w:val="none" w:sz="0" w:space="0" w:color="auto"/>
        <w:bottom w:val="none" w:sz="0" w:space="0" w:color="auto"/>
        <w:right w:val="none" w:sz="0" w:space="0" w:color="auto"/>
      </w:divBdr>
    </w:div>
    <w:div w:id="537819592">
      <w:bodyDiv w:val="1"/>
      <w:marLeft w:val="0"/>
      <w:marRight w:val="0"/>
      <w:marTop w:val="0"/>
      <w:marBottom w:val="0"/>
      <w:divBdr>
        <w:top w:val="none" w:sz="0" w:space="0" w:color="auto"/>
        <w:left w:val="none" w:sz="0" w:space="0" w:color="auto"/>
        <w:bottom w:val="none" w:sz="0" w:space="0" w:color="auto"/>
        <w:right w:val="none" w:sz="0" w:space="0" w:color="auto"/>
      </w:divBdr>
    </w:div>
    <w:div w:id="547034805">
      <w:bodyDiv w:val="1"/>
      <w:marLeft w:val="0"/>
      <w:marRight w:val="0"/>
      <w:marTop w:val="0"/>
      <w:marBottom w:val="0"/>
      <w:divBdr>
        <w:top w:val="none" w:sz="0" w:space="0" w:color="auto"/>
        <w:left w:val="none" w:sz="0" w:space="0" w:color="auto"/>
        <w:bottom w:val="none" w:sz="0" w:space="0" w:color="auto"/>
        <w:right w:val="none" w:sz="0" w:space="0" w:color="auto"/>
      </w:divBdr>
    </w:div>
    <w:div w:id="577709865">
      <w:bodyDiv w:val="1"/>
      <w:marLeft w:val="0"/>
      <w:marRight w:val="0"/>
      <w:marTop w:val="0"/>
      <w:marBottom w:val="0"/>
      <w:divBdr>
        <w:top w:val="none" w:sz="0" w:space="0" w:color="auto"/>
        <w:left w:val="none" w:sz="0" w:space="0" w:color="auto"/>
        <w:bottom w:val="none" w:sz="0" w:space="0" w:color="auto"/>
        <w:right w:val="none" w:sz="0" w:space="0" w:color="auto"/>
      </w:divBdr>
    </w:div>
    <w:div w:id="586040937">
      <w:bodyDiv w:val="1"/>
      <w:marLeft w:val="0"/>
      <w:marRight w:val="0"/>
      <w:marTop w:val="0"/>
      <w:marBottom w:val="0"/>
      <w:divBdr>
        <w:top w:val="none" w:sz="0" w:space="0" w:color="auto"/>
        <w:left w:val="none" w:sz="0" w:space="0" w:color="auto"/>
        <w:bottom w:val="none" w:sz="0" w:space="0" w:color="auto"/>
        <w:right w:val="none" w:sz="0" w:space="0" w:color="auto"/>
      </w:divBdr>
    </w:div>
    <w:div w:id="588928399">
      <w:bodyDiv w:val="1"/>
      <w:marLeft w:val="0"/>
      <w:marRight w:val="0"/>
      <w:marTop w:val="0"/>
      <w:marBottom w:val="0"/>
      <w:divBdr>
        <w:top w:val="none" w:sz="0" w:space="0" w:color="auto"/>
        <w:left w:val="none" w:sz="0" w:space="0" w:color="auto"/>
        <w:bottom w:val="none" w:sz="0" w:space="0" w:color="auto"/>
        <w:right w:val="none" w:sz="0" w:space="0" w:color="auto"/>
      </w:divBdr>
    </w:div>
    <w:div w:id="590315387">
      <w:bodyDiv w:val="1"/>
      <w:marLeft w:val="0"/>
      <w:marRight w:val="0"/>
      <w:marTop w:val="0"/>
      <w:marBottom w:val="0"/>
      <w:divBdr>
        <w:top w:val="none" w:sz="0" w:space="0" w:color="auto"/>
        <w:left w:val="none" w:sz="0" w:space="0" w:color="auto"/>
        <w:bottom w:val="none" w:sz="0" w:space="0" w:color="auto"/>
        <w:right w:val="none" w:sz="0" w:space="0" w:color="auto"/>
      </w:divBdr>
    </w:div>
    <w:div w:id="591163425">
      <w:bodyDiv w:val="1"/>
      <w:marLeft w:val="0"/>
      <w:marRight w:val="0"/>
      <w:marTop w:val="0"/>
      <w:marBottom w:val="0"/>
      <w:divBdr>
        <w:top w:val="none" w:sz="0" w:space="0" w:color="auto"/>
        <w:left w:val="none" w:sz="0" w:space="0" w:color="auto"/>
        <w:bottom w:val="none" w:sz="0" w:space="0" w:color="auto"/>
        <w:right w:val="none" w:sz="0" w:space="0" w:color="auto"/>
      </w:divBdr>
    </w:div>
    <w:div w:id="591934185">
      <w:bodyDiv w:val="1"/>
      <w:marLeft w:val="0"/>
      <w:marRight w:val="0"/>
      <w:marTop w:val="0"/>
      <w:marBottom w:val="0"/>
      <w:divBdr>
        <w:top w:val="none" w:sz="0" w:space="0" w:color="auto"/>
        <w:left w:val="none" w:sz="0" w:space="0" w:color="auto"/>
        <w:bottom w:val="none" w:sz="0" w:space="0" w:color="auto"/>
        <w:right w:val="none" w:sz="0" w:space="0" w:color="auto"/>
      </w:divBdr>
    </w:div>
    <w:div w:id="593589495">
      <w:bodyDiv w:val="1"/>
      <w:marLeft w:val="0"/>
      <w:marRight w:val="0"/>
      <w:marTop w:val="0"/>
      <w:marBottom w:val="0"/>
      <w:divBdr>
        <w:top w:val="none" w:sz="0" w:space="0" w:color="auto"/>
        <w:left w:val="none" w:sz="0" w:space="0" w:color="auto"/>
        <w:bottom w:val="none" w:sz="0" w:space="0" w:color="auto"/>
        <w:right w:val="none" w:sz="0" w:space="0" w:color="auto"/>
      </w:divBdr>
    </w:div>
    <w:div w:id="604965945">
      <w:bodyDiv w:val="1"/>
      <w:marLeft w:val="0"/>
      <w:marRight w:val="0"/>
      <w:marTop w:val="0"/>
      <w:marBottom w:val="0"/>
      <w:divBdr>
        <w:top w:val="none" w:sz="0" w:space="0" w:color="auto"/>
        <w:left w:val="none" w:sz="0" w:space="0" w:color="auto"/>
        <w:bottom w:val="none" w:sz="0" w:space="0" w:color="auto"/>
        <w:right w:val="none" w:sz="0" w:space="0" w:color="auto"/>
      </w:divBdr>
    </w:div>
    <w:div w:id="632029592">
      <w:bodyDiv w:val="1"/>
      <w:marLeft w:val="0"/>
      <w:marRight w:val="0"/>
      <w:marTop w:val="0"/>
      <w:marBottom w:val="0"/>
      <w:divBdr>
        <w:top w:val="none" w:sz="0" w:space="0" w:color="auto"/>
        <w:left w:val="none" w:sz="0" w:space="0" w:color="auto"/>
        <w:bottom w:val="none" w:sz="0" w:space="0" w:color="auto"/>
        <w:right w:val="none" w:sz="0" w:space="0" w:color="auto"/>
      </w:divBdr>
    </w:div>
    <w:div w:id="632638743">
      <w:bodyDiv w:val="1"/>
      <w:marLeft w:val="0"/>
      <w:marRight w:val="0"/>
      <w:marTop w:val="0"/>
      <w:marBottom w:val="0"/>
      <w:divBdr>
        <w:top w:val="none" w:sz="0" w:space="0" w:color="auto"/>
        <w:left w:val="none" w:sz="0" w:space="0" w:color="auto"/>
        <w:bottom w:val="none" w:sz="0" w:space="0" w:color="auto"/>
        <w:right w:val="none" w:sz="0" w:space="0" w:color="auto"/>
      </w:divBdr>
    </w:div>
    <w:div w:id="635181263">
      <w:bodyDiv w:val="1"/>
      <w:marLeft w:val="0"/>
      <w:marRight w:val="0"/>
      <w:marTop w:val="0"/>
      <w:marBottom w:val="0"/>
      <w:divBdr>
        <w:top w:val="none" w:sz="0" w:space="0" w:color="auto"/>
        <w:left w:val="none" w:sz="0" w:space="0" w:color="auto"/>
        <w:bottom w:val="none" w:sz="0" w:space="0" w:color="auto"/>
        <w:right w:val="none" w:sz="0" w:space="0" w:color="auto"/>
      </w:divBdr>
    </w:div>
    <w:div w:id="639195035">
      <w:bodyDiv w:val="1"/>
      <w:marLeft w:val="0"/>
      <w:marRight w:val="0"/>
      <w:marTop w:val="0"/>
      <w:marBottom w:val="0"/>
      <w:divBdr>
        <w:top w:val="none" w:sz="0" w:space="0" w:color="auto"/>
        <w:left w:val="none" w:sz="0" w:space="0" w:color="auto"/>
        <w:bottom w:val="none" w:sz="0" w:space="0" w:color="auto"/>
        <w:right w:val="none" w:sz="0" w:space="0" w:color="auto"/>
      </w:divBdr>
    </w:div>
    <w:div w:id="667755352">
      <w:bodyDiv w:val="1"/>
      <w:marLeft w:val="0"/>
      <w:marRight w:val="0"/>
      <w:marTop w:val="0"/>
      <w:marBottom w:val="0"/>
      <w:divBdr>
        <w:top w:val="none" w:sz="0" w:space="0" w:color="auto"/>
        <w:left w:val="none" w:sz="0" w:space="0" w:color="auto"/>
        <w:bottom w:val="none" w:sz="0" w:space="0" w:color="auto"/>
        <w:right w:val="none" w:sz="0" w:space="0" w:color="auto"/>
      </w:divBdr>
    </w:div>
    <w:div w:id="678233496">
      <w:bodyDiv w:val="1"/>
      <w:marLeft w:val="0"/>
      <w:marRight w:val="0"/>
      <w:marTop w:val="0"/>
      <w:marBottom w:val="0"/>
      <w:divBdr>
        <w:top w:val="none" w:sz="0" w:space="0" w:color="auto"/>
        <w:left w:val="none" w:sz="0" w:space="0" w:color="auto"/>
        <w:bottom w:val="none" w:sz="0" w:space="0" w:color="auto"/>
        <w:right w:val="none" w:sz="0" w:space="0" w:color="auto"/>
      </w:divBdr>
    </w:div>
    <w:div w:id="678625484">
      <w:bodyDiv w:val="1"/>
      <w:marLeft w:val="0"/>
      <w:marRight w:val="0"/>
      <w:marTop w:val="0"/>
      <w:marBottom w:val="0"/>
      <w:divBdr>
        <w:top w:val="none" w:sz="0" w:space="0" w:color="auto"/>
        <w:left w:val="none" w:sz="0" w:space="0" w:color="auto"/>
        <w:bottom w:val="none" w:sz="0" w:space="0" w:color="auto"/>
        <w:right w:val="none" w:sz="0" w:space="0" w:color="auto"/>
      </w:divBdr>
    </w:div>
    <w:div w:id="678891459">
      <w:bodyDiv w:val="1"/>
      <w:marLeft w:val="0"/>
      <w:marRight w:val="0"/>
      <w:marTop w:val="0"/>
      <w:marBottom w:val="0"/>
      <w:divBdr>
        <w:top w:val="none" w:sz="0" w:space="0" w:color="auto"/>
        <w:left w:val="none" w:sz="0" w:space="0" w:color="auto"/>
        <w:bottom w:val="none" w:sz="0" w:space="0" w:color="auto"/>
        <w:right w:val="none" w:sz="0" w:space="0" w:color="auto"/>
      </w:divBdr>
    </w:div>
    <w:div w:id="679743781">
      <w:bodyDiv w:val="1"/>
      <w:marLeft w:val="0"/>
      <w:marRight w:val="0"/>
      <w:marTop w:val="0"/>
      <w:marBottom w:val="0"/>
      <w:divBdr>
        <w:top w:val="none" w:sz="0" w:space="0" w:color="auto"/>
        <w:left w:val="none" w:sz="0" w:space="0" w:color="auto"/>
        <w:bottom w:val="none" w:sz="0" w:space="0" w:color="auto"/>
        <w:right w:val="none" w:sz="0" w:space="0" w:color="auto"/>
      </w:divBdr>
    </w:div>
    <w:div w:id="691761236">
      <w:bodyDiv w:val="1"/>
      <w:marLeft w:val="0"/>
      <w:marRight w:val="0"/>
      <w:marTop w:val="0"/>
      <w:marBottom w:val="0"/>
      <w:divBdr>
        <w:top w:val="none" w:sz="0" w:space="0" w:color="auto"/>
        <w:left w:val="none" w:sz="0" w:space="0" w:color="auto"/>
        <w:bottom w:val="none" w:sz="0" w:space="0" w:color="auto"/>
        <w:right w:val="none" w:sz="0" w:space="0" w:color="auto"/>
      </w:divBdr>
    </w:div>
    <w:div w:id="704714062">
      <w:bodyDiv w:val="1"/>
      <w:marLeft w:val="0"/>
      <w:marRight w:val="0"/>
      <w:marTop w:val="0"/>
      <w:marBottom w:val="0"/>
      <w:divBdr>
        <w:top w:val="none" w:sz="0" w:space="0" w:color="auto"/>
        <w:left w:val="none" w:sz="0" w:space="0" w:color="auto"/>
        <w:bottom w:val="none" w:sz="0" w:space="0" w:color="auto"/>
        <w:right w:val="none" w:sz="0" w:space="0" w:color="auto"/>
      </w:divBdr>
    </w:div>
    <w:div w:id="708533092">
      <w:bodyDiv w:val="1"/>
      <w:marLeft w:val="0"/>
      <w:marRight w:val="0"/>
      <w:marTop w:val="0"/>
      <w:marBottom w:val="0"/>
      <w:divBdr>
        <w:top w:val="none" w:sz="0" w:space="0" w:color="auto"/>
        <w:left w:val="none" w:sz="0" w:space="0" w:color="auto"/>
        <w:bottom w:val="none" w:sz="0" w:space="0" w:color="auto"/>
        <w:right w:val="none" w:sz="0" w:space="0" w:color="auto"/>
      </w:divBdr>
    </w:div>
    <w:div w:id="721636250">
      <w:bodyDiv w:val="1"/>
      <w:marLeft w:val="0"/>
      <w:marRight w:val="0"/>
      <w:marTop w:val="0"/>
      <w:marBottom w:val="0"/>
      <w:divBdr>
        <w:top w:val="none" w:sz="0" w:space="0" w:color="auto"/>
        <w:left w:val="none" w:sz="0" w:space="0" w:color="auto"/>
        <w:bottom w:val="none" w:sz="0" w:space="0" w:color="auto"/>
        <w:right w:val="none" w:sz="0" w:space="0" w:color="auto"/>
      </w:divBdr>
    </w:div>
    <w:div w:id="730351680">
      <w:bodyDiv w:val="1"/>
      <w:marLeft w:val="0"/>
      <w:marRight w:val="0"/>
      <w:marTop w:val="0"/>
      <w:marBottom w:val="0"/>
      <w:divBdr>
        <w:top w:val="none" w:sz="0" w:space="0" w:color="auto"/>
        <w:left w:val="none" w:sz="0" w:space="0" w:color="auto"/>
        <w:bottom w:val="none" w:sz="0" w:space="0" w:color="auto"/>
        <w:right w:val="none" w:sz="0" w:space="0" w:color="auto"/>
      </w:divBdr>
    </w:div>
    <w:div w:id="733309707">
      <w:bodyDiv w:val="1"/>
      <w:marLeft w:val="0"/>
      <w:marRight w:val="0"/>
      <w:marTop w:val="0"/>
      <w:marBottom w:val="0"/>
      <w:divBdr>
        <w:top w:val="none" w:sz="0" w:space="0" w:color="auto"/>
        <w:left w:val="none" w:sz="0" w:space="0" w:color="auto"/>
        <w:bottom w:val="none" w:sz="0" w:space="0" w:color="auto"/>
        <w:right w:val="none" w:sz="0" w:space="0" w:color="auto"/>
      </w:divBdr>
    </w:div>
    <w:div w:id="744497348">
      <w:bodyDiv w:val="1"/>
      <w:marLeft w:val="0"/>
      <w:marRight w:val="0"/>
      <w:marTop w:val="0"/>
      <w:marBottom w:val="0"/>
      <w:divBdr>
        <w:top w:val="none" w:sz="0" w:space="0" w:color="auto"/>
        <w:left w:val="none" w:sz="0" w:space="0" w:color="auto"/>
        <w:bottom w:val="none" w:sz="0" w:space="0" w:color="auto"/>
        <w:right w:val="none" w:sz="0" w:space="0" w:color="auto"/>
      </w:divBdr>
    </w:div>
    <w:div w:id="748238658">
      <w:bodyDiv w:val="1"/>
      <w:marLeft w:val="0"/>
      <w:marRight w:val="0"/>
      <w:marTop w:val="0"/>
      <w:marBottom w:val="0"/>
      <w:divBdr>
        <w:top w:val="none" w:sz="0" w:space="0" w:color="auto"/>
        <w:left w:val="none" w:sz="0" w:space="0" w:color="auto"/>
        <w:bottom w:val="none" w:sz="0" w:space="0" w:color="auto"/>
        <w:right w:val="none" w:sz="0" w:space="0" w:color="auto"/>
      </w:divBdr>
    </w:div>
    <w:div w:id="749011940">
      <w:bodyDiv w:val="1"/>
      <w:marLeft w:val="0"/>
      <w:marRight w:val="0"/>
      <w:marTop w:val="0"/>
      <w:marBottom w:val="0"/>
      <w:divBdr>
        <w:top w:val="none" w:sz="0" w:space="0" w:color="auto"/>
        <w:left w:val="none" w:sz="0" w:space="0" w:color="auto"/>
        <w:bottom w:val="none" w:sz="0" w:space="0" w:color="auto"/>
        <w:right w:val="none" w:sz="0" w:space="0" w:color="auto"/>
      </w:divBdr>
    </w:div>
    <w:div w:id="752512279">
      <w:bodyDiv w:val="1"/>
      <w:marLeft w:val="0"/>
      <w:marRight w:val="0"/>
      <w:marTop w:val="0"/>
      <w:marBottom w:val="0"/>
      <w:divBdr>
        <w:top w:val="none" w:sz="0" w:space="0" w:color="auto"/>
        <w:left w:val="none" w:sz="0" w:space="0" w:color="auto"/>
        <w:bottom w:val="none" w:sz="0" w:space="0" w:color="auto"/>
        <w:right w:val="none" w:sz="0" w:space="0" w:color="auto"/>
      </w:divBdr>
    </w:div>
    <w:div w:id="752817728">
      <w:bodyDiv w:val="1"/>
      <w:marLeft w:val="0"/>
      <w:marRight w:val="0"/>
      <w:marTop w:val="0"/>
      <w:marBottom w:val="0"/>
      <w:divBdr>
        <w:top w:val="none" w:sz="0" w:space="0" w:color="auto"/>
        <w:left w:val="none" w:sz="0" w:space="0" w:color="auto"/>
        <w:bottom w:val="none" w:sz="0" w:space="0" w:color="auto"/>
        <w:right w:val="none" w:sz="0" w:space="0" w:color="auto"/>
      </w:divBdr>
    </w:div>
    <w:div w:id="754058111">
      <w:bodyDiv w:val="1"/>
      <w:marLeft w:val="0"/>
      <w:marRight w:val="0"/>
      <w:marTop w:val="0"/>
      <w:marBottom w:val="0"/>
      <w:divBdr>
        <w:top w:val="none" w:sz="0" w:space="0" w:color="auto"/>
        <w:left w:val="none" w:sz="0" w:space="0" w:color="auto"/>
        <w:bottom w:val="none" w:sz="0" w:space="0" w:color="auto"/>
        <w:right w:val="none" w:sz="0" w:space="0" w:color="auto"/>
      </w:divBdr>
    </w:div>
    <w:div w:id="755202949">
      <w:bodyDiv w:val="1"/>
      <w:marLeft w:val="0"/>
      <w:marRight w:val="0"/>
      <w:marTop w:val="0"/>
      <w:marBottom w:val="0"/>
      <w:divBdr>
        <w:top w:val="none" w:sz="0" w:space="0" w:color="auto"/>
        <w:left w:val="none" w:sz="0" w:space="0" w:color="auto"/>
        <w:bottom w:val="none" w:sz="0" w:space="0" w:color="auto"/>
        <w:right w:val="none" w:sz="0" w:space="0" w:color="auto"/>
      </w:divBdr>
    </w:div>
    <w:div w:id="773598060">
      <w:bodyDiv w:val="1"/>
      <w:marLeft w:val="0"/>
      <w:marRight w:val="0"/>
      <w:marTop w:val="0"/>
      <w:marBottom w:val="0"/>
      <w:divBdr>
        <w:top w:val="none" w:sz="0" w:space="0" w:color="auto"/>
        <w:left w:val="none" w:sz="0" w:space="0" w:color="auto"/>
        <w:bottom w:val="none" w:sz="0" w:space="0" w:color="auto"/>
        <w:right w:val="none" w:sz="0" w:space="0" w:color="auto"/>
      </w:divBdr>
    </w:div>
    <w:div w:id="778530607">
      <w:bodyDiv w:val="1"/>
      <w:marLeft w:val="0"/>
      <w:marRight w:val="0"/>
      <w:marTop w:val="0"/>
      <w:marBottom w:val="0"/>
      <w:divBdr>
        <w:top w:val="none" w:sz="0" w:space="0" w:color="auto"/>
        <w:left w:val="none" w:sz="0" w:space="0" w:color="auto"/>
        <w:bottom w:val="none" w:sz="0" w:space="0" w:color="auto"/>
        <w:right w:val="none" w:sz="0" w:space="0" w:color="auto"/>
      </w:divBdr>
    </w:div>
    <w:div w:id="778841338">
      <w:bodyDiv w:val="1"/>
      <w:marLeft w:val="0"/>
      <w:marRight w:val="0"/>
      <w:marTop w:val="0"/>
      <w:marBottom w:val="0"/>
      <w:divBdr>
        <w:top w:val="none" w:sz="0" w:space="0" w:color="auto"/>
        <w:left w:val="none" w:sz="0" w:space="0" w:color="auto"/>
        <w:bottom w:val="none" w:sz="0" w:space="0" w:color="auto"/>
        <w:right w:val="none" w:sz="0" w:space="0" w:color="auto"/>
      </w:divBdr>
    </w:div>
    <w:div w:id="780026498">
      <w:bodyDiv w:val="1"/>
      <w:marLeft w:val="0"/>
      <w:marRight w:val="0"/>
      <w:marTop w:val="0"/>
      <w:marBottom w:val="0"/>
      <w:divBdr>
        <w:top w:val="none" w:sz="0" w:space="0" w:color="auto"/>
        <w:left w:val="none" w:sz="0" w:space="0" w:color="auto"/>
        <w:bottom w:val="none" w:sz="0" w:space="0" w:color="auto"/>
        <w:right w:val="none" w:sz="0" w:space="0" w:color="auto"/>
      </w:divBdr>
    </w:div>
    <w:div w:id="786509442">
      <w:bodyDiv w:val="1"/>
      <w:marLeft w:val="0"/>
      <w:marRight w:val="0"/>
      <w:marTop w:val="0"/>
      <w:marBottom w:val="0"/>
      <w:divBdr>
        <w:top w:val="none" w:sz="0" w:space="0" w:color="auto"/>
        <w:left w:val="none" w:sz="0" w:space="0" w:color="auto"/>
        <w:bottom w:val="none" w:sz="0" w:space="0" w:color="auto"/>
        <w:right w:val="none" w:sz="0" w:space="0" w:color="auto"/>
      </w:divBdr>
    </w:div>
    <w:div w:id="788745408">
      <w:bodyDiv w:val="1"/>
      <w:marLeft w:val="0"/>
      <w:marRight w:val="0"/>
      <w:marTop w:val="0"/>
      <w:marBottom w:val="0"/>
      <w:divBdr>
        <w:top w:val="none" w:sz="0" w:space="0" w:color="auto"/>
        <w:left w:val="none" w:sz="0" w:space="0" w:color="auto"/>
        <w:bottom w:val="none" w:sz="0" w:space="0" w:color="auto"/>
        <w:right w:val="none" w:sz="0" w:space="0" w:color="auto"/>
      </w:divBdr>
    </w:div>
    <w:div w:id="837883255">
      <w:bodyDiv w:val="1"/>
      <w:marLeft w:val="0"/>
      <w:marRight w:val="0"/>
      <w:marTop w:val="0"/>
      <w:marBottom w:val="0"/>
      <w:divBdr>
        <w:top w:val="none" w:sz="0" w:space="0" w:color="auto"/>
        <w:left w:val="none" w:sz="0" w:space="0" w:color="auto"/>
        <w:bottom w:val="none" w:sz="0" w:space="0" w:color="auto"/>
        <w:right w:val="none" w:sz="0" w:space="0" w:color="auto"/>
      </w:divBdr>
    </w:div>
    <w:div w:id="838303286">
      <w:bodyDiv w:val="1"/>
      <w:marLeft w:val="0"/>
      <w:marRight w:val="0"/>
      <w:marTop w:val="0"/>
      <w:marBottom w:val="0"/>
      <w:divBdr>
        <w:top w:val="none" w:sz="0" w:space="0" w:color="auto"/>
        <w:left w:val="none" w:sz="0" w:space="0" w:color="auto"/>
        <w:bottom w:val="none" w:sz="0" w:space="0" w:color="auto"/>
        <w:right w:val="none" w:sz="0" w:space="0" w:color="auto"/>
      </w:divBdr>
    </w:div>
    <w:div w:id="848720283">
      <w:bodyDiv w:val="1"/>
      <w:marLeft w:val="0"/>
      <w:marRight w:val="0"/>
      <w:marTop w:val="0"/>
      <w:marBottom w:val="0"/>
      <w:divBdr>
        <w:top w:val="none" w:sz="0" w:space="0" w:color="auto"/>
        <w:left w:val="none" w:sz="0" w:space="0" w:color="auto"/>
        <w:bottom w:val="none" w:sz="0" w:space="0" w:color="auto"/>
        <w:right w:val="none" w:sz="0" w:space="0" w:color="auto"/>
      </w:divBdr>
    </w:div>
    <w:div w:id="854005473">
      <w:bodyDiv w:val="1"/>
      <w:marLeft w:val="0"/>
      <w:marRight w:val="0"/>
      <w:marTop w:val="0"/>
      <w:marBottom w:val="0"/>
      <w:divBdr>
        <w:top w:val="none" w:sz="0" w:space="0" w:color="auto"/>
        <w:left w:val="none" w:sz="0" w:space="0" w:color="auto"/>
        <w:bottom w:val="none" w:sz="0" w:space="0" w:color="auto"/>
        <w:right w:val="none" w:sz="0" w:space="0" w:color="auto"/>
      </w:divBdr>
    </w:div>
    <w:div w:id="857546206">
      <w:bodyDiv w:val="1"/>
      <w:marLeft w:val="0"/>
      <w:marRight w:val="0"/>
      <w:marTop w:val="0"/>
      <w:marBottom w:val="0"/>
      <w:divBdr>
        <w:top w:val="none" w:sz="0" w:space="0" w:color="auto"/>
        <w:left w:val="none" w:sz="0" w:space="0" w:color="auto"/>
        <w:bottom w:val="none" w:sz="0" w:space="0" w:color="auto"/>
        <w:right w:val="none" w:sz="0" w:space="0" w:color="auto"/>
      </w:divBdr>
    </w:div>
    <w:div w:id="859511000">
      <w:bodyDiv w:val="1"/>
      <w:marLeft w:val="0"/>
      <w:marRight w:val="0"/>
      <w:marTop w:val="0"/>
      <w:marBottom w:val="0"/>
      <w:divBdr>
        <w:top w:val="none" w:sz="0" w:space="0" w:color="auto"/>
        <w:left w:val="none" w:sz="0" w:space="0" w:color="auto"/>
        <w:bottom w:val="none" w:sz="0" w:space="0" w:color="auto"/>
        <w:right w:val="none" w:sz="0" w:space="0" w:color="auto"/>
      </w:divBdr>
    </w:div>
    <w:div w:id="861553982">
      <w:bodyDiv w:val="1"/>
      <w:marLeft w:val="0"/>
      <w:marRight w:val="0"/>
      <w:marTop w:val="0"/>
      <w:marBottom w:val="0"/>
      <w:divBdr>
        <w:top w:val="none" w:sz="0" w:space="0" w:color="auto"/>
        <w:left w:val="none" w:sz="0" w:space="0" w:color="auto"/>
        <w:bottom w:val="none" w:sz="0" w:space="0" w:color="auto"/>
        <w:right w:val="none" w:sz="0" w:space="0" w:color="auto"/>
      </w:divBdr>
    </w:div>
    <w:div w:id="868880310">
      <w:bodyDiv w:val="1"/>
      <w:marLeft w:val="0"/>
      <w:marRight w:val="0"/>
      <w:marTop w:val="0"/>
      <w:marBottom w:val="0"/>
      <w:divBdr>
        <w:top w:val="none" w:sz="0" w:space="0" w:color="auto"/>
        <w:left w:val="none" w:sz="0" w:space="0" w:color="auto"/>
        <w:bottom w:val="none" w:sz="0" w:space="0" w:color="auto"/>
        <w:right w:val="none" w:sz="0" w:space="0" w:color="auto"/>
      </w:divBdr>
    </w:div>
    <w:div w:id="873688733">
      <w:bodyDiv w:val="1"/>
      <w:marLeft w:val="0"/>
      <w:marRight w:val="0"/>
      <w:marTop w:val="0"/>
      <w:marBottom w:val="0"/>
      <w:divBdr>
        <w:top w:val="none" w:sz="0" w:space="0" w:color="auto"/>
        <w:left w:val="none" w:sz="0" w:space="0" w:color="auto"/>
        <w:bottom w:val="none" w:sz="0" w:space="0" w:color="auto"/>
        <w:right w:val="none" w:sz="0" w:space="0" w:color="auto"/>
      </w:divBdr>
    </w:div>
    <w:div w:id="893665052">
      <w:bodyDiv w:val="1"/>
      <w:marLeft w:val="0"/>
      <w:marRight w:val="0"/>
      <w:marTop w:val="0"/>
      <w:marBottom w:val="0"/>
      <w:divBdr>
        <w:top w:val="none" w:sz="0" w:space="0" w:color="auto"/>
        <w:left w:val="none" w:sz="0" w:space="0" w:color="auto"/>
        <w:bottom w:val="none" w:sz="0" w:space="0" w:color="auto"/>
        <w:right w:val="none" w:sz="0" w:space="0" w:color="auto"/>
      </w:divBdr>
    </w:div>
    <w:div w:id="895361103">
      <w:bodyDiv w:val="1"/>
      <w:marLeft w:val="0"/>
      <w:marRight w:val="0"/>
      <w:marTop w:val="0"/>
      <w:marBottom w:val="0"/>
      <w:divBdr>
        <w:top w:val="none" w:sz="0" w:space="0" w:color="auto"/>
        <w:left w:val="none" w:sz="0" w:space="0" w:color="auto"/>
        <w:bottom w:val="none" w:sz="0" w:space="0" w:color="auto"/>
        <w:right w:val="none" w:sz="0" w:space="0" w:color="auto"/>
      </w:divBdr>
    </w:div>
    <w:div w:id="897977126">
      <w:bodyDiv w:val="1"/>
      <w:marLeft w:val="0"/>
      <w:marRight w:val="0"/>
      <w:marTop w:val="0"/>
      <w:marBottom w:val="0"/>
      <w:divBdr>
        <w:top w:val="none" w:sz="0" w:space="0" w:color="auto"/>
        <w:left w:val="none" w:sz="0" w:space="0" w:color="auto"/>
        <w:bottom w:val="none" w:sz="0" w:space="0" w:color="auto"/>
        <w:right w:val="none" w:sz="0" w:space="0" w:color="auto"/>
      </w:divBdr>
    </w:div>
    <w:div w:id="931744070">
      <w:bodyDiv w:val="1"/>
      <w:marLeft w:val="0"/>
      <w:marRight w:val="0"/>
      <w:marTop w:val="0"/>
      <w:marBottom w:val="0"/>
      <w:divBdr>
        <w:top w:val="none" w:sz="0" w:space="0" w:color="auto"/>
        <w:left w:val="none" w:sz="0" w:space="0" w:color="auto"/>
        <w:bottom w:val="none" w:sz="0" w:space="0" w:color="auto"/>
        <w:right w:val="none" w:sz="0" w:space="0" w:color="auto"/>
      </w:divBdr>
    </w:div>
    <w:div w:id="934898234">
      <w:bodyDiv w:val="1"/>
      <w:marLeft w:val="0"/>
      <w:marRight w:val="0"/>
      <w:marTop w:val="0"/>
      <w:marBottom w:val="0"/>
      <w:divBdr>
        <w:top w:val="none" w:sz="0" w:space="0" w:color="auto"/>
        <w:left w:val="none" w:sz="0" w:space="0" w:color="auto"/>
        <w:bottom w:val="none" w:sz="0" w:space="0" w:color="auto"/>
        <w:right w:val="none" w:sz="0" w:space="0" w:color="auto"/>
      </w:divBdr>
    </w:div>
    <w:div w:id="936518122">
      <w:bodyDiv w:val="1"/>
      <w:marLeft w:val="0"/>
      <w:marRight w:val="0"/>
      <w:marTop w:val="0"/>
      <w:marBottom w:val="0"/>
      <w:divBdr>
        <w:top w:val="none" w:sz="0" w:space="0" w:color="auto"/>
        <w:left w:val="none" w:sz="0" w:space="0" w:color="auto"/>
        <w:bottom w:val="none" w:sz="0" w:space="0" w:color="auto"/>
        <w:right w:val="none" w:sz="0" w:space="0" w:color="auto"/>
      </w:divBdr>
    </w:div>
    <w:div w:id="945384754">
      <w:bodyDiv w:val="1"/>
      <w:marLeft w:val="0"/>
      <w:marRight w:val="0"/>
      <w:marTop w:val="0"/>
      <w:marBottom w:val="0"/>
      <w:divBdr>
        <w:top w:val="none" w:sz="0" w:space="0" w:color="auto"/>
        <w:left w:val="none" w:sz="0" w:space="0" w:color="auto"/>
        <w:bottom w:val="none" w:sz="0" w:space="0" w:color="auto"/>
        <w:right w:val="none" w:sz="0" w:space="0" w:color="auto"/>
      </w:divBdr>
    </w:div>
    <w:div w:id="948270237">
      <w:bodyDiv w:val="1"/>
      <w:marLeft w:val="0"/>
      <w:marRight w:val="0"/>
      <w:marTop w:val="0"/>
      <w:marBottom w:val="0"/>
      <w:divBdr>
        <w:top w:val="none" w:sz="0" w:space="0" w:color="auto"/>
        <w:left w:val="none" w:sz="0" w:space="0" w:color="auto"/>
        <w:bottom w:val="none" w:sz="0" w:space="0" w:color="auto"/>
        <w:right w:val="none" w:sz="0" w:space="0" w:color="auto"/>
      </w:divBdr>
    </w:div>
    <w:div w:id="951521373">
      <w:bodyDiv w:val="1"/>
      <w:marLeft w:val="0"/>
      <w:marRight w:val="0"/>
      <w:marTop w:val="0"/>
      <w:marBottom w:val="0"/>
      <w:divBdr>
        <w:top w:val="none" w:sz="0" w:space="0" w:color="auto"/>
        <w:left w:val="none" w:sz="0" w:space="0" w:color="auto"/>
        <w:bottom w:val="none" w:sz="0" w:space="0" w:color="auto"/>
        <w:right w:val="none" w:sz="0" w:space="0" w:color="auto"/>
      </w:divBdr>
    </w:div>
    <w:div w:id="972102183">
      <w:bodyDiv w:val="1"/>
      <w:marLeft w:val="0"/>
      <w:marRight w:val="0"/>
      <w:marTop w:val="0"/>
      <w:marBottom w:val="0"/>
      <w:divBdr>
        <w:top w:val="none" w:sz="0" w:space="0" w:color="auto"/>
        <w:left w:val="none" w:sz="0" w:space="0" w:color="auto"/>
        <w:bottom w:val="none" w:sz="0" w:space="0" w:color="auto"/>
        <w:right w:val="none" w:sz="0" w:space="0" w:color="auto"/>
      </w:divBdr>
    </w:div>
    <w:div w:id="972712631">
      <w:bodyDiv w:val="1"/>
      <w:marLeft w:val="0"/>
      <w:marRight w:val="0"/>
      <w:marTop w:val="0"/>
      <w:marBottom w:val="0"/>
      <w:divBdr>
        <w:top w:val="none" w:sz="0" w:space="0" w:color="auto"/>
        <w:left w:val="none" w:sz="0" w:space="0" w:color="auto"/>
        <w:bottom w:val="none" w:sz="0" w:space="0" w:color="auto"/>
        <w:right w:val="none" w:sz="0" w:space="0" w:color="auto"/>
      </w:divBdr>
    </w:div>
    <w:div w:id="977805276">
      <w:bodyDiv w:val="1"/>
      <w:marLeft w:val="0"/>
      <w:marRight w:val="0"/>
      <w:marTop w:val="0"/>
      <w:marBottom w:val="0"/>
      <w:divBdr>
        <w:top w:val="none" w:sz="0" w:space="0" w:color="auto"/>
        <w:left w:val="none" w:sz="0" w:space="0" w:color="auto"/>
        <w:bottom w:val="none" w:sz="0" w:space="0" w:color="auto"/>
        <w:right w:val="none" w:sz="0" w:space="0" w:color="auto"/>
      </w:divBdr>
    </w:div>
    <w:div w:id="979380261">
      <w:bodyDiv w:val="1"/>
      <w:marLeft w:val="0"/>
      <w:marRight w:val="0"/>
      <w:marTop w:val="0"/>
      <w:marBottom w:val="0"/>
      <w:divBdr>
        <w:top w:val="none" w:sz="0" w:space="0" w:color="auto"/>
        <w:left w:val="none" w:sz="0" w:space="0" w:color="auto"/>
        <w:bottom w:val="none" w:sz="0" w:space="0" w:color="auto"/>
        <w:right w:val="none" w:sz="0" w:space="0" w:color="auto"/>
      </w:divBdr>
    </w:div>
    <w:div w:id="986975283">
      <w:bodyDiv w:val="1"/>
      <w:marLeft w:val="0"/>
      <w:marRight w:val="0"/>
      <w:marTop w:val="0"/>
      <w:marBottom w:val="0"/>
      <w:divBdr>
        <w:top w:val="none" w:sz="0" w:space="0" w:color="auto"/>
        <w:left w:val="none" w:sz="0" w:space="0" w:color="auto"/>
        <w:bottom w:val="none" w:sz="0" w:space="0" w:color="auto"/>
        <w:right w:val="none" w:sz="0" w:space="0" w:color="auto"/>
      </w:divBdr>
    </w:div>
    <w:div w:id="990214057">
      <w:bodyDiv w:val="1"/>
      <w:marLeft w:val="0"/>
      <w:marRight w:val="0"/>
      <w:marTop w:val="0"/>
      <w:marBottom w:val="0"/>
      <w:divBdr>
        <w:top w:val="none" w:sz="0" w:space="0" w:color="auto"/>
        <w:left w:val="none" w:sz="0" w:space="0" w:color="auto"/>
        <w:bottom w:val="none" w:sz="0" w:space="0" w:color="auto"/>
        <w:right w:val="none" w:sz="0" w:space="0" w:color="auto"/>
      </w:divBdr>
    </w:div>
    <w:div w:id="992759258">
      <w:bodyDiv w:val="1"/>
      <w:marLeft w:val="0"/>
      <w:marRight w:val="0"/>
      <w:marTop w:val="0"/>
      <w:marBottom w:val="0"/>
      <w:divBdr>
        <w:top w:val="none" w:sz="0" w:space="0" w:color="auto"/>
        <w:left w:val="none" w:sz="0" w:space="0" w:color="auto"/>
        <w:bottom w:val="none" w:sz="0" w:space="0" w:color="auto"/>
        <w:right w:val="none" w:sz="0" w:space="0" w:color="auto"/>
      </w:divBdr>
    </w:div>
    <w:div w:id="993948745">
      <w:bodyDiv w:val="1"/>
      <w:marLeft w:val="0"/>
      <w:marRight w:val="0"/>
      <w:marTop w:val="0"/>
      <w:marBottom w:val="0"/>
      <w:divBdr>
        <w:top w:val="none" w:sz="0" w:space="0" w:color="auto"/>
        <w:left w:val="none" w:sz="0" w:space="0" w:color="auto"/>
        <w:bottom w:val="none" w:sz="0" w:space="0" w:color="auto"/>
        <w:right w:val="none" w:sz="0" w:space="0" w:color="auto"/>
      </w:divBdr>
    </w:div>
    <w:div w:id="994379560">
      <w:bodyDiv w:val="1"/>
      <w:marLeft w:val="0"/>
      <w:marRight w:val="0"/>
      <w:marTop w:val="0"/>
      <w:marBottom w:val="0"/>
      <w:divBdr>
        <w:top w:val="none" w:sz="0" w:space="0" w:color="auto"/>
        <w:left w:val="none" w:sz="0" w:space="0" w:color="auto"/>
        <w:bottom w:val="none" w:sz="0" w:space="0" w:color="auto"/>
        <w:right w:val="none" w:sz="0" w:space="0" w:color="auto"/>
      </w:divBdr>
    </w:div>
    <w:div w:id="996149668">
      <w:bodyDiv w:val="1"/>
      <w:marLeft w:val="0"/>
      <w:marRight w:val="0"/>
      <w:marTop w:val="0"/>
      <w:marBottom w:val="0"/>
      <w:divBdr>
        <w:top w:val="none" w:sz="0" w:space="0" w:color="auto"/>
        <w:left w:val="none" w:sz="0" w:space="0" w:color="auto"/>
        <w:bottom w:val="none" w:sz="0" w:space="0" w:color="auto"/>
        <w:right w:val="none" w:sz="0" w:space="0" w:color="auto"/>
      </w:divBdr>
    </w:div>
    <w:div w:id="1000621522">
      <w:bodyDiv w:val="1"/>
      <w:marLeft w:val="0"/>
      <w:marRight w:val="0"/>
      <w:marTop w:val="0"/>
      <w:marBottom w:val="0"/>
      <w:divBdr>
        <w:top w:val="none" w:sz="0" w:space="0" w:color="auto"/>
        <w:left w:val="none" w:sz="0" w:space="0" w:color="auto"/>
        <w:bottom w:val="none" w:sz="0" w:space="0" w:color="auto"/>
        <w:right w:val="none" w:sz="0" w:space="0" w:color="auto"/>
      </w:divBdr>
    </w:div>
    <w:div w:id="1004935746">
      <w:bodyDiv w:val="1"/>
      <w:marLeft w:val="0"/>
      <w:marRight w:val="0"/>
      <w:marTop w:val="0"/>
      <w:marBottom w:val="0"/>
      <w:divBdr>
        <w:top w:val="none" w:sz="0" w:space="0" w:color="auto"/>
        <w:left w:val="none" w:sz="0" w:space="0" w:color="auto"/>
        <w:bottom w:val="none" w:sz="0" w:space="0" w:color="auto"/>
        <w:right w:val="none" w:sz="0" w:space="0" w:color="auto"/>
      </w:divBdr>
    </w:div>
    <w:div w:id="1011253224">
      <w:bodyDiv w:val="1"/>
      <w:marLeft w:val="0"/>
      <w:marRight w:val="0"/>
      <w:marTop w:val="0"/>
      <w:marBottom w:val="0"/>
      <w:divBdr>
        <w:top w:val="none" w:sz="0" w:space="0" w:color="auto"/>
        <w:left w:val="none" w:sz="0" w:space="0" w:color="auto"/>
        <w:bottom w:val="none" w:sz="0" w:space="0" w:color="auto"/>
        <w:right w:val="none" w:sz="0" w:space="0" w:color="auto"/>
      </w:divBdr>
    </w:div>
    <w:div w:id="1020862230">
      <w:bodyDiv w:val="1"/>
      <w:marLeft w:val="0"/>
      <w:marRight w:val="0"/>
      <w:marTop w:val="0"/>
      <w:marBottom w:val="0"/>
      <w:divBdr>
        <w:top w:val="none" w:sz="0" w:space="0" w:color="auto"/>
        <w:left w:val="none" w:sz="0" w:space="0" w:color="auto"/>
        <w:bottom w:val="none" w:sz="0" w:space="0" w:color="auto"/>
        <w:right w:val="none" w:sz="0" w:space="0" w:color="auto"/>
      </w:divBdr>
    </w:div>
    <w:div w:id="1025473508">
      <w:bodyDiv w:val="1"/>
      <w:marLeft w:val="0"/>
      <w:marRight w:val="0"/>
      <w:marTop w:val="0"/>
      <w:marBottom w:val="0"/>
      <w:divBdr>
        <w:top w:val="none" w:sz="0" w:space="0" w:color="auto"/>
        <w:left w:val="none" w:sz="0" w:space="0" w:color="auto"/>
        <w:bottom w:val="none" w:sz="0" w:space="0" w:color="auto"/>
        <w:right w:val="none" w:sz="0" w:space="0" w:color="auto"/>
      </w:divBdr>
    </w:div>
    <w:div w:id="1031147258">
      <w:bodyDiv w:val="1"/>
      <w:marLeft w:val="0"/>
      <w:marRight w:val="0"/>
      <w:marTop w:val="0"/>
      <w:marBottom w:val="0"/>
      <w:divBdr>
        <w:top w:val="none" w:sz="0" w:space="0" w:color="auto"/>
        <w:left w:val="none" w:sz="0" w:space="0" w:color="auto"/>
        <w:bottom w:val="none" w:sz="0" w:space="0" w:color="auto"/>
        <w:right w:val="none" w:sz="0" w:space="0" w:color="auto"/>
      </w:divBdr>
    </w:div>
    <w:div w:id="1035617994">
      <w:bodyDiv w:val="1"/>
      <w:marLeft w:val="0"/>
      <w:marRight w:val="0"/>
      <w:marTop w:val="0"/>
      <w:marBottom w:val="0"/>
      <w:divBdr>
        <w:top w:val="none" w:sz="0" w:space="0" w:color="auto"/>
        <w:left w:val="none" w:sz="0" w:space="0" w:color="auto"/>
        <w:bottom w:val="none" w:sz="0" w:space="0" w:color="auto"/>
        <w:right w:val="none" w:sz="0" w:space="0" w:color="auto"/>
      </w:divBdr>
    </w:div>
    <w:div w:id="1046106187">
      <w:bodyDiv w:val="1"/>
      <w:marLeft w:val="0"/>
      <w:marRight w:val="0"/>
      <w:marTop w:val="0"/>
      <w:marBottom w:val="0"/>
      <w:divBdr>
        <w:top w:val="none" w:sz="0" w:space="0" w:color="auto"/>
        <w:left w:val="none" w:sz="0" w:space="0" w:color="auto"/>
        <w:bottom w:val="none" w:sz="0" w:space="0" w:color="auto"/>
        <w:right w:val="none" w:sz="0" w:space="0" w:color="auto"/>
      </w:divBdr>
    </w:div>
    <w:div w:id="1052925720">
      <w:bodyDiv w:val="1"/>
      <w:marLeft w:val="0"/>
      <w:marRight w:val="0"/>
      <w:marTop w:val="0"/>
      <w:marBottom w:val="0"/>
      <w:divBdr>
        <w:top w:val="none" w:sz="0" w:space="0" w:color="auto"/>
        <w:left w:val="none" w:sz="0" w:space="0" w:color="auto"/>
        <w:bottom w:val="none" w:sz="0" w:space="0" w:color="auto"/>
        <w:right w:val="none" w:sz="0" w:space="0" w:color="auto"/>
      </w:divBdr>
    </w:div>
    <w:div w:id="1067144812">
      <w:bodyDiv w:val="1"/>
      <w:marLeft w:val="0"/>
      <w:marRight w:val="0"/>
      <w:marTop w:val="0"/>
      <w:marBottom w:val="0"/>
      <w:divBdr>
        <w:top w:val="none" w:sz="0" w:space="0" w:color="auto"/>
        <w:left w:val="none" w:sz="0" w:space="0" w:color="auto"/>
        <w:bottom w:val="none" w:sz="0" w:space="0" w:color="auto"/>
        <w:right w:val="none" w:sz="0" w:space="0" w:color="auto"/>
      </w:divBdr>
    </w:div>
    <w:div w:id="1068071609">
      <w:bodyDiv w:val="1"/>
      <w:marLeft w:val="0"/>
      <w:marRight w:val="0"/>
      <w:marTop w:val="0"/>
      <w:marBottom w:val="0"/>
      <w:divBdr>
        <w:top w:val="none" w:sz="0" w:space="0" w:color="auto"/>
        <w:left w:val="none" w:sz="0" w:space="0" w:color="auto"/>
        <w:bottom w:val="none" w:sz="0" w:space="0" w:color="auto"/>
        <w:right w:val="none" w:sz="0" w:space="0" w:color="auto"/>
      </w:divBdr>
    </w:div>
    <w:div w:id="1068966819">
      <w:bodyDiv w:val="1"/>
      <w:marLeft w:val="0"/>
      <w:marRight w:val="0"/>
      <w:marTop w:val="0"/>
      <w:marBottom w:val="0"/>
      <w:divBdr>
        <w:top w:val="none" w:sz="0" w:space="0" w:color="auto"/>
        <w:left w:val="none" w:sz="0" w:space="0" w:color="auto"/>
        <w:bottom w:val="none" w:sz="0" w:space="0" w:color="auto"/>
        <w:right w:val="none" w:sz="0" w:space="0" w:color="auto"/>
      </w:divBdr>
    </w:div>
    <w:div w:id="1070007963">
      <w:bodyDiv w:val="1"/>
      <w:marLeft w:val="0"/>
      <w:marRight w:val="0"/>
      <w:marTop w:val="0"/>
      <w:marBottom w:val="0"/>
      <w:divBdr>
        <w:top w:val="none" w:sz="0" w:space="0" w:color="auto"/>
        <w:left w:val="none" w:sz="0" w:space="0" w:color="auto"/>
        <w:bottom w:val="none" w:sz="0" w:space="0" w:color="auto"/>
        <w:right w:val="none" w:sz="0" w:space="0" w:color="auto"/>
      </w:divBdr>
    </w:div>
    <w:div w:id="1071535867">
      <w:bodyDiv w:val="1"/>
      <w:marLeft w:val="0"/>
      <w:marRight w:val="0"/>
      <w:marTop w:val="0"/>
      <w:marBottom w:val="0"/>
      <w:divBdr>
        <w:top w:val="none" w:sz="0" w:space="0" w:color="auto"/>
        <w:left w:val="none" w:sz="0" w:space="0" w:color="auto"/>
        <w:bottom w:val="none" w:sz="0" w:space="0" w:color="auto"/>
        <w:right w:val="none" w:sz="0" w:space="0" w:color="auto"/>
      </w:divBdr>
    </w:div>
    <w:div w:id="1080903887">
      <w:bodyDiv w:val="1"/>
      <w:marLeft w:val="0"/>
      <w:marRight w:val="0"/>
      <w:marTop w:val="0"/>
      <w:marBottom w:val="0"/>
      <w:divBdr>
        <w:top w:val="none" w:sz="0" w:space="0" w:color="auto"/>
        <w:left w:val="none" w:sz="0" w:space="0" w:color="auto"/>
        <w:bottom w:val="none" w:sz="0" w:space="0" w:color="auto"/>
        <w:right w:val="none" w:sz="0" w:space="0" w:color="auto"/>
      </w:divBdr>
    </w:div>
    <w:div w:id="1095899655">
      <w:bodyDiv w:val="1"/>
      <w:marLeft w:val="0"/>
      <w:marRight w:val="0"/>
      <w:marTop w:val="0"/>
      <w:marBottom w:val="0"/>
      <w:divBdr>
        <w:top w:val="none" w:sz="0" w:space="0" w:color="auto"/>
        <w:left w:val="none" w:sz="0" w:space="0" w:color="auto"/>
        <w:bottom w:val="none" w:sz="0" w:space="0" w:color="auto"/>
        <w:right w:val="none" w:sz="0" w:space="0" w:color="auto"/>
      </w:divBdr>
    </w:div>
    <w:div w:id="1096753503">
      <w:bodyDiv w:val="1"/>
      <w:marLeft w:val="0"/>
      <w:marRight w:val="0"/>
      <w:marTop w:val="0"/>
      <w:marBottom w:val="0"/>
      <w:divBdr>
        <w:top w:val="none" w:sz="0" w:space="0" w:color="auto"/>
        <w:left w:val="none" w:sz="0" w:space="0" w:color="auto"/>
        <w:bottom w:val="none" w:sz="0" w:space="0" w:color="auto"/>
        <w:right w:val="none" w:sz="0" w:space="0" w:color="auto"/>
      </w:divBdr>
    </w:div>
    <w:div w:id="1107652147">
      <w:bodyDiv w:val="1"/>
      <w:marLeft w:val="0"/>
      <w:marRight w:val="0"/>
      <w:marTop w:val="0"/>
      <w:marBottom w:val="0"/>
      <w:divBdr>
        <w:top w:val="none" w:sz="0" w:space="0" w:color="auto"/>
        <w:left w:val="none" w:sz="0" w:space="0" w:color="auto"/>
        <w:bottom w:val="none" w:sz="0" w:space="0" w:color="auto"/>
        <w:right w:val="none" w:sz="0" w:space="0" w:color="auto"/>
      </w:divBdr>
    </w:div>
    <w:div w:id="1113087644">
      <w:bodyDiv w:val="1"/>
      <w:marLeft w:val="0"/>
      <w:marRight w:val="0"/>
      <w:marTop w:val="0"/>
      <w:marBottom w:val="0"/>
      <w:divBdr>
        <w:top w:val="none" w:sz="0" w:space="0" w:color="auto"/>
        <w:left w:val="none" w:sz="0" w:space="0" w:color="auto"/>
        <w:bottom w:val="none" w:sz="0" w:space="0" w:color="auto"/>
        <w:right w:val="none" w:sz="0" w:space="0" w:color="auto"/>
      </w:divBdr>
    </w:div>
    <w:div w:id="1119225644">
      <w:bodyDiv w:val="1"/>
      <w:marLeft w:val="0"/>
      <w:marRight w:val="0"/>
      <w:marTop w:val="0"/>
      <w:marBottom w:val="0"/>
      <w:divBdr>
        <w:top w:val="none" w:sz="0" w:space="0" w:color="auto"/>
        <w:left w:val="none" w:sz="0" w:space="0" w:color="auto"/>
        <w:bottom w:val="none" w:sz="0" w:space="0" w:color="auto"/>
        <w:right w:val="none" w:sz="0" w:space="0" w:color="auto"/>
      </w:divBdr>
      <w:divsChild>
        <w:div w:id="1982885464">
          <w:marLeft w:val="0"/>
          <w:marRight w:val="0"/>
          <w:marTop w:val="0"/>
          <w:marBottom w:val="0"/>
          <w:divBdr>
            <w:top w:val="none" w:sz="0" w:space="0" w:color="auto"/>
            <w:left w:val="none" w:sz="0" w:space="0" w:color="auto"/>
            <w:bottom w:val="none" w:sz="0" w:space="0" w:color="auto"/>
            <w:right w:val="none" w:sz="0" w:space="0" w:color="auto"/>
          </w:divBdr>
          <w:divsChild>
            <w:div w:id="656300064">
              <w:marLeft w:val="0"/>
              <w:marRight w:val="0"/>
              <w:marTop w:val="0"/>
              <w:marBottom w:val="0"/>
              <w:divBdr>
                <w:top w:val="none" w:sz="0" w:space="0" w:color="auto"/>
                <w:left w:val="none" w:sz="0" w:space="0" w:color="auto"/>
                <w:bottom w:val="none" w:sz="0" w:space="0" w:color="auto"/>
                <w:right w:val="none" w:sz="0" w:space="0" w:color="auto"/>
              </w:divBdr>
              <w:divsChild>
                <w:div w:id="2062241588">
                  <w:marLeft w:val="0"/>
                  <w:marRight w:val="0"/>
                  <w:marTop w:val="0"/>
                  <w:marBottom w:val="0"/>
                  <w:divBdr>
                    <w:top w:val="none" w:sz="0" w:space="0" w:color="auto"/>
                    <w:left w:val="none" w:sz="0" w:space="0" w:color="auto"/>
                    <w:bottom w:val="none" w:sz="0" w:space="0" w:color="auto"/>
                    <w:right w:val="none" w:sz="0" w:space="0" w:color="auto"/>
                  </w:divBdr>
                  <w:divsChild>
                    <w:div w:id="38117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431916">
      <w:bodyDiv w:val="1"/>
      <w:marLeft w:val="0"/>
      <w:marRight w:val="0"/>
      <w:marTop w:val="0"/>
      <w:marBottom w:val="0"/>
      <w:divBdr>
        <w:top w:val="none" w:sz="0" w:space="0" w:color="auto"/>
        <w:left w:val="none" w:sz="0" w:space="0" w:color="auto"/>
        <w:bottom w:val="none" w:sz="0" w:space="0" w:color="auto"/>
        <w:right w:val="none" w:sz="0" w:space="0" w:color="auto"/>
      </w:divBdr>
    </w:div>
    <w:div w:id="1150944562">
      <w:bodyDiv w:val="1"/>
      <w:marLeft w:val="0"/>
      <w:marRight w:val="0"/>
      <w:marTop w:val="0"/>
      <w:marBottom w:val="0"/>
      <w:divBdr>
        <w:top w:val="none" w:sz="0" w:space="0" w:color="auto"/>
        <w:left w:val="none" w:sz="0" w:space="0" w:color="auto"/>
        <w:bottom w:val="none" w:sz="0" w:space="0" w:color="auto"/>
        <w:right w:val="none" w:sz="0" w:space="0" w:color="auto"/>
      </w:divBdr>
    </w:div>
    <w:div w:id="1156841763">
      <w:bodyDiv w:val="1"/>
      <w:marLeft w:val="0"/>
      <w:marRight w:val="0"/>
      <w:marTop w:val="0"/>
      <w:marBottom w:val="0"/>
      <w:divBdr>
        <w:top w:val="none" w:sz="0" w:space="0" w:color="auto"/>
        <w:left w:val="none" w:sz="0" w:space="0" w:color="auto"/>
        <w:bottom w:val="none" w:sz="0" w:space="0" w:color="auto"/>
        <w:right w:val="none" w:sz="0" w:space="0" w:color="auto"/>
      </w:divBdr>
    </w:div>
    <w:div w:id="1162887484">
      <w:bodyDiv w:val="1"/>
      <w:marLeft w:val="0"/>
      <w:marRight w:val="0"/>
      <w:marTop w:val="0"/>
      <w:marBottom w:val="0"/>
      <w:divBdr>
        <w:top w:val="none" w:sz="0" w:space="0" w:color="auto"/>
        <w:left w:val="none" w:sz="0" w:space="0" w:color="auto"/>
        <w:bottom w:val="none" w:sz="0" w:space="0" w:color="auto"/>
        <w:right w:val="none" w:sz="0" w:space="0" w:color="auto"/>
      </w:divBdr>
    </w:div>
    <w:div w:id="1171916543">
      <w:bodyDiv w:val="1"/>
      <w:marLeft w:val="0"/>
      <w:marRight w:val="0"/>
      <w:marTop w:val="0"/>
      <w:marBottom w:val="0"/>
      <w:divBdr>
        <w:top w:val="none" w:sz="0" w:space="0" w:color="auto"/>
        <w:left w:val="none" w:sz="0" w:space="0" w:color="auto"/>
        <w:bottom w:val="none" w:sz="0" w:space="0" w:color="auto"/>
        <w:right w:val="none" w:sz="0" w:space="0" w:color="auto"/>
      </w:divBdr>
    </w:div>
    <w:div w:id="1183515207">
      <w:bodyDiv w:val="1"/>
      <w:marLeft w:val="0"/>
      <w:marRight w:val="0"/>
      <w:marTop w:val="0"/>
      <w:marBottom w:val="0"/>
      <w:divBdr>
        <w:top w:val="none" w:sz="0" w:space="0" w:color="auto"/>
        <w:left w:val="none" w:sz="0" w:space="0" w:color="auto"/>
        <w:bottom w:val="none" w:sz="0" w:space="0" w:color="auto"/>
        <w:right w:val="none" w:sz="0" w:space="0" w:color="auto"/>
      </w:divBdr>
    </w:div>
    <w:div w:id="1184898736">
      <w:bodyDiv w:val="1"/>
      <w:marLeft w:val="0"/>
      <w:marRight w:val="0"/>
      <w:marTop w:val="0"/>
      <w:marBottom w:val="0"/>
      <w:divBdr>
        <w:top w:val="none" w:sz="0" w:space="0" w:color="auto"/>
        <w:left w:val="none" w:sz="0" w:space="0" w:color="auto"/>
        <w:bottom w:val="none" w:sz="0" w:space="0" w:color="auto"/>
        <w:right w:val="none" w:sz="0" w:space="0" w:color="auto"/>
      </w:divBdr>
    </w:div>
    <w:div w:id="1191068879">
      <w:bodyDiv w:val="1"/>
      <w:marLeft w:val="0"/>
      <w:marRight w:val="0"/>
      <w:marTop w:val="0"/>
      <w:marBottom w:val="0"/>
      <w:divBdr>
        <w:top w:val="none" w:sz="0" w:space="0" w:color="auto"/>
        <w:left w:val="none" w:sz="0" w:space="0" w:color="auto"/>
        <w:bottom w:val="none" w:sz="0" w:space="0" w:color="auto"/>
        <w:right w:val="none" w:sz="0" w:space="0" w:color="auto"/>
      </w:divBdr>
    </w:div>
    <w:div w:id="1196961233">
      <w:bodyDiv w:val="1"/>
      <w:marLeft w:val="0"/>
      <w:marRight w:val="0"/>
      <w:marTop w:val="0"/>
      <w:marBottom w:val="0"/>
      <w:divBdr>
        <w:top w:val="none" w:sz="0" w:space="0" w:color="auto"/>
        <w:left w:val="none" w:sz="0" w:space="0" w:color="auto"/>
        <w:bottom w:val="none" w:sz="0" w:space="0" w:color="auto"/>
        <w:right w:val="none" w:sz="0" w:space="0" w:color="auto"/>
      </w:divBdr>
    </w:div>
    <w:div w:id="1198087632">
      <w:bodyDiv w:val="1"/>
      <w:marLeft w:val="0"/>
      <w:marRight w:val="0"/>
      <w:marTop w:val="0"/>
      <w:marBottom w:val="0"/>
      <w:divBdr>
        <w:top w:val="none" w:sz="0" w:space="0" w:color="auto"/>
        <w:left w:val="none" w:sz="0" w:space="0" w:color="auto"/>
        <w:bottom w:val="none" w:sz="0" w:space="0" w:color="auto"/>
        <w:right w:val="none" w:sz="0" w:space="0" w:color="auto"/>
      </w:divBdr>
    </w:div>
    <w:div w:id="1199512689">
      <w:bodyDiv w:val="1"/>
      <w:marLeft w:val="0"/>
      <w:marRight w:val="0"/>
      <w:marTop w:val="0"/>
      <w:marBottom w:val="0"/>
      <w:divBdr>
        <w:top w:val="none" w:sz="0" w:space="0" w:color="auto"/>
        <w:left w:val="none" w:sz="0" w:space="0" w:color="auto"/>
        <w:bottom w:val="none" w:sz="0" w:space="0" w:color="auto"/>
        <w:right w:val="none" w:sz="0" w:space="0" w:color="auto"/>
      </w:divBdr>
    </w:div>
    <w:div w:id="1202547289">
      <w:bodyDiv w:val="1"/>
      <w:marLeft w:val="0"/>
      <w:marRight w:val="0"/>
      <w:marTop w:val="0"/>
      <w:marBottom w:val="0"/>
      <w:divBdr>
        <w:top w:val="none" w:sz="0" w:space="0" w:color="auto"/>
        <w:left w:val="none" w:sz="0" w:space="0" w:color="auto"/>
        <w:bottom w:val="none" w:sz="0" w:space="0" w:color="auto"/>
        <w:right w:val="none" w:sz="0" w:space="0" w:color="auto"/>
      </w:divBdr>
    </w:div>
    <w:div w:id="1220244053">
      <w:bodyDiv w:val="1"/>
      <w:marLeft w:val="0"/>
      <w:marRight w:val="0"/>
      <w:marTop w:val="0"/>
      <w:marBottom w:val="0"/>
      <w:divBdr>
        <w:top w:val="none" w:sz="0" w:space="0" w:color="auto"/>
        <w:left w:val="none" w:sz="0" w:space="0" w:color="auto"/>
        <w:bottom w:val="none" w:sz="0" w:space="0" w:color="auto"/>
        <w:right w:val="none" w:sz="0" w:space="0" w:color="auto"/>
      </w:divBdr>
    </w:div>
    <w:div w:id="1221675794">
      <w:bodyDiv w:val="1"/>
      <w:marLeft w:val="0"/>
      <w:marRight w:val="0"/>
      <w:marTop w:val="0"/>
      <w:marBottom w:val="0"/>
      <w:divBdr>
        <w:top w:val="none" w:sz="0" w:space="0" w:color="auto"/>
        <w:left w:val="none" w:sz="0" w:space="0" w:color="auto"/>
        <w:bottom w:val="none" w:sz="0" w:space="0" w:color="auto"/>
        <w:right w:val="none" w:sz="0" w:space="0" w:color="auto"/>
      </w:divBdr>
    </w:div>
    <w:div w:id="1254581893">
      <w:bodyDiv w:val="1"/>
      <w:marLeft w:val="0"/>
      <w:marRight w:val="0"/>
      <w:marTop w:val="0"/>
      <w:marBottom w:val="0"/>
      <w:divBdr>
        <w:top w:val="none" w:sz="0" w:space="0" w:color="auto"/>
        <w:left w:val="none" w:sz="0" w:space="0" w:color="auto"/>
        <w:bottom w:val="none" w:sz="0" w:space="0" w:color="auto"/>
        <w:right w:val="none" w:sz="0" w:space="0" w:color="auto"/>
      </w:divBdr>
    </w:div>
    <w:div w:id="1262565509">
      <w:bodyDiv w:val="1"/>
      <w:marLeft w:val="0"/>
      <w:marRight w:val="0"/>
      <w:marTop w:val="0"/>
      <w:marBottom w:val="0"/>
      <w:divBdr>
        <w:top w:val="none" w:sz="0" w:space="0" w:color="auto"/>
        <w:left w:val="none" w:sz="0" w:space="0" w:color="auto"/>
        <w:bottom w:val="none" w:sz="0" w:space="0" w:color="auto"/>
        <w:right w:val="none" w:sz="0" w:space="0" w:color="auto"/>
      </w:divBdr>
    </w:div>
    <w:div w:id="1278872883">
      <w:bodyDiv w:val="1"/>
      <w:marLeft w:val="0"/>
      <w:marRight w:val="0"/>
      <w:marTop w:val="0"/>
      <w:marBottom w:val="0"/>
      <w:divBdr>
        <w:top w:val="none" w:sz="0" w:space="0" w:color="auto"/>
        <w:left w:val="none" w:sz="0" w:space="0" w:color="auto"/>
        <w:bottom w:val="none" w:sz="0" w:space="0" w:color="auto"/>
        <w:right w:val="none" w:sz="0" w:space="0" w:color="auto"/>
      </w:divBdr>
    </w:div>
    <w:div w:id="1279920645">
      <w:bodyDiv w:val="1"/>
      <w:marLeft w:val="0"/>
      <w:marRight w:val="0"/>
      <w:marTop w:val="0"/>
      <w:marBottom w:val="0"/>
      <w:divBdr>
        <w:top w:val="none" w:sz="0" w:space="0" w:color="auto"/>
        <w:left w:val="none" w:sz="0" w:space="0" w:color="auto"/>
        <w:bottom w:val="none" w:sz="0" w:space="0" w:color="auto"/>
        <w:right w:val="none" w:sz="0" w:space="0" w:color="auto"/>
      </w:divBdr>
    </w:div>
    <w:div w:id="1280650958">
      <w:bodyDiv w:val="1"/>
      <w:marLeft w:val="0"/>
      <w:marRight w:val="0"/>
      <w:marTop w:val="0"/>
      <w:marBottom w:val="0"/>
      <w:divBdr>
        <w:top w:val="none" w:sz="0" w:space="0" w:color="auto"/>
        <w:left w:val="none" w:sz="0" w:space="0" w:color="auto"/>
        <w:bottom w:val="none" w:sz="0" w:space="0" w:color="auto"/>
        <w:right w:val="none" w:sz="0" w:space="0" w:color="auto"/>
      </w:divBdr>
    </w:div>
    <w:div w:id="1281838925">
      <w:bodyDiv w:val="1"/>
      <w:marLeft w:val="0"/>
      <w:marRight w:val="0"/>
      <w:marTop w:val="0"/>
      <w:marBottom w:val="0"/>
      <w:divBdr>
        <w:top w:val="none" w:sz="0" w:space="0" w:color="auto"/>
        <w:left w:val="none" w:sz="0" w:space="0" w:color="auto"/>
        <w:bottom w:val="none" w:sz="0" w:space="0" w:color="auto"/>
        <w:right w:val="none" w:sz="0" w:space="0" w:color="auto"/>
      </w:divBdr>
    </w:div>
    <w:div w:id="1283263312">
      <w:bodyDiv w:val="1"/>
      <w:marLeft w:val="0"/>
      <w:marRight w:val="0"/>
      <w:marTop w:val="0"/>
      <w:marBottom w:val="0"/>
      <w:divBdr>
        <w:top w:val="none" w:sz="0" w:space="0" w:color="auto"/>
        <w:left w:val="none" w:sz="0" w:space="0" w:color="auto"/>
        <w:bottom w:val="none" w:sz="0" w:space="0" w:color="auto"/>
        <w:right w:val="none" w:sz="0" w:space="0" w:color="auto"/>
      </w:divBdr>
    </w:div>
    <w:div w:id="1289121059">
      <w:bodyDiv w:val="1"/>
      <w:marLeft w:val="0"/>
      <w:marRight w:val="0"/>
      <w:marTop w:val="0"/>
      <w:marBottom w:val="0"/>
      <w:divBdr>
        <w:top w:val="none" w:sz="0" w:space="0" w:color="auto"/>
        <w:left w:val="none" w:sz="0" w:space="0" w:color="auto"/>
        <w:bottom w:val="none" w:sz="0" w:space="0" w:color="auto"/>
        <w:right w:val="none" w:sz="0" w:space="0" w:color="auto"/>
      </w:divBdr>
    </w:div>
    <w:div w:id="1291477538">
      <w:bodyDiv w:val="1"/>
      <w:marLeft w:val="0"/>
      <w:marRight w:val="0"/>
      <w:marTop w:val="0"/>
      <w:marBottom w:val="0"/>
      <w:divBdr>
        <w:top w:val="none" w:sz="0" w:space="0" w:color="auto"/>
        <w:left w:val="none" w:sz="0" w:space="0" w:color="auto"/>
        <w:bottom w:val="none" w:sz="0" w:space="0" w:color="auto"/>
        <w:right w:val="none" w:sz="0" w:space="0" w:color="auto"/>
      </w:divBdr>
    </w:div>
    <w:div w:id="1294870062">
      <w:bodyDiv w:val="1"/>
      <w:marLeft w:val="0"/>
      <w:marRight w:val="0"/>
      <w:marTop w:val="0"/>
      <w:marBottom w:val="0"/>
      <w:divBdr>
        <w:top w:val="none" w:sz="0" w:space="0" w:color="auto"/>
        <w:left w:val="none" w:sz="0" w:space="0" w:color="auto"/>
        <w:bottom w:val="none" w:sz="0" w:space="0" w:color="auto"/>
        <w:right w:val="none" w:sz="0" w:space="0" w:color="auto"/>
      </w:divBdr>
    </w:div>
    <w:div w:id="1310133286">
      <w:bodyDiv w:val="1"/>
      <w:marLeft w:val="0"/>
      <w:marRight w:val="0"/>
      <w:marTop w:val="0"/>
      <w:marBottom w:val="0"/>
      <w:divBdr>
        <w:top w:val="none" w:sz="0" w:space="0" w:color="auto"/>
        <w:left w:val="none" w:sz="0" w:space="0" w:color="auto"/>
        <w:bottom w:val="none" w:sz="0" w:space="0" w:color="auto"/>
        <w:right w:val="none" w:sz="0" w:space="0" w:color="auto"/>
      </w:divBdr>
    </w:div>
    <w:div w:id="1338270794">
      <w:bodyDiv w:val="1"/>
      <w:marLeft w:val="0"/>
      <w:marRight w:val="0"/>
      <w:marTop w:val="0"/>
      <w:marBottom w:val="0"/>
      <w:divBdr>
        <w:top w:val="none" w:sz="0" w:space="0" w:color="auto"/>
        <w:left w:val="none" w:sz="0" w:space="0" w:color="auto"/>
        <w:bottom w:val="none" w:sz="0" w:space="0" w:color="auto"/>
        <w:right w:val="none" w:sz="0" w:space="0" w:color="auto"/>
      </w:divBdr>
    </w:div>
    <w:div w:id="1356152616">
      <w:bodyDiv w:val="1"/>
      <w:marLeft w:val="0"/>
      <w:marRight w:val="0"/>
      <w:marTop w:val="0"/>
      <w:marBottom w:val="0"/>
      <w:divBdr>
        <w:top w:val="none" w:sz="0" w:space="0" w:color="auto"/>
        <w:left w:val="none" w:sz="0" w:space="0" w:color="auto"/>
        <w:bottom w:val="none" w:sz="0" w:space="0" w:color="auto"/>
        <w:right w:val="none" w:sz="0" w:space="0" w:color="auto"/>
      </w:divBdr>
    </w:div>
    <w:div w:id="1366170894">
      <w:bodyDiv w:val="1"/>
      <w:marLeft w:val="0"/>
      <w:marRight w:val="0"/>
      <w:marTop w:val="0"/>
      <w:marBottom w:val="0"/>
      <w:divBdr>
        <w:top w:val="none" w:sz="0" w:space="0" w:color="auto"/>
        <w:left w:val="none" w:sz="0" w:space="0" w:color="auto"/>
        <w:bottom w:val="none" w:sz="0" w:space="0" w:color="auto"/>
        <w:right w:val="none" w:sz="0" w:space="0" w:color="auto"/>
      </w:divBdr>
    </w:div>
    <w:div w:id="1369640941">
      <w:bodyDiv w:val="1"/>
      <w:marLeft w:val="0"/>
      <w:marRight w:val="0"/>
      <w:marTop w:val="0"/>
      <w:marBottom w:val="0"/>
      <w:divBdr>
        <w:top w:val="none" w:sz="0" w:space="0" w:color="auto"/>
        <w:left w:val="none" w:sz="0" w:space="0" w:color="auto"/>
        <w:bottom w:val="none" w:sz="0" w:space="0" w:color="auto"/>
        <w:right w:val="none" w:sz="0" w:space="0" w:color="auto"/>
      </w:divBdr>
    </w:div>
    <w:div w:id="1377389653">
      <w:bodyDiv w:val="1"/>
      <w:marLeft w:val="0"/>
      <w:marRight w:val="0"/>
      <w:marTop w:val="0"/>
      <w:marBottom w:val="0"/>
      <w:divBdr>
        <w:top w:val="none" w:sz="0" w:space="0" w:color="auto"/>
        <w:left w:val="none" w:sz="0" w:space="0" w:color="auto"/>
        <w:bottom w:val="none" w:sz="0" w:space="0" w:color="auto"/>
        <w:right w:val="none" w:sz="0" w:space="0" w:color="auto"/>
      </w:divBdr>
    </w:div>
    <w:div w:id="1380086040">
      <w:bodyDiv w:val="1"/>
      <w:marLeft w:val="0"/>
      <w:marRight w:val="0"/>
      <w:marTop w:val="0"/>
      <w:marBottom w:val="0"/>
      <w:divBdr>
        <w:top w:val="none" w:sz="0" w:space="0" w:color="auto"/>
        <w:left w:val="none" w:sz="0" w:space="0" w:color="auto"/>
        <w:bottom w:val="none" w:sz="0" w:space="0" w:color="auto"/>
        <w:right w:val="none" w:sz="0" w:space="0" w:color="auto"/>
      </w:divBdr>
    </w:div>
    <w:div w:id="1403138739">
      <w:bodyDiv w:val="1"/>
      <w:marLeft w:val="0"/>
      <w:marRight w:val="0"/>
      <w:marTop w:val="0"/>
      <w:marBottom w:val="0"/>
      <w:divBdr>
        <w:top w:val="none" w:sz="0" w:space="0" w:color="auto"/>
        <w:left w:val="none" w:sz="0" w:space="0" w:color="auto"/>
        <w:bottom w:val="none" w:sz="0" w:space="0" w:color="auto"/>
        <w:right w:val="none" w:sz="0" w:space="0" w:color="auto"/>
      </w:divBdr>
    </w:div>
    <w:div w:id="1415787667">
      <w:bodyDiv w:val="1"/>
      <w:marLeft w:val="0"/>
      <w:marRight w:val="0"/>
      <w:marTop w:val="0"/>
      <w:marBottom w:val="0"/>
      <w:divBdr>
        <w:top w:val="none" w:sz="0" w:space="0" w:color="auto"/>
        <w:left w:val="none" w:sz="0" w:space="0" w:color="auto"/>
        <w:bottom w:val="none" w:sz="0" w:space="0" w:color="auto"/>
        <w:right w:val="none" w:sz="0" w:space="0" w:color="auto"/>
      </w:divBdr>
    </w:div>
    <w:div w:id="1420061767">
      <w:bodyDiv w:val="1"/>
      <w:marLeft w:val="0"/>
      <w:marRight w:val="0"/>
      <w:marTop w:val="0"/>
      <w:marBottom w:val="0"/>
      <w:divBdr>
        <w:top w:val="none" w:sz="0" w:space="0" w:color="auto"/>
        <w:left w:val="none" w:sz="0" w:space="0" w:color="auto"/>
        <w:bottom w:val="none" w:sz="0" w:space="0" w:color="auto"/>
        <w:right w:val="none" w:sz="0" w:space="0" w:color="auto"/>
      </w:divBdr>
    </w:div>
    <w:div w:id="1425689005">
      <w:bodyDiv w:val="1"/>
      <w:marLeft w:val="0"/>
      <w:marRight w:val="0"/>
      <w:marTop w:val="0"/>
      <w:marBottom w:val="0"/>
      <w:divBdr>
        <w:top w:val="none" w:sz="0" w:space="0" w:color="auto"/>
        <w:left w:val="none" w:sz="0" w:space="0" w:color="auto"/>
        <w:bottom w:val="none" w:sz="0" w:space="0" w:color="auto"/>
        <w:right w:val="none" w:sz="0" w:space="0" w:color="auto"/>
      </w:divBdr>
    </w:div>
    <w:div w:id="1434742608">
      <w:bodyDiv w:val="1"/>
      <w:marLeft w:val="0"/>
      <w:marRight w:val="0"/>
      <w:marTop w:val="0"/>
      <w:marBottom w:val="0"/>
      <w:divBdr>
        <w:top w:val="none" w:sz="0" w:space="0" w:color="auto"/>
        <w:left w:val="none" w:sz="0" w:space="0" w:color="auto"/>
        <w:bottom w:val="none" w:sz="0" w:space="0" w:color="auto"/>
        <w:right w:val="none" w:sz="0" w:space="0" w:color="auto"/>
      </w:divBdr>
    </w:div>
    <w:div w:id="1438022729">
      <w:bodyDiv w:val="1"/>
      <w:marLeft w:val="0"/>
      <w:marRight w:val="0"/>
      <w:marTop w:val="0"/>
      <w:marBottom w:val="0"/>
      <w:divBdr>
        <w:top w:val="none" w:sz="0" w:space="0" w:color="auto"/>
        <w:left w:val="none" w:sz="0" w:space="0" w:color="auto"/>
        <w:bottom w:val="none" w:sz="0" w:space="0" w:color="auto"/>
        <w:right w:val="none" w:sz="0" w:space="0" w:color="auto"/>
      </w:divBdr>
    </w:div>
    <w:div w:id="1445691013">
      <w:bodyDiv w:val="1"/>
      <w:marLeft w:val="0"/>
      <w:marRight w:val="0"/>
      <w:marTop w:val="0"/>
      <w:marBottom w:val="0"/>
      <w:divBdr>
        <w:top w:val="none" w:sz="0" w:space="0" w:color="auto"/>
        <w:left w:val="none" w:sz="0" w:space="0" w:color="auto"/>
        <w:bottom w:val="none" w:sz="0" w:space="0" w:color="auto"/>
        <w:right w:val="none" w:sz="0" w:space="0" w:color="auto"/>
      </w:divBdr>
    </w:div>
    <w:div w:id="1452162596">
      <w:bodyDiv w:val="1"/>
      <w:marLeft w:val="0"/>
      <w:marRight w:val="0"/>
      <w:marTop w:val="0"/>
      <w:marBottom w:val="0"/>
      <w:divBdr>
        <w:top w:val="none" w:sz="0" w:space="0" w:color="auto"/>
        <w:left w:val="none" w:sz="0" w:space="0" w:color="auto"/>
        <w:bottom w:val="none" w:sz="0" w:space="0" w:color="auto"/>
        <w:right w:val="none" w:sz="0" w:space="0" w:color="auto"/>
      </w:divBdr>
    </w:div>
    <w:div w:id="1452435579">
      <w:bodyDiv w:val="1"/>
      <w:marLeft w:val="0"/>
      <w:marRight w:val="0"/>
      <w:marTop w:val="0"/>
      <w:marBottom w:val="0"/>
      <w:divBdr>
        <w:top w:val="none" w:sz="0" w:space="0" w:color="auto"/>
        <w:left w:val="none" w:sz="0" w:space="0" w:color="auto"/>
        <w:bottom w:val="none" w:sz="0" w:space="0" w:color="auto"/>
        <w:right w:val="none" w:sz="0" w:space="0" w:color="auto"/>
      </w:divBdr>
    </w:div>
    <w:div w:id="1452631426">
      <w:bodyDiv w:val="1"/>
      <w:marLeft w:val="0"/>
      <w:marRight w:val="0"/>
      <w:marTop w:val="0"/>
      <w:marBottom w:val="0"/>
      <w:divBdr>
        <w:top w:val="none" w:sz="0" w:space="0" w:color="auto"/>
        <w:left w:val="none" w:sz="0" w:space="0" w:color="auto"/>
        <w:bottom w:val="none" w:sz="0" w:space="0" w:color="auto"/>
        <w:right w:val="none" w:sz="0" w:space="0" w:color="auto"/>
      </w:divBdr>
    </w:div>
    <w:div w:id="1454326707">
      <w:bodyDiv w:val="1"/>
      <w:marLeft w:val="0"/>
      <w:marRight w:val="0"/>
      <w:marTop w:val="0"/>
      <w:marBottom w:val="0"/>
      <w:divBdr>
        <w:top w:val="none" w:sz="0" w:space="0" w:color="auto"/>
        <w:left w:val="none" w:sz="0" w:space="0" w:color="auto"/>
        <w:bottom w:val="none" w:sz="0" w:space="0" w:color="auto"/>
        <w:right w:val="none" w:sz="0" w:space="0" w:color="auto"/>
      </w:divBdr>
    </w:div>
    <w:div w:id="1479764692">
      <w:bodyDiv w:val="1"/>
      <w:marLeft w:val="0"/>
      <w:marRight w:val="0"/>
      <w:marTop w:val="0"/>
      <w:marBottom w:val="0"/>
      <w:divBdr>
        <w:top w:val="none" w:sz="0" w:space="0" w:color="auto"/>
        <w:left w:val="none" w:sz="0" w:space="0" w:color="auto"/>
        <w:bottom w:val="none" w:sz="0" w:space="0" w:color="auto"/>
        <w:right w:val="none" w:sz="0" w:space="0" w:color="auto"/>
      </w:divBdr>
    </w:div>
    <w:div w:id="1484005531">
      <w:bodyDiv w:val="1"/>
      <w:marLeft w:val="0"/>
      <w:marRight w:val="0"/>
      <w:marTop w:val="0"/>
      <w:marBottom w:val="0"/>
      <w:divBdr>
        <w:top w:val="none" w:sz="0" w:space="0" w:color="auto"/>
        <w:left w:val="none" w:sz="0" w:space="0" w:color="auto"/>
        <w:bottom w:val="none" w:sz="0" w:space="0" w:color="auto"/>
        <w:right w:val="none" w:sz="0" w:space="0" w:color="auto"/>
      </w:divBdr>
    </w:div>
    <w:div w:id="1495947322">
      <w:bodyDiv w:val="1"/>
      <w:marLeft w:val="0"/>
      <w:marRight w:val="0"/>
      <w:marTop w:val="0"/>
      <w:marBottom w:val="0"/>
      <w:divBdr>
        <w:top w:val="none" w:sz="0" w:space="0" w:color="auto"/>
        <w:left w:val="none" w:sz="0" w:space="0" w:color="auto"/>
        <w:bottom w:val="none" w:sz="0" w:space="0" w:color="auto"/>
        <w:right w:val="none" w:sz="0" w:space="0" w:color="auto"/>
      </w:divBdr>
    </w:div>
    <w:div w:id="1512649264">
      <w:bodyDiv w:val="1"/>
      <w:marLeft w:val="0"/>
      <w:marRight w:val="0"/>
      <w:marTop w:val="0"/>
      <w:marBottom w:val="0"/>
      <w:divBdr>
        <w:top w:val="none" w:sz="0" w:space="0" w:color="auto"/>
        <w:left w:val="none" w:sz="0" w:space="0" w:color="auto"/>
        <w:bottom w:val="none" w:sz="0" w:space="0" w:color="auto"/>
        <w:right w:val="none" w:sz="0" w:space="0" w:color="auto"/>
      </w:divBdr>
    </w:div>
    <w:div w:id="1528249353">
      <w:bodyDiv w:val="1"/>
      <w:marLeft w:val="0"/>
      <w:marRight w:val="0"/>
      <w:marTop w:val="0"/>
      <w:marBottom w:val="0"/>
      <w:divBdr>
        <w:top w:val="none" w:sz="0" w:space="0" w:color="auto"/>
        <w:left w:val="none" w:sz="0" w:space="0" w:color="auto"/>
        <w:bottom w:val="none" w:sz="0" w:space="0" w:color="auto"/>
        <w:right w:val="none" w:sz="0" w:space="0" w:color="auto"/>
      </w:divBdr>
    </w:div>
    <w:div w:id="1549412719">
      <w:bodyDiv w:val="1"/>
      <w:marLeft w:val="0"/>
      <w:marRight w:val="0"/>
      <w:marTop w:val="0"/>
      <w:marBottom w:val="0"/>
      <w:divBdr>
        <w:top w:val="none" w:sz="0" w:space="0" w:color="auto"/>
        <w:left w:val="none" w:sz="0" w:space="0" w:color="auto"/>
        <w:bottom w:val="none" w:sz="0" w:space="0" w:color="auto"/>
        <w:right w:val="none" w:sz="0" w:space="0" w:color="auto"/>
      </w:divBdr>
    </w:div>
    <w:div w:id="1558543918">
      <w:bodyDiv w:val="1"/>
      <w:marLeft w:val="0"/>
      <w:marRight w:val="0"/>
      <w:marTop w:val="0"/>
      <w:marBottom w:val="0"/>
      <w:divBdr>
        <w:top w:val="none" w:sz="0" w:space="0" w:color="auto"/>
        <w:left w:val="none" w:sz="0" w:space="0" w:color="auto"/>
        <w:bottom w:val="none" w:sz="0" w:space="0" w:color="auto"/>
        <w:right w:val="none" w:sz="0" w:space="0" w:color="auto"/>
      </w:divBdr>
    </w:div>
    <w:div w:id="1568488623">
      <w:bodyDiv w:val="1"/>
      <w:marLeft w:val="0"/>
      <w:marRight w:val="0"/>
      <w:marTop w:val="0"/>
      <w:marBottom w:val="0"/>
      <w:divBdr>
        <w:top w:val="none" w:sz="0" w:space="0" w:color="auto"/>
        <w:left w:val="none" w:sz="0" w:space="0" w:color="auto"/>
        <w:bottom w:val="none" w:sz="0" w:space="0" w:color="auto"/>
        <w:right w:val="none" w:sz="0" w:space="0" w:color="auto"/>
      </w:divBdr>
    </w:div>
    <w:div w:id="1568491736">
      <w:bodyDiv w:val="1"/>
      <w:marLeft w:val="0"/>
      <w:marRight w:val="0"/>
      <w:marTop w:val="0"/>
      <w:marBottom w:val="0"/>
      <w:divBdr>
        <w:top w:val="none" w:sz="0" w:space="0" w:color="auto"/>
        <w:left w:val="none" w:sz="0" w:space="0" w:color="auto"/>
        <w:bottom w:val="none" w:sz="0" w:space="0" w:color="auto"/>
        <w:right w:val="none" w:sz="0" w:space="0" w:color="auto"/>
      </w:divBdr>
    </w:div>
    <w:div w:id="1569850793">
      <w:bodyDiv w:val="1"/>
      <w:marLeft w:val="0"/>
      <w:marRight w:val="0"/>
      <w:marTop w:val="0"/>
      <w:marBottom w:val="0"/>
      <w:divBdr>
        <w:top w:val="none" w:sz="0" w:space="0" w:color="auto"/>
        <w:left w:val="none" w:sz="0" w:space="0" w:color="auto"/>
        <w:bottom w:val="none" w:sz="0" w:space="0" w:color="auto"/>
        <w:right w:val="none" w:sz="0" w:space="0" w:color="auto"/>
      </w:divBdr>
    </w:div>
    <w:div w:id="1578906198">
      <w:bodyDiv w:val="1"/>
      <w:marLeft w:val="0"/>
      <w:marRight w:val="0"/>
      <w:marTop w:val="0"/>
      <w:marBottom w:val="0"/>
      <w:divBdr>
        <w:top w:val="none" w:sz="0" w:space="0" w:color="auto"/>
        <w:left w:val="none" w:sz="0" w:space="0" w:color="auto"/>
        <w:bottom w:val="none" w:sz="0" w:space="0" w:color="auto"/>
        <w:right w:val="none" w:sz="0" w:space="0" w:color="auto"/>
      </w:divBdr>
    </w:div>
    <w:div w:id="1614168826">
      <w:bodyDiv w:val="1"/>
      <w:marLeft w:val="0"/>
      <w:marRight w:val="0"/>
      <w:marTop w:val="0"/>
      <w:marBottom w:val="0"/>
      <w:divBdr>
        <w:top w:val="none" w:sz="0" w:space="0" w:color="auto"/>
        <w:left w:val="none" w:sz="0" w:space="0" w:color="auto"/>
        <w:bottom w:val="none" w:sz="0" w:space="0" w:color="auto"/>
        <w:right w:val="none" w:sz="0" w:space="0" w:color="auto"/>
      </w:divBdr>
    </w:div>
    <w:div w:id="1614433271">
      <w:bodyDiv w:val="1"/>
      <w:marLeft w:val="0"/>
      <w:marRight w:val="0"/>
      <w:marTop w:val="0"/>
      <w:marBottom w:val="0"/>
      <w:divBdr>
        <w:top w:val="none" w:sz="0" w:space="0" w:color="auto"/>
        <w:left w:val="none" w:sz="0" w:space="0" w:color="auto"/>
        <w:bottom w:val="none" w:sz="0" w:space="0" w:color="auto"/>
        <w:right w:val="none" w:sz="0" w:space="0" w:color="auto"/>
      </w:divBdr>
    </w:div>
    <w:div w:id="1622112125">
      <w:bodyDiv w:val="1"/>
      <w:marLeft w:val="0"/>
      <w:marRight w:val="0"/>
      <w:marTop w:val="0"/>
      <w:marBottom w:val="0"/>
      <w:divBdr>
        <w:top w:val="none" w:sz="0" w:space="0" w:color="auto"/>
        <w:left w:val="none" w:sz="0" w:space="0" w:color="auto"/>
        <w:bottom w:val="none" w:sz="0" w:space="0" w:color="auto"/>
        <w:right w:val="none" w:sz="0" w:space="0" w:color="auto"/>
      </w:divBdr>
    </w:div>
    <w:div w:id="1622686597">
      <w:bodyDiv w:val="1"/>
      <w:marLeft w:val="0"/>
      <w:marRight w:val="0"/>
      <w:marTop w:val="0"/>
      <w:marBottom w:val="0"/>
      <w:divBdr>
        <w:top w:val="none" w:sz="0" w:space="0" w:color="auto"/>
        <w:left w:val="none" w:sz="0" w:space="0" w:color="auto"/>
        <w:bottom w:val="none" w:sz="0" w:space="0" w:color="auto"/>
        <w:right w:val="none" w:sz="0" w:space="0" w:color="auto"/>
      </w:divBdr>
    </w:div>
    <w:div w:id="1629698509">
      <w:bodyDiv w:val="1"/>
      <w:marLeft w:val="0"/>
      <w:marRight w:val="0"/>
      <w:marTop w:val="0"/>
      <w:marBottom w:val="0"/>
      <w:divBdr>
        <w:top w:val="none" w:sz="0" w:space="0" w:color="auto"/>
        <w:left w:val="none" w:sz="0" w:space="0" w:color="auto"/>
        <w:bottom w:val="none" w:sz="0" w:space="0" w:color="auto"/>
        <w:right w:val="none" w:sz="0" w:space="0" w:color="auto"/>
      </w:divBdr>
    </w:div>
    <w:div w:id="1630624201">
      <w:bodyDiv w:val="1"/>
      <w:marLeft w:val="0"/>
      <w:marRight w:val="0"/>
      <w:marTop w:val="0"/>
      <w:marBottom w:val="0"/>
      <w:divBdr>
        <w:top w:val="none" w:sz="0" w:space="0" w:color="auto"/>
        <w:left w:val="none" w:sz="0" w:space="0" w:color="auto"/>
        <w:bottom w:val="none" w:sz="0" w:space="0" w:color="auto"/>
        <w:right w:val="none" w:sz="0" w:space="0" w:color="auto"/>
      </w:divBdr>
    </w:div>
    <w:div w:id="1637444877">
      <w:bodyDiv w:val="1"/>
      <w:marLeft w:val="0"/>
      <w:marRight w:val="0"/>
      <w:marTop w:val="0"/>
      <w:marBottom w:val="0"/>
      <w:divBdr>
        <w:top w:val="none" w:sz="0" w:space="0" w:color="auto"/>
        <w:left w:val="none" w:sz="0" w:space="0" w:color="auto"/>
        <w:bottom w:val="none" w:sz="0" w:space="0" w:color="auto"/>
        <w:right w:val="none" w:sz="0" w:space="0" w:color="auto"/>
      </w:divBdr>
    </w:div>
    <w:div w:id="1647275139">
      <w:bodyDiv w:val="1"/>
      <w:marLeft w:val="0"/>
      <w:marRight w:val="0"/>
      <w:marTop w:val="0"/>
      <w:marBottom w:val="0"/>
      <w:divBdr>
        <w:top w:val="none" w:sz="0" w:space="0" w:color="auto"/>
        <w:left w:val="none" w:sz="0" w:space="0" w:color="auto"/>
        <w:bottom w:val="none" w:sz="0" w:space="0" w:color="auto"/>
        <w:right w:val="none" w:sz="0" w:space="0" w:color="auto"/>
      </w:divBdr>
    </w:div>
    <w:div w:id="1665814851">
      <w:bodyDiv w:val="1"/>
      <w:marLeft w:val="0"/>
      <w:marRight w:val="0"/>
      <w:marTop w:val="0"/>
      <w:marBottom w:val="0"/>
      <w:divBdr>
        <w:top w:val="none" w:sz="0" w:space="0" w:color="auto"/>
        <w:left w:val="none" w:sz="0" w:space="0" w:color="auto"/>
        <w:bottom w:val="none" w:sz="0" w:space="0" w:color="auto"/>
        <w:right w:val="none" w:sz="0" w:space="0" w:color="auto"/>
      </w:divBdr>
    </w:div>
    <w:div w:id="1669477308">
      <w:bodyDiv w:val="1"/>
      <w:marLeft w:val="0"/>
      <w:marRight w:val="0"/>
      <w:marTop w:val="0"/>
      <w:marBottom w:val="0"/>
      <w:divBdr>
        <w:top w:val="none" w:sz="0" w:space="0" w:color="auto"/>
        <w:left w:val="none" w:sz="0" w:space="0" w:color="auto"/>
        <w:bottom w:val="none" w:sz="0" w:space="0" w:color="auto"/>
        <w:right w:val="none" w:sz="0" w:space="0" w:color="auto"/>
      </w:divBdr>
    </w:div>
    <w:div w:id="1677730819">
      <w:bodyDiv w:val="1"/>
      <w:marLeft w:val="0"/>
      <w:marRight w:val="0"/>
      <w:marTop w:val="0"/>
      <w:marBottom w:val="0"/>
      <w:divBdr>
        <w:top w:val="none" w:sz="0" w:space="0" w:color="auto"/>
        <w:left w:val="none" w:sz="0" w:space="0" w:color="auto"/>
        <w:bottom w:val="none" w:sz="0" w:space="0" w:color="auto"/>
        <w:right w:val="none" w:sz="0" w:space="0" w:color="auto"/>
      </w:divBdr>
    </w:div>
    <w:div w:id="1689524980">
      <w:bodyDiv w:val="1"/>
      <w:marLeft w:val="0"/>
      <w:marRight w:val="0"/>
      <w:marTop w:val="0"/>
      <w:marBottom w:val="0"/>
      <w:divBdr>
        <w:top w:val="none" w:sz="0" w:space="0" w:color="auto"/>
        <w:left w:val="none" w:sz="0" w:space="0" w:color="auto"/>
        <w:bottom w:val="none" w:sz="0" w:space="0" w:color="auto"/>
        <w:right w:val="none" w:sz="0" w:space="0" w:color="auto"/>
      </w:divBdr>
    </w:div>
    <w:div w:id="1706174619">
      <w:bodyDiv w:val="1"/>
      <w:marLeft w:val="0"/>
      <w:marRight w:val="0"/>
      <w:marTop w:val="0"/>
      <w:marBottom w:val="0"/>
      <w:divBdr>
        <w:top w:val="none" w:sz="0" w:space="0" w:color="auto"/>
        <w:left w:val="none" w:sz="0" w:space="0" w:color="auto"/>
        <w:bottom w:val="none" w:sz="0" w:space="0" w:color="auto"/>
        <w:right w:val="none" w:sz="0" w:space="0" w:color="auto"/>
      </w:divBdr>
    </w:div>
    <w:div w:id="1709144235">
      <w:bodyDiv w:val="1"/>
      <w:marLeft w:val="0"/>
      <w:marRight w:val="0"/>
      <w:marTop w:val="0"/>
      <w:marBottom w:val="0"/>
      <w:divBdr>
        <w:top w:val="none" w:sz="0" w:space="0" w:color="auto"/>
        <w:left w:val="none" w:sz="0" w:space="0" w:color="auto"/>
        <w:bottom w:val="none" w:sz="0" w:space="0" w:color="auto"/>
        <w:right w:val="none" w:sz="0" w:space="0" w:color="auto"/>
      </w:divBdr>
    </w:div>
    <w:div w:id="1722092975">
      <w:bodyDiv w:val="1"/>
      <w:marLeft w:val="0"/>
      <w:marRight w:val="0"/>
      <w:marTop w:val="0"/>
      <w:marBottom w:val="0"/>
      <w:divBdr>
        <w:top w:val="none" w:sz="0" w:space="0" w:color="auto"/>
        <w:left w:val="none" w:sz="0" w:space="0" w:color="auto"/>
        <w:bottom w:val="none" w:sz="0" w:space="0" w:color="auto"/>
        <w:right w:val="none" w:sz="0" w:space="0" w:color="auto"/>
      </w:divBdr>
    </w:div>
    <w:div w:id="1724597181">
      <w:bodyDiv w:val="1"/>
      <w:marLeft w:val="0"/>
      <w:marRight w:val="0"/>
      <w:marTop w:val="0"/>
      <w:marBottom w:val="0"/>
      <w:divBdr>
        <w:top w:val="none" w:sz="0" w:space="0" w:color="auto"/>
        <w:left w:val="none" w:sz="0" w:space="0" w:color="auto"/>
        <w:bottom w:val="none" w:sz="0" w:space="0" w:color="auto"/>
        <w:right w:val="none" w:sz="0" w:space="0" w:color="auto"/>
      </w:divBdr>
    </w:div>
    <w:div w:id="1743407855">
      <w:bodyDiv w:val="1"/>
      <w:marLeft w:val="0"/>
      <w:marRight w:val="0"/>
      <w:marTop w:val="0"/>
      <w:marBottom w:val="0"/>
      <w:divBdr>
        <w:top w:val="none" w:sz="0" w:space="0" w:color="auto"/>
        <w:left w:val="none" w:sz="0" w:space="0" w:color="auto"/>
        <w:bottom w:val="none" w:sz="0" w:space="0" w:color="auto"/>
        <w:right w:val="none" w:sz="0" w:space="0" w:color="auto"/>
      </w:divBdr>
    </w:div>
    <w:div w:id="1746798267">
      <w:bodyDiv w:val="1"/>
      <w:marLeft w:val="0"/>
      <w:marRight w:val="0"/>
      <w:marTop w:val="0"/>
      <w:marBottom w:val="0"/>
      <w:divBdr>
        <w:top w:val="none" w:sz="0" w:space="0" w:color="auto"/>
        <w:left w:val="none" w:sz="0" w:space="0" w:color="auto"/>
        <w:bottom w:val="none" w:sz="0" w:space="0" w:color="auto"/>
        <w:right w:val="none" w:sz="0" w:space="0" w:color="auto"/>
      </w:divBdr>
    </w:div>
    <w:div w:id="1763721236">
      <w:bodyDiv w:val="1"/>
      <w:marLeft w:val="0"/>
      <w:marRight w:val="0"/>
      <w:marTop w:val="0"/>
      <w:marBottom w:val="0"/>
      <w:divBdr>
        <w:top w:val="none" w:sz="0" w:space="0" w:color="auto"/>
        <w:left w:val="none" w:sz="0" w:space="0" w:color="auto"/>
        <w:bottom w:val="none" w:sz="0" w:space="0" w:color="auto"/>
        <w:right w:val="none" w:sz="0" w:space="0" w:color="auto"/>
      </w:divBdr>
    </w:div>
    <w:div w:id="1771513060">
      <w:bodyDiv w:val="1"/>
      <w:marLeft w:val="0"/>
      <w:marRight w:val="0"/>
      <w:marTop w:val="0"/>
      <w:marBottom w:val="0"/>
      <w:divBdr>
        <w:top w:val="none" w:sz="0" w:space="0" w:color="auto"/>
        <w:left w:val="none" w:sz="0" w:space="0" w:color="auto"/>
        <w:bottom w:val="none" w:sz="0" w:space="0" w:color="auto"/>
        <w:right w:val="none" w:sz="0" w:space="0" w:color="auto"/>
      </w:divBdr>
    </w:div>
    <w:div w:id="1777751769">
      <w:bodyDiv w:val="1"/>
      <w:marLeft w:val="0"/>
      <w:marRight w:val="0"/>
      <w:marTop w:val="0"/>
      <w:marBottom w:val="0"/>
      <w:divBdr>
        <w:top w:val="none" w:sz="0" w:space="0" w:color="auto"/>
        <w:left w:val="none" w:sz="0" w:space="0" w:color="auto"/>
        <w:bottom w:val="none" w:sz="0" w:space="0" w:color="auto"/>
        <w:right w:val="none" w:sz="0" w:space="0" w:color="auto"/>
      </w:divBdr>
    </w:div>
    <w:div w:id="1794011603">
      <w:bodyDiv w:val="1"/>
      <w:marLeft w:val="0"/>
      <w:marRight w:val="0"/>
      <w:marTop w:val="0"/>
      <w:marBottom w:val="0"/>
      <w:divBdr>
        <w:top w:val="none" w:sz="0" w:space="0" w:color="auto"/>
        <w:left w:val="none" w:sz="0" w:space="0" w:color="auto"/>
        <w:bottom w:val="none" w:sz="0" w:space="0" w:color="auto"/>
        <w:right w:val="none" w:sz="0" w:space="0" w:color="auto"/>
      </w:divBdr>
    </w:div>
    <w:div w:id="1803692537">
      <w:bodyDiv w:val="1"/>
      <w:marLeft w:val="0"/>
      <w:marRight w:val="0"/>
      <w:marTop w:val="0"/>
      <w:marBottom w:val="0"/>
      <w:divBdr>
        <w:top w:val="none" w:sz="0" w:space="0" w:color="auto"/>
        <w:left w:val="none" w:sz="0" w:space="0" w:color="auto"/>
        <w:bottom w:val="none" w:sz="0" w:space="0" w:color="auto"/>
        <w:right w:val="none" w:sz="0" w:space="0" w:color="auto"/>
      </w:divBdr>
    </w:div>
    <w:div w:id="1805805883">
      <w:bodyDiv w:val="1"/>
      <w:marLeft w:val="0"/>
      <w:marRight w:val="0"/>
      <w:marTop w:val="0"/>
      <w:marBottom w:val="0"/>
      <w:divBdr>
        <w:top w:val="none" w:sz="0" w:space="0" w:color="auto"/>
        <w:left w:val="none" w:sz="0" w:space="0" w:color="auto"/>
        <w:bottom w:val="none" w:sz="0" w:space="0" w:color="auto"/>
        <w:right w:val="none" w:sz="0" w:space="0" w:color="auto"/>
      </w:divBdr>
    </w:div>
    <w:div w:id="1820341671">
      <w:bodyDiv w:val="1"/>
      <w:marLeft w:val="0"/>
      <w:marRight w:val="0"/>
      <w:marTop w:val="0"/>
      <w:marBottom w:val="0"/>
      <w:divBdr>
        <w:top w:val="none" w:sz="0" w:space="0" w:color="auto"/>
        <w:left w:val="none" w:sz="0" w:space="0" w:color="auto"/>
        <w:bottom w:val="none" w:sz="0" w:space="0" w:color="auto"/>
        <w:right w:val="none" w:sz="0" w:space="0" w:color="auto"/>
      </w:divBdr>
    </w:div>
    <w:div w:id="1824665101">
      <w:bodyDiv w:val="1"/>
      <w:marLeft w:val="0"/>
      <w:marRight w:val="0"/>
      <w:marTop w:val="0"/>
      <w:marBottom w:val="0"/>
      <w:divBdr>
        <w:top w:val="none" w:sz="0" w:space="0" w:color="auto"/>
        <w:left w:val="none" w:sz="0" w:space="0" w:color="auto"/>
        <w:bottom w:val="none" w:sz="0" w:space="0" w:color="auto"/>
        <w:right w:val="none" w:sz="0" w:space="0" w:color="auto"/>
      </w:divBdr>
    </w:div>
    <w:div w:id="1827043700">
      <w:bodyDiv w:val="1"/>
      <w:marLeft w:val="0"/>
      <w:marRight w:val="0"/>
      <w:marTop w:val="0"/>
      <w:marBottom w:val="0"/>
      <w:divBdr>
        <w:top w:val="none" w:sz="0" w:space="0" w:color="auto"/>
        <w:left w:val="none" w:sz="0" w:space="0" w:color="auto"/>
        <w:bottom w:val="none" w:sz="0" w:space="0" w:color="auto"/>
        <w:right w:val="none" w:sz="0" w:space="0" w:color="auto"/>
      </w:divBdr>
    </w:div>
    <w:div w:id="1834565949">
      <w:bodyDiv w:val="1"/>
      <w:marLeft w:val="0"/>
      <w:marRight w:val="0"/>
      <w:marTop w:val="0"/>
      <w:marBottom w:val="0"/>
      <w:divBdr>
        <w:top w:val="none" w:sz="0" w:space="0" w:color="auto"/>
        <w:left w:val="none" w:sz="0" w:space="0" w:color="auto"/>
        <w:bottom w:val="none" w:sz="0" w:space="0" w:color="auto"/>
        <w:right w:val="none" w:sz="0" w:space="0" w:color="auto"/>
      </w:divBdr>
    </w:div>
    <w:div w:id="1852601724">
      <w:bodyDiv w:val="1"/>
      <w:marLeft w:val="0"/>
      <w:marRight w:val="0"/>
      <w:marTop w:val="0"/>
      <w:marBottom w:val="0"/>
      <w:divBdr>
        <w:top w:val="none" w:sz="0" w:space="0" w:color="auto"/>
        <w:left w:val="none" w:sz="0" w:space="0" w:color="auto"/>
        <w:bottom w:val="none" w:sz="0" w:space="0" w:color="auto"/>
        <w:right w:val="none" w:sz="0" w:space="0" w:color="auto"/>
      </w:divBdr>
    </w:div>
    <w:div w:id="1853494994">
      <w:bodyDiv w:val="1"/>
      <w:marLeft w:val="0"/>
      <w:marRight w:val="0"/>
      <w:marTop w:val="0"/>
      <w:marBottom w:val="0"/>
      <w:divBdr>
        <w:top w:val="none" w:sz="0" w:space="0" w:color="auto"/>
        <w:left w:val="none" w:sz="0" w:space="0" w:color="auto"/>
        <w:bottom w:val="none" w:sz="0" w:space="0" w:color="auto"/>
        <w:right w:val="none" w:sz="0" w:space="0" w:color="auto"/>
      </w:divBdr>
    </w:div>
    <w:div w:id="1856117896">
      <w:bodyDiv w:val="1"/>
      <w:marLeft w:val="0"/>
      <w:marRight w:val="0"/>
      <w:marTop w:val="0"/>
      <w:marBottom w:val="0"/>
      <w:divBdr>
        <w:top w:val="none" w:sz="0" w:space="0" w:color="auto"/>
        <w:left w:val="none" w:sz="0" w:space="0" w:color="auto"/>
        <w:bottom w:val="none" w:sz="0" w:space="0" w:color="auto"/>
        <w:right w:val="none" w:sz="0" w:space="0" w:color="auto"/>
      </w:divBdr>
    </w:div>
    <w:div w:id="1856647123">
      <w:bodyDiv w:val="1"/>
      <w:marLeft w:val="0"/>
      <w:marRight w:val="0"/>
      <w:marTop w:val="0"/>
      <w:marBottom w:val="0"/>
      <w:divBdr>
        <w:top w:val="none" w:sz="0" w:space="0" w:color="auto"/>
        <w:left w:val="none" w:sz="0" w:space="0" w:color="auto"/>
        <w:bottom w:val="none" w:sz="0" w:space="0" w:color="auto"/>
        <w:right w:val="none" w:sz="0" w:space="0" w:color="auto"/>
      </w:divBdr>
    </w:div>
    <w:div w:id="1870560352">
      <w:bodyDiv w:val="1"/>
      <w:marLeft w:val="0"/>
      <w:marRight w:val="0"/>
      <w:marTop w:val="0"/>
      <w:marBottom w:val="0"/>
      <w:divBdr>
        <w:top w:val="none" w:sz="0" w:space="0" w:color="auto"/>
        <w:left w:val="none" w:sz="0" w:space="0" w:color="auto"/>
        <w:bottom w:val="none" w:sz="0" w:space="0" w:color="auto"/>
        <w:right w:val="none" w:sz="0" w:space="0" w:color="auto"/>
      </w:divBdr>
    </w:div>
    <w:div w:id="1874611867">
      <w:bodyDiv w:val="1"/>
      <w:marLeft w:val="0"/>
      <w:marRight w:val="0"/>
      <w:marTop w:val="0"/>
      <w:marBottom w:val="0"/>
      <w:divBdr>
        <w:top w:val="none" w:sz="0" w:space="0" w:color="auto"/>
        <w:left w:val="none" w:sz="0" w:space="0" w:color="auto"/>
        <w:bottom w:val="none" w:sz="0" w:space="0" w:color="auto"/>
        <w:right w:val="none" w:sz="0" w:space="0" w:color="auto"/>
      </w:divBdr>
    </w:div>
    <w:div w:id="1885948327">
      <w:bodyDiv w:val="1"/>
      <w:marLeft w:val="0"/>
      <w:marRight w:val="0"/>
      <w:marTop w:val="0"/>
      <w:marBottom w:val="0"/>
      <w:divBdr>
        <w:top w:val="none" w:sz="0" w:space="0" w:color="auto"/>
        <w:left w:val="none" w:sz="0" w:space="0" w:color="auto"/>
        <w:bottom w:val="none" w:sz="0" w:space="0" w:color="auto"/>
        <w:right w:val="none" w:sz="0" w:space="0" w:color="auto"/>
      </w:divBdr>
    </w:div>
    <w:div w:id="1889027812">
      <w:bodyDiv w:val="1"/>
      <w:marLeft w:val="0"/>
      <w:marRight w:val="0"/>
      <w:marTop w:val="0"/>
      <w:marBottom w:val="0"/>
      <w:divBdr>
        <w:top w:val="none" w:sz="0" w:space="0" w:color="auto"/>
        <w:left w:val="none" w:sz="0" w:space="0" w:color="auto"/>
        <w:bottom w:val="none" w:sz="0" w:space="0" w:color="auto"/>
        <w:right w:val="none" w:sz="0" w:space="0" w:color="auto"/>
      </w:divBdr>
    </w:div>
    <w:div w:id="1891846318">
      <w:bodyDiv w:val="1"/>
      <w:marLeft w:val="0"/>
      <w:marRight w:val="0"/>
      <w:marTop w:val="0"/>
      <w:marBottom w:val="0"/>
      <w:divBdr>
        <w:top w:val="none" w:sz="0" w:space="0" w:color="auto"/>
        <w:left w:val="none" w:sz="0" w:space="0" w:color="auto"/>
        <w:bottom w:val="none" w:sz="0" w:space="0" w:color="auto"/>
        <w:right w:val="none" w:sz="0" w:space="0" w:color="auto"/>
      </w:divBdr>
    </w:div>
    <w:div w:id="1900943887">
      <w:bodyDiv w:val="1"/>
      <w:marLeft w:val="0"/>
      <w:marRight w:val="0"/>
      <w:marTop w:val="0"/>
      <w:marBottom w:val="0"/>
      <w:divBdr>
        <w:top w:val="none" w:sz="0" w:space="0" w:color="auto"/>
        <w:left w:val="none" w:sz="0" w:space="0" w:color="auto"/>
        <w:bottom w:val="none" w:sz="0" w:space="0" w:color="auto"/>
        <w:right w:val="none" w:sz="0" w:space="0" w:color="auto"/>
      </w:divBdr>
    </w:div>
    <w:div w:id="1935674348">
      <w:bodyDiv w:val="1"/>
      <w:marLeft w:val="0"/>
      <w:marRight w:val="0"/>
      <w:marTop w:val="0"/>
      <w:marBottom w:val="0"/>
      <w:divBdr>
        <w:top w:val="none" w:sz="0" w:space="0" w:color="auto"/>
        <w:left w:val="none" w:sz="0" w:space="0" w:color="auto"/>
        <w:bottom w:val="none" w:sz="0" w:space="0" w:color="auto"/>
        <w:right w:val="none" w:sz="0" w:space="0" w:color="auto"/>
      </w:divBdr>
    </w:div>
    <w:div w:id="1950043433">
      <w:bodyDiv w:val="1"/>
      <w:marLeft w:val="0"/>
      <w:marRight w:val="0"/>
      <w:marTop w:val="0"/>
      <w:marBottom w:val="0"/>
      <w:divBdr>
        <w:top w:val="none" w:sz="0" w:space="0" w:color="auto"/>
        <w:left w:val="none" w:sz="0" w:space="0" w:color="auto"/>
        <w:bottom w:val="none" w:sz="0" w:space="0" w:color="auto"/>
        <w:right w:val="none" w:sz="0" w:space="0" w:color="auto"/>
      </w:divBdr>
    </w:div>
    <w:div w:id="1960527468">
      <w:bodyDiv w:val="1"/>
      <w:marLeft w:val="0"/>
      <w:marRight w:val="0"/>
      <w:marTop w:val="0"/>
      <w:marBottom w:val="0"/>
      <w:divBdr>
        <w:top w:val="none" w:sz="0" w:space="0" w:color="auto"/>
        <w:left w:val="none" w:sz="0" w:space="0" w:color="auto"/>
        <w:bottom w:val="none" w:sz="0" w:space="0" w:color="auto"/>
        <w:right w:val="none" w:sz="0" w:space="0" w:color="auto"/>
      </w:divBdr>
    </w:div>
    <w:div w:id="1964916927">
      <w:bodyDiv w:val="1"/>
      <w:marLeft w:val="0"/>
      <w:marRight w:val="0"/>
      <w:marTop w:val="0"/>
      <w:marBottom w:val="0"/>
      <w:divBdr>
        <w:top w:val="none" w:sz="0" w:space="0" w:color="auto"/>
        <w:left w:val="none" w:sz="0" w:space="0" w:color="auto"/>
        <w:bottom w:val="none" w:sz="0" w:space="0" w:color="auto"/>
        <w:right w:val="none" w:sz="0" w:space="0" w:color="auto"/>
      </w:divBdr>
    </w:div>
    <w:div w:id="1968975283">
      <w:bodyDiv w:val="1"/>
      <w:marLeft w:val="0"/>
      <w:marRight w:val="0"/>
      <w:marTop w:val="0"/>
      <w:marBottom w:val="0"/>
      <w:divBdr>
        <w:top w:val="none" w:sz="0" w:space="0" w:color="auto"/>
        <w:left w:val="none" w:sz="0" w:space="0" w:color="auto"/>
        <w:bottom w:val="none" w:sz="0" w:space="0" w:color="auto"/>
        <w:right w:val="none" w:sz="0" w:space="0" w:color="auto"/>
      </w:divBdr>
    </w:div>
    <w:div w:id="1971937436">
      <w:bodyDiv w:val="1"/>
      <w:marLeft w:val="0"/>
      <w:marRight w:val="0"/>
      <w:marTop w:val="0"/>
      <w:marBottom w:val="0"/>
      <w:divBdr>
        <w:top w:val="none" w:sz="0" w:space="0" w:color="auto"/>
        <w:left w:val="none" w:sz="0" w:space="0" w:color="auto"/>
        <w:bottom w:val="none" w:sz="0" w:space="0" w:color="auto"/>
        <w:right w:val="none" w:sz="0" w:space="0" w:color="auto"/>
      </w:divBdr>
    </w:div>
    <w:div w:id="1976830759">
      <w:bodyDiv w:val="1"/>
      <w:marLeft w:val="0"/>
      <w:marRight w:val="0"/>
      <w:marTop w:val="0"/>
      <w:marBottom w:val="0"/>
      <w:divBdr>
        <w:top w:val="none" w:sz="0" w:space="0" w:color="auto"/>
        <w:left w:val="none" w:sz="0" w:space="0" w:color="auto"/>
        <w:bottom w:val="none" w:sz="0" w:space="0" w:color="auto"/>
        <w:right w:val="none" w:sz="0" w:space="0" w:color="auto"/>
      </w:divBdr>
    </w:div>
    <w:div w:id="1995639082">
      <w:bodyDiv w:val="1"/>
      <w:marLeft w:val="0"/>
      <w:marRight w:val="0"/>
      <w:marTop w:val="0"/>
      <w:marBottom w:val="0"/>
      <w:divBdr>
        <w:top w:val="none" w:sz="0" w:space="0" w:color="auto"/>
        <w:left w:val="none" w:sz="0" w:space="0" w:color="auto"/>
        <w:bottom w:val="none" w:sz="0" w:space="0" w:color="auto"/>
        <w:right w:val="none" w:sz="0" w:space="0" w:color="auto"/>
      </w:divBdr>
    </w:div>
    <w:div w:id="2014650347">
      <w:bodyDiv w:val="1"/>
      <w:marLeft w:val="0"/>
      <w:marRight w:val="0"/>
      <w:marTop w:val="0"/>
      <w:marBottom w:val="0"/>
      <w:divBdr>
        <w:top w:val="none" w:sz="0" w:space="0" w:color="auto"/>
        <w:left w:val="none" w:sz="0" w:space="0" w:color="auto"/>
        <w:bottom w:val="none" w:sz="0" w:space="0" w:color="auto"/>
        <w:right w:val="none" w:sz="0" w:space="0" w:color="auto"/>
      </w:divBdr>
    </w:div>
    <w:div w:id="2038891009">
      <w:bodyDiv w:val="1"/>
      <w:marLeft w:val="0"/>
      <w:marRight w:val="0"/>
      <w:marTop w:val="0"/>
      <w:marBottom w:val="0"/>
      <w:divBdr>
        <w:top w:val="none" w:sz="0" w:space="0" w:color="auto"/>
        <w:left w:val="none" w:sz="0" w:space="0" w:color="auto"/>
        <w:bottom w:val="none" w:sz="0" w:space="0" w:color="auto"/>
        <w:right w:val="none" w:sz="0" w:space="0" w:color="auto"/>
      </w:divBdr>
    </w:div>
    <w:div w:id="2045279217">
      <w:bodyDiv w:val="1"/>
      <w:marLeft w:val="0"/>
      <w:marRight w:val="0"/>
      <w:marTop w:val="0"/>
      <w:marBottom w:val="0"/>
      <w:divBdr>
        <w:top w:val="none" w:sz="0" w:space="0" w:color="auto"/>
        <w:left w:val="none" w:sz="0" w:space="0" w:color="auto"/>
        <w:bottom w:val="none" w:sz="0" w:space="0" w:color="auto"/>
        <w:right w:val="none" w:sz="0" w:space="0" w:color="auto"/>
      </w:divBdr>
    </w:div>
    <w:div w:id="2055230075">
      <w:bodyDiv w:val="1"/>
      <w:marLeft w:val="0"/>
      <w:marRight w:val="0"/>
      <w:marTop w:val="0"/>
      <w:marBottom w:val="0"/>
      <w:divBdr>
        <w:top w:val="none" w:sz="0" w:space="0" w:color="auto"/>
        <w:left w:val="none" w:sz="0" w:space="0" w:color="auto"/>
        <w:bottom w:val="none" w:sz="0" w:space="0" w:color="auto"/>
        <w:right w:val="none" w:sz="0" w:space="0" w:color="auto"/>
      </w:divBdr>
    </w:div>
    <w:div w:id="2074503763">
      <w:bodyDiv w:val="1"/>
      <w:marLeft w:val="0"/>
      <w:marRight w:val="0"/>
      <w:marTop w:val="0"/>
      <w:marBottom w:val="0"/>
      <w:divBdr>
        <w:top w:val="none" w:sz="0" w:space="0" w:color="auto"/>
        <w:left w:val="none" w:sz="0" w:space="0" w:color="auto"/>
        <w:bottom w:val="none" w:sz="0" w:space="0" w:color="auto"/>
        <w:right w:val="none" w:sz="0" w:space="0" w:color="auto"/>
      </w:divBdr>
    </w:div>
    <w:div w:id="2079786560">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42990687">
      <w:bodyDiv w:val="1"/>
      <w:marLeft w:val="0"/>
      <w:marRight w:val="0"/>
      <w:marTop w:val="0"/>
      <w:marBottom w:val="0"/>
      <w:divBdr>
        <w:top w:val="none" w:sz="0" w:space="0" w:color="auto"/>
        <w:left w:val="none" w:sz="0" w:space="0" w:color="auto"/>
        <w:bottom w:val="none" w:sz="0" w:space="0" w:color="auto"/>
        <w:right w:val="none" w:sz="0" w:space="0" w:color="auto"/>
      </w:divBdr>
    </w:div>
    <w:div w:id="2145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mass.gov/eohhs/researcher/insurance/masshealth-reports/masshealth-managed-care-mco-reports.html"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masshealth.ehs.state.ma.us/providerdirectory/" TargetMode="External"/><Relationship Id="rId2" Type="http://schemas.openxmlformats.org/officeDocument/2006/relationships/numbering" Target="numbering.xml"/><Relationship Id="rId16" Type="http://schemas.openxmlformats.org/officeDocument/2006/relationships/hyperlink" Target="https://www.masspartnership.com/member/FindBHProvider.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asshealthchoices.com/home"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chart" Target="charts/chart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masshealth.ehs.state.ma.us/providerdirectory/" TargetMode="External"/><Relationship Id="rId22" Type="http://schemas.openxmlformats.org/officeDocument/2006/relationships/header" Target="header2.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aapd.org/globalassets/media/policies_guidelines/bp_periodicity.pdf" TargetMode="External"/><Relationship Id="rId2" Type="http://schemas.openxmlformats.org/officeDocument/2006/relationships/hyperlink" Target="https://www.ada.org/en/science-research/health-policy-institute/dental-statistics/patients" TargetMode="External"/><Relationship Id="rId1" Type="http://schemas.openxmlformats.org/officeDocument/2006/relationships/hyperlink" Target="https://www.govinfo.gov/content/pkg/FR-2015-11-02/pdf/2015-27697.pdf" TargetMode="External"/><Relationship Id="rId4" Type="http://schemas.openxmlformats.org/officeDocument/2006/relationships/hyperlink" Target="https://bluecrossmafoundation.org/sites/default/files/download/publication/MassHealthBasics_Chartpack_v11_10-22-18update_Final%202017.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'Fig 1'!$G$3</c:f>
              <c:strCache>
                <c:ptCount val="1"/>
                <c:pt idx="0">
                  <c:v>Disabled</c:v>
                </c:pt>
              </c:strCache>
            </c:strRef>
          </c:tx>
          <c:spPr>
            <a:solidFill>
              <a:srgbClr val="4472C4"/>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'Fig 1'!$H$1:$I$2</c:f>
              <c:strCache>
                <c:ptCount val="2"/>
                <c:pt idx="0">
                  <c:v>Adults</c:v>
                </c:pt>
                <c:pt idx="1">
                  <c:v>Children</c:v>
                </c:pt>
              </c:strCache>
            </c:strRef>
          </c:cat>
          <c:val>
            <c:numRef>
              <c:f>'Fig 1'!$H$3:$I$3</c:f>
              <c:numCache>
                <c:formatCode>0.0%</c:formatCode>
                <c:ptCount val="2"/>
                <c:pt idx="0">
                  <c:v>0.23519285547432023</c:v>
                </c:pt>
                <c:pt idx="1">
                  <c:v>7.6512321335037187E-2</c:v>
                </c:pt>
              </c:numCache>
            </c:numRef>
          </c:val>
          <c:extLst xmlns:c16r2="http://schemas.microsoft.com/office/drawing/2015/06/chart">
            <c:ext xmlns:c16="http://schemas.microsoft.com/office/drawing/2014/chart" uri="{C3380CC4-5D6E-409C-BE32-E72D297353CC}">
              <c16:uniqueId val="{00000000-0239-45E0-A5BC-99C76104E016}"/>
            </c:ext>
          </c:extLst>
        </c:ser>
        <c:ser>
          <c:idx val="1"/>
          <c:order val="1"/>
          <c:tx>
            <c:strRef>
              <c:f>'Fig 1'!$G$4</c:f>
              <c:strCache>
                <c:ptCount val="1"/>
                <c:pt idx="0">
                  <c:v>Non-Disabled</c:v>
                </c:pt>
              </c:strCache>
            </c:strRef>
          </c:tx>
          <c:spPr>
            <a:solidFill>
              <a:srgbClr val="ED7D31"/>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'Fig 1'!$H$1:$I$2</c:f>
              <c:strCache>
                <c:ptCount val="2"/>
                <c:pt idx="0">
                  <c:v>Adults</c:v>
                </c:pt>
                <c:pt idx="1">
                  <c:v>Children</c:v>
                </c:pt>
              </c:strCache>
            </c:strRef>
          </c:cat>
          <c:val>
            <c:numRef>
              <c:f>'Fig 1'!$H$4:$I$4</c:f>
              <c:numCache>
                <c:formatCode>0.0%</c:formatCode>
                <c:ptCount val="2"/>
                <c:pt idx="0">
                  <c:v>0.76480714452567977</c:v>
                </c:pt>
                <c:pt idx="1">
                  <c:v>0.92348767866496284</c:v>
                </c:pt>
              </c:numCache>
            </c:numRef>
          </c:val>
          <c:extLst xmlns:c16r2="http://schemas.microsoft.com/office/drawing/2015/06/chart">
            <c:ext xmlns:c16="http://schemas.microsoft.com/office/drawing/2014/chart" uri="{C3380CC4-5D6E-409C-BE32-E72D297353CC}">
              <c16:uniqueId val="{00000001-0239-45E0-A5BC-99C76104E016}"/>
            </c:ext>
          </c:extLst>
        </c:ser>
        <c:dLbls>
          <c:showLegendKey val="0"/>
          <c:showVal val="0"/>
          <c:showCatName val="0"/>
          <c:showSerName val="0"/>
          <c:showPercent val="0"/>
          <c:showBubbleSize val="0"/>
        </c:dLbls>
        <c:gapWidth val="219"/>
        <c:overlap val="-27"/>
        <c:axId val="68273664"/>
        <c:axId val="68275200"/>
      </c:barChart>
      <c:catAx>
        <c:axId val="6827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68275200"/>
        <c:crosses val="autoZero"/>
        <c:auto val="1"/>
        <c:lblAlgn val="ctr"/>
        <c:lblOffset val="100"/>
        <c:noMultiLvlLbl val="0"/>
      </c:catAx>
      <c:valAx>
        <c:axId val="682752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68273664"/>
        <c:crosses val="autoZero"/>
        <c:crossBetween val="between"/>
      </c:valAx>
      <c:spPr>
        <a:noFill/>
        <a:ln w="25400">
          <a:noFill/>
        </a:ln>
      </c:spPr>
    </c:plotArea>
    <c:legend>
      <c:legendPos val="r"/>
      <c:layout>
        <c:manualLayout>
          <c:xMode val="edge"/>
          <c:yMode val="edge"/>
          <c:x val="0.81913332262038663"/>
          <c:y val="0.21711007054350762"/>
          <c:w val="0.17759430071241092"/>
          <c:h val="0.34048778786372635"/>
        </c:manualLayout>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Service Delivery System</a:t>
            </a:r>
          </a:p>
        </c:rich>
      </c:tx>
      <c:overlay val="0"/>
      <c:spPr>
        <a:noFill/>
        <a:ln w="25400">
          <a:noFill/>
        </a:ln>
      </c:spPr>
    </c:title>
    <c:autoTitleDeleted val="0"/>
    <c:plotArea>
      <c:layout/>
      <c:barChart>
        <c:barDir val="col"/>
        <c:grouping val="clustered"/>
        <c:varyColors val="0"/>
        <c:ser>
          <c:idx val="0"/>
          <c:order val="0"/>
          <c:spPr>
            <a:solidFill>
              <a:srgbClr val="953735"/>
            </a:solidFill>
            <a:ln w="25400">
              <a:noFill/>
            </a:ln>
          </c:spPr>
          <c:invertIfNegative val="0"/>
          <c:dPt>
            <c:idx val="1"/>
            <c:invertIfNegative val="0"/>
            <c:bubble3D val="0"/>
            <c:spPr>
              <a:solidFill>
                <a:srgbClr val="376092"/>
              </a:solidFill>
              <a:ln w="25400">
                <a:noFill/>
              </a:ln>
            </c:spPr>
            <c:extLst xmlns:c16r2="http://schemas.microsoft.com/office/drawing/2015/06/chart">
              <c:ext xmlns:c16="http://schemas.microsoft.com/office/drawing/2014/chart" uri="{C3380CC4-5D6E-409C-BE32-E72D297353CC}">
                <c16:uniqueId val="{00000001-A51E-4A36-A4A2-ADD6E153D66D}"/>
              </c:ext>
            </c:extLst>
          </c:dPt>
          <c:dPt>
            <c:idx val="2"/>
            <c:invertIfNegative val="0"/>
            <c:bubble3D val="0"/>
            <c:spPr>
              <a:solidFill>
                <a:srgbClr val="604A7B"/>
              </a:solidFill>
              <a:ln w="25400">
                <a:noFill/>
              </a:ln>
            </c:spPr>
            <c:extLst xmlns:c16r2="http://schemas.microsoft.com/office/drawing/2015/06/chart">
              <c:ext xmlns:c16="http://schemas.microsoft.com/office/drawing/2014/chart" uri="{C3380CC4-5D6E-409C-BE32-E72D297353CC}">
                <c16:uniqueId val="{00000003-A51E-4A36-A4A2-ADD6E153D66D}"/>
              </c:ext>
            </c:extLst>
          </c:dPt>
          <c:dPt>
            <c:idx val="3"/>
            <c:invertIfNegative val="0"/>
            <c:bubble3D val="0"/>
            <c:spPr>
              <a:solidFill>
                <a:srgbClr val="D99694"/>
              </a:solidFill>
              <a:ln w="25400">
                <a:noFill/>
              </a:ln>
            </c:spPr>
            <c:extLst xmlns:c16r2="http://schemas.microsoft.com/office/drawing/2015/06/chart">
              <c:ext xmlns:c16="http://schemas.microsoft.com/office/drawing/2014/chart" uri="{C3380CC4-5D6E-409C-BE32-E72D297353CC}">
                <c16:uniqueId val="{00000005-A51E-4A36-A4A2-ADD6E153D66D}"/>
              </c:ext>
            </c:extLst>
          </c:dPt>
          <c:dPt>
            <c:idx val="4"/>
            <c:invertIfNegative val="0"/>
            <c:bubble3D val="0"/>
            <c:spPr>
              <a:solidFill>
                <a:srgbClr val="95B3D7"/>
              </a:solidFill>
              <a:ln w="25400">
                <a:noFill/>
              </a:ln>
            </c:spPr>
            <c:extLst xmlns:c16r2="http://schemas.microsoft.com/office/drawing/2015/06/chart">
              <c:ext xmlns:c16="http://schemas.microsoft.com/office/drawing/2014/chart" uri="{C3380CC4-5D6E-409C-BE32-E72D297353CC}">
                <c16:uniqueId val="{00000007-A51E-4A36-A4A2-ADD6E153D66D}"/>
              </c:ext>
            </c:extLst>
          </c:dPt>
          <c:dPt>
            <c:idx val="5"/>
            <c:invertIfNegative val="0"/>
            <c:bubble3D val="0"/>
            <c:spPr>
              <a:solidFill>
                <a:srgbClr val="CCC1DA"/>
              </a:solidFill>
              <a:ln w="25400">
                <a:noFill/>
              </a:ln>
            </c:spPr>
            <c:extLst xmlns:c16r2="http://schemas.microsoft.com/office/drawing/2015/06/chart">
              <c:ext xmlns:c16="http://schemas.microsoft.com/office/drawing/2014/chart" uri="{C3380CC4-5D6E-409C-BE32-E72D297353CC}">
                <c16:uniqueId val="{00000009-A51E-4A36-A4A2-ADD6E153D66D}"/>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'Fig 2'!$H$9:$I$14</c:f>
              <c:multiLvlStrCache>
                <c:ptCount val="6"/>
                <c:lvl>
                  <c:pt idx="0">
                    <c:v>Accountable Care Partnership Plan/MCO</c:v>
                  </c:pt>
                  <c:pt idx="1">
                    <c:v>Primary Care ACO/PCC</c:v>
                  </c:pt>
                  <c:pt idx="2">
                    <c:v>FFS</c:v>
                  </c:pt>
                  <c:pt idx="3">
                    <c:v>Accountable Care Partnership Plan/MCO</c:v>
                  </c:pt>
                  <c:pt idx="4">
                    <c:v>Primary Care ACO/PCC</c:v>
                  </c:pt>
                  <c:pt idx="5">
                    <c:v>FFS</c:v>
                  </c:pt>
                </c:lvl>
                <c:lvl>
                  <c:pt idx="0">
                    <c:v>Adults</c:v>
                  </c:pt>
                  <c:pt idx="3">
                    <c:v>Children</c:v>
                  </c:pt>
                </c:lvl>
              </c:multiLvlStrCache>
            </c:multiLvlStrRef>
          </c:cat>
          <c:val>
            <c:numRef>
              <c:f>'Fig 2'!$J$9:$J$14</c:f>
              <c:numCache>
                <c:formatCode>0%</c:formatCode>
                <c:ptCount val="6"/>
                <c:pt idx="0">
                  <c:v>0.15487235661211626</c:v>
                </c:pt>
                <c:pt idx="1">
                  <c:v>0.17045597547233488</c:v>
                </c:pt>
                <c:pt idx="2">
                  <c:v>0.32385040869908421</c:v>
                </c:pt>
                <c:pt idx="3">
                  <c:v>0.16747081333691791</c:v>
                </c:pt>
                <c:pt idx="4">
                  <c:v>0.11834970227029624</c:v>
                </c:pt>
                <c:pt idx="5">
                  <c:v>6.5000743609250497E-2</c:v>
                </c:pt>
              </c:numCache>
            </c:numRef>
          </c:val>
          <c:extLst xmlns:c16r2="http://schemas.microsoft.com/office/drawing/2015/06/chart">
            <c:ext xmlns:c16="http://schemas.microsoft.com/office/drawing/2014/chart" uri="{C3380CC4-5D6E-409C-BE32-E72D297353CC}">
              <c16:uniqueId val="{0000000A-A51E-4A36-A4A2-ADD6E153D66D}"/>
            </c:ext>
          </c:extLst>
        </c:ser>
        <c:dLbls>
          <c:showLegendKey val="0"/>
          <c:showVal val="0"/>
          <c:showCatName val="0"/>
          <c:showSerName val="0"/>
          <c:showPercent val="0"/>
          <c:showBubbleSize val="0"/>
        </c:dLbls>
        <c:gapWidth val="219"/>
        <c:overlap val="-27"/>
        <c:axId val="81841536"/>
        <c:axId val="81851520"/>
      </c:barChart>
      <c:catAx>
        <c:axId val="8184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851520"/>
        <c:crosses val="autoZero"/>
        <c:auto val="1"/>
        <c:lblAlgn val="ctr"/>
        <c:lblOffset val="100"/>
        <c:noMultiLvlLbl val="0"/>
      </c:catAx>
      <c:valAx>
        <c:axId val="81851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8415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14947-9234-4684-A951-5D8787C9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17302</Words>
  <Characters>98625</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EOHHS- MassHealth</Company>
  <LinksUpToDate>false</LinksUpToDate>
  <CharactersWithSpaces>115696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Administrator</cp:lastModifiedBy>
  <cp:revision>3</cp:revision>
  <cp:lastPrinted>2019-09-20T14:13:00Z</cp:lastPrinted>
  <dcterms:created xsi:type="dcterms:W3CDTF">2019-09-25T13:42:00Z</dcterms:created>
  <dcterms:modified xsi:type="dcterms:W3CDTF">2019-09-30T15:01:00Z</dcterms:modified>
</cp:coreProperties>
</file>