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D310" w14:textId="77777777" w:rsidR="00264744" w:rsidRPr="00964243" w:rsidRDefault="00264744" w:rsidP="00264744">
      <w:pPr>
        <w:pStyle w:val="paragraph"/>
        <w:spacing w:before="0" w:beforeAutospacing="0" w:after="0" w:afterAutospacing="0"/>
        <w:jc w:val="center"/>
        <w:textAlignment w:val="baseline"/>
      </w:pPr>
      <w:r w:rsidRPr="00964243">
        <w:rPr>
          <w:rStyle w:val="normaltextrun"/>
          <w:b/>
          <w:bCs/>
        </w:rPr>
        <w:t>2019 Massachusetts Data Special Emphasis Report: Traumatic Brain Injury</w:t>
      </w:r>
      <w:r w:rsidRPr="00964243">
        <w:rPr>
          <w:rStyle w:val="eop"/>
        </w:rPr>
        <w:t> </w:t>
      </w:r>
    </w:p>
    <w:p w14:paraId="4A8A044E" w14:textId="77777777" w:rsidR="00264744" w:rsidRPr="00964243" w:rsidRDefault="00264744" w:rsidP="00264744">
      <w:pPr>
        <w:pStyle w:val="paragraph"/>
        <w:spacing w:before="0" w:beforeAutospacing="0" w:after="0" w:afterAutospacing="0"/>
        <w:textAlignment w:val="baseline"/>
        <w:rPr>
          <w:rStyle w:val="normaltextrun"/>
        </w:rPr>
      </w:pPr>
    </w:p>
    <w:p w14:paraId="4D1ECE99" w14:textId="7BBE31D0" w:rsidR="00264744" w:rsidRPr="00964243" w:rsidRDefault="00264744" w:rsidP="00264744">
      <w:pPr>
        <w:pStyle w:val="paragraph"/>
        <w:spacing w:before="0" w:beforeAutospacing="0" w:after="0" w:afterAutospacing="0"/>
        <w:textAlignment w:val="baseline"/>
      </w:pPr>
      <w:r w:rsidRPr="00964243">
        <w:rPr>
          <w:rStyle w:val="normaltextrun"/>
        </w:rPr>
        <w:t>This special report focuses and highlights data on traumatic brain injury (TBI) a serious public health problem in the United States. A TBI is caused by a bump, blow, jolt, or penetration to the head that disrupts the normal function of the brain. Each year, traumatic brain injuries contribute to a substantial number of deaths and cases of permanent disability.</w:t>
      </w:r>
      <w:r w:rsidRPr="00964243">
        <w:rPr>
          <w:rStyle w:val="eop"/>
        </w:rPr>
        <w:t> </w:t>
      </w:r>
    </w:p>
    <w:p w14:paraId="589D21D1" w14:textId="77777777" w:rsidR="00264744" w:rsidRPr="00964243" w:rsidRDefault="00264744" w:rsidP="00264744">
      <w:pPr>
        <w:pStyle w:val="paragraph"/>
        <w:spacing w:before="0" w:beforeAutospacing="0" w:after="0" w:afterAutospacing="0"/>
        <w:textAlignment w:val="baseline"/>
        <w:rPr>
          <w:rStyle w:val="normaltextrun"/>
          <w:b/>
          <w:bCs/>
        </w:rPr>
      </w:pPr>
    </w:p>
    <w:p w14:paraId="7D6C25CB" w14:textId="3C67D7F8" w:rsidR="00264744" w:rsidRPr="00964243" w:rsidRDefault="00264744" w:rsidP="00264744">
      <w:pPr>
        <w:pStyle w:val="paragraph"/>
        <w:spacing w:before="0" w:beforeAutospacing="0" w:after="0" w:afterAutospacing="0"/>
        <w:textAlignment w:val="baseline"/>
      </w:pPr>
      <w:r w:rsidRPr="00964243">
        <w:rPr>
          <w:rStyle w:val="normaltextrun"/>
          <w:b/>
          <w:bCs/>
        </w:rPr>
        <w:t>Understanding TBI</w:t>
      </w:r>
    </w:p>
    <w:p w14:paraId="46AF2A18" w14:textId="77777777" w:rsidR="00264744" w:rsidRPr="00964243" w:rsidRDefault="00264744" w:rsidP="00264744">
      <w:pPr>
        <w:pStyle w:val="paragraph"/>
        <w:spacing w:before="0" w:beforeAutospacing="0" w:after="0" w:afterAutospacing="0"/>
        <w:textAlignment w:val="baseline"/>
      </w:pPr>
      <w:r w:rsidRPr="00964243">
        <w:rPr>
          <w:rStyle w:val="normaltextrun"/>
          <w:b/>
          <w:bCs/>
        </w:rPr>
        <w:t>Impact and Magnitude of TBI*</w:t>
      </w:r>
      <w:r w:rsidRPr="00964243">
        <w:rPr>
          <w:rStyle w:val="eop"/>
        </w:rPr>
        <w:t> </w:t>
      </w:r>
    </w:p>
    <w:p w14:paraId="48EEA3C6" w14:textId="77777777" w:rsidR="00264744" w:rsidRPr="00964243" w:rsidRDefault="00264744" w:rsidP="00264744">
      <w:pPr>
        <w:pStyle w:val="paragraph"/>
        <w:numPr>
          <w:ilvl w:val="0"/>
          <w:numId w:val="3"/>
        </w:numPr>
        <w:spacing w:before="0" w:beforeAutospacing="0" w:after="0" w:afterAutospacing="0"/>
        <w:ind w:left="1080" w:firstLine="0"/>
        <w:textAlignment w:val="baseline"/>
      </w:pPr>
      <w:r w:rsidRPr="00964243">
        <w:rPr>
          <w:rStyle w:val="normaltextrun"/>
        </w:rPr>
        <w:t>In 2019, more than 25,000 Massachusetts (MA) residents sustained a TBI. Among those injured, 825 residents died (9.9 per 100,000 population). There were 5,817 TBI-related hospital stays (72/100,000) and an additional 18,947 TBI-related emergency department (ED) visits (273.8/100,000</w:t>
      </w:r>
      <w:proofErr w:type="gramStart"/>
      <w:r w:rsidRPr="00964243">
        <w:rPr>
          <w:rStyle w:val="normaltextrun"/>
        </w:rPr>
        <w:t>).*</w:t>
      </w:r>
      <w:proofErr w:type="gramEnd"/>
      <w:r w:rsidRPr="00964243">
        <w:rPr>
          <w:rStyle w:val="normaltextrun"/>
        </w:rPr>
        <w:t>*</w:t>
      </w:r>
      <w:r w:rsidRPr="00964243">
        <w:rPr>
          <w:rStyle w:val="eop"/>
        </w:rPr>
        <w:t> </w:t>
      </w:r>
    </w:p>
    <w:p w14:paraId="060DC098" w14:textId="77777777" w:rsidR="00264744" w:rsidRPr="00964243" w:rsidRDefault="00264744" w:rsidP="00264744">
      <w:pPr>
        <w:pStyle w:val="paragraph"/>
        <w:spacing w:before="0" w:beforeAutospacing="0" w:after="0" w:afterAutospacing="0"/>
        <w:textAlignment w:val="baseline"/>
      </w:pPr>
      <w:r w:rsidRPr="00964243">
        <w:rPr>
          <w:rStyle w:val="normaltextrun"/>
          <w:b/>
          <w:bCs/>
        </w:rPr>
        <w:t>Cause and Intent of TBI***</w:t>
      </w:r>
      <w:r w:rsidRPr="00964243">
        <w:rPr>
          <w:rStyle w:val="eop"/>
        </w:rPr>
        <w:t> </w:t>
      </w:r>
    </w:p>
    <w:p w14:paraId="58A23CA4" w14:textId="77777777" w:rsidR="00264744" w:rsidRPr="00964243" w:rsidRDefault="00264744" w:rsidP="00264744">
      <w:pPr>
        <w:pStyle w:val="paragraph"/>
        <w:numPr>
          <w:ilvl w:val="0"/>
          <w:numId w:val="4"/>
        </w:numPr>
        <w:spacing w:before="0" w:beforeAutospacing="0" w:after="0" w:afterAutospacing="0"/>
        <w:ind w:left="1080" w:firstLine="0"/>
        <w:textAlignment w:val="baseline"/>
      </w:pPr>
      <w:r w:rsidRPr="00964243">
        <w:rPr>
          <w:rStyle w:val="normaltextrun"/>
        </w:rPr>
        <w:t>Unintentional fall was the leading cause of TBI-related injury deaths (Fig. 2) followed by firearm and suicide. The leading cause of TBI-related hospital stays was unintentional fall-related injuries (44.8/100,000) followed by unintentional motor vehicle (MV) traffic injuries (11.4 /100,000). Unintentional fall was also the leading cause of TBI-related ED visits (107.6/100,000).</w:t>
      </w:r>
      <w:r w:rsidRPr="00964243">
        <w:rPr>
          <w:rStyle w:val="eop"/>
        </w:rPr>
        <w:t> </w:t>
      </w:r>
    </w:p>
    <w:p w14:paraId="62FD4CF9" w14:textId="77777777" w:rsidR="00264744" w:rsidRPr="00964243" w:rsidRDefault="00264744" w:rsidP="00264744">
      <w:pPr>
        <w:pStyle w:val="paragraph"/>
        <w:spacing w:before="0" w:beforeAutospacing="0" w:after="0" w:afterAutospacing="0"/>
        <w:textAlignment w:val="baseline"/>
      </w:pPr>
      <w:r w:rsidRPr="00964243">
        <w:rPr>
          <w:rStyle w:val="normaltextrun"/>
          <w:b/>
          <w:bCs/>
        </w:rPr>
        <w:t>TBI Rates by Age and Sex</w:t>
      </w:r>
      <w:r w:rsidRPr="00964243">
        <w:rPr>
          <w:rStyle w:val="eop"/>
        </w:rPr>
        <w:t> </w:t>
      </w:r>
    </w:p>
    <w:p w14:paraId="2A7ECDCA" w14:textId="5720E1A0" w:rsidR="00264744" w:rsidRPr="00964243" w:rsidRDefault="00264744" w:rsidP="00264744">
      <w:pPr>
        <w:pStyle w:val="paragraph"/>
        <w:numPr>
          <w:ilvl w:val="0"/>
          <w:numId w:val="5"/>
        </w:numPr>
        <w:spacing w:before="0" w:beforeAutospacing="0" w:after="0" w:afterAutospacing="0"/>
        <w:ind w:left="1080" w:firstLine="0"/>
        <w:textAlignment w:val="baseline"/>
        <w:rPr>
          <w:rStyle w:val="eop"/>
        </w:rPr>
      </w:pPr>
      <w:r w:rsidRPr="00964243">
        <w:rPr>
          <w:rStyle w:val="normaltextrun"/>
        </w:rPr>
        <w:t>Among TBI-related hospital stays, total rates were higher among males (91.9/100,000) than females (53.8/100,000). The highest age-specific rates were among those aged 85 and older for both males and females (824.8/100,000 and 660.0/100,000 respectively).</w:t>
      </w:r>
      <w:r w:rsidRPr="00964243">
        <w:rPr>
          <w:rStyle w:val="eop"/>
        </w:rPr>
        <w:t> </w:t>
      </w:r>
    </w:p>
    <w:p w14:paraId="237C89C6" w14:textId="77777777" w:rsidR="00264744" w:rsidRPr="00964243" w:rsidRDefault="00264744" w:rsidP="00264744">
      <w:pPr>
        <w:pStyle w:val="paragraph"/>
        <w:spacing w:before="0" w:beforeAutospacing="0" w:after="0" w:afterAutospacing="0"/>
        <w:textAlignment w:val="baseline"/>
      </w:pPr>
    </w:p>
    <w:p w14:paraId="2076A771" w14:textId="4C66948B" w:rsidR="00964243" w:rsidRDefault="00264744" w:rsidP="00FA413C">
      <w:pPr>
        <w:pStyle w:val="paragraph"/>
        <w:spacing w:before="0" w:beforeAutospacing="0" w:after="0" w:afterAutospacing="0"/>
        <w:textAlignment w:val="baseline"/>
        <w:rPr>
          <w:rStyle w:val="eop"/>
        </w:rPr>
      </w:pPr>
      <w:r w:rsidRPr="00964243">
        <w:rPr>
          <w:rStyle w:val="normaltextrun"/>
          <w:i/>
          <w:iCs/>
        </w:rPr>
        <w:t>* Calendar year was used for deaths, federal fiscal year (Oct 2018-Sep 2019) was used for hospital stays and ED Visits. Patients may be seen more than once for an injury, so hospital stays and ED visits are number of visits, not "individual" counts. All rates are for 100,000 population.</w:t>
      </w:r>
    </w:p>
    <w:p w14:paraId="165D8478" w14:textId="77777777" w:rsidR="00FA413C" w:rsidRPr="00FA413C" w:rsidRDefault="00FA413C" w:rsidP="00FA413C">
      <w:pPr>
        <w:pStyle w:val="paragraph"/>
        <w:spacing w:before="0" w:beforeAutospacing="0" w:after="0" w:afterAutospacing="0"/>
        <w:textAlignment w:val="baseline"/>
      </w:pPr>
    </w:p>
    <w:p w14:paraId="0F5E6C6D" w14:textId="77777777" w:rsidR="00964243" w:rsidRDefault="00264744">
      <w:pPr>
        <w:rPr>
          <w:rFonts w:ascii="Times New Roman" w:hAnsi="Times New Roman" w:cs="Times New Roman"/>
          <w:b/>
          <w:bCs/>
          <w:sz w:val="24"/>
          <w:szCs w:val="24"/>
        </w:rPr>
      </w:pPr>
      <w:r w:rsidRPr="00964243">
        <w:rPr>
          <w:rFonts w:ascii="Times New Roman" w:hAnsi="Times New Roman" w:cs="Times New Roman"/>
          <w:b/>
          <w:bCs/>
          <w:sz w:val="24"/>
          <w:szCs w:val="24"/>
        </w:rPr>
        <w:t xml:space="preserve">Figure 1: Percentage of Annual TBI-Related Deaths, Hospital Stays and ED Visits by Cause or Intent, 2019  </w:t>
      </w:r>
      <w:r w:rsidR="007554F5" w:rsidRPr="00964243">
        <w:rPr>
          <w:rFonts w:ascii="Times New Roman" w:hAnsi="Times New Roman" w:cs="Times New Roman"/>
          <w:noProof/>
          <w:sz w:val="24"/>
          <w:szCs w:val="24"/>
        </w:rPr>
        <w:drawing>
          <wp:inline distT="0" distB="0" distL="0" distR="0" wp14:anchorId="3BF73207" wp14:editId="208E4880">
            <wp:extent cx="5086350" cy="1828800"/>
            <wp:effectExtent l="0" t="0" r="0" b="0"/>
            <wp:docPr id="1" name="Chart 1" descr="Percentage of Annual TBI-Related Deaths, Hospital Stays and ED Visits by Cause or Intent, 2019 &#10;• Unintentional motor vehicle traffic-related injuries led to 20 percent of hospitalizations and 78 percent of ED visits&#10;• Unintentional falls led to 32 percent of hospitalizations and 65 percent of ED visits&#10;• Firearms led to 90 percent of deaths and 8 percent of hospitalizations &#10;• Assault and homicide led to 13 percent of hospitalizations and 85 percent of ED visits &#10;• Self-harm/suicide led to 75 percent of deaths, 14 percent of hospitalizations and 11 percent of ED visits&#10;• Unintentional stuck-by injuries led to 95 percent of ED visits&#10;">
              <a:extLst xmlns:a="http://schemas.openxmlformats.org/drawingml/2006/main">
                <a:ext uri="{FF2B5EF4-FFF2-40B4-BE49-F238E27FC236}">
                  <a16:creationId xmlns:a16="http://schemas.microsoft.com/office/drawing/2014/main" id="{00000000-0008-0000-09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83CB128" w14:textId="77777777" w:rsidR="00AC3AE8" w:rsidRDefault="00AC3AE8">
      <w:pPr>
        <w:rPr>
          <w:rFonts w:ascii="Times New Roman" w:hAnsi="Times New Roman" w:cs="Times New Roman"/>
          <w:b/>
          <w:bCs/>
          <w:sz w:val="24"/>
          <w:szCs w:val="24"/>
        </w:rPr>
      </w:pPr>
    </w:p>
    <w:p w14:paraId="1D56E9F1" w14:textId="77777777" w:rsidR="00FA413C" w:rsidRDefault="00FA413C">
      <w:pPr>
        <w:rPr>
          <w:rFonts w:ascii="Times New Roman" w:hAnsi="Times New Roman" w:cs="Times New Roman"/>
          <w:b/>
          <w:bCs/>
          <w:sz w:val="24"/>
          <w:szCs w:val="24"/>
        </w:rPr>
      </w:pPr>
    </w:p>
    <w:p w14:paraId="4B916ED4" w14:textId="1CAFBF9F" w:rsidR="007554F5" w:rsidRPr="00964243" w:rsidRDefault="007554F5">
      <w:pPr>
        <w:rPr>
          <w:rFonts w:ascii="Times New Roman" w:hAnsi="Times New Roman" w:cs="Times New Roman"/>
          <w:sz w:val="24"/>
          <w:szCs w:val="24"/>
        </w:rPr>
      </w:pPr>
      <w:r w:rsidRPr="00964243">
        <w:rPr>
          <w:rFonts w:ascii="Times New Roman" w:hAnsi="Times New Roman" w:cs="Times New Roman"/>
          <w:b/>
          <w:bCs/>
          <w:sz w:val="24"/>
          <w:szCs w:val="24"/>
        </w:rPr>
        <w:lastRenderedPageBreak/>
        <w:t>Figure 2</w:t>
      </w:r>
      <w:r w:rsidR="00264744" w:rsidRPr="00964243">
        <w:rPr>
          <w:rFonts w:ascii="Times New Roman" w:hAnsi="Times New Roman" w:cs="Times New Roman"/>
          <w:b/>
          <w:bCs/>
          <w:sz w:val="24"/>
          <w:szCs w:val="24"/>
        </w:rPr>
        <w:t>: Number and Rate (per 100,000 population) of TBI-Related Deaths by Cause and Intent***, 2019</w:t>
      </w:r>
    </w:p>
    <w:tbl>
      <w:tblPr>
        <w:tblStyle w:val="TableGrid"/>
        <w:tblW w:w="0" w:type="auto"/>
        <w:tblLook w:val="04A0" w:firstRow="1" w:lastRow="0" w:firstColumn="1" w:lastColumn="0" w:noHBand="0" w:noVBand="1"/>
      </w:tblPr>
      <w:tblGrid>
        <w:gridCol w:w="3116"/>
        <w:gridCol w:w="3117"/>
        <w:gridCol w:w="3117"/>
      </w:tblGrid>
      <w:tr w:rsidR="00264744" w:rsidRPr="00964243" w14:paraId="0F46DA2D" w14:textId="77777777" w:rsidTr="00964243">
        <w:trPr>
          <w:trHeight w:val="395"/>
        </w:trPr>
        <w:tc>
          <w:tcPr>
            <w:tcW w:w="3116" w:type="dxa"/>
          </w:tcPr>
          <w:p w14:paraId="3892F41E" w14:textId="29F1662D" w:rsidR="00264744" w:rsidRPr="00964243" w:rsidRDefault="00264744">
            <w:pPr>
              <w:rPr>
                <w:rFonts w:ascii="Times New Roman" w:hAnsi="Times New Roman" w:cs="Times New Roman"/>
                <w:b/>
                <w:bCs/>
                <w:sz w:val="28"/>
                <w:szCs w:val="28"/>
              </w:rPr>
            </w:pPr>
            <w:r w:rsidRPr="00964243">
              <w:rPr>
                <w:rFonts w:ascii="Times New Roman" w:hAnsi="Times New Roman" w:cs="Times New Roman"/>
                <w:b/>
                <w:bCs/>
                <w:sz w:val="28"/>
                <w:szCs w:val="28"/>
              </w:rPr>
              <w:t>Cause</w:t>
            </w:r>
          </w:p>
        </w:tc>
        <w:tc>
          <w:tcPr>
            <w:tcW w:w="3117" w:type="dxa"/>
          </w:tcPr>
          <w:p w14:paraId="78AC0520" w14:textId="162E2EFA" w:rsidR="00264744" w:rsidRPr="00964243" w:rsidRDefault="00264744">
            <w:pPr>
              <w:rPr>
                <w:rFonts w:ascii="Times New Roman" w:hAnsi="Times New Roman" w:cs="Times New Roman"/>
                <w:b/>
                <w:bCs/>
                <w:sz w:val="28"/>
                <w:szCs w:val="28"/>
              </w:rPr>
            </w:pPr>
            <w:r w:rsidRPr="00964243">
              <w:rPr>
                <w:rFonts w:ascii="Times New Roman" w:hAnsi="Times New Roman" w:cs="Times New Roman"/>
                <w:b/>
                <w:bCs/>
                <w:sz w:val="28"/>
                <w:szCs w:val="28"/>
              </w:rPr>
              <w:t>Count</w:t>
            </w:r>
          </w:p>
        </w:tc>
        <w:tc>
          <w:tcPr>
            <w:tcW w:w="3117" w:type="dxa"/>
          </w:tcPr>
          <w:p w14:paraId="7A4DA1D8" w14:textId="5034F975" w:rsidR="00264744" w:rsidRPr="00964243" w:rsidRDefault="00264744">
            <w:pPr>
              <w:rPr>
                <w:rFonts w:ascii="Times New Roman" w:hAnsi="Times New Roman" w:cs="Times New Roman"/>
                <w:b/>
                <w:bCs/>
                <w:sz w:val="28"/>
                <w:szCs w:val="28"/>
              </w:rPr>
            </w:pPr>
            <w:r w:rsidRPr="00964243">
              <w:rPr>
                <w:rFonts w:ascii="Times New Roman" w:hAnsi="Times New Roman" w:cs="Times New Roman"/>
                <w:b/>
                <w:bCs/>
                <w:sz w:val="28"/>
                <w:szCs w:val="28"/>
              </w:rPr>
              <w:t>Rate per 100K People</w:t>
            </w:r>
          </w:p>
        </w:tc>
      </w:tr>
      <w:tr w:rsidR="00264744" w:rsidRPr="00964243" w14:paraId="4C403553" w14:textId="77777777" w:rsidTr="00964243">
        <w:trPr>
          <w:trHeight w:val="350"/>
        </w:trPr>
        <w:tc>
          <w:tcPr>
            <w:tcW w:w="3116" w:type="dxa"/>
          </w:tcPr>
          <w:p w14:paraId="39F06E82" w14:textId="6CA92C6D" w:rsidR="00264744" w:rsidRPr="00964243" w:rsidRDefault="00264744" w:rsidP="00264744">
            <w:pPr>
              <w:rPr>
                <w:rFonts w:ascii="Times New Roman" w:hAnsi="Times New Roman" w:cs="Times New Roman"/>
                <w:sz w:val="24"/>
                <w:szCs w:val="24"/>
              </w:rPr>
            </w:pPr>
            <w:bookmarkStart w:id="0" w:name="_Hlk133323203"/>
            <w:r w:rsidRPr="00964243">
              <w:rPr>
                <w:rFonts w:ascii="Times New Roman" w:hAnsi="Times New Roman" w:cs="Times New Roman"/>
                <w:sz w:val="24"/>
                <w:szCs w:val="24"/>
              </w:rPr>
              <w:t>Unintentional Fall</w:t>
            </w:r>
          </w:p>
        </w:tc>
        <w:tc>
          <w:tcPr>
            <w:tcW w:w="3117" w:type="dxa"/>
          </w:tcPr>
          <w:p w14:paraId="57CC3C9A" w14:textId="4C61024F" w:rsidR="00264744" w:rsidRPr="00964243" w:rsidRDefault="00964243" w:rsidP="00782EE8">
            <w:pPr>
              <w:rPr>
                <w:rFonts w:ascii="Times New Roman" w:hAnsi="Times New Roman" w:cs="Times New Roman"/>
                <w:sz w:val="24"/>
                <w:szCs w:val="24"/>
              </w:rPr>
            </w:pPr>
            <w:r>
              <w:rPr>
                <w:rFonts w:ascii="Times New Roman" w:hAnsi="Times New Roman" w:cs="Times New Roman"/>
                <w:sz w:val="24"/>
                <w:szCs w:val="24"/>
              </w:rPr>
              <w:t>461</w:t>
            </w:r>
          </w:p>
        </w:tc>
        <w:tc>
          <w:tcPr>
            <w:tcW w:w="3117" w:type="dxa"/>
          </w:tcPr>
          <w:p w14:paraId="513DD5CF" w14:textId="27E9C1A6" w:rsidR="00264744" w:rsidRPr="00964243" w:rsidRDefault="00964243" w:rsidP="00782EE8">
            <w:pPr>
              <w:rPr>
                <w:rFonts w:ascii="Times New Roman" w:hAnsi="Times New Roman" w:cs="Times New Roman"/>
                <w:sz w:val="24"/>
                <w:szCs w:val="24"/>
              </w:rPr>
            </w:pPr>
            <w:r>
              <w:rPr>
                <w:rFonts w:ascii="Times New Roman" w:hAnsi="Times New Roman" w:cs="Times New Roman"/>
                <w:sz w:val="24"/>
                <w:szCs w:val="24"/>
              </w:rPr>
              <w:t>5.1</w:t>
            </w:r>
          </w:p>
        </w:tc>
      </w:tr>
      <w:tr w:rsidR="00264744" w:rsidRPr="00964243" w14:paraId="7CF44F18" w14:textId="77777777" w:rsidTr="00964243">
        <w:trPr>
          <w:trHeight w:val="350"/>
        </w:trPr>
        <w:tc>
          <w:tcPr>
            <w:tcW w:w="3116" w:type="dxa"/>
          </w:tcPr>
          <w:p w14:paraId="564A83CC" w14:textId="7200499F" w:rsidR="00264744" w:rsidRPr="00964243" w:rsidRDefault="00264744" w:rsidP="00782EE8">
            <w:pPr>
              <w:rPr>
                <w:rFonts w:ascii="Times New Roman" w:hAnsi="Times New Roman" w:cs="Times New Roman"/>
                <w:sz w:val="24"/>
                <w:szCs w:val="24"/>
              </w:rPr>
            </w:pPr>
            <w:r w:rsidRPr="00964243">
              <w:rPr>
                <w:rFonts w:ascii="Times New Roman" w:hAnsi="Times New Roman" w:cs="Times New Roman"/>
                <w:sz w:val="24"/>
                <w:szCs w:val="24"/>
              </w:rPr>
              <w:t>Firearm</w:t>
            </w:r>
          </w:p>
        </w:tc>
        <w:tc>
          <w:tcPr>
            <w:tcW w:w="3117" w:type="dxa"/>
          </w:tcPr>
          <w:p w14:paraId="03AF105D" w14:textId="7BF67258" w:rsidR="00264744" w:rsidRPr="00964243" w:rsidRDefault="00964243" w:rsidP="00782EE8">
            <w:pPr>
              <w:rPr>
                <w:rFonts w:ascii="Times New Roman" w:hAnsi="Times New Roman" w:cs="Times New Roman"/>
                <w:sz w:val="24"/>
                <w:szCs w:val="24"/>
              </w:rPr>
            </w:pPr>
            <w:r>
              <w:rPr>
                <w:rFonts w:ascii="Times New Roman" w:hAnsi="Times New Roman" w:cs="Times New Roman"/>
                <w:sz w:val="24"/>
                <w:szCs w:val="24"/>
              </w:rPr>
              <w:t>161</w:t>
            </w:r>
          </w:p>
        </w:tc>
        <w:tc>
          <w:tcPr>
            <w:tcW w:w="3117" w:type="dxa"/>
          </w:tcPr>
          <w:p w14:paraId="6E137ECC" w14:textId="24F4AC49" w:rsidR="00264744" w:rsidRPr="00964243" w:rsidRDefault="00964243" w:rsidP="00782EE8">
            <w:pPr>
              <w:rPr>
                <w:rFonts w:ascii="Times New Roman" w:hAnsi="Times New Roman" w:cs="Times New Roman"/>
                <w:sz w:val="24"/>
                <w:szCs w:val="24"/>
              </w:rPr>
            </w:pPr>
            <w:r>
              <w:rPr>
                <w:rFonts w:ascii="Times New Roman" w:hAnsi="Times New Roman" w:cs="Times New Roman"/>
                <w:sz w:val="24"/>
                <w:szCs w:val="24"/>
              </w:rPr>
              <w:t>2.2</w:t>
            </w:r>
          </w:p>
        </w:tc>
      </w:tr>
      <w:tr w:rsidR="00264744" w:rsidRPr="00964243" w14:paraId="64578783" w14:textId="77777777" w:rsidTr="00964243">
        <w:trPr>
          <w:trHeight w:val="350"/>
        </w:trPr>
        <w:tc>
          <w:tcPr>
            <w:tcW w:w="3116" w:type="dxa"/>
          </w:tcPr>
          <w:p w14:paraId="438B36A4" w14:textId="259F28D7" w:rsidR="00264744" w:rsidRPr="00964243" w:rsidRDefault="00264744" w:rsidP="00782EE8">
            <w:pPr>
              <w:rPr>
                <w:rFonts w:ascii="Times New Roman" w:hAnsi="Times New Roman" w:cs="Times New Roman"/>
                <w:sz w:val="24"/>
                <w:szCs w:val="24"/>
              </w:rPr>
            </w:pPr>
            <w:r w:rsidRPr="00964243">
              <w:rPr>
                <w:rFonts w:ascii="Times New Roman" w:hAnsi="Times New Roman" w:cs="Times New Roman"/>
                <w:sz w:val="24"/>
                <w:szCs w:val="24"/>
              </w:rPr>
              <w:t>Suicide</w:t>
            </w:r>
          </w:p>
        </w:tc>
        <w:tc>
          <w:tcPr>
            <w:tcW w:w="3117" w:type="dxa"/>
          </w:tcPr>
          <w:p w14:paraId="4EBC1336" w14:textId="7DD291FC" w:rsidR="00264744" w:rsidRPr="00964243" w:rsidRDefault="00964243" w:rsidP="00782EE8">
            <w:pPr>
              <w:rPr>
                <w:rFonts w:ascii="Times New Roman" w:hAnsi="Times New Roman" w:cs="Times New Roman"/>
                <w:sz w:val="24"/>
                <w:szCs w:val="24"/>
              </w:rPr>
            </w:pPr>
            <w:r>
              <w:rPr>
                <w:rFonts w:ascii="Times New Roman" w:hAnsi="Times New Roman" w:cs="Times New Roman"/>
                <w:sz w:val="24"/>
                <w:szCs w:val="24"/>
              </w:rPr>
              <w:t>133</w:t>
            </w:r>
          </w:p>
        </w:tc>
        <w:tc>
          <w:tcPr>
            <w:tcW w:w="3117" w:type="dxa"/>
          </w:tcPr>
          <w:p w14:paraId="2039CC18" w14:textId="2EBBBCA7" w:rsidR="00264744" w:rsidRPr="00964243" w:rsidRDefault="00964243" w:rsidP="00782EE8">
            <w:pPr>
              <w:rPr>
                <w:rFonts w:ascii="Times New Roman" w:hAnsi="Times New Roman" w:cs="Times New Roman"/>
                <w:sz w:val="24"/>
                <w:szCs w:val="24"/>
              </w:rPr>
            </w:pPr>
            <w:r>
              <w:rPr>
                <w:rFonts w:ascii="Times New Roman" w:hAnsi="Times New Roman" w:cs="Times New Roman"/>
                <w:sz w:val="24"/>
                <w:szCs w:val="24"/>
              </w:rPr>
              <w:t>1.7</w:t>
            </w:r>
          </w:p>
        </w:tc>
      </w:tr>
      <w:tr w:rsidR="00264744" w:rsidRPr="00964243" w14:paraId="05CB56F2" w14:textId="77777777" w:rsidTr="00964243">
        <w:trPr>
          <w:trHeight w:val="350"/>
        </w:trPr>
        <w:tc>
          <w:tcPr>
            <w:tcW w:w="3116" w:type="dxa"/>
          </w:tcPr>
          <w:p w14:paraId="2C2CA9D2" w14:textId="4D59BF0A" w:rsidR="00264744" w:rsidRPr="00964243" w:rsidRDefault="00264744">
            <w:pPr>
              <w:rPr>
                <w:rFonts w:ascii="Times New Roman" w:hAnsi="Times New Roman" w:cs="Times New Roman"/>
                <w:sz w:val="24"/>
                <w:szCs w:val="24"/>
              </w:rPr>
            </w:pPr>
            <w:r w:rsidRPr="00964243">
              <w:rPr>
                <w:rFonts w:ascii="Times New Roman" w:hAnsi="Times New Roman" w:cs="Times New Roman"/>
                <w:sz w:val="24"/>
                <w:szCs w:val="24"/>
              </w:rPr>
              <w:t>Unintentional MV Traffic</w:t>
            </w:r>
          </w:p>
        </w:tc>
        <w:tc>
          <w:tcPr>
            <w:tcW w:w="3117" w:type="dxa"/>
          </w:tcPr>
          <w:p w14:paraId="487B9CFA" w14:textId="75CA7207" w:rsidR="00264744" w:rsidRPr="00964243" w:rsidRDefault="00964243">
            <w:pPr>
              <w:rPr>
                <w:rFonts w:ascii="Times New Roman" w:hAnsi="Times New Roman" w:cs="Times New Roman"/>
                <w:sz w:val="24"/>
                <w:szCs w:val="24"/>
              </w:rPr>
            </w:pPr>
            <w:r>
              <w:rPr>
                <w:rFonts w:ascii="Times New Roman" w:hAnsi="Times New Roman" w:cs="Times New Roman"/>
                <w:sz w:val="24"/>
                <w:szCs w:val="24"/>
              </w:rPr>
              <w:t>99</w:t>
            </w:r>
          </w:p>
        </w:tc>
        <w:tc>
          <w:tcPr>
            <w:tcW w:w="3117" w:type="dxa"/>
          </w:tcPr>
          <w:p w14:paraId="49420BCB" w14:textId="71DC27A6" w:rsidR="00264744" w:rsidRPr="00964243" w:rsidRDefault="00964243">
            <w:pPr>
              <w:rPr>
                <w:rFonts w:ascii="Times New Roman" w:hAnsi="Times New Roman" w:cs="Times New Roman"/>
                <w:sz w:val="24"/>
                <w:szCs w:val="24"/>
              </w:rPr>
            </w:pPr>
            <w:r>
              <w:rPr>
                <w:rFonts w:ascii="Times New Roman" w:hAnsi="Times New Roman" w:cs="Times New Roman"/>
                <w:sz w:val="24"/>
                <w:szCs w:val="24"/>
              </w:rPr>
              <w:t>1.3</w:t>
            </w:r>
          </w:p>
        </w:tc>
      </w:tr>
      <w:tr w:rsidR="00264744" w:rsidRPr="00964243" w14:paraId="698DC48F" w14:textId="77777777" w:rsidTr="00964243">
        <w:trPr>
          <w:trHeight w:val="350"/>
        </w:trPr>
        <w:tc>
          <w:tcPr>
            <w:tcW w:w="3116" w:type="dxa"/>
          </w:tcPr>
          <w:p w14:paraId="64D3407A" w14:textId="5A84CAC4" w:rsidR="00264744" w:rsidRPr="00964243" w:rsidRDefault="00264744">
            <w:pPr>
              <w:rPr>
                <w:rFonts w:ascii="Times New Roman" w:hAnsi="Times New Roman" w:cs="Times New Roman"/>
                <w:sz w:val="24"/>
                <w:szCs w:val="24"/>
              </w:rPr>
            </w:pPr>
            <w:r w:rsidRPr="00964243">
              <w:rPr>
                <w:rFonts w:ascii="Times New Roman" w:hAnsi="Times New Roman" w:cs="Times New Roman"/>
                <w:sz w:val="24"/>
                <w:szCs w:val="24"/>
              </w:rPr>
              <w:t>Homicide</w:t>
            </w:r>
          </w:p>
        </w:tc>
        <w:tc>
          <w:tcPr>
            <w:tcW w:w="3117" w:type="dxa"/>
          </w:tcPr>
          <w:p w14:paraId="175D7BDD" w14:textId="015ADAE7" w:rsidR="00264744" w:rsidRPr="00964243" w:rsidRDefault="00964243">
            <w:pPr>
              <w:rPr>
                <w:rFonts w:ascii="Times New Roman" w:hAnsi="Times New Roman" w:cs="Times New Roman"/>
                <w:sz w:val="24"/>
                <w:szCs w:val="24"/>
              </w:rPr>
            </w:pPr>
            <w:r>
              <w:rPr>
                <w:rFonts w:ascii="Times New Roman" w:hAnsi="Times New Roman" w:cs="Times New Roman"/>
                <w:sz w:val="24"/>
                <w:szCs w:val="24"/>
              </w:rPr>
              <w:t>43</w:t>
            </w:r>
          </w:p>
        </w:tc>
        <w:tc>
          <w:tcPr>
            <w:tcW w:w="3117" w:type="dxa"/>
          </w:tcPr>
          <w:p w14:paraId="78658434" w14:textId="6CBA587A" w:rsidR="00264744" w:rsidRPr="00964243" w:rsidRDefault="00964243">
            <w:pPr>
              <w:rPr>
                <w:rFonts w:ascii="Times New Roman" w:hAnsi="Times New Roman" w:cs="Times New Roman"/>
                <w:sz w:val="24"/>
                <w:szCs w:val="24"/>
              </w:rPr>
            </w:pPr>
            <w:r>
              <w:rPr>
                <w:rFonts w:ascii="Times New Roman" w:hAnsi="Times New Roman" w:cs="Times New Roman"/>
                <w:sz w:val="24"/>
                <w:szCs w:val="24"/>
              </w:rPr>
              <w:t>0.6</w:t>
            </w:r>
          </w:p>
        </w:tc>
      </w:tr>
      <w:tr w:rsidR="00264744" w:rsidRPr="00964243" w14:paraId="03C2809A" w14:textId="77777777" w:rsidTr="00264744">
        <w:tc>
          <w:tcPr>
            <w:tcW w:w="3116" w:type="dxa"/>
          </w:tcPr>
          <w:p w14:paraId="74A5CCA6" w14:textId="2D214FC9" w:rsidR="00264744" w:rsidRPr="00964243" w:rsidRDefault="00264744">
            <w:pPr>
              <w:rPr>
                <w:rFonts w:ascii="Times New Roman" w:hAnsi="Times New Roman" w:cs="Times New Roman"/>
                <w:sz w:val="24"/>
                <w:szCs w:val="24"/>
              </w:rPr>
            </w:pPr>
            <w:r w:rsidRPr="00964243">
              <w:rPr>
                <w:rFonts w:ascii="Times New Roman" w:hAnsi="Times New Roman" w:cs="Times New Roman"/>
                <w:sz w:val="24"/>
                <w:szCs w:val="24"/>
              </w:rPr>
              <w:t>Unintentional Struck-by-object</w:t>
            </w:r>
          </w:p>
        </w:tc>
        <w:tc>
          <w:tcPr>
            <w:tcW w:w="3117" w:type="dxa"/>
          </w:tcPr>
          <w:p w14:paraId="17A8EAC0" w14:textId="158C92FB" w:rsidR="00264744" w:rsidRPr="00964243" w:rsidRDefault="00964243">
            <w:pPr>
              <w:rPr>
                <w:rFonts w:ascii="Times New Roman" w:hAnsi="Times New Roman" w:cs="Times New Roman"/>
                <w:sz w:val="24"/>
                <w:szCs w:val="24"/>
              </w:rPr>
            </w:pPr>
            <w:r>
              <w:rPr>
                <w:rFonts w:ascii="Times New Roman" w:hAnsi="Times New Roman" w:cs="Times New Roman"/>
                <w:sz w:val="24"/>
                <w:szCs w:val="24"/>
              </w:rPr>
              <w:t>5</w:t>
            </w:r>
          </w:p>
        </w:tc>
        <w:tc>
          <w:tcPr>
            <w:tcW w:w="3117" w:type="dxa"/>
          </w:tcPr>
          <w:p w14:paraId="464297B3" w14:textId="408C1AEF" w:rsidR="00264744" w:rsidRPr="00964243" w:rsidRDefault="00964243">
            <w:pPr>
              <w:rPr>
                <w:rFonts w:ascii="Times New Roman" w:hAnsi="Times New Roman" w:cs="Times New Roman"/>
                <w:sz w:val="24"/>
                <w:szCs w:val="24"/>
              </w:rPr>
            </w:pPr>
            <w:r>
              <w:rPr>
                <w:rFonts w:ascii="Times New Roman" w:hAnsi="Times New Roman" w:cs="Times New Roman"/>
                <w:sz w:val="24"/>
                <w:szCs w:val="24"/>
              </w:rPr>
              <w:t>0.1</w:t>
            </w:r>
          </w:p>
        </w:tc>
      </w:tr>
    </w:tbl>
    <w:bookmarkEnd w:id="0"/>
    <w:p w14:paraId="1CC059D6" w14:textId="38AA4A96" w:rsidR="00100503" w:rsidRPr="00964243" w:rsidRDefault="00264744">
      <w:pPr>
        <w:rPr>
          <w:rFonts w:ascii="Times New Roman" w:hAnsi="Times New Roman" w:cs="Times New Roman"/>
          <w:sz w:val="24"/>
          <w:szCs w:val="24"/>
        </w:rPr>
      </w:pPr>
      <w:r w:rsidRPr="00964243">
        <w:rPr>
          <w:rFonts w:ascii="Times New Roman" w:hAnsi="Times New Roman" w:cs="Times New Roman"/>
          <w:i/>
          <w:iCs/>
          <w:sz w:val="24"/>
          <w:szCs w:val="24"/>
        </w:rPr>
        <w:t>**Counts and rates presented in this report may differ from other MA Injury Surveillance Program analyses that include “unspecified head injury” (ICD-10-CM code S09.90) as part of the TBI definition **Cause and intent are not mutually exclusive categories. For example, all firearms are included in the firearm category, but homicides and suicides can also be firearm-related. Therefore, counts above will sum to more than the total number of TBI deaths.</w:t>
      </w:r>
    </w:p>
    <w:p w14:paraId="25A389A0" w14:textId="5DB6E5CC" w:rsidR="000616B5" w:rsidRPr="00164DCF" w:rsidRDefault="00264744" w:rsidP="00164DCF">
      <w:pPr>
        <w:rPr>
          <w:rFonts w:ascii="Times New Roman" w:hAnsi="Times New Roman" w:cs="Times New Roman"/>
          <w:sz w:val="24"/>
          <w:szCs w:val="24"/>
        </w:rPr>
      </w:pPr>
      <w:r w:rsidRPr="00964243">
        <w:rPr>
          <w:rFonts w:ascii="Times New Roman" w:hAnsi="Times New Roman" w:cs="Times New Roman"/>
          <w:b/>
          <w:bCs/>
          <w:sz w:val="24"/>
          <w:szCs w:val="24"/>
        </w:rPr>
        <w:t>Figure 3: TBI-Related Rates per 100,000 Hospital Stays by Age and Sex, 2019</w:t>
      </w:r>
      <w:r w:rsidR="00100503" w:rsidRPr="00964243">
        <w:rPr>
          <w:rFonts w:ascii="Times New Roman" w:hAnsi="Times New Roman" w:cs="Times New Roman"/>
          <w:noProof/>
          <w:sz w:val="24"/>
          <w:szCs w:val="24"/>
        </w:rPr>
        <w:drawing>
          <wp:inline distT="0" distB="0" distL="0" distR="0" wp14:anchorId="35536DD5" wp14:editId="46B19728">
            <wp:extent cx="5841851" cy="2540393"/>
            <wp:effectExtent l="0" t="0" r="6985" b="0"/>
            <wp:docPr id="2" name="Chart 2" descr="TBI-Related Rates per 100,000 Hospital Stays by Age and Sex, 2019&#10;• The highest rate of hospital stays is noted among the 85+age group for males at 824.8 per 100,000 population followed by females at 666.0 per 100, 000 population in the same age group.&#10;• The lowest rate of hospital stays is noted among the 5-9 age group for males at 22.8 per 100,000 population and for females at 10.5 per 100, 000 population in the same age group.&#10;&#10;&#10;&#10;">
              <a:extLst xmlns:a="http://schemas.openxmlformats.org/drawingml/2006/main">
                <a:ext uri="{FF2B5EF4-FFF2-40B4-BE49-F238E27FC236}">
                  <a16:creationId xmlns:a16="http://schemas.microsoft.com/office/drawing/2014/main" id="{00000000-0008-0000-0900-00002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0BAF8D" w14:textId="05B25640" w:rsidR="00264744" w:rsidRPr="00264744" w:rsidRDefault="00264744" w:rsidP="00264744">
      <w:pPr>
        <w:spacing w:after="0" w:line="240" w:lineRule="auto"/>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b/>
          <w:bCs/>
          <w:sz w:val="24"/>
          <w:szCs w:val="24"/>
        </w:rPr>
        <w:t>TBI Rates by Race and Ethnicity, 2019</w:t>
      </w:r>
      <w:r w:rsidRPr="00264744">
        <w:rPr>
          <w:rFonts w:ascii="Times New Roman" w:eastAsia="Times New Roman" w:hAnsi="Times New Roman" w:cs="Times New Roman"/>
          <w:sz w:val="24"/>
          <w:szCs w:val="24"/>
        </w:rPr>
        <w:t> </w:t>
      </w:r>
    </w:p>
    <w:p w14:paraId="645A71F6" w14:textId="0E4967C7" w:rsidR="00264744" w:rsidRPr="00964243" w:rsidRDefault="00264744" w:rsidP="00264744">
      <w:pPr>
        <w:numPr>
          <w:ilvl w:val="0"/>
          <w:numId w:val="8"/>
        </w:numPr>
        <w:spacing w:after="0" w:line="240" w:lineRule="auto"/>
        <w:ind w:left="1080" w:firstLine="0"/>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The highest rates for TBI-related hospital stays were among White, non-Hispanic and Black, non-Hispanic residents. Advocates should consider populations with higher rates to inform prevention efforts. </w:t>
      </w:r>
    </w:p>
    <w:p w14:paraId="311EEFF2" w14:textId="77777777" w:rsidR="00264744" w:rsidRPr="00264744" w:rsidRDefault="00264744" w:rsidP="00264744">
      <w:pPr>
        <w:spacing w:after="0" w:line="240" w:lineRule="auto"/>
        <w:textAlignment w:val="baseline"/>
        <w:rPr>
          <w:rFonts w:ascii="Times New Roman" w:eastAsia="Times New Roman" w:hAnsi="Times New Roman" w:cs="Times New Roman"/>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264744" w:rsidRPr="00264744" w14:paraId="11D4FE22" w14:textId="77777777" w:rsidTr="00964243">
        <w:trPr>
          <w:trHeight w:val="372"/>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CD2DDFA" w14:textId="77777777" w:rsidR="00264744" w:rsidRPr="00264744" w:rsidRDefault="00264744" w:rsidP="00264744">
            <w:pPr>
              <w:spacing w:after="0" w:line="240" w:lineRule="auto"/>
              <w:textAlignment w:val="baseline"/>
              <w:rPr>
                <w:rFonts w:ascii="Times New Roman" w:eastAsia="Times New Roman" w:hAnsi="Times New Roman" w:cs="Times New Roman"/>
                <w:b/>
                <w:bCs/>
                <w:sz w:val="28"/>
                <w:szCs w:val="28"/>
              </w:rPr>
            </w:pPr>
            <w:r w:rsidRPr="00264744">
              <w:rPr>
                <w:rFonts w:ascii="Times New Roman" w:eastAsia="Times New Roman" w:hAnsi="Times New Roman" w:cs="Times New Roman"/>
                <w:b/>
                <w:bCs/>
                <w:sz w:val="28"/>
                <w:szCs w:val="28"/>
              </w:rPr>
              <w:t>Race and Ethnicity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09ACA70" w14:textId="77777777" w:rsidR="00264744" w:rsidRPr="00264744" w:rsidRDefault="00264744" w:rsidP="00264744">
            <w:pPr>
              <w:spacing w:after="0" w:line="240" w:lineRule="auto"/>
              <w:textAlignment w:val="baseline"/>
              <w:rPr>
                <w:rFonts w:ascii="Times New Roman" w:eastAsia="Times New Roman" w:hAnsi="Times New Roman" w:cs="Times New Roman"/>
                <w:b/>
                <w:bCs/>
                <w:sz w:val="28"/>
                <w:szCs w:val="28"/>
              </w:rPr>
            </w:pPr>
            <w:r w:rsidRPr="00264744">
              <w:rPr>
                <w:rFonts w:ascii="Times New Roman" w:eastAsia="Times New Roman" w:hAnsi="Times New Roman" w:cs="Times New Roman"/>
                <w:b/>
                <w:bCs/>
                <w:sz w:val="28"/>
                <w:szCs w:val="28"/>
              </w:rPr>
              <w:t>Count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D550607" w14:textId="77777777" w:rsidR="00264744" w:rsidRPr="00264744" w:rsidRDefault="00264744" w:rsidP="00264744">
            <w:pPr>
              <w:spacing w:after="0" w:line="240" w:lineRule="auto"/>
              <w:textAlignment w:val="baseline"/>
              <w:rPr>
                <w:rFonts w:ascii="Times New Roman" w:eastAsia="Times New Roman" w:hAnsi="Times New Roman" w:cs="Times New Roman"/>
                <w:b/>
                <w:bCs/>
                <w:sz w:val="28"/>
                <w:szCs w:val="28"/>
              </w:rPr>
            </w:pPr>
            <w:r w:rsidRPr="00264744">
              <w:rPr>
                <w:rFonts w:ascii="Times New Roman" w:eastAsia="Times New Roman" w:hAnsi="Times New Roman" w:cs="Times New Roman"/>
                <w:b/>
                <w:bCs/>
                <w:sz w:val="28"/>
                <w:szCs w:val="28"/>
              </w:rPr>
              <w:t>Rate/100K </w:t>
            </w:r>
          </w:p>
        </w:tc>
      </w:tr>
      <w:tr w:rsidR="00264744" w:rsidRPr="00264744" w14:paraId="2723841E" w14:textId="77777777" w:rsidTr="00264744">
        <w:trPr>
          <w:trHeight w:val="345"/>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3260BAF" w14:textId="77777777" w:rsidR="00264744" w:rsidRPr="00264744" w:rsidRDefault="00264744" w:rsidP="00264744">
            <w:pPr>
              <w:spacing w:after="0" w:line="240" w:lineRule="auto"/>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White, non-Hispanic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59B0E4B" w14:textId="77777777" w:rsidR="00264744" w:rsidRPr="00264744" w:rsidRDefault="00264744" w:rsidP="00264744">
            <w:pPr>
              <w:spacing w:after="0" w:line="240" w:lineRule="auto"/>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4,457 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880254B" w14:textId="77777777" w:rsidR="00264744" w:rsidRPr="00264744" w:rsidRDefault="00264744" w:rsidP="00264744">
            <w:pPr>
              <w:spacing w:after="0" w:line="240" w:lineRule="auto"/>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89.9 </w:t>
            </w:r>
          </w:p>
        </w:tc>
      </w:tr>
      <w:tr w:rsidR="00264744" w:rsidRPr="00264744" w14:paraId="1E8AAC2E" w14:textId="77777777" w:rsidTr="00264744">
        <w:trPr>
          <w:trHeight w:val="345"/>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8902C85" w14:textId="77777777" w:rsidR="00264744" w:rsidRPr="00264744" w:rsidRDefault="00264744" w:rsidP="00264744">
            <w:pPr>
              <w:spacing w:after="0" w:line="240" w:lineRule="auto"/>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Black, non-Hispanic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E08B7F1" w14:textId="77777777" w:rsidR="00264744" w:rsidRPr="00264744" w:rsidRDefault="00264744" w:rsidP="00264744">
            <w:pPr>
              <w:spacing w:after="0" w:line="240" w:lineRule="auto"/>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351 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F857948" w14:textId="77777777" w:rsidR="00264744" w:rsidRPr="00264744" w:rsidRDefault="00264744" w:rsidP="00264744">
            <w:pPr>
              <w:spacing w:after="0" w:line="240" w:lineRule="auto"/>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68.0 </w:t>
            </w:r>
          </w:p>
        </w:tc>
      </w:tr>
      <w:tr w:rsidR="00264744" w:rsidRPr="00264744" w14:paraId="7B412E57" w14:textId="77777777" w:rsidTr="00264744">
        <w:trPr>
          <w:trHeight w:val="345"/>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8FC1F33" w14:textId="77777777" w:rsidR="00264744" w:rsidRPr="00264744" w:rsidRDefault="00264744" w:rsidP="00264744">
            <w:pPr>
              <w:spacing w:after="0" w:line="240" w:lineRule="auto"/>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Hispanic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B45D41A" w14:textId="77777777" w:rsidR="00264744" w:rsidRPr="00264744" w:rsidRDefault="00264744" w:rsidP="00264744">
            <w:pPr>
              <w:spacing w:after="0" w:line="240" w:lineRule="auto"/>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456 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0E6A47E" w14:textId="77777777" w:rsidR="00264744" w:rsidRPr="00264744" w:rsidRDefault="00264744" w:rsidP="00264744">
            <w:pPr>
              <w:spacing w:after="0" w:line="240" w:lineRule="auto"/>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53.2 </w:t>
            </w:r>
          </w:p>
        </w:tc>
      </w:tr>
      <w:tr w:rsidR="00264744" w:rsidRPr="00264744" w14:paraId="5F65C4D2" w14:textId="77777777" w:rsidTr="00264744">
        <w:trPr>
          <w:trHeight w:val="345"/>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E9BC522" w14:textId="77777777" w:rsidR="00264744" w:rsidRPr="00264744" w:rsidRDefault="00264744" w:rsidP="00264744">
            <w:pPr>
              <w:spacing w:after="0" w:line="240" w:lineRule="auto"/>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lastRenderedPageBreak/>
              <w:t>Asian, non-Hispanic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8E650D8" w14:textId="77777777" w:rsidR="00264744" w:rsidRPr="00264744" w:rsidRDefault="00264744" w:rsidP="00264744">
            <w:pPr>
              <w:spacing w:after="0" w:line="240" w:lineRule="auto"/>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200 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6B81762" w14:textId="77777777" w:rsidR="00264744" w:rsidRPr="00264744" w:rsidRDefault="00264744" w:rsidP="00264744">
            <w:pPr>
              <w:spacing w:after="0" w:line="240" w:lineRule="auto"/>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40.0 </w:t>
            </w:r>
          </w:p>
        </w:tc>
      </w:tr>
      <w:tr w:rsidR="00264744" w:rsidRPr="00264744" w14:paraId="72EA403C" w14:textId="77777777" w:rsidTr="00264744">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E3C8B4C" w14:textId="77777777" w:rsidR="00264744" w:rsidRPr="00264744" w:rsidRDefault="00264744" w:rsidP="00264744">
            <w:pPr>
              <w:spacing w:after="0" w:line="240" w:lineRule="auto"/>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Native American/Alaskan Native, NH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3B8C8BC" w14:textId="77777777" w:rsidR="00264744" w:rsidRPr="00264744" w:rsidRDefault="00264744" w:rsidP="00264744">
            <w:pPr>
              <w:spacing w:after="0" w:line="240" w:lineRule="auto"/>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&lt;11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2F9C43D" w14:textId="77777777" w:rsidR="00264744" w:rsidRPr="00264744" w:rsidRDefault="00264744" w:rsidP="00264744">
            <w:pPr>
              <w:spacing w:after="0" w:line="240" w:lineRule="auto"/>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 </w:t>
            </w:r>
          </w:p>
        </w:tc>
      </w:tr>
    </w:tbl>
    <w:p w14:paraId="6A9356AC" w14:textId="6666BD0B" w:rsidR="00264744" w:rsidRDefault="00264744" w:rsidP="00964243">
      <w:pPr>
        <w:spacing w:after="0" w:line="240" w:lineRule="auto"/>
        <w:textAlignment w:val="baseline"/>
        <w:rPr>
          <w:rFonts w:ascii="Times New Roman" w:eastAsia="Times New Roman" w:hAnsi="Times New Roman" w:cs="Times New Roman"/>
          <w:sz w:val="24"/>
          <w:szCs w:val="24"/>
        </w:rPr>
      </w:pPr>
    </w:p>
    <w:p w14:paraId="5D63DE89" w14:textId="77777777" w:rsidR="001233DC" w:rsidRPr="00264744" w:rsidRDefault="001233DC" w:rsidP="001233DC">
      <w:pPr>
        <w:spacing w:after="0" w:line="240" w:lineRule="auto"/>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b/>
          <w:bCs/>
          <w:sz w:val="24"/>
          <w:szCs w:val="24"/>
        </w:rPr>
        <w:t>TBI Prevention Strategies</w:t>
      </w:r>
      <w:r w:rsidRPr="00264744">
        <w:rPr>
          <w:rFonts w:ascii="Times New Roman" w:eastAsia="Times New Roman" w:hAnsi="Times New Roman" w:cs="Times New Roman"/>
          <w:sz w:val="24"/>
          <w:szCs w:val="24"/>
        </w:rPr>
        <w:t> </w:t>
      </w:r>
    </w:p>
    <w:p w14:paraId="5B5D22F5" w14:textId="77777777" w:rsidR="001233DC" w:rsidRPr="00264744" w:rsidRDefault="001233DC" w:rsidP="001233DC">
      <w:pPr>
        <w:numPr>
          <w:ilvl w:val="0"/>
          <w:numId w:val="6"/>
        </w:numPr>
        <w:spacing w:after="0" w:line="240" w:lineRule="auto"/>
        <w:ind w:left="1080" w:firstLine="0"/>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CDCs National Center for Injury Prevention and Control (Injury Center) is committed to protecting people against preventable TBI by putting science into action.  </w:t>
      </w:r>
    </w:p>
    <w:p w14:paraId="1F12EE24" w14:textId="77777777" w:rsidR="001233DC" w:rsidRPr="00264744" w:rsidRDefault="001233DC" w:rsidP="001233DC">
      <w:pPr>
        <w:numPr>
          <w:ilvl w:val="0"/>
          <w:numId w:val="6"/>
        </w:numPr>
        <w:spacing w:after="0" w:line="240" w:lineRule="auto"/>
        <w:ind w:left="1080" w:firstLine="0"/>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To help older adults, make CDCs STEADI part of every medical practice.  </w:t>
      </w:r>
    </w:p>
    <w:p w14:paraId="3446AC74" w14:textId="77777777" w:rsidR="001233DC" w:rsidRPr="00264744" w:rsidRDefault="001233DC" w:rsidP="001233DC">
      <w:pPr>
        <w:numPr>
          <w:ilvl w:val="0"/>
          <w:numId w:val="6"/>
        </w:numPr>
        <w:spacing w:after="0" w:line="240" w:lineRule="auto"/>
        <w:ind w:left="1080" w:firstLine="0"/>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STEADI (Stopping Elderly Accidents, Deaths, and Injuries) is a toolkit to help health care providers incorporate fall risk assessment and individualized fall interventions (e.g., exercise, medication management, and Vitamin D supplementation) into their practice. Learn more at www.cdc.gov/STEADI.  </w:t>
      </w:r>
    </w:p>
    <w:p w14:paraId="16529BA9" w14:textId="77777777" w:rsidR="001233DC" w:rsidRPr="00264744" w:rsidRDefault="001233DC" w:rsidP="001233DC">
      <w:pPr>
        <w:numPr>
          <w:ilvl w:val="0"/>
          <w:numId w:val="7"/>
        </w:numPr>
        <w:spacing w:after="0" w:line="240" w:lineRule="auto"/>
        <w:ind w:left="1080" w:firstLine="0"/>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To help young athletes: get a HEADS UP on creating a culture of concussion safety in sports.   </w:t>
      </w:r>
    </w:p>
    <w:p w14:paraId="7A2A5ABD" w14:textId="77777777" w:rsidR="001233DC" w:rsidRPr="00264744" w:rsidRDefault="001233DC" w:rsidP="001233DC">
      <w:pPr>
        <w:numPr>
          <w:ilvl w:val="0"/>
          <w:numId w:val="7"/>
        </w:numPr>
        <w:spacing w:after="0" w:line="240" w:lineRule="auto"/>
        <w:ind w:left="1080" w:firstLine="0"/>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HEADS UP educational materials are designed to support individuals (such as coaches and health care providers) and organizations (such as schools and sports programs) with their concussion safety efforts. Learn more at. </w:t>
      </w:r>
    </w:p>
    <w:p w14:paraId="45E7F547" w14:textId="77777777" w:rsidR="001233DC" w:rsidRPr="00264744" w:rsidRDefault="001233DC" w:rsidP="001233DC">
      <w:pPr>
        <w:numPr>
          <w:ilvl w:val="0"/>
          <w:numId w:val="7"/>
        </w:numPr>
        <w:spacing w:after="0" w:line="240" w:lineRule="auto"/>
        <w:ind w:left="1080" w:firstLine="0"/>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To help parents and teen drivers: "Parents Are the Key" to Teen Driver Safety. </w:t>
      </w:r>
    </w:p>
    <w:p w14:paraId="6EB97EEE" w14:textId="77777777" w:rsidR="001233DC" w:rsidRPr="00964243" w:rsidRDefault="001233DC" w:rsidP="001233DC">
      <w:pPr>
        <w:numPr>
          <w:ilvl w:val="0"/>
          <w:numId w:val="7"/>
        </w:numPr>
        <w:spacing w:after="0" w:line="240" w:lineRule="auto"/>
        <w:ind w:left="1080" w:firstLine="0"/>
        <w:textAlignment w:val="baseline"/>
        <w:rPr>
          <w:rFonts w:ascii="Times New Roman" w:eastAsia="Times New Roman" w:hAnsi="Times New Roman" w:cs="Times New Roman"/>
          <w:sz w:val="24"/>
          <w:szCs w:val="24"/>
        </w:rPr>
      </w:pPr>
      <w:r w:rsidRPr="00264744">
        <w:rPr>
          <w:rFonts w:ascii="Times New Roman" w:eastAsia="Times New Roman" w:hAnsi="Times New Roman" w:cs="Times New Roman"/>
          <w:sz w:val="24"/>
          <w:szCs w:val="24"/>
        </w:rPr>
        <w:t xml:space="preserve">Parents Are the Key materials helps parents, pediatricians, and communities keep teen drivers safe on the road. Parents Are the Key </w:t>
      </w:r>
      <w:proofErr w:type="gramStart"/>
      <w:r w:rsidRPr="00264744">
        <w:rPr>
          <w:rFonts w:ascii="Times New Roman" w:eastAsia="Times New Roman" w:hAnsi="Times New Roman" w:cs="Times New Roman"/>
          <w:sz w:val="24"/>
          <w:szCs w:val="24"/>
        </w:rPr>
        <w:t>includes</w:t>
      </w:r>
      <w:proofErr w:type="gramEnd"/>
      <w:r w:rsidRPr="00264744">
        <w:rPr>
          <w:rFonts w:ascii="Times New Roman" w:eastAsia="Times New Roman" w:hAnsi="Times New Roman" w:cs="Times New Roman"/>
          <w:sz w:val="24"/>
          <w:szCs w:val="24"/>
        </w:rPr>
        <w:t xml:space="preserve"> evidence-based strategies and can be customized with an organizations logo. Learn more at </w:t>
      </w:r>
      <w:hyperlink r:id="rId9" w:tgtFrame="_blank" w:history="1">
        <w:r w:rsidRPr="00264744">
          <w:rPr>
            <w:rFonts w:ascii="Times New Roman" w:eastAsia="Times New Roman" w:hAnsi="Times New Roman" w:cs="Times New Roman"/>
            <w:color w:val="0563C1"/>
            <w:sz w:val="24"/>
            <w:szCs w:val="24"/>
            <w:u w:val="single"/>
          </w:rPr>
          <w:t>www.cdc.gov/ParentsAretheKey</w:t>
        </w:r>
      </w:hyperlink>
      <w:r w:rsidRPr="00264744">
        <w:rPr>
          <w:rFonts w:ascii="Times New Roman" w:eastAsia="Times New Roman" w:hAnsi="Times New Roman" w:cs="Times New Roman"/>
          <w:sz w:val="24"/>
          <w:szCs w:val="24"/>
        </w:rPr>
        <w:t>. </w:t>
      </w:r>
    </w:p>
    <w:p w14:paraId="7C8EB7AC" w14:textId="77777777" w:rsidR="004558D1" w:rsidRPr="004558D1" w:rsidRDefault="004558D1" w:rsidP="00964243">
      <w:pPr>
        <w:spacing w:after="0" w:line="240" w:lineRule="auto"/>
        <w:textAlignment w:val="baseline"/>
        <w:rPr>
          <w:sz w:val="24"/>
          <w:szCs w:val="24"/>
        </w:rPr>
      </w:pPr>
    </w:p>
    <w:p w14:paraId="0E6F42D7" w14:textId="7A53D13B" w:rsidR="001233DC" w:rsidRPr="001D6E5D" w:rsidRDefault="004558D1" w:rsidP="00964243">
      <w:pPr>
        <w:spacing w:after="0" w:line="240" w:lineRule="auto"/>
        <w:textAlignment w:val="baseline"/>
        <w:rPr>
          <w:rFonts w:ascii="Times New Roman" w:eastAsia="Times New Roman" w:hAnsi="Times New Roman" w:cs="Times New Roman"/>
          <w:i/>
          <w:iCs/>
          <w:sz w:val="24"/>
          <w:szCs w:val="24"/>
        </w:rPr>
      </w:pPr>
      <w:r w:rsidRPr="001D6E5D">
        <w:rPr>
          <w:rFonts w:ascii="Times New Roman" w:hAnsi="Times New Roman" w:cs="Times New Roman"/>
          <w:i/>
          <w:iCs/>
          <w:sz w:val="24"/>
          <w:szCs w:val="24"/>
        </w:rPr>
        <w:t>Additional notes: Total rates are age-adjusted per 100,000 MA residents, rates by age group and sex are age-specific rates, and rates by race and ethnicity are crude rates. Hospital Stays combine inpatient hospitalizations and observation stays. Observation stays are typically of short duration and include medical monitoring to assess whether a patient requires hospital admission. For methodology and definition, go to: https://resources.cste.org/Injury-Surveillance-Methods-Toolkit/Home/GeneralInjuryIndicators.</w:t>
      </w:r>
    </w:p>
    <w:sectPr w:rsidR="001233DC" w:rsidRPr="001D6E5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A309D" w14:textId="77777777" w:rsidR="00AC7BA5" w:rsidRDefault="00AC7BA5" w:rsidP="00964243">
      <w:pPr>
        <w:spacing w:after="0" w:line="240" w:lineRule="auto"/>
      </w:pPr>
      <w:r>
        <w:separator/>
      </w:r>
    </w:p>
  </w:endnote>
  <w:endnote w:type="continuationSeparator" w:id="0">
    <w:p w14:paraId="42AD1C6E" w14:textId="77777777" w:rsidR="00AC7BA5" w:rsidRDefault="00AC7BA5" w:rsidP="0096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326589"/>
      <w:docPartObj>
        <w:docPartGallery w:val="Page Numbers (Bottom of Page)"/>
        <w:docPartUnique/>
      </w:docPartObj>
    </w:sdtPr>
    <w:sdtEndPr>
      <w:rPr>
        <w:noProof/>
      </w:rPr>
    </w:sdtEndPr>
    <w:sdtContent>
      <w:p w14:paraId="5184495E" w14:textId="117D9CCD" w:rsidR="00964243" w:rsidRDefault="00964243" w:rsidP="00964243">
        <w:pPr>
          <w:pStyle w:val="Footer"/>
        </w:pPr>
        <w:r w:rsidRPr="00964243">
          <w:t>Massachusetts Department of Public Health, Injury Surveillance Program (https://www.mass.gov/injury-surveillance-program)</w:t>
        </w:r>
        <w:r>
          <w:t>.</w:t>
        </w:r>
        <w:r w:rsidRPr="00964243">
          <w:t xml:space="preserve"> October 2022</w:t>
        </w:r>
      </w:p>
      <w:p w14:paraId="235B92AE" w14:textId="65834CE7" w:rsidR="00964243" w:rsidRDefault="00964243" w:rsidP="009642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E7E1" w14:textId="77777777" w:rsidR="00AC7BA5" w:rsidRDefault="00AC7BA5" w:rsidP="00964243">
      <w:pPr>
        <w:spacing w:after="0" w:line="240" w:lineRule="auto"/>
      </w:pPr>
      <w:r>
        <w:separator/>
      </w:r>
    </w:p>
  </w:footnote>
  <w:footnote w:type="continuationSeparator" w:id="0">
    <w:p w14:paraId="0E847321" w14:textId="77777777" w:rsidR="00AC7BA5" w:rsidRDefault="00AC7BA5" w:rsidP="00964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F687" w14:textId="09060C83" w:rsidR="00964243" w:rsidRDefault="00964243">
    <w:pPr>
      <w:pStyle w:val="Header"/>
    </w:pPr>
    <w:r>
      <w:rPr>
        <w:b/>
        <w:bCs/>
        <w:sz w:val="32"/>
        <w:szCs w:val="32"/>
      </w:rPr>
      <w:t>Special Emphasis Report: Traumatic Brain Injury</w:t>
    </w:r>
  </w:p>
  <w:p w14:paraId="4654DEEE" w14:textId="77777777" w:rsidR="00964243" w:rsidRDefault="00964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4CD6"/>
    <w:multiLevelType w:val="multilevel"/>
    <w:tmpl w:val="FE82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403B04"/>
    <w:multiLevelType w:val="multilevel"/>
    <w:tmpl w:val="79E6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E75BAE"/>
    <w:multiLevelType w:val="multilevel"/>
    <w:tmpl w:val="D250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E541FF"/>
    <w:multiLevelType w:val="hybridMultilevel"/>
    <w:tmpl w:val="421E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C15F8"/>
    <w:multiLevelType w:val="hybridMultilevel"/>
    <w:tmpl w:val="3FA02F44"/>
    <w:lvl w:ilvl="0" w:tplc="5D6ECD66">
      <w:start w:val="89"/>
      <w:numFmt w:val="bullet"/>
      <w:lvlText w:val=""/>
      <w:lvlJc w:val="left"/>
      <w:pPr>
        <w:ind w:left="410" w:hanging="360"/>
      </w:pPr>
      <w:rPr>
        <w:rFonts w:ascii="Wingdings" w:eastAsiaTheme="minorHAnsi" w:hAnsi="Wingdings"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59350755"/>
    <w:multiLevelType w:val="hybridMultilevel"/>
    <w:tmpl w:val="C7DE3624"/>
    <w:lvl w:ilvl="0" w:tplc="62DAA544">
      <w:start w:val="89"/>
      <w:numFmt w:val="bullet"/>
      <w:lvlText w:val=""/>
      <w:lvlJc w:val="left"/>
      <w:pPr>
        <w:ind w:left="410" w:hanging="360"/>
      </w:pPr>
      <w:rPr>
        <w:rFonts w:ascii="Wingdings" w:eastAsiaTheme="minorHAnsi" w:hAnsi="Wingdings"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5E9D67DD"/>
    <w:multiLevelType w:val="multilevel"/>
    <w:tmpl w:val="9C34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B1192A"/>
    <w:multiLevelType w:val="multilevel"/>
    <w:tmpl w:val="2C40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5D0358"/>
    <w:multiLevelType w:val="hybridMultilevel"/>
    <w:tmpl w:val="C67A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5C1263"/>
    <w:multiLevelType w:val="multilevel"/>
    <w:tmpl w:val="025869A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16cid:durableId="1847548175">
    <w:abstractNumId w:val="5"/>
  </w:num>
  <w:num w:numId="2" w16cid:durableId="46270393">
    <w:abstractNumId w:val="4"/>
  </w:num>
  <w:num w:numId="3" w16cid:durableId="1497914460">
    <w:abstractNumId w:val="9"/>
  </w:num>
  <w:num w:numId="4" w16cid:durableId="942107821">
    <w:abstractNumId w:val="7"/>
  </w:num>
  <w:num w:numId="5" w16cid:durableId="966936380">
    <w:abstractNumId w:val="0"/>
  </w:num>
  <w:num w:numId="6" w16cid:durableId="1924558791">
    <w:abstractNumId w:val="1"/>
  </w:num>
  <w:num w:numId="7" w16cid:durableId="2146384670">
    <w:abstractNumId w:val="2"/>
  </w:num>
  <w:num w:numId="8" w16cid:durableId="598022000">
    <w:abstractNumId w:val="6"/>
  </w:num>
  <w:num w:numId="9" w16cid:durableId="667906379">
    <w:abstractNumId w:val="8"/>
  </w:num>
  <w:num w:numId="10" w16cid:durableId="979263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F5"/>
    <w:rsid w:val="00001542"/>
    <w:rsid w:val="00014F9C"/>
    <w:rsid w:val="000410D1"/>
    <w:rsid w:val="000616B5"/>
    <w:rsid w:val="00074A35"/>
    <w:rsid w:val="000A359A"/>
    <w:rsid w:val="00100503"/>
    <w:rsid w:val="001233DC"/>
    <w:rsid w:val="0015164B"/>
    <w:rsid w:val="001520BE"/>
    <w:rsid w:val="00164DCF"/>
    <w:rsid w:val="00167687"/>
    <w:rsid w:val="001D50D9"/>
    <w:rsid w:val="001D6E5D"/>
    <w:rsid w:val="001E1716"/>
    <w:rsid w:val="001F5BF4"/>
    <w:rsid w:val="002329BB"/>
    <w:rsid w:val="00251447"/>
    <w:rsid w:val="00264744"/>
    <w:rsid w:val="002F6077"/>
    <w:rsid w:val="00345288"/>
    <w:rsid w:val="003928A8"/>
    <w:rsid w:val="00396222"/>
    <w:rsid w:val="003C7AE7"/>
    <w:rsid w:val="0040787C"/>
    <w:rsid w:val="004558D1"/>
    <w:rsid w:val="0048066F"/>
    <w:rsid w:val="00485870"/>
    <w:rsid w:val="0051798A"/>
    <w:rsid w:val="00584F9B"/>
    <w:rsid w:val="005B00DA"/>
    <w:rsid w:val="005B7E85"/>
    <w:rsid w:val="0061305F"/>
    <w:rsid w:val="007554F5"/>
    <w:rsid w:val="00771077"/>
    <w:rsid w:val="007C3534"/>
    <w:rsid w:val="007C40A9"/>
    <w:rsid w:val="0080609A"/>
    <w:rsid w:val="0084662E"/>
    <w:rsid w:val="008A2E7A"/>
    <w:rsid w:val="008A405F"/>
    <w:rsid w:val="009041E4"/>
    <w:rsid w:val="00964243"/>
    <w:rsid w:val="009E176C"/>
    <w:rsid w:val="009E3759"/>
    <w:rsid w:val="00A1260F"/>
    <w:rsid w:val="00A16E3D"/>
    <w:rsid w:val="00A3445A"/>
    <w:rsid w:val="00A43CE4"/>
    <w:rsid w:val="00A43E7F"/>
    <w:rsid w:val="00AA5371"/>
    <w:rsid w:val="00AB7E9B"/>
    <w:rsid w:val="00AC3AE8"/>
    <w:rsid w:val="00AC4467"/>
    <w:rsid w:val="00AC7BA5"/>
    <w:rsid w:val="00B1444A"/>
    <w:rsid w:val="00B6129B"/>
    <w:rsid w:val="00B65518"/>
    <w:rsid w:val="00B96D9D"/>
    <w:rsid w:val="00BE43B7"/>
    <w:rsid w:val="00C52C64"/>
    <w:rsid w:val="00C57DEC"/>
    <w:rsid w:val="00C61FB4"/>
    <w:rsid w:val="00CD6571"/>
    <w:rsid w:val="00D036A0"/>
    <w:rsid w:val="00D356F7"/>
    <w:rsid w:val="00DA06FF"/>
    <w:rsid w:val="00DA2FB9"/>
    <w:rsid w:val="00DC7ADD"/>
    <w:rsid w:val="00E37FE2"/>
    <w:rsid w:val="00F117F9"/>
    <w:rsid w:val="00F14013"/>
    <w:rsid w:val="00F23408"/>
    <w:rsid w:val="00F82BB4"/>
    <w:rsid w:val="00F925CF"/>
    <w:rsid w:val="00FA413C"/>
    <w:rsid w:val="00FB27E2"/>
    <w:rsid w:val="00FF14A7"/>
    <w:rsid w:val="00FF7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15A5"/>
  <w15:chartTrackingRefBased/>
  <w15:docId w15:val="{4A4B4EDB-A1F5-431A-8C4C-EB8A5428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1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077"/>
    <w:pPr>
      <w:ind w:left="720"/>
      <w:contextualSpacing/>
    </w:pPr>
  </w:style>
  <w:style w:type="paragraph" w:customStyle="1" w:styleId="paragraph">
    <w:name w:val="paragraph"/>
    <w:basedOn w:val="Normal"/>
    <w:rsid w:val="002647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64744"/>
  </w:style>
  <w:style w:type="character" w:customStyle="1" w:styleId="eop">
    <w:name w:val="eop"/>
    <w:basedOn w:val="DefaultParagraphFont"/>
    <w:rsid w:val="00264744"/>
  </w:style>
  <w:style w:type="character" w:customStyle="1" w:styleId="contextualspellingandgrammarerror">
    <w:name w:val="contextualspellingandgrammarerror"/>
    <w:basedOn w:val="DefaultParagraphFont"/>
    <w:rsid w:val="00264744"/>
  </w:style>
  <w:style w:type="paragraph" w:styleId="Header">
    <w:name w:val="header"/>
    <w:basedOn w:val="Normal"/>
    <w:link w:val="HeaderChar"/>
    <w:uiPriority w:val="99"/>
    <w:unhideWhenUsed/>
    <w:rsid w:val="00964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243"/>
  </w:style>
  <w:style w:type="paragraph" w:styleId="Footer">
    <w:name w:val="footer"/>
    <w:basedOn w:val="Normal"/>
    <w:link w:val="FooterChar"/>
    <w:uiPriority w:val="99"/>
    <w:unhideWhenUsed/>
    <w:rsid w:val="00964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243"/>
  </w:style>
  <w:style w:type="character" w:styleId="CommentReference">
    <w:name w:val="annotation reference"/>
    <w:basedOn w:val="DefaultParagraphFont"/>
    <w:uiPriority w:val="99"/>
    <w:semiHidden/>
    <w:unhideWhenUsed/>
    <w:rsid w:val="00B6129B"/>
    <w:rPr>
      <w:sz w:val="16"/>
      <w:szCs w:val="16"/>
    </w:rPr>
  </w:style>
  <w:style w:type="paragraph" w:styleId="CommentText">
    <w:name w:val="annotation text"/>
    <w:basedOn w:val="Normal"/>
    <w:link w:val="CommentTextChar"/>
    <w:uiPriority w:val="99"/>
    <w:semiHidden/>
    <w:unhideWhenUsed/>
    <w:rsid w:val="00B6129B"/>
    <w:pPr>
      <w:spacing w:line="240" w:lineRule="auto"/>
    </w:pPr>
    <w:rPr>
      <w:sz w:val="20"/>
      <w:szCs w:val="20"/>
    </w:rPr>
  </w:style>
  <w:style w:type="character" w:customStyle="1" w:styleId="CommentTextChar">
    <w:name w:val="Comment Text Char"/>
    <w:basedOn w:val="DefaultParagraphFont"/>
    <w:link w:val="CommentText"/>
    <w:uiPriority w:val="99"/>
    <w:semiHidden/>
    <w:rsid w:val="00B6129B"/>
    <w:rPr>
      <w:sz w:val="20"/>
      <w:szCs w:val="20"/>
    </w:rPr>
  </w:style>
  <w:style w:type="paragraph" w:styleId="CommentSubject">
    <w:name w:val="annotation subject"/>
    <w:basedOn w:val="CommentText"/>
    <w:next w:val="CommentText"/>
    <w:link w:val="CommentSubjectChar"/>
    <w:uiPriority w:val="99"/>
    <w:semiHidden/>
    <w:unhideWhenUsed/>
    <w:rsid w:val="00B6129B"/>
    <w:rPr>
      <w:b/>
      <w:bCs/>
    </w:rPr>
  </w:style>
  <w:style w:type="character" w:customStyle="1" w:styleId="CommentSubjectChar">
    <w:name w:val="Comment Subject Char"/>
    <w:basedOn w:val="CommentTextChar"/>
    <w:link w:val="CommentSubject"/>
    <w:uiPriority w:val="99"/>
    <w:semiHidden/>
    <w:rsid w:val="00B612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0436">
      <w:bodyDiv w:val="1"/>
      <w:marLeft w:val="0"/>
      <w:marRight w:val="0"/>
      <w:marTop w:val="0"/>
      <w:marBottom w:val="0"/>
      <w:divBdr>
        <w:top w:val="none" w:sz="0" w:space="0" w:color="auto"/>
        <w:left w:val="none" w:sz="0" w:space="0" w:color="auto"/>
        <w:bottom w:val="none" w:sz="0" w:space="0" w:color="auto"/>
        <w:right w:val="none" w:sz="0" w:space="0" w:color="auto"/>
      </w:divBdr>
    </w:div>
    <w:div w:id="383674931">
      <w:bodyDiv w:val="1"/>
      <w:marLeft w:val="0"/>
      <w:marRight w:val="0"/>
      <w:marTop w:val="0"/>
      <w:marBottom w:val="0"/>
      <w:divBdr>
        <w:top w:val="none" w:sz="0" w:space="0" w:color="auto"/>
        <w:left w:val="none" w:sz="0" w:space="0" w:color="auto"/>
        <w:bottom w:val="none" w:sz="0" w:space="0" w:color="auto"/>
        <w:right w:val="none" w:sz="0" w:space="0" w:color="auto"/>
      </w:divBdr>
    </w:div>
    <w:div w:id="476459076">
      <w:bodyDiv w:val="1"/>
      <w:marLeft w:val="0"/>
      <w:marRight w:val="0"/>
      <w:marTop w:val="0"/>
      <w:marBottom w:val="0"/>
      <w:divBdr>
        <w:top w:val="none" w:sz="0" w:space="0" w:color="auto"/>
        <w:left w:val="none" w:sz="0" w:space="0" w:color="auto"/>
        <w:bottom w:val="none" w:sz="0" w:space="0" w:color="auto"/>
        <w:right w:val="none" w:sz="0" w:space="0" w:color="auto"/>
      </w:divBdr>
      <w:divsChild>
        <w:div w:id="1281716917">
          <w:marLeft w:val="0"/>
          <w:marRight w:val="0"/>
          <w:marTop w:val="0"/>
          <w:marBottom w:val="0"/>
          <w:divBdr>
            <w:top w:val="none" w:sz="0" w:space="0" w:color="auto"/>
            <w:left w:val="none" w:sz="0" w:space="0" w:color="auto"/>
            <w:bottom w:val="none" w:sz="0" w:space="0" w:color="auto"/>
            <w:right w:val="none" w:sz="0" w:space="0" w:color="auto"/>
          </w:divBdr>
          <w:divsChild>
            <w:div w:id="694116166">
              <w:marLeft w:val="0"/>
              <w:marRight w:val="0"/>
              <w:marTop w:val="0"/>
              <w:marBottom w:val="0"/>
              <w:divBdr>
                <w:top w:val="none" w:sz="0" w:space="0" w:color="auto"/>
                <w:left w:val="none" w:sz="0" w:space="0" w:color="auto"/>
                <w:bottom w:val="none" w:sz="0" w:space="0" w:color="auto"/>
                <w:right w:val="none" w:sz="0" w:space="0" w:color="auto"/>
              </w:divBdr>
            </w:div>
            <w:div w:id="1647128221">
              <w:marLeft w:val="0"/>
              <w:marRight w:val="0"/>
              <w:marTop w:val="0"/>
              <w:marBottom w:val="0"/>
              <w:divBdr>
                <w:top w:val="none" w:sz="0" w:space="0" w:color="auto"/>
                <w:left w:val="none" w:sz="0" w:space="0" w:color="auto"/>
                <w:bottom w:val="none" w:sz="0" w:space="0" w:color="auto"/>
                <w:right w:val="none" w:sz="0" w:space="0" w:color="auto"/>
              </w:divBdr>
            </w:div>
          </w:divsChild>
        </w:div>
        <w:div w:id="1803379081">
          <w:marLeft w:val="0"/>
          <w:marRight w:val="0"/>
          <w:marTop w:val="0"/>
          <w:marBottom w:val="0"/>
          <w:divBdr>
            <w:top w:val="none" w:sz="0" w:space="0" w:color="auto"/>
            <w:left w:val="none" w:sz="0" w:space="0" w:color="auto"/>
            <w:bottom w:val="none" w:sz="0" w:space="0" w:color="auto"/>
            <w:right w:val="none" w:sz="0" w:space="0" w:color="auto"/>
          </w:divBdr>
          <w:divsChild>
            <w:div w:id="1890189945">
              <w:marLeft w:val="0"/>
              <w:marRight w:val="0"/>
              <w:marTop w:val="0"/>
              <w:marBottom w:val="0"/>
              <w:divBdr>
                <w:top w:val="none" w:sz="0" w:space="0" w:color="auto"/>
                <w:left w:val="none" w:sz="0" w:space="0" w:color="auto"/>
                <w:bottom w:val="none" w:sz="0" w:space="0" w:color="auto"/>
                <w:right w:val="none" w:sz="0" w:space="0" w:color="auto"/>
              </w:divBdr>
            </w:div>
            <w:div w:id="1707870058">
              <w:marLeft w:val="0"/>
              <w:marRight w:val="0"/>
              <w:marTop w:val="0"/>
              <w:marBottom w:val="0"/>
              <w:divBdr>
                <w:top w:val="none" w:sz="0" w:space="0" w:color="auto"/>
                <w:left w:val="none" w:sz="0" w:space="0" w:color="auto"/>
                <w:bottom w:val="none" w:sz="0" w:space="0" w:color="auto"/>
                <w:right w:val="none" w:sz="0" w:space="0" w:color="auto"/>
              </w:divBdr>
            </w:div>
          </w:divsChild>
        </w:div>
        <w:div w:id="876629044">
          <w:marLeft w:val="0"/>
          <w:marRight w:val="0"/>
          <w:marTop w:val="0"/>
          <w:marBottom w:val="0"/>
          <w:divBdr>
            <w:top w:val="none" w:sz="0" w:space="0" w:color="auto"/>
            <w:left w:val="none" w:sz="0" w:space="0" w:color="auto"/>
            <w:bottom w:val="none" w:sz="0" w:space="0" w:color="auto"/>
            <w:right w:val="none" w:sz="0" w:space="0" w:color="auto"/>
          </w:divBdr>
          <w:divsChild>
            <w:div w:id="2001422610">
              <w:marLeft w:val="0"/>
              <w:marRight w:val="0"/>
              <w:marTop w:val="0"/>
              <w:marBottom w:val="0"/>
              <w:divBdr>
                <w:top w:val="none" w:sz="0" w:space="0" w:color="auto"/>
                <w:left w:val="none" w:sz="0" w:space="0" w:color="auto"/>
                <w:bottom w:val="none" w:sz="0" w:space="0" w:color="auto"/>
                <w:right w:val="none" w:sz="0" w:space="0" w:color="auto"/>
              </w:divBdr>
            </w:div>
            <w:div w:id="1667244604">
              <w:marLeft w:val="0"/>
              <w:marRight w:val="0"/>
              <w:marTop w:val="0"/>
              <w:marBottom w:val="0"/>
              <w:divBdr>
                <w:top w:val="none" w:sz="0" w:space="0" w:color="auto"/>
                <w:left w:val="none" w:sz="0" w:space="0" w:color="auto"/>
                <w:bottom w:val="none" w:sz="0" w:space="0" w:color="auto"/>
                <w:right w:val="none" w:sz="0" w:space="0" w:color="auto"/>
              </w:divBdr>
            </w:div>
            <w:div w:id="313335494">
              <w:marLeft w:val="0"/>
              <w:marRight w:val="0"/>
              <w:marTop w:val="0"/>
              <w:marBottom w:val="0"/>
              <w:divBdr>
                <w:top w:val="none" w:sz="0" w:space="0" w:color="auto"/>
                <w:left w:val="none" w:sz="0" w:space="0" w:color="auto"/>
                <w:bottom w:val="none" w:sz="0" w:space="0" w:color="auto"/>
                <w:right w:val="none" w:sz="0" w:space="0" w:color="auto"/>
              </w:divBdr>
            </w:div>
          </w:divsChild>
        </w:div>
        <w:div w:id="1647129670">
          <w:marLeft w:val="0"/>
          <w:marRight w:val="0"/>
          <w:marTop w:val="0"/>
          <w:marBottom w:val="0"/>
          <w:divBdr>
            <w:top w:val="none" w:sz="0" w:space="0" w:color="auto"/>
            <w:left w:val="none" w:sz="0" w:space="0" w:color="auto"/>
            <w:bottom w:val="none" w:sz="0" w:space="0" w:color="auto"/>
            <w:right w:val="none" w:sz="0" w:space="0" w:color="auto"/>
          </w:divBdr>
          <w:divsChild>
            <w:div w:id="1187406010">
              <w:marLeft w:val="-75"/>
              <w:marRight w:val="0"/>
              <w:marTop w:val="30"/>
              <w:marBottom w:val="30"/>
              <w:divBdr>
                <w:top w:val="none" w:sz="0" w:space="0" w:color="auto"/>
                <w:left w:val="none" w:sz="0" w:space="0" w:color="auto"/>
                <w:bottom w:val="none" w:sz="0" w:space="0" w:color="auto"/>
                <w:right w:val="none" w:sz="0" w:space="0" w:color="auto"/>
              </w:divBdr>
              <w:divsChild>
                <w:div w:id="1535730549">
                  <w:marLeft w:val="0"/>
                  <w:marRight w:val="0"/>
                  <w:marTop w:val="0"/>
                  <w:marBottom w:val="0"/>
                  <w:divBdr>
                    <w:top w:val="none" w:sz="0" w:space="0" w:color="auto"/>
                    <w:left w:val="none" w:sz="0" w:space="0" w:color="auto"/>
                    <w:bottom w:val="none" w:sz="0" w:space="0" w:color="auto"/>
                    <w:right w:val="none" w:sz="0" w:space="0" w:color="auto"/>
                  </w:divBdr>
                  <w:divsChild>
                    <w:div w:id="2009751774">
                      <w:marLeft w:val="0"/>
                      <w:marRight w:val="0"/>
                      <w:marTop w:val="0"/>
                      <w:marBottom w:val="0"/>
                      <w:divBdr>
                        <w:top w:val="none" w:sz="0" w:space="0" w:color="auto"/>
                        <w:left w:val="none" w:sz="0" w:space="0" w:color="auto"/>
                        <w:bottom w:val="none" w:sz="0" w:space="0" w:color="auto"/>
                        <w:right w:val="none" w:sz="0" w:space="0" w:color="auto"/>
                      </w:divBdr>
                    </w:div>
                  </w:divsChild>
                </w:div>
                <w:div w:id="1684044308">
                  <w:marLeft w:val="0"/>
                  <w:marRight w:val="0"/>
                  <w:marTop w:val="0"/>
                  <w:marBottom w:val="0"/>
                  <w:divBdr>
                    <w:top w:val="none" w:sz="0" w:space="0" w:color="auto"/>
                    <w:left w:val="none" w:sz="0" w:space="0" w:color="auto"/>
                    <w:bottom w:val="none" w:sz="0" w:space="0" w:color="auto"/>
                    <w:right w:val="none" w:sz="0" w:space="0" w:color="auto"/>
                  </w:divBdr>
                  <w:divsChild>
                    <w:div w:id="404962531">
                      <w:marLeft w:val="0"/>
                      <w:marRight w:val="0"/>
                      <w:marTop w:val="0"/>
                      <w:marBottom w:val="0"/>
                      <w:divBdr>
                        <w:top w:val="none" w:sz="0" w:space="0" w:color="auto"/>
                        <w:left w:val="none" w:sz="0" w:space="0" w:color="auto"/>
                        <w:bottom w:val="none" w:sz="0" w:space="0" w:color="auto"/>
                        <w:right w:val="none" w:sz="0" w:space="0" w:color="auto"/>
                      </w:divBdr>
                    </w:div>
                  </w:divsChild>
                </w:div>
                <w:div w:id="2053184544">
                  <w:marLeft w:val="0"/>
                  <w:marRight w:val="0"/>
                  <w:marTop w:val="0"/>
                  <w:marBottom w:val="0"/>
                  <w:divBdr>
                    <w:top w:val="none" w:sz="0" w:space="0" w:color="auto"/>
                    <w:left w:val="none" w:sz="0" w:space="0" w:color="auto"/>
                    <w:bottom w:val="none" w:sz="0" w:space="0" w:color="auto"/>
                    <w:right w:val="none" w:sz="0" w:space="0" w:color="auto"/>
                  </w:divBdr>
                  <w:divsChild>
                    <w:div w:id="2091194990">
                      <w:marLeft w:val="0"/>
                      <w:marRight w:val="0"/>
                      <w:marTop w:val="0"/>
                      <w:marBottom w:val="0"/>
                      <w:divBdr>
                        <w:top w:val="none" w:sz="0" w:space="0" w:color="auto"/>
                        <w:left w:val="none" w:sz="0" w:space="0" w:color="auto"/>
                        <w:bottom w:val="none" w:sz="0" w:space="0" w:color="auto"/>
                        <w:right w:val="none" w:sz="0" w:space="0" w:color="auto"/>
                      </w:divBdr>
                    </w:div>
                  </w:divsChild>
                </w:div>
                <w:div w:id="831601453">
                  <w:marLeft w:val="0"/>
                  <w:marRight w:val="0"/>
                  <w:marTop w:val="0"/>
                  <w:marBottom w:val="0"/>
                  <w:divBdr>
                    <w:top w:val="none" w:sz="0" w:space="0" w:color="auto"/>
                    <w:left w:val="none" w:sz="0" w:space="0" w:color="auto"/>
                    <w:bottom w:val="none" w:sz="0" w:space="0" w:color="auto"/>
                    <w:right w:val="none" w:sz="0" w:space="0" w:color="auto"/>
                  </w:divBdr>
                  <w:divsChild>
                    <w:div w:id="145367337">
                      <w:marLeft w:val="0"/>
                      <w:marRight w:val="0"/>
                      <w:marTop w:val="0"/>
                      <w:marBottom w:val="0"/>
                      <w:divBdr>
                        <w:top w:val="none" w:sz="0" w:space="0" w:color="auto"/>
                        <w:left w:val="none" w:sz="0" w:space="0" w:color="auto"/>
                        <w:bottom w:val="none" w:sz="0" w:space="0" w:color="auto"/>
                        <w:right w:val="none" w:sz="0" w:space="0" w:color="auto"/>
                      </w:divBdr>
                    </w:div>
                  </w:divsChild>
                </w:div>
                <w:div w:id="68582683">
                  <w:marLeft w:val="0"/>
                  <w:marRight w:val="0"/>
                  <w:marTop w:val="0"/>
                  <w:marBottom w:val="0"/>
                  <w:divBdr>
                    <w:top w:val="none" w:sz="0" w:space="0" w:color="auto"/>
                    <w:left w:val="none" w:sz="0" w:space="0" w:color="auto"/>
                    <w:bottom w:val="none" w:sz="0" w:space="0" w:color="auto"/>
                    <w:right w:val="none" w:sz="0" w:space="0" w:color="auto"/>
                  </w:divBdr>
                  <w:divsChild>
                    <w:div w:id="1270772484">
                      <w:marLeft w:val="0"/>
                      <w:marRight w:val="0"/>
                      <w:marTop w:val="0"/>
                      <w:marBottom w:val="0"/>
                      <w:divBdr>
                        <w:top w:val="none" w:sz="0" w:space="0" w:color="auto"/>
                        <w:left w:val="none" w:sz="0" w:space="0" w:color="auto"/>
                        <w:bottom w:val="none" w:sz="0" w:space="0" w:color="auto"/>
                        <w:right w:val="none" w:sz="0" w:space="0" w:color="auto"/>
                      </w:divBdr>
                    </w:div>
                  </w:divsChild>
                </w:div>
                <w:div w:id="1256088513">
                  <w:marLeft w:val="0"/>
                  <w:marRight w:val="0"/>
                  <w:marTop w:val="0"/>
                  <w:marBottom w:val="0"/>
                  <w:divBdr>
                    <w:top w:val="none" w:sz="0" w:space="0" w:color="auto"/>
                    <w:left w:val="none" w:sz="0" w:space="0" w:color="auto"/>
                    <w:bottom w:val="none" w:sz="0" w:space="0" w:color="auto"/>
                    <w:right w:val="none" w:sz="0" w:space="0" w:color="auto"/>
                  </w:divBdr>
                  <w:divsChild>
                    <w:div w:id="471295202">
                      <w:marLeft w:val="0"/>
                      <w:marRight w:val="0"/>
                      <w:marTop w:val="0"/>
                      <w:marBottom w:val="0"/>
                      <w:divBdr>
                        <w:top w:val="none" w:sz="0" w:space="0" w:color="auto"/>
                        <w:left w:val="none" w:sz="0" w:space="0" w:color="auto"/>
                        <w:bottom w:val="none" w:sz="0" w:space="0" w:color="auto"/>
                        <w:right w:val="none" w:sz="0" w:space="0" w:color="auto"/>
                      </w:divBdr>
                    </w:div>
                  </w:divsChild>
                </w:div>
                <w:div w:id="633828968">
                  <w:marLeft w:val="0"/>
                  <w:marRight w:val="0"/>
                  <w:marTop w:val="0"/>
                  <w:marBottom w:val="0"/>
                  <w:divBdr>
                    <w:top w:val="none" w:sz="0" w:space="0" w:color="auto"/>
                    <w:left w:val="none" w:sz="0" w:space="0" w:color="auto"/>
                    <w:bottom w:val="none" w:sz="0" w:space="0" w:color="auto"/>
                    <w:right w:val="none" w:sz="0" w:space="0" w:color="auto"/>
                  </w:divBdr>
                  <w:divsChild>
                    <w:div w:id="2060593626">
                      <w:marLeft w:val="0"/>
                      <w:marRight w:val="0"/>
                      <w:marTop w:val="0"/>
                      <w:marBottom w:val="0"/>
                      <w:divBdr>
                        <w:top w:val="none" w:sz="0" w:space="0" w:color="auto"/>
                        <w:left w:val="none" w:sz="0" w:space="0" w:color="auto"/>
                        <w:bottom w:val="none" w:sz="0" w:space="0" w:color="auto"/>
                        <w:right w:val="none" w:sz="0" w:space="0" w:color="auto"/>
                      </w:divBdr>
                    </w:div>
                  </w:divsChild>
                </w:div>
                <w:div w:id="1155413464">
                  <w:marLeft w:val="0"/>
                  <w:marRight w:val="0"/>
                  <w:marTop w:val="0"/>
                  <w:marBottom w:val="0"/>
                  <w:divBdr>
                    <w:top w:val="none" w:sz="0" w:space="0" w:color="auto"/>
                    <w:left w:val="none" w:sz="0" w:space="0" w:color="auto"/>
                    <w:bottom w:val="none" w:sz="0" w:space="0" w:color="auto"/>
                    <w:right w:val="none" w:sz="0" w:space="0" w:color="auto"/>
                  </w:divBdr>
                  <w:divsChild>
                    <w:div w:id="521479492">
                      <w:marLeft w:val="0"/>
                      <w:marRight w:val="0"/>
                      <w:marTop w:val="0"/>
                      <w:marBottom w:val="0"/>
                      <w:divBdr>
                        <w:top w:val="none" w:sz="0" w:space="0" w:color="auto"/>
                        <w:left w:val="none" w:sz="0" w:space="0" w:color="auto"/>
                        <w:bottom w:val="none" w:sz="0" w:space="0" w:color="auto"/>
                        <w:right w:val="none" w:sz="0" w:space="0" w:color="auto"/>
                      </w:divBdr>
                    </w:div>
                  </w:divsChild>
                </w:div>
                <w:div w:id="316686699">
                  <w:marLeft w:val="0"/>
                  <w:marRight w:val="0"/>
                  <w:marTop w:val="0"/>
                  <w:marBottom w:val="0"/>
                  <w:divBdr>
                    <w:top w:val="none" w:sz="0" w:space="0" w:color="auto"/>
                    <w:left w:val="none" w:sz="0" w:space="0" w:color="auto"/>
                    <w:bottom w:val="none" w:sz="0" w:space="0" w:color="auto"/>
                    <w:right w:val="none" w:sz="0" w:space="0" w:color="auto"/>
                  </w:divBdr>
                  <w:divsChild>
                    <w:div w:id="698241490">
                      <w:marLeft w:val="0"/>
                      <w:marRight w:val="0"/>
                      <w:marTop w:val="0"/>
                      <w:marBottom w:val="0"/>
                      <w:divBdr>
                        <w:top w:val="none" w:sz="0" w:space="0" w:color="auto"/>
                        <w:left w:val="none" w:sz="0" w:space="0" w:color="auto"/>
                        <w:bottom w:val="none" w:sz="0" w:space="0" w:color="auto"/>
                        <w:right w:val="none" w:sz="0" w:space="0" w:color="auto"/>
                      </w:divBdr>
                    </w:div>
                  </w:divsChild>
                </w:div>
                <w:div w:id="604311234">
                  <w:marLeft w:val="0"/>
                  <w:marRight w:val="0"/>
                  <w:marTop w:val="0"/>
                  <w:marBottom w:val="0"/>
                  <w:divBdr>
                    <w:top w:val="none" w:sz="0" w:space="0" w:color="auto"/>
                    <w:left w:val="none" w:sz="0" w:space="0" w:color="auto"/>
                    <w:bottom w:val="none" w:sz="0" w:space="0" w:color="auto"/>
                    <w:right w:val="none" w:sz="0" w:space="0" w:color="auto"/>
                  </w:divBdr>
                  <w:divsChild>
                    <w:div w:id="1182821805">
                      <w:marLeft w:val="0"/>
                      <w:marRight w:val="0"/>
                      <w:marTop w:val="0"/>
                      <w:marBottom w:val="0"/>
                      <w:divBdr>
                        <w:top w:val="none" w:sz="0" w:space="0" w:color="auto"/>
                        <w:left w:val="none" w:sz="0" w:space="0" w:color="auto"/>
                        <w:bottom w:val="none" w:sz="0" w:space="0" w:color="auto"/>
                        <w:right w:val="none" w:sz="0" w:space="0" w:color="auto"/>
                      </w:divBdr>
                    </w:div>
                  </w:divsChild>
                </w:div>
                <w:div w:id="1798523439">
                  <w:marLeft w:val="0"/>
                  <w:marRight w:val="0"/>
                  <w:marTop w:val="0"/>
                  <w:marBottom w:val="0"/>
                  <w:divBdr>
                    <w:top w:val="none" w:sz="0" w:space="0" w:color="auto"/>
                    <w:left w:val="none" w:sz="0" w:space="0" w:color="auto"/>
                    <w:bottom w:val="none" w:sz="0" w:space="0" w:color="auto"/>
                    <w:right w:val="none" w:sz="0" w:space="0" w:color="auto"/>
                  </w:divBdr>
                  <w:divsChild>
                    <w:div w:id="800076689">
                      <w:marLeft w:val="0"/>
                      <w:marRight w:val="0"/>
                      <w:marTop w:val="0"/>
                      <w:marBottom w:val="0"/>
                      <w:divBdr>
                        <w:top w:val="none" w:sz="0" w:space="0" w:color="auto"/>
                        <w:left w:val="none" w:sz="0" w:space="0" w:color="auto"/>
                        <w:bottom w:val="none" w:sz="0" w:space="0" w:color="auto"/>
                        <w:right w:val="none" w:sz="0" w:space="0" w:color="auto"/>
                      </w:divBdr>
                    </w:div>
                  </w:divsChild>
                </w:div>
                <w:div w:id="1370300561">
                  <w:marLeft w:val="0"/>
                  <w:marRight w:val="0"/>
                  <w:marTop w:val="0"/>
                  <w:marBottom w:val="0"/>
                  <w:divBdr>
                    <w:top w:val="none" w:sz="0" w:space="0" w:color="auto"/>
                    <w:left w:val="none" w:sz="0" w:space="0" w:color="auto"/>
                    <w:bottom w:val="none" w:sz="0" w:space="0" w:color="auto"/>
                    <w:right w:val="none" w:sz="0" w:space="0" w:color="auto"/>
                  </w:divBdr>
                  <w:divsChild>
                    <w:div w:id="2099254676">
                      <w:marLeft w:val="0"/>
                      <w:marRight w:val="0"/>
                      <w:marTop w:val="0"/>
                      <w:marBottom w:val="0"/>
                      <w:divBdr>
                        <w:top w:val="none" w:sz="0" w:space="0" w:color="auto"/>
                        <w:left w:val="none" w:sz="0" w:space="0" w:color="auto"/>
                        <w:bottom w:val="none" w:sz="0" w:space="0" w:color="auto"/>
                        <w:right w:val="none" w:sz="0" w:space="0" w:color="auto"/>
                      </w:divBdr>
                    </w:div>
                  </w:divsChild>
                </w:div>
                <w:div w:id="772822799">
                  <w:marLeft w:val="0"/>
                  <w:marRight w:val="0"/>
                  <w:marTop w:val="0"/>
                  <w:marBottom w:val="0"/>
                  <w:divBdr>
                    <w:top w:val="none" w:sz="0" w:space="0" w:color="auto"/>
                    <w:left w:val="none" w:sz="0" w:space="0" w:color="auto"/>
                    <w:bottom w:val="none" w:sz="0" w:space="0" w:color="auto"/>
                    <w:right w:val="none" w:sz="0" w:space="0" w:color="auto"/>
                  </w:divBdr>
                  <w:divsChild>
                    <w:div w:id="1524131535">
                      <w:marLeft w:val="0"/>
                      <w:marRight w:val="0"/>
                      <w:marTop w:val="0"/>
                      <w:marBottom w:val="0"/>
                      <w:divBdr>
                        <w:top w:val="none" w:sz="0" w:space="0" w:color="auto"/>
                        <w:left w:val="none" w:sz="0" w:space="0" w:color="auto"/>
                        <w:bottom w:val="none" w:sz="0" w:space="0" w:color="auto"/>
                        <w:right w:val="none" w:sz="0" w:space="0" w:color="auto"/>
                      </w:divBdr>
                    </w:div>
                  </w:divsChild>
                </w:div>
                <w:div w:id="639842450">
                  <w:marLeft w:val="0"/>
                  <w:marRight w:val="0"/>
                  <w:marTop w:val="0"/>
                  <w:marBottom w:val="0"/>
                  <w:divBdr>
                    <w:top w:val="none" w:sz="0" w:space="0" w:color="auto"/>
                    <w:left w:val="none" w:sz="0" w:space="0" w:color="auto"/>
                    <w:bottom w:val="none" w:sz="0" w:space="0" w:color="auto"/>
                    <w:right w:val="none" w:sz="0" w:space="0" w:color="auto"/>
                  </w:divBdr>
                  <w:divsChild>
                    <w:div w:id="153449264">
                      <w:marLeft w:val="0"/>
                      <w:marRight w:val="0"/>
                      <w:marTop w:val="0"/>
                      <w:marBottom w:val="0"/>
                      <w:divBdr>
                        <w:top w:val="none" w:sz="0" w:space="0" w:color="auto"/>
                        <w:left w:val="none" w:sz="0" w:space="0" w:color="auto"/>
                        <w:bottom w:val="none" w:sz="0" w:space="0" w:color="auto"/>
                        <w:right w:val="none" w:sz="0" w:space="0" w:color="auto"/>
                      </w:divBdr>
                    </w:div>
                  </w:divsChild>
                </w:div>
                <w:div w:id="1577474361">
                  <w:marLeft w:val="0"/>
                  <w:marRight w:val="0"/>
                  <w:marTop w:val="0"/>
                  <w:marBottom w:val="0"/>
                  <w:divBdr>
                    <w:top w:val="none" w:sz="0" w:space="0" w:color="auto"/>
                    <w:left w:val="none" w:sz="0" w:space="0" w:color="auto"/>
                    <w:bottom w:val="none" w:sz="0" w:space="0" w:color="auto"/>
                    <w:right w:val="none" w:sz="0" w:space="0" w:color="auto"/>
                  </w:divBdr>
                  <w:divsChild>
                    <w:div w:id="1382093577">
                      <w:marLeft w:val="0"/>
                      <w:marRight w:val="0"/>
                      <w:marTop w:val="0"/>
                      <w:marBottom w:val="0"/>
                      <w:divBdr>
                        <w:top w:val="none" w:sz="0" w:space="0" w:color="auto"/>
                        <w:left w:val="none" w:sz="0" w:space="0" w:color="auto"/>
                        <w:bottom w:val="none" w:sz="0" w:space="0" w:color="auto"/>
                        <w:right w:val="none" w:sz="0" w:space="0" w:color="auto"/>
                      </w:divBdr>
                    </w:div>
                  </w:divsChild>
                </w:div>
                <w:div w:id="1741251506">
                  <w:marLeft w:val="0"/>
                  <w:marRight w:val="0"/>
                  <w:marTop w:val="0"/>
                  <w:marBottom w:val="0"/>
                  <w:divBdr>
                    <w:top w:val="none" w:sz="0" w:space="0" w:color="auto"/>
                    <w:left w:val="none" w:sz="0" w:space="0" w:color="auto"/>
                    <w:bottom w:val="none" w:sz="0" w:space="0" w:color="auto"/>
                    <w:right w:val="none" w:sz="0" w:space="0" w:color="auto"/>
                  </w:divBdr>
                  <w:divsChild>
                    <w:div w:id="1962881650">
                      <w:marLeft w:val="0"/>
                      <w:marRight w:val="0"/>
                      <w:marTop w:val="0"/>
                      <w:marBottom w:val="0"/>
                      <w:divBdr>
                        <w:top w:val="none" w:sz="0" w:space="0" w:color="auto"/>
                        <w:left w:val="none" w:sz="0" w:space="0" w:color="auto"/>
                        <w:bottom w:val="none" w:sz="0" w:space="0" w:color="auto"/>
                        <w:right w:val="none" w:sz="0" w:space="0" w:color="auto"/>
                      </w:divBdr>
                    </w:div>
                  </w:divsChild>
                </w:div>
                <w:div w:id="1009527031">
                  <w:marLeft w:val="0"/>
                  <w:marRight w:val="0"/>
                  <w:marTop w:val="0"/>
                  <w:marBottom w:val="0"/>
                  <w:divBdr>
                    <w:top w:val="none" w:sz="0" w:space="0" w:color="auto"/>
                    <w:left w:val="none" w:sz="0" w:space="0" w:color="auto"/>
                    <w:bottom w:val="none" w:sz="0" w:space="0" w:color="auto"/>
                    <w:right w:val="none" w:sz="0" w:space="0" w:color="auto"/>
                  </w:divBdr>
                  <w:divsChild>
                    <w:div w:id="1310397786">
                      <w:marLeft w:val="0"/>
                      <w:marRight w:val="0"/>
                      <w:marTop w:val="0"/>
                      <w:marBottom w:val="0"/>
                      <w:divBdr>
                        <w:top w:val="none" w:sz="0" w:space="0" w:color="auto"/>
                        <w:left w:val="none" w:sz="0" w:space="0" w:color="auto"/>
                        <w:bottom w:val="none" w:sz="0" w:space="0" w:color="auto"/>
                        <w:right w:val="none" w:sz="0" w:space="0" w:color="auto"/>
                      </w:divBdr>
                    </w:div>
                  </w:divsChild>
                </w:div>
                <w:div w:id="1563565277">
                  <w:marLeft w:val="0"/>
                  <w:marRight w:val="0"/>
                  <w:marTop w:val="0"/>
                  <w:marBottom w:val="0"/>
                  <w:divBdr>
                    <w:top w:val="none" w:sz="0" w:space="0" w:color="auto"/>
                    <w:left w:val="none" w:sz="0" w:space="0" w:color="auto"/>
                    <w:bottom w:val="none" w:sz="0" w:space="0" w:color="auto"/>
                    <w:right w:val="none" w:sz="0" w:space="0" w:color="auto"/>
                  </w:divBdr>
                  <w:divsChild>
                    <w:div w:id="5081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79036">
          <w:marLeft w:val="0"/>
          <w:marRight w:val="0"/>
          <w:marTop w:val="0"/>
          <w:marBottom w:val="0"/>
          <w:divBdr>
            <w:top w:val="none" w:sz="0" w:space="0" w:color="auto"/>
            <w:left w:val="none" w:sz="0" w:space="0" w:color="auto"/>
            <w:bottom w:val="none" w:sz="0" w:space="0" w:color="auto"/>
            <w:right w:val="none" w:sz="0" w:space="0" w:color="auto"/>
          </w:divBdr>
        </w:div>
      </w:divsChild>
    </w:div>
    <w:div w:id="561211923">
      <w:bodyDiv w:val="1"/>
      <w:marLeft w:val="0"/>
      <w:marRight w:val="0"/>
      <w:marTop w:val="0"/>
      <w:marBottom w:val="0"/>
      <w:divBdr>
        <w:top w:val="none" w:sz="0" w:space="0" w:color="auto"/>
        <w:left w:val="none" w:sz="0" w:space="0" w:color="auto"/>
        <w:bottom w:val="none" w:sz="0" w:space="0" w:color="auto"/>
        <w:right w:val="none" w:sz="0" w:space="0" w:color="auto"/>
      </w:divBdr>
      <w:divsChild>
        <w:div w:id="2058772125">
          <w:marLeft w:val="0"/>
          <w:marRight w:val="0"/>
          <w:marTop w:val="0"/>
          <w:marBottom w:val="0"/>
          <w:divBdr>
            <w:top w:val="none" w:sz="0" w:space="0" w:color="auto"/>
            <w:left w:val="none" w:sz="0" w:space="0" w:color="auto"/>
            <w:bottom w:val="none" w:sz="0" w:space="0" w:color="auto"/>
            <w:right w:val="none" w:sz="0" w:space="0" w:color="auto"/>
          </w:divBdr>
          <w:divsChild>
            <w:div w:id="1059132976">
              <w:marLeft w:val="0"/>
              <w:marRight w:val="0"/>
              <w:marTop w:val="0"/>
              <w:marBottom w:val="0"/>
              <w:divBdr>
                <w:top w:val="none" w:sz="0" w:space="0" w:color="auto"/>
                <w:left w:val="none" w:sz="0" w:space="0" w:color="auto"/>
                <w:bottom w:val="none" w:sz="0" w:space="0" w:color="auto"/>
                <w:right w:val="none" w:sz="0" w:space="0" w:color="auto"/>
              </w:divBdr>
            </w:div>
            <w:div w:id="1340229130">
              <w:marLeft w:val="0"/>
              <w:marRight w:val="0"/>
              <w:marTop w:val="0"/>
              <w:marBottom w:val="0"/>
              <w:divBdr>
                <w:top w:val="none" w:sz="0" w:space="0" w:color="auto"/>
                <w:left w:val="none" w:sz="0" w:space="0" w:color="auto"/>
                <w:bottom w:val="none" w:sz="0" w:space="0" w:color="auto"/>
                <w:right w:val="none" w:sz="0" w:space="0" w:color="auto"/>
              </w:divBdr>
            </w:div>
            <w:div w:id="370038570">
              <w:marLeft w:val="0"/>
              <w:marRight w:val="0"/>
              <w:marTop w:val="0"/>
              <w:marBottom w:val="0"/>
              <w:divBdr>
                <w:top w:val="none" w:sz="0" w:space="0" w:color="auto"/>
                <w:left w:val="none" w:sz="0" w:space="0" w:color="auto"/>
                <w:bottom w:val="none" w:sz="0" w:space="0" w:color="auto"/>
                <w:right w:val="none" w:sz="0" w:space="0" w:color="auto"/>
              </w:divBdr>
            </w:div>
            <w:div w:id="95950115">
              <w:marLeft w:val="0"/>
              <w:marRight w:val="0"/>
              <w:marTop w:val="0"/>
              <w:marBottom w:val="0"/>
              <w:divBdr>
                <w:top w:val="none" w:sz="0" w:space="0" w:color="auto"/>
                <w:left w:val="none" w:sz="0" w:space="0" w:color="auto"/>
                <w:bottom w:val="none" w:sz="0" w:space="0" w:color="auto"/>
                <w:right w:val="none" w:sz="0" w:space="0" w:color="auto"/>
              </w:divBdr>
            </w:div>
            <w:div w:id="608706352">
              <w:marLeft w:val="0"/>
              <w:marRight w:val="0"/>
              <w:marTop w:val="0"/>
              <w:marBottom w:val="0"/>
              <w:divBdr>
                <w:top w:val="none" w:sz="0" w:space="0" w:color="auto"/>
                <w:left w:val="none" w:sz="0" w:space="0" w:color="auto"/>
                <w:bottom w:val="none" w:sz="0" w:space="0" w:color="auto"/>
                <w:right w:val="none" w:sz="0" w:space="0" w:color="auto"/>
              </w:divBdr>
            </w:div>
          </w:divsChild>
        </w:div>
        <w:div w:id="1158302236">
          <w:marLeft w:val="0"/>
          <w:marRight w:val="0"/>
          <w:marTop w:val="0"/>
          <w:marBottom w:val="0"/>
          <w:divBdr>
            <w:top w:val="none" w:sz="0" w:space="0" w:color="auto"/>
            <w:left w:val="none" w:sz="0" w:space="0" w:color="auto"/>
            <w:bottom w:val="none" w:sz="0" w:space="0" w:color="auto"/>
            <w:right w:val="none" w:sz="0" w:space="0" w:color="auto"/>
          </w:divBdr>
          <w:divsChild>
            <w:div w:id="1556770049">
              <w:marLeft w:val="0"/>
              <w:marRight w:val="0"/>
              <w:marTop w:val="0"/>
              <w:marBottom w:val="0"/>
              <w:divBdr>
                <w:top w:val="none" w:sz="0" w:space="0" w:color="auto"/>
                <w:left w:val="none" w:sz="0" w:space="0" w:color="auto"/>
                <w:bottom w:val="none" w:sz="0" w:space="0" w:color="auto"/>
                <w:right w:val="none" w:sz="0" w:space="0" w:color="auto"/>
              </w:divBdr>
            </w:div>
            <w:div w:id="1085492360">
              <w:marLeft w:val="0"/>
              <w:marRight w:val="0"/>
              <w:marTop w:val="0"/>
              <w:marBottom w:val="0"/>
              <w:divBdr>
                <w:top w:val="none" w:sz="0" w:space="0" w:color="auto"/>
                <w:left w:val="none" w:sz="0" w:space="0" w:color="auto"/>
                <w:bottom w:val="none" w:sz="0" w:space="0" w:color="auto"/>
                <w:right w:val="none" w:sz="0" w:space="0" w:color="auto"/>
              </w:divBdr>
            </w:div>
            <w:div w:id="711225165">
              <w:marLeft w:val="0"/>
              <w:marRight w:val="0"/>
              <w:marTop w:val="0"/>
              <w:marBottom w:val="0"/>
              <w:divBdr>
                <w:top w:val="none" w:sz="0" w:space="0" w:color="auto"/>
                <w:left w:val="none" w:sz="0" w:space="0" w:color="auto"/>
                <w:bottom w:val="none" w:sz="0" w:space="0" w:color="auto"/>
                <w:right w:val="none" w:sz="0" w:space="0" w:color="auto"/>
              </w:divBdr>
            </w:div>
            <w:div w:id="1100226041">
              <w:marLeft w:val="0"/>
              <w:marRight w:val="0"/>
              <w:marTop w:val="0"/>
              <w:marBottom w:val="0"/>
              <w:divBdr>
                <w:top w:val="none" w:sz="0" w:space="0" w:color="auto"/>
                <w:left w:val="none" w:sz="0" w:space="0" w:color="auto"/>
                <w:bottom w:val="none" w:sz="0" w:space="0" w:color="auto"/>
                <w:right w:val="none" w:sz="0" w:space="0" w:color="auto"/>
              </w:divBdr>
            </w:div>
            <w:div w:id="148570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92806">
      <w:bodyDiv w:val="1"/>
      <w:marLeft w:val="0"/>
      <w:marRight w:val="0"/>
      <w:marTop w:val="0"/>
      <w:marBottom w:val="0"/>
      <w:divBdr>
        <w:top w:val="none" w:sz="0" w:space="0" w:color="auto"/>
        <w:left w:val="none" w:sz="0" w:space="0" w:color="auto"/>
        <w:bottom w:val="none" w:sz="0" w:space="0" w:color="auto"/>
        <w:right w:val="none" w:sz="0" w:space="0" w:color="auto"/>
      </w:divBdr>
    </w:div>
    <w:div w:id="156528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dc.gov/ParentsAretheKey"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146.243.80.9\dph2\BHISRE\ISP\ISP_QC\SER_TBI%20report\Report%20Template\TBI%20Final%20Spreadsheet_Revis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46.243.80.9\dph2\BHISRE\ISP\ISP_QC\SER_TBI%20report\Report%20Template\TBI%20Final%20Spreadsheet_Revise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5879679647085913"/>
          <c:y val="0.15805370645242198"/>
          <c:w val="0.70214307707189205"/>
          <c:h val="0.71721289988564174"/>
        </c:manualLayout>
      </c:layout>
      <c:barChart>
        <c:barDir val="bar"/>
        <c:grouping val="percentStacked"/>
        <c:varyColors val="0"/>
        <c:ser>
          <c:idx val="0"/>
          <c:order val="0"/>
          <c:tx>
            <c:strRef>
              <c:f>Report!$Z$15</c:f>
              <c:strCache>
                <c:ptCount val="1"/>
                <c:pt idx="0">
                  <c:v>Deaths</c:v>
                </c:pt>
              </c:strCache>
            </c:strRef>
          </c:tx>
          <c:spPr>
            <a:solidFill>
              <a:schemeClr val="dk1">
                <a:tint val="88500"/>
              </a:schemeClr>
            </a:solidFill>
            <a:ln>
              <a:noFill/>
            </a:ln>
            <a:effectLst/>
          </c:spPr>
          <c:invertIfNegative val="0"/>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51-4571-A1A4-180233BFB128}"/>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51-4571-A1A4-180233BFB128}"/>
                </c:ext>
              </c:extLst>
            </c:dLbl>
            <c:spPr>
              <a:noFill/>
              <a:ln>
                <a:noFill/>
              </a:ln>
              <a:effectLst/>
            </c:spPr>
            <c:txPr>
              <a:bodyPr rot="0" spcFirstLastPara="1" vertOverflow="ellipsis" vert="horz" wrap="square" lIns="38100" tIns="19050" rIns="38100" bIns="19050" anchor="ctr" anchorCtr="1">
                <a:spAutoFit/>
              </a:bodyPr>
              <a:lstStyle/>
              <a:p>
                <a:pPr>
                  <a:defRPr sz="1150" b="0" i="0" u="none" strike="noStrike" kern="1200" spc="20" baseline="0">
                    <a:solidFill>
                      <a:schemeClr val="bg1"/>
                    </a:solidFill>
                    <a:latin typeface="Arial Narrow" panose="020B0606020202030204" pitchFamily="34" charset="0"/>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Report!$Y$16:$Y$21</c:f>
              <c:strCache>
                <c:ptCount val="6"/>
                <c:pt idx="0">
                  <c:v>Unintentional Struck-by</c:v>
                </c:pt>
                <c:pt idx="1">
                  <c:v>Self-harm/Suicide</c:v>
                </c:pt>
                <c:pt idx="2">
                  <c:v>Assault/Homicide</c:v>
                </c:pt>
                <c:pt idx="3">
                  <c:v>Firearms</c:v>
                </c:pt>
                <c:pt idx="4">
                  <c:v>Unintentional Fall</c:v>
                </c:pt>
                <c:pt idx="5">
                  <c:v>Unintentional MVT</c:v>
                </c:pt>
              </c:strCache>
            </c:strRef>
          </c:cat>
          <c:val>
            <c:numRef>
              <c:f>Report!$Z$16:$Z$21</c:f>
              <c:numCache>
                <c:formatCode>0%</c:formatCode>
                <c:ptCount val="6"/>
                <c:pt idx="0">
                  <c:v>1.1644154634373545E-3</c:v>
                </c:pt>
                <c:pt idx="1">
                  <c:v>0.75141242937853103</c:v>
                </c:pt>
                <c:pt idx="2">
                  <c:v>2.4035774175517048E-2</c:v>
                </c:pt>
                <c:pt idx="3">
                  <c:v>0.8994413407821229</c:v>
                </c:pt>
                <c:pt idx="4">
                  <c:v>3.8269965133654327E-2</c:v>
                </c:pt>
                <c:pt idx="5">
                  <c:v>2.3168733910601452E-2</c:v>
                </c:pt>
              </c:numCache>
            </c:numRef>
          </c:val>
          <c:extLst>
            <c:ext xmlns:c16="http://schemas.microsoft.com/office/drawing/2014/chart" uri="{C3380CC4-5D6E-409C-BE32-E72D297353CC}">
              <c16:uniqueId val="{00000002-D651-4571-A1A4-180233BFB128}"/>
            </c:ext>
          </c:extLst>
        </c:ser>
        <c:ser>
          <c:idx val="1"/>
          <c:order val="1"/>
          <c:tx>
            <c:strRef>
              <c:f>Report!$AA$15</c:f>
              <c:strCache>
                <c:ptCount val="1"/>
                <c:pt idx="0">
                  <c:v>Hospitalizations</c:v>
                </c:pt>
              </c:strCache>
            </c:strRef>
          </c:tx>
          <c:spPr>
            <a:solidFill>
              <a:schemeClr val="dk1">
                <a:tint val="55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D651-4571-A1A4-180233BFB128}"/>
                </c:ext>
              </c:extLst>
            </c:dLbl>
            <c:spPr>
              <a:noFill/>
              <a:ln>
                <a:noFill/>
              </a:ln>
              <a:effectLst/>
            </c:spPr>
            <c:txPr>
              <a:bodyPr rot="0" spcFirstLastPara="1" vertOverflow="ellipsis" vert="horz" wrap="square" lIns="38100" tIns="19050" rIns="38100" bIns="19050" anchor="ctr" anchorCtr="1">
                <a:spAutoFit/>
              </a:bodyPr>
              <a:lstStyle/>
              <a:p>
                <a:pPr>
                  <a:defRPr sz="1150" b="0" i="0" u="none" strike="noStrike" kern="1200" spc="20" baseline="0">
                    <a:solidFill>
                      <a:sysClr val="windowText" lastClr="000000"/>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Report!$Y$16:$Y$21</c:f>
              <c:strCache>
                <c:ptCount val="6"/>
                <c:pt idx="0">
                  <c:v>Unintentional Struck-by</c:v>
                </c:pt>
                <c:pt idx="1">
                  <c:v>Self-harm/Suicide</c:v>
                </c:pt>
                <c:pt idx="2">
                  <c:v>Assault/Homicide</c:v>
                </c:pt>
                <c:pt idx="3">
                  <c:v>Firearms</c:v>
                </c:pt>
                <c:pt idx="4">
                  <c:v>Unintentional Fall</c:v>
                </c:pt>
                <c:pt idx="5">
                  <c:v>Unintentional MVT</c:v>
                </c:pt>
              </c:strCache>
            </c:strRef>
          </c:cat>
          <c:val>
            <c:numRef>
              <c:f>Report!$AA$16:$AA$21</c:f>
              <c:numCache>
                <c:formatCode>0%</c:formatCode>
                <c:ptCount val="6"/>
                <c:pt idx="0">
                  <c:v>4.5645086166744293E-2</c:v>
                </c:pt>
                <c:pt idx="1">
                  <c:v>0.13559322033898305</c:v>
                </c:pt>
                <c:pt idx="2">
                  <c:v>0.12800447177193963</c:v>
                </c:pt>
                <c:pt idx="3">
                  <c:v>7.8212290502793297E-2</c:v>
                </c:pt>
                <c:pt idx="4">
                  <c:v>0.31587248879296032</c:v>
                </c:pt>
                <c:pt idx="5">
                  <c:v>0.19658319681722444</c:v>
                </c:pt>
              </c:numCache>
            </c:numRef>
          </c:val>
          <c:extLst>
            <c:ext xmlns:c16="http://schemas.microsoft.com/office/drawing/2014/chart" uri="{C3380CC4-5D6E-409C-BE32-E72D297353CC}">
              <c16:uniqueId val="{00000004-D651-4571-A1A4-180233BFB128}"/>
            </c:ext>
          </c:extLst>
        </c:ser>
        <c:ser>
          <c:idx val="2"/>
          <c:order val="2"/>
          <c:tx>
            <c:strRef>
              <c:f>Report!$AB$15</c:f>
              <c:strCache>
                <c:ptCount val="1"/>
                <c:pt idx="0">
                  <c:v>ED Visits</c:v>
                </c:pt>
              </c:strCache>
            </c:strRef>
          </c:tx>
          <c:spPr>
            <a:solidFill>
              <a:schemeClr val="dk1">
                <a:tint val="75000"/>
              </a:schemeClr>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5-D651-4571-A1A4-180233BFB128}"/>
                </c:ext>
              </c:extLst>
            </c:dLbl>
            <c:spPr>
              <a:noFill/>
              <a:ln>
                <a:noFill/>
              </a:ln>
              <a:effectLst/>
            </c:spPr>
            <c:txPr>
              <a:bodyPr rot="0" spcFirstLastPara="1" vertOverflow="ellipsis" vert="horz" wrap="square" lIns="38100" tIns="19050" rIns="38100" bIns="19050" anchor="ctr" anchorCtr="1">
                <a:spAutoFit/>
              </a:bodyPr>
              <a:lstStyle/>
              <a:p>
                <a:pPr>
                  <a:defRPr sz="1150" b="0" i="0" u="none" strike="noStrike" kern="1200" spc="2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Report!$Y$16:$Y$21</c:f>
              <c:strCache>
                <c:ptCount val="6"/>
                <c:pt idx="0">
                  <c:v>Unintentional Struck-by</c:v>
                </c:pt>
                <c:pt idx="1">
                  <c:v>Self-harm/Suicide</c:v>
                </c:pt>
                <c:pt idx="2">
                  <c:v>Assault/Homicide</c:v>
                </c:pt>
                <c:pt idx="3">
                  <c:v>Firearms</c:v>
                </c:pt>
                <c:pt idx="4">
                  <c:v>Unintentional Fall</c:v>
                </c:pt>
                <c:pt idx="5">
                  <c:v>Unintentional MVT</c:v>
                </c:pt>
              </c:strCache>
            </c:strRef>
          </c:cat>
          <c:val>
            <c:numRef>
              <c:f>Report!$AB$16:$AB$21</c:f>
              <c:numCache>
                <c:formatCode>0%</c:formatCode>
                <c:ptCount val="6"/>
                <c:pt idx="0">
                  <c:v>0.9531904983698184</c:v>
                </c:pt>
                <c:pt idx="1">
                  <c:v>0.11299435028248588</c:v>
                </c:pt>
                <c:pt idx="2">
                  <c:v>0.84795975405254331</c:v>
                </c:pt>
                <c:pt idx="3">
                  <c:v>2.23463687150838E-2</c:v>
                </c:pt>
                <c:pt idx="4">
                  <c:v>0.6458575460733853</c:v>
                </c:pt>
                <c:pt idx="5">
                  <c:v>0.78024806927217416</c:v>
                </c:pt>
              </c:numCache>
            </c:numRef>
          </c:val>
          <c:extLst>
            <c:ext xmlns:c16="http://schemas.microsoft.com/office/drawing/2014/chart" uri="{C3380CC4-5D6E-409C-BE32-E72D297353CC}">
              <c16:uniqueId val="{00000006-D651-4571-A1A4-180233BFB128}"/>
            </c:ext>
          </c:extLst>
        </c:ser>
        <c:dLbls>
          <c:showLegendKey val="0"/>
          <c:showVal val="0"/>
          <c:showCatName val="0"/>
          <c:showSerName val="0"/>
          <c:showPercent val="0"/>
          <c:showBubbleSize val="0"/>
        </c:dLbls>
        <c:gapWidth val="40"/>
        <c:overlap val="100"/>
        <c:axId val="646030168"/>
        <c:axId val="646030496"/>
      </c:barChart>
      <c:catAx>
        <c:axId val="646030168"/>
        <c:scaling>
          <c:orientation val="minMax"/>
        </c:scaling>
        <c:delete val="0"/>
        <c:axPos val="l"/>
        <c:numFmt formatCode="General" sourceLinked="1"/>
        <c:majorTickMark val="none"/>
        <c:minorTickMark val="none"/>
        <c:tickLblPos val="nextTo"/>
        <c:spPr>
          <a:noFill/>
          <a:ln w="6350" cap="flat" cmpd="sng" algn="ctr">
            <a:solidFill>
              <a:schemeClr val="bg1">
                <a:lumMod val="85000"/>
              </a:schemeClr>
            </a:solidFill>
            <a:round/>
          </a:ln>
          <a:effectLst/>
        </c:spPr>
        <c:txPr>
          <a:bodyPr rot="-60000000" spcFirstLastPara="1" vertOverflow="ellipsis" vert="horz" wrap="square" anchor="ctr" anchorCtr="1"/>
          <a:lstStyle/>
          <a:p>
            <a:pPr>
              <a:defRPr sz="1150" b="0" i="0" u="none" strike="noStrike" kern="1200" spc="20" baseline="0">
                <a:solidFill>
                  <a:sysClr val="windowText" lastClr="000000"/>
                </a:solidFill>
                <a:latin typeface="Arial Narrow" panose="020B0606020202030204" pitchFamily="34" charset="0"/>
                <a:ea typeface="+mn-ea"/>
                <a:cs typeface="+mn-cs"/>
              </a:defRPr>
            </a:pPr>
            <a:endParaRPr lang="en-US"/>
          </a:p>
        </c:txPr>
        <c:crossAx val="646030496"/>
        <c:crosses val="autoZero"/>
        <c:auto val="1"/>
        <c:lblAlgn val="ctr"/>
        <c:lblOffset val="100"/>
        <c:noMultiLvlLbl val="0"/>
      </c:catAx>
      <c:valAx>
        <c:axId val="646030496"/>
        <c:scaling>
          <c:orientation val="minMax"/>
        </c:scaling>
        <c:delete val="0"/>
        <c:axPos val="b"/>
        <c:majorGridlines>
          <c:spPr>
            <a:ln w="6350" cap="flat" cmpd="sng" algn="ctr">
              <a:solidFill>
                <a:schemeClr val="bg1">
                  <a:lumMod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50" b="0" i="0" u="none" strike="noStrike" kern="1200" spc="20" baseline="0">
                <a:solidFill>
                  <a:sysClr val="windowText" lastClr="000000"/>
                </a:solidFill>
                <a:latin typeface="Arial Narrow" panose="020B0606020202030204" pitchFamily="34" charset="0"/>
                <a:ea typeface="+mn-ea"/>
                <a:cs typeface="+mn-cs"/>
              </a:defRPr>
            </a:pPr>
            <a:endParaRPr lang="en-US"/>
          </a:p>
        </c:txPr>
        <c:crossAx val="646030168"/>
        <c:crosses val="autoZero"/>
        <c:crossBetween val="between"/>
      </c:valAx>
      <c:spPr>
        <a:noFill/>
        <a:ln>
          <a:noFill/>
        </a:ln>
        <a:effectLst/>
      </c:spPr>
    </c:plotArea>
    <c:legend>
      <c:legendPos val="tr"/>
      <c:layout>
        <c:manualLayout>
          <c:xMode val="edge"/>
          <c:yMode val="edge"/>
          <c:x val="0.29223586279620112"/>
          <c:y val="2.3411882427026376E-3"/>
          <c:w val="0.68263362002607608"/>
          <c:h val="0.10771189884036031"/>
        </c:manualLayout>
      </c:layout>
      <c:overlay val="0"/>
      <c:spPr>
        <a:noFill/>
        <a:ln>
          <a:noFill/>
        </a:ln>
        <a:effectLst/>
      </c:spPr>
      <c:txPr>
        <a:bodyPr rot="0" spcFirstLastPara="1" vertOverflow="ellipsis" vert="horz" wrap="square" anchor="ctr" anchorCtr="1"/>
        <a:lstStyle/>
        <a:p>
          <a:pPr>
            <a:defRPr sz="1400" b="0" i="0" u="none" strike="noStrike" kern="1200" spc="20" baseline="0">
              <a:solidFill>
                <a:sysClr val="windowText" lastClr="000000"/>
              </a:solidFill>
              <a:latin typeface="Arial Narrow" panose="020B0606020202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50" spc="20" baseline="0">
          <a:solidFill>
            <a:sysClr val="windowText" lastClr="000000"/>
          </a:solidFill>
          <a:latin typeface="Arial Narrow" panose="020B060602020203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399039310151717"/>
          <c:y val="5.9422279880706946E-2"/>
          <c:w val="0.82021109405221049"/>
          <c:h val="0.72125868858180398"/>
        </c:manualLayout>
      </c:layout>
      <c:barChart>
        <c:barDir val="col"/>
        <c:grouping val="clustered"/>
        <c:varyColors val="0"/>
        <c:ser>
          <c:idx val="0"/>
          <c:order val="0"/>
          <c:tx>
            <c:strRef>
              <c:f>Report!$Z$39</c:f>
              <c:strCache>
                <c:ptCount val="1"/>
                <c:pt idx="0">
                  <c:v>Male</c:v>
                </c:pt>
              </c:strCache>
            </c:strRef>
          </c:tx>
          <c:spPr>
            <a:solidFill>
              <a:schemeClr val="dk1">
                <a:tint val="88500"/>
              </a:schemeClr>
            </a:solidFill>
            <a:ln>
              <a:noFill/>
            </a:ln>
            <a:effectLst/>
          </c:spPr>
          <c:invertIfNegative val="0"/>
          <c:dLbls>
            <c:dLbl>
              <c:idx val="12"/>
              <c:layout>
                <c:manualLayout>
                  <c:x val="-2.1739684904664634E-2"/>
                  <c:y val="4.9992264976324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F9-404D-B2A6-FAE47B842237}"/>
                </c:ext>
              </c:extLst>
            </c:dLbl>
            <c:spPr>
              <a:noFill/>
              <a:ln>
                <a:noFill/>
              </a:ln>
              <a:effectLst/>
            </c:spPr>
            <c:txPr>
              <a:bodyPr rot="0" spcFirstLastPara="1" vertOverflow="ellipsis" vert="horz" wrap="square" lIns="38100" tIns="19050" rIns="38100" bIns="19050" anchor="ctr" anchorCtr="1">
                <a:spAutoFit/>
              </a:bodyPr>
              <a:lstStyle/>
              <a:p>
                <a:pPr>
                  <a:defRPr sz="1150" b="0" i="0" u="none" strike="noStrike" kern="1200" spc="20" baseline="0">
                    <a:solidFill>
                      <a:sysClr val="windowText" lastClr="000000"/>
                    </a:solidFill>
                    <a:latin typeface="Arial Narrow" panose="020B0606020202030204" pitchFamily="34" charset="0"/>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Report!$Y$40:$Y$52</c:f>
              <c:strCache>
                <c:ptCount val="13"/>
                <c:pt idx="0">
                  <c:v>&lt;1</c:v>
                </c:pt>
                <c:pt idx="1">
                  <c:v>1-4</c:v>
                </c:pt>
                <c:pt idx="2">
                  <c:v>5-9</c:v>
                </c:pt>
                <c:pt idx="3">
                  <c:v>10-14</c:v>
                </c:pt>
                <c:pt idx="4">
                  <c:v>15-19</c:v>
                </c:pt>
                <c:pt idx="5">
                  <c:v>20-24</c:v>
                </c:pt>
                <c:pt idx="6">
                  <c:v>25-34</c:v>
                </c:pt>
                <c:pt idx="7">
                  <c:v>35-44</c:v>
                </c:pt>
                <c:pt idx="8">
                  <c:v>45-54</c:v>
                </c:pt>
                <c:pt idx="9">
                  <c:v>55-64</c:v>
                </c:pt>
                <c:pt idx="10">
                  <c:v>65-74</c:v>
                </c:pt>
                <c:pt idx="11">
                  <c:v>75-84</c:v>
                </c:pt>
                <c:pt idx="12">
                  <c:v>85+</c:v>
                </c:pt>
              </c:strCache>
            </c:strRef>
          </c:cat>
          <c:val>
            <c:numRef>
              <c:f>Report!$Z$40:$Z$52</c:f>
              <c:numCache>
                <c:formatCode>#,##0.0;[Red]#,##0.0</c:formatCode>
                <c:ptCount val="13"/>
                <c:pt idx="0">
                  <c:v>194.93153273596383</c:v>
                </c:pt>
                <c:pt idx="1">
                  <c:v>24.949901336203109</c:v>
                </c:pt>
                <c:pt idx="2">
                  <c:v>22.800573155876119</c:v>
                </c:pt>
                <c:pt idx="3">
                  <c:v>35.929328748500069</c:v>
                </c:pt>
                <c:pt idx="4">
                  <c:v>46.630723985803748</c:v>
                </c:pt>
                <c:pt idx="5">
                  <c:v>47.106132265255525</c:v>
                </c:pt>
                <c:pt idx="6">
                  <c:v>59.853295077720027</c:v>
                </c:pt>
                <c:pt idx="7">
                  <c:v>53.585368128249385</c:v>
                </c:pt>
                <c:pt idx="8">
                  <c:v>79.763062525429888</c:v>
                </c:pt>
                <c:pt idx="9">
                  <c:v>104.45800005697873</c:v>
                </c:pt>
                <c:pt idx="10">
                  <c:v>154.91955176694111</c:v>
                </c:pt>
                <c:pt idx="11">
                  <c:v>387.26678242649047</c:v>
                </c:pt>
                <c:pt idx="12">
                  <c:v>824.79698097066409</c:v>
                </c:pt>
              </c:numCache>
            </c:numRef>
          </c:val>
          <c:extLst>
            <c:ext xmlns:c16="http://schemas.microsoft.com/office/drawing/2014/chart" uri="{C3380CC4-5D6E-409C-BE32-E72D297353CC}">
              <c16:uniqueId val="{00000001-DDF9-404D-B2A6-FAE47B842237}"/>
            </c:ext>
          </c:extLst>
        </c:ser>
        <c:ser>
          <c:idx val="1"/>
          <c:order val="1"/>
          <c:tx>
            <c:strRef>
              <c:f>Report!$AA$39</c:f>
              <c:strCache>
                <c:ptCount val="1"/>
                <c:pt idx="0">
                  <c:v>Female</c:v>
                </c:pt>
              </c:strCache>
            </c:strRef>
          </c:tx>
          <c:spPr>
            <a:solidFill>
              <a:schemeClr val="dk1">
                <a:tint val="55000"/>
              </a:schemeClr>
            </a:solidFill>
            <a:ln>
              <a:noFill/>
            </a:ln>
            <a:effectLst/>
          </c:spPr>
          <c:invertIfNegative val="0"/>
          <c:dLbls>
            <c:dLbl>
              <c:idx val="12"/>
              <c:layout>
                <c:manualLayout>
                  <c:x val="1.304381094279878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DF9-404D-B2A6-FAE47B842237}"/>
                </c:ext>
              </c:extLst>
            </c:dLbl>
            <c:spPr>
              <a:noFill/>
              <a:ln>
                <a:noFill/>
              </a:ln>
              <a:effectLst/>
            </c:spPr>
            <c:txPr>
              <a:bodyPr rot="0" spcFirstLastPara="1" vertOverflow="ellipsis" vert="horz" wrap="square" lIns="38100" tIns="19050" rIns="38100" bIns="19050" anchor="ctr" anchorCtr="1">
                <a:spAutoFit/>
              </a:bodyPr>
              <a:lstStyle/>
              <a:p>
                <a:pPr>
                  <a:defRPr sz="1150" b="0" i="0" u="none" strike="noStrike" kern="1200" spc="20" baseline="0">
                    <a:solidFill>
                      <a:sysClr val="windowText" lastClr="000000"/>
                    </a:solidFill>
                    <a:latin typeface="Arial Narrow" panose="020B0606020202030204" pitchFamily="34" charset="0"/>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Report!$Y$40:$Y$52</c:f>
              <c:strCache>
                <c:ptCount val="13"/>
                <c:pt idx="0">
                  <c:v>&lt;1</c:v>
                </c:pt>
                <c:pt idx="1">
                  <c:v>1-4</c:v>
                </c:pt>
                <c:pt idx="2">
                  <c:v>5-9</c:v>
                </c:pt>
                <c:pt idx="3">
                  <c:v>10-14</c:v>
                </c:pt>
                <c:pt idx="4">
                  <c:v>15-19</c:v>
                </c:pt>
                <c:pt idx="5">
                  <c:v>20-24</c:v>
                </c:pt>
                <c:pt idx="6">
                  <c:v>25-34</c:v>
                </c:pt>
                <c:pt idx="7">
                  <c:v>35-44</c:v>
                </c:pt>
                <c:pt idx="8">
                  <c:v>45-54</c:v>
                </c:pt>
                <c:pt idx="9">
                  <c:v>55-64</c:v>
                </c:pt>
                <c:pt idx="10">
                  <c:v>65-74</c:v>
                </c:pt>
                <c:pt idx="11">
                  <c:v>75-84</c:v>
                </c:pt>
                <c:pt idx="12">
                  <c:v>85+</c:v>
                </c:pt>
              </c:strCache>
            </c:strRef>
          </c:cat>
          <c:val>
            <c:numRef>
              <c:f>Report!$AA$40:$AA$52</c:f>
              <c:numCache>
                <c:formatCode>#,##0.0;[Red]#,##0.0</c:formatCode>
                <c:ptCount val="13"/>
                <c:pt idx="0">
                  <c:v>142.76943719363177</c:v>
                </c:pt>
                <c:pt idx="1">
                  <c:v>11.693934132071286</c:v>
                </c:pt>
                <c:pt idx="2">
                  <c:v>10.504990512025765</c:v>
                </c:pt>
                <c:pt idx="3">
                  <c:v>11.267825030566042</c:v>
                </c:pt>
                <c:pt idx="4">
                  <c:v>23.013157072734803</c:v>
                </c:pt>
                <c:pt idx="5">
                  <c:v>18.288736251849791</c:v>
                </c:pt>
                <c:pt idx="6">
                  <c:v>17.718701936460029</c:v>
                </c:pt>
                <c:pt idx="7">
                  <c:v>19.954196934948992</c:v>
                </c:pt>
                <c:pt idx="8">
                  <c:v>35.991863794450389</c:v>
                </c:pt>
                <c:pt idx="9">
                  <c:v>59.785430547887678</c:v>
                </c:pt>
                <c:pt idx="10">
                  <c:v>111.1236165260009</c:v>
                </c:pt>
                <c:pt idx="11">
                  <c:v>299.68898922787753</c:v>
                </c:pt>
                <c:pt idx="12">
                  <c:v>659.99905009454289</c:v>
                </c:pt>
              </c:numCache>
            </c:numRef>
          </c:val>
          <c:extLst>
            <c:ext xmlns:c16="http://schemas.microsoft.com/office/drawing/2014/chart" uri="{C3380CC4-5D6E-409C-BE32-E72D297353CC}">
              <c16:uniqueId val="{00000003-DDF9-404D-B2A6-FAE47B842237}"/>
            </c:ext>
          </c:extLst>
        </c:ser>
        <c:dLbls>
          <c:showLegendKey val="0"/>
          <c:showVal val="0"/>
          <c:showCatName val="0"/>
          <c:showSerName val="0"/>
          <c:showPercent val="0"/>
          <c:showBubbleSize val="0"/>
        </c:dLbls>
        <c:gapWidth val="10"/>
        <c:overlap val="-25"/>
        <c:axId val="211996160"/>
        <c:axId val="211996816"/>
      </c:barChart>
      <c:catAx>
        <c:axId val="211996160"/>
        <c:scaling>
          <c:orientation val="minMax"/>
        </c:scaling>
        <c:delete val="0"/>
        <c:axPos val="b"/>
        <c:title>
          <c:tx>
            <c:rich>
              <a:bodyPr rot="0" spcFirstLastPara="1" vertOverflow="ellipsis" vert="horz" wrap="square" anchor="ctr" anchorCtr="1"/>
              <a:lstStyle/>
              <a:p>
                <a:pPr>
                  <a:defRPr sz="1150" b="0" i="0" u="none" strike="noStrike" kern="1200" spc="20" baseline="0">
                    <a:solidFill>
                      <a:sysClr val="windowText" lastClr="000000"/>
                    </a:solidFill>
                    <a:latin typeface="Arial Narrow" panose="020B0606020202030204" pitchFamily="34" charset="0"/>
                    <a:ea typeface="+mn-ea"/>
                    <a:cs typeface="+mn-cs"/>
                  </a:defRPr>
                </a:pPr>
                <a:r>
                  <a:rPr lang="en-US"/>
                  <a:t>Age</a:t>
                </a:r>
              </a:p>
            </c:rich>
          </c:tx>
          <c:layout>
            <c:manualLayout>
              <c:xMode val="edge"/>
              <c:yMode val="edge"/>
              <c:x val="0.52030327229425466"/>
              <c:y val="0.90103248343217834"/>
            </c:manualLayout>
          </c:layout>
          <c:overlay val="0"/>
          <c:spPr>
            <a:noFill/>
            <a:ln>
              <a:noFill/>
            </a:ln>
            <a:effectLst/>
          </c:spPr>
          <c:txPr>
            <a:bodyPr rot="0" spcFirstLastPara="1" vertOverflow="ellipsis" vert="horz" wrap="square" anchor="ctr" anchorCtr="1"/>
            <a:lstStyle/>
            <a:p>
              <a:pPr>
                <a:defRPr sz="1150" b="0" i="0" u="none" strike="noStrike" kern="1200" spc="20" baseline="0">
                  <a:solidFill>
                    <a:sysClr val="windowText" lastClr="000000"/>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spc="20" baseline="0">
                <a:solidFill>
                  <a:sysClr val="windowText" lastClr="000000"/>
                </a:solidFill>
                <a:latin typeface="Arial Narrow" panose="020B0606020202030204" pitchFamily="34" charset="0"/>
                <a:ea typeface="+mn-ea"/>
                <a:cs typeface="+mn-cs"/>
              </a:defRPr>
            </a:pPr>
            <a:endParaRPr lang="en-US"/>
          </a:p>
        </c:txPr>
        <c:crossAx val="211996816"/>
        <c:crosses val="autoZero"/>
        <c:auto val="1"/>
        <c:lblAlgn val="ctr"/>
        <c:lblOffset val="100"/>
        <c:noMultiLvlLbl val="0"/>
      </c:catAx>
      <c:valAx>
        <c:axId val="211996816"/>
        <c:scaling>
          <c:orientation val="minMax"/>
        </c:scaling>
        <c:delete val="0"/>
        <c:axPos val="l"/>
        <c:title>
          <c:tx>
            <c:rich>
              <a:bodyPr rot="-5400000" spcFirstLastPara="1" vertOverflow="ellipsis" vert="horz" wrap="square" anchor="ctr" anchorCtr="1"/>
              <a:lstStyle/>
              <a:p>
                <a:pPr>
                  <a:defRPr sz="1150" b="0" i="0" u="none" strike="noStrike" kern="1200" spc="20" baseline="0">
                    <a:solidFill>
                      <a:sysClr val="windowText" lastClr="000000"/>
                    </a:solidFill>
                    <a:latin typeface="Arial Narrow" panose="020B0606020202030204" pitchFamily="34" charset="0"/>
                    <a:ea typeface="+mn-ea"/>
                    <a:cs typeface="+mn-cs"/>
                  </a:defRPr>
                </a:pPr>
                <a:r>
                  <a:rPr lang="en-US" baseline="0"/>
                  <a:t> Rates per 100,000</a:t>
                </a:r>
                <a:endParaRPr lang="en-US"/>
              </a:p>
            </c:rich>
          </c:tx>
          <c:layout>
            <c:manualLayout>
              <c:xMode val="edge"/>
              <c:yMode val="edge"/>
              <c:x val="1.7586549194767202E-2"/>
              <c:y val="0.19215176549455146"/>
            </c:manualLayout>
          </c:layout>
          <c:overlay val="0"/>
          <c:spPr>
            <a:noFill/>
            <a:ln>
              <a:noFill/>
            </a:ln>
            <a:effectLst/>
          </c:spPr>
          <c:txPr>
            <a:bodyPr rot="-5400000" spcFirstLastPara="1" vertOverflow="ellipsis" vert="horz" wrap="square" anchor="ctr" anchorCtr="1"/>
            <a:lstStyle/>
            <a:p>
              <a:pPr>
                <a:defRPr sz="1150" b="0" i="0" u="none" strike="noStrike" kern="1200" spc="20" baseline="0">
                  <a:solidFill>
                    <a:sysClr val="windowText" lastClr="000000"/>
                  </a:solidFill>
                  <a:latin typeface="Arial Narrow" panose="020B0606020202030204" pitchFamily="34" charset="0"/>
                  <a:ea typeface="+mn-ea"/>
                  <a:cs typeface="+mn-cs"/>
                </a:defRPr>
              </a:pPr>
              <a:endParaRPr lang="en-US"/>
            </a:p>
          </c:txPr>
        </c:title>
        <c:numFmt formatCode="#,##0.0;[Red]#,##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ysClr val="windowText" lastClr="000000"/>
                </a:solidFill>
                <a:latin typeface="Arial Narrow" panose="020B0606020202030204" pitchFamily="34" charset="0"/>
                <a:ea typeface="+mn-ea"/>
                <a:cs typeface="+mn-cs"/>
              </a:defRPr>
            </a:pPr>
            <a:endParaRPr lang="en-US"/>
          </a:p>
        </c:txPr>
        <c:crossAx val="211996160"/>
        <c:crosses val="autoZero"/>
        <c:crossBetween val="between"/>
      </c:valAx>
      <c:spPr>
        <a:noFill/>
        <a:ln>
          <a:noFill/>
        </a:ln>
        <a:effectLst/>
      </c:spPr>
    </c:plotArea>
    <c:legend>
      <c:legendPos val="tr"/>
      <c:layout>
        <c:manualLayout>
          <c:xMode val="edge"/>
          <c:yMode val="edge"/>
          <c:x val="0.35997623976716508"/>
          <c:y val="7.4158619965399644E-2"/>
          <c:w val="0.29200128520908869"/>
          <c:h val="0.14493537503326198"/>
        </c:manualLayout>
      </c:layout>
      <c:overlay val="1"/>
      <c:spPr>
        <a:noFill/>
        <a:ln>
          <a:noFill/>
        </a:ln>
        <a:effectLst/>
      </c:spPr>
      <c:txPr>
        <a:bodyPr rot="0" spcFirstLastPara="1" vertOverflow="ellipsis" vert="horz" wrap="square" anchor="ctr" anchorCtr="1"/>
        <a:lstStyle/>
        <a:p>
          <a:pPr>
            <a:defRPr sz="1400" b="0" i="0" u="none" strike="noStrike" kern="1200" spc="20" baseline="0">
              <a:solidFill>
                <a:sysClr val="windowText" lastClr="000000"/>
              </a:solidFill>
              <a:latin typeface="Arial Narrow" panose="020B0606020202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50" spc="20" baseline="0">
          <a:solidFill>
            <a:sysClr val="windowText" lastClr="000000"/>
          </a:solidFill>
          <a:latin typeface="Arial Narrow" panose="020B060602020203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 Beth (DPH)</dc:creator>
  <cp:keywords/>
  <dc:description/>
  <cp:lastModifiedBy>Harrison, Deborah (EHS)</cp:lastModifiedBy>
  <cp:revision>2</cp:revision>
  <dcterms:created xsi:type="dcterms:W3CDTF">2023-06-12T15:31:00Z</dcterms:created>
  <dcterms:modified xsi:type="dcterms:W3CDTF">2023-06-12T15:31:00Z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080f311de6c80c4fc9f7e68e80d1a66dbacfb828a395ef06637c4415c310f4ce</vt:lpwstr>
  </property>
</Properties>
</file>