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charts/chart3.xml" ContentType="application/vnd.openxmlformats-officedocument.drawingml.chart+xml"/>
  <Override PartName="/word/footer2.xml" ContentType="application/vnd.openxmlformats-officedocument.wordprocessingml.footer+xml"/>
  <Override PartName="/word/charts/chart4.xml" ContentType="application/vnd.openxmlformats-officedocument.drawingml.chart+xml"/>
  <Override PartName="/word/charts/chart5.xml" ContentType="application/vnd.openxmlformats-officedocument.drawingml.chart+xml"/>
  <Override PartName="/word/drawings/drawing2.xml" ContentType="application/vnd.openxmlformats-officedocument.drawingml.chartshapes+xml"/>
  <Override PartName="/word/charts/chart6.xml" ContentType="application/vnd.openxmlformats-officedocument.drawingml.chart+xml"/>
  <Override PartName="/word/theme/themeOverride1.xml" ContentType="application/vnd.openxmlformats-officedocument.themeOverride+xml"/>
  <Override PartName="/word/drawings/drawing3.xml" ContentType="application/vnd.openxmlformats-officedocument.drawingml.chartshapes+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E540EC" w14:textId="04A73373" w:rsidR="00421B44" w:rsidRDefault="00350445">
      <w:r>
        <w:rPr>
          <w:noProof/>
        </w:rPr>
        <mc:AlternateContent>
          <mc:Choice Requires="wps">
            <w:drawing>
              <wp:anchor distT="0" distB="0" distL="114300" distR="114300" simplePos="0" relativeHeight="251658240" behindDoc="0" locked="0" layoutInCell="1" allowOverlap="1" wp14:anchorId="414D6B2F" wp14:editId="1BF0264B">
                <wp:simplePos x="0" y="0"/>
                <wp:positionH relativeFrom="page">
                  <wp:posOffset>38100</wp:posOffset>
                </wp:positionH>
                <wp:positionV relativeFrom="paragraph">
                  <wp:posOffset>-273049</wp:posOffset>
                </wp:positionV>
                <wp:extent cx="7686675" cy="1193800"/>
                <wp:effectExtent l="0" t="0" r="0" b="6350"/>
                <wp:wrapNone/>
                <wp:docPr id="2" name="Text Box 2"/>
                <wp:cNvGraphicFramePr/>
                <a:graphic xmlns:a="http://schemas.openxmlformats.org/drawingml/2006/main">
                  <a:graphicData uri="http://schemas.microsoft.com/office/word/2010/wordprocessingShape">
                    <wps:wsp>
                      <wps:cNvSpPr txBox="1"/>
                      <wps:spPr>
                        <a:xfrm>
                          <a:off x="0" y="0"/>
                          <a:ext cx="7686675" cy="1193800"/>
                        </a:xfrm>
                        <a:prstGeom prst="rect">
                          <a:avLst/>
                        </a:prstGeom>
                        <a:noFill/>
                        <a:ln w="6350">
                          <a:noFill/>
                        </a:ln>
                      </wps:spPr>
                      <wps:txbx>
                        <w:txbxContent>
                          <w:p w14:paraId="2AAAD49F" w14:textId="77777777" w:rsidR="005E6FB1" w:rsidRPr="00963AB9" w:rsidRDefault="005E6FB1" w:rsidP="000507D1">
                            <w:pPr>
                              <w:ind w:left="720"/>
                              <w:jc w:val="center"/>
                              <w:rPr>
                                <w:rFonts w:ascii="Arial" w:hAnsi="Arial" w:cs="Arial"/>
                                <w:b/>
                                <w:bCs/>
                                <w:color w:val="FFFFFF" w:themeColor="background1"/>
                                <w:spacing w:val="20"/>
                                <w:sz w:val="19"/>
                                <w:szCs w:val="19"/>
                              </w:rPr>
                            </w:pPr>
                            <w:r w:rsidRPr="00963AB9">
                              <w:rPr>
                                <w:rFonts w:ascii="Arial" w:hAnsi="Arial" w:cs="Arial"/>
                                <w:b/>
                                <w:bCs/>
                                <w:color w:val="FFFFFF" w:themeColor="background1"/>
                                <w:spacing w:val="20"/>
                                <w:sz w:val="19"/>
                                <w:szCs w:val="19"/>
                              </w:rPr>
                              <w:t>MASSACHUSETTS DEPARTMENT OF PUBLIC HEALTH</w:t>
                            </w:r>
                          </w:p>
                          <w:p w14:paraId="6D3F45A2" w14:textId="46A0C345" w:rsidR="005E6FB1" w:rsidRPr="009023CA" w:rsidRDefault="005E6FB1" w:rsidP="001F5CF8">
                            <w:pPr>
                              <w:ind w:left="720" w:firstLine="720"/>
                              <w:jc w:val="center"/>
                              <w:rPr>
                                <w:rFonts w:ascii="Georgia" w:hAnsi="Georgia" w:cs="Arial"/>
                                <w:b/>
                                <w:bCs/>
                                <w:color w:val="FFFFFF" w:themeColor="background1"/>
                                <w:sz w:val="40"/>
                                <w:szCs w:val="40"/>
                              </w:rPr>
                            </w:pPr>
                            <w:r w:rsidRPr="00963AB9">
                              <w:rPr>
                                <w:rFonts w:ascii="Georgia" w:hAnsi="Georgia" w:cs="Arial"/>
                                <w:b/>
                                <w:bCs/>
                                <w:color w:val="FFFFFF" w:themeColor="background1"/>
                                <w:sz w:val="40"/>
                                <w:szCs w:val="40"/>
                              </w:rPr>
                              <w:t xml:space="preserve">2020 Annual </w:t>
                            </w:r>
                            <w:r>
                              <w:rPr>
                                <w:rFonts w:ascii="Georgia" w:hAnsi="Georgia" w:cs="Arial"/>
                                <w:b/>
                                <w:bCs/>
                                <w:color w:val="FFFFFF" w:themeColor="background1"/>
                                <w:sz w:val="40"/>
                                <w:szCs w:val="40"/>
                              </w:rPr>
                              <w:t xml:space="preserve">Childhood Lead Poisoning </w:t>
                            </w:r>
                            <w:r w:rsidRPr="00963AB9">
                              <w:rPr>
                                <w:rFonts w:ascii="Georgia" w:hAnsi="Georgia" w:cs="Arial"/>
                                <w:b/>
                                <w:bCs/>
                                <w:color w:val="FFFFFF" w:themeColor="background1"/>
                                <w:sz w:val="40"/>
                                <w:szCs w:val="40"/>
                              </w:rPr>
                              <w:t>Surveillance Report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shapetype w14:anchorId="414D6B2F" id="_x0000_t202" coordsize="21600,21600" o:spt="202" path="m,l,21600r21600,l21600,xe">
                <v:stroke joinstyle="miter"/>
                <v:path gradientshapeok="t" o:connecttype="rect"/>
              </v:shapetype>
              <v:shape id="_x0000_s1026" type="#_x0000_t202" style="position:absolute;margin-left:3pt;margin-top:-21.5pt;width:605.25pt;height:94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" filled="f" stroked="f" strokeweight=".5pt">
                <v:textbox>
                  <w:txbxContent>
                    <w:p w14:paraId="2AAAD49F" w14:textId="77777777" w:rsidR="005E6FB1" w:rsidRPr="00963AB9" w:rsidRDefault="005E6FB1" w:rsidP="000507D1">
                      <w:pPr>
                        <w:ind w:left="720"/>
                        <w:jc w:val="center"/>
                        <w:rPr>
                          <w:rFonts w:ascii="Arial" w:hAnsi="Arial" w:cs="Arial"/>
                          <w:b/>
                          <w:bCs/>
                          <w:color w:val="FFFFFF" w:themeColor="background1"/>
                          <w:spacing w:val="20"/>
                          <w:sz w:val="19"/>
                          <w:szCs w:val="19"/>
                        </w:rPr>
                      </w:pPr>
                      <w:r w:rsidRPr="00963AB9">
                        <w:rPr>
                          <w:rFonts w:ascii="Arial" w:hAnsi="Arial" w:cs="Arial"/>
                          <w:b/>
                          <w:bCs/>
                          <w:color w:val="FFFFFF" w:themeColor="background1"/>
                          <w:spacing w:val="20"/>
                          <w:sz w:val="19"/>
                          <w:szCs w:val="19"/>
                        </w:rPr>
                        <w:t>MASSACHUSETTS DEPARTMENT OF PUBLIC HEALTH</w:t>
                      </w:r>
                    </w:p>
                    <w:p w14:paraId="6D3F45A2" w14:textId="46A0C345" w:rsidR="005E6FB1" w:rsidRPr="009023CA" w:rsidRDefault="005E6FB1" w:rsidP="001F5CF8">
                      <w:pPr>
                        <w:ind w:left="720" w:firstLine="720"/>
                        <w:jc w:val="center"/>
                        <w:rPr>
                          <w:rFonts w:ascii="Georgia" w:hAnsi="Georgia" w:cs="Arial"/>
                          <w:b/>
                          <w:bCs/>
                          <w:color w:val="FFFFFF" w:themeColor="background1"/>
                          <w:sz w:val="40"/>
                          <w:szCs w:val="40"/>
                        </w:rPr>
                      </w:pPr>
                      <w:r w:rsidRPr="00963AB9">
                        <w:rPr>
                          <w:rFonts w:ascii="Georgia" w:hAnsi="Georgia" w:cs="Arial"/>
                          <w:b/>
                          <w:bCs/>
                          <w:color w:val="FFFFFF" w:themeColor="background1"/>
                          <w:sz w:val="40"/>
                          <w:szCs w:val="40"/>
                        </w:rPr>
                        <w:t xml:space="preserve">2020 Annual </w:t>
                      </w:r>
                      <w:r>
                        <w:rPr>
                          <w:rFonts w:ascii="Georgia" w:hAnsi="Georgia" w:cs="Arial"/>
                          <w:b/>
                          <w:bCs/>
                          <w:color w:val="FFFFFF" w:themeColor="background1"/>
                          <w:sz w:val="40"/>
                          <w:szCs w:val="40"/>
                        </w:rPr>
                        <w:t xml:space="preserve">Childhood Lead Poisoning </w:t>
                      </w:r>
                      <w:r w:rsidRPr="00963AB9">
                        <w:rPr>
                          <w:rFonts w:ascii="Georgia" w:hAnsi="Georgia" w:cs="Arial"/>
                          <w:b/>
                          <w:bCs/>
                          <w:color w:val="FFFFFF" w:themeColor="background1"/>
                          <w:sz w:val="40"/>
                          <w:szCs w:val="40"/>
                        </w:rPr>
                        <w:t>Surveillance Report</w:t>
                      </w:r>
                    </w:p>
                  </w:txbxContent>
                </v:textbox>
                <w10:wrap anchorx="page"/>
              </v:shape>
            </w:pict>
          </mc:Fallback>
        </mc:AlternateContent>
      </w:r>
      <w:r w:rsidR="00456790">
        <w:rPr>
          <w:noProof/>
        </w:rPr>
        <mc:AlternateContent>
          <mc:Choice Requires="wps">
            <w:drawing>
              <wp:anchor distT="0" distB="0" distL="114300" distR="114300" simplePos="0" relativeHeight="251656192" behindDoc="0" locked="0" layoutInCell="1" allowOverlap="1" wp14:anchorId="5B7F78DD" wp14:editId="462CEBFD">
                <wp:simplePos x="0" y="0"/>
                <wp:positionH relativeFrom="page">
                  <wp:posOffset>-112143</wp:posOffset>
                </wp:positionH>
                <wp:positionV relativeFrom="paragraph">
                  <wp:posOffset>-897147</wp:posOffset>
                </wp:positionV>
                <wp:extent cx="7884543" cy="1836752"/>
                <wp:effectExtent l="0" t="0" r="21590" b="11430"/>
                <wp:wrapNone/>
                <wp:docPr id="1" name="Rectangle 1"/>
                <wp:cNvGraphicFramePr/>
                <a:graphic xmlns:a="http://schemas.openxmlformats.org/drawingml/2006/main">
                  <a:graphicData uri="http://schemas.microsoft.com/office/word/2010/wordprocessingShape">
                    <wps:wsp>
                      <wps:cNvSpPr/>
                      <wps:spPr>
                        <a:xfrm>
                          <a:off x="0" y="0"/>
                          <a:ext cx="7884543" cy="1836752"/>
                        </a:xfrm>
                        <a:prstGeom prst="rect">
                          <a:avLst/>
                        </a:prstGeom>
                        <a:solidFill>
                          <a:srgbClr val="27415F"/>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rect w14:anchorId="4337C029" id="Rectangle 1" o:spid="_x0000_s1026" style="position:absolute;margin-left:-8.85pt;margin-top:-70.65pt;width:620.85pt;height:144.6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" fillcolor="#27415f" strokecolor="#1f3763 [1604]" strokeweight="1pt">
                <w10:wrap anchorx="page"/>
              </v:rect>
            </w:pict>
          </mc:Fallback>
        </mc:AlternateContent>
      </w:r>
      <w:r w:rsidR="009023CA">
        <w:rPr>
          <w:noProof/>
        </w:rPr>
        <w:drawing>
          <wp:anchor distT="0" distB="0" distL="114300" distR="114300" simplePos="0" relativeHeight="251703296" behindDoc="0" locked="0" layoutInCell="1" allowOverlap="1" wp14:anchorId="6FC3645B" wp14:editId="6520D530">
            <wp:simplePos x="0" y="0"/>
            <wp:positionH relativeFrom="column">
              <wp:posOffset>-123825</wp:posOffset>
            </wp:positionH>
            <wp:positionV relativeFrom="page">
              <wp:posOffset>200025</wp:posOffset>
            </wp:positionV>
            <wp:extent cx="1019175" cy="1033145"/>
            <wp:effectExtent l="0" t="0" r="9525" b="0"/>
            <wp:wrapThrough wrapText="bothSides">
              <wp:wrapPolygon edited="0">
                <wp:start x="7671" y="0"/>
                <wp:lineTo x="4441" y="1195"/>
                <wp:lineTo x="0" y="5178"/>
                <wp:lineTo x="0" y="13541"/>
                <wp:lineTo x="404" y="15533"/>
                <wp:lineTo x="3230" y="19117"/>
                <wp:lineTo x="3230" y="19516"/>
                <wp:lineTo x="7267" y="21109"/>
                <wp:lineTo x="8479" y="21109"/>
                <wp:lineTo x="12516" y="21109"/>
                <wp:lineTo x="14131" y="21109"/>
                <wp:lineTo x="18168" y="19516"/>
                <wp:lineTo x="17764" y="19117"/>
                <wp:lineTo x="20591" y="15931"/>
                <wp:lineTo x="21398" y="13541"/>
                <wp:lineTo x="21398" y="4779"/>
                <wp:lineTo x="16150" y="398"/>
                <wp:lineTo x="13727" y="0"/>
                <wp:lineTo x="7671"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PHLogo_K.eps"/>
                    <pic:cNvPicPr/>
                  </pic:nvPicPr>
                  <pic:blipFill>
                    <a:blip r:embed="rId8">
                      <a:lum bright="70000" contrast="-69000"/>
                      <a:extLst>
                        <a:ext uri="{28A0092B-C50C-407E-A947-70E740481C1C}">
                          <a14:useLocalDpi xmlns:a14="http://schemas.microsoft.com/office/drawing/2010/main" val="0"/>
                        </a:ext>
                      </a:extLst>
                    </a:blip>
                    <a:stretch>
                      <a:fillRect/>
                    </a:stretch>
                  </pic:blipFill>
                  <pic:spPr>
                    <a:xfrm>
                      <a:off x="0" y="0"/>
                      <a:ext cx="1019175" cy="1033145"/>
                    </a:xfrm>
                    <a:prstGeom prst="rect">
                      <a:avLst/>
                    </a:prstGeom>
                    <a:noFill/>
                  </pic:spPr>
                </pic:pic>
              </a:graphicData>
            </a:graphic>
            <wp14:sizeRelH relativeFrom="page">
              <wp14:pctWidth>0</wp14:pctWidth>
            </wp14:sizeRelH>
            <wp14:sizeRelV relativeFrom="page">
              <wp14:pctHeight>0</wp14:pctHeight>
            </wp14:sizeRelV>
          </wp:anchor>
        </w:drawing>
      </w:r>
      <w:proofErr w:type="spellStart"/>
      <w:r w:rsidR="00B31DAD">
        <w:t>unconf</w:t>
      </w:r>
      <w:proofErr w:type="spellEnd"/>
    </w:p>
    <w:p w14:paraId="499B28E1" w14:textId="535F1D4A" w:rsidR="00254147" w:rsidRDefault="00254147"/>
    <w:p w14:paraId="012D7CEE" w14:textId="2A8CB8A0" w:rsidR="00456790" w:rsidRPr="00FF5573" w:rsidRDefault="00456790" w:rsidP="00456790">
      <w:pPr>
        <w:rPr>
          <w:sz w:val="20"/>
          <w:szCs w:val="20"/>
        </w:rPr>
        <w:sectPr w:rsidR="00456790" w:rsidRPr="00FF5573" w:rsidSect="00C64F89">
          <w:footerReference w:type="default" r:id="rId9"/>
          <w:pgSz w:w="12240" w:h="15840"/>
          <w:pgMar w:top="720" w:right="720" w:bottom="720" w:left="720" w:header="720" w:footer="720" w:gutter="0"/>
          <w:cols w:space="720"/>
          <w:docGrid w:linePitch="360"/>
        </w:sectPr>
      </w:pPr>
    </w:p>
    <w:p w14:paraId="3D6270AC" w14:textId="00A2117B" w:rsidR="00D574A2" w:rsidRPr="00D574A2" w:rsidRDefault="001675FA" w:rsidP="00350445">
      <w:pPr>
        <w:spacing w:after="240" w:line="240" w:lineRule="auto"/>
        <w:rPr>
          <w:rFonts w:ascii="Arial" w:hAnsi="Arial" w:cs="Arial"/>
        </w:rPr>
      </w:pPr>
      <w:r w:rsidRPr="00ED3E99">
        <w:rPr>
          <w:b/>
          <w:noProof/>
        </w:rPr>
        <mc:AlternateContent>
          <mc:Choice Requires="wps">
            <w:drawing>
              <wp:anchor distT="45720" distB="45720" distL="114300" distR="114300" simplePos="0" relativeHeight="251758592" behindDoc="0" locked="0" layoutInCell="1" allowOverlap="1" wp14:anchorId="1179668E" wp14:editId="0E5C68B8">
                <wp:simplePos x="0" y="0"/>
                <wp:positionH relativeFrom="page">
                  <wp:align>left</wp:align>
                </wp:positionH>
                <wp:positionV relativeFrom="paragraph">
                  <wp:posOffset>381000</wp:posOffset>
                </wp:positionV>
                <wp:extent cx="7769860" cy="4121150"/>
                <wp:effectExtent l="0" t="0" r="2540" b="0"/>
                <wp:wrapThrough wrapText="bothSides">
                  <wp:wrapPolygon edited="0">
                    <wp:start x="0" y="0"/>
                    <wp:lineTo x="0" y="21467"/>
                    <wp:lineTo x="21554" y="21467"/>
                    <wp:lineTo x="21554" y="0"/>
                    <wp:lineTo x="0" y="0"/>
                  </wp:wrapPolygon>
                </wp:wrapThrough>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69860" cy="4121150"/>
                        </a:xfrm>
                        <a:prstGeom prst="rect">
                          <a:avLst/>
                        </a:prstGeom>
                        <a:solidFill>
                          <a:srgbClr val="B5C9E1"/>
                        </a:solidFill>
                        <a:ln w="9525">
                          <a:noFill/>
                          <a:miter lim="800000"/>
                          <a:headEnd/>
                          <a:tailEnd/>
                        </a:ln>
                      </wps:spPr>
                      <wps:txbx>
                        <w:txbxContent>
                          <w:p w14:paraId="156C5C8F" w14:textId="7320ADAC" w:rsidR="005E6FB1" w:rsidRPr="001675FA" w:rsidRDefault="005E6FB1" w:rsidP="001675FA">
                            <w:pPr>
                              <w:spacing w:before="120" w:after="0" w:line="240" w:lineRule="auto"/>
                              <w:jc w:val="center"/>
                              <w:rPr>
                                <w:rFonts w:ascii="Arial" w:hAnsi="Arial" w:cs="Arial"/>
                                <w:b/>
                                <w:bCs/>
                                <w:color w:val="27415F"/>
                                <w:sz w:val="24"/>
                                <w:szCs w:val="24"/>
                              </w:rPr>
                            </w:pPr>
                            <w:r w:rsidRPr="001675FA">
                              <w:rPr>
                                <w:rFonts w:ascii="Arial" w:hAnsi="Arial" w:cs="Arial"/>
                                <w:b/>
                                <w:bCs/>
                                <w:color w:val="27415F"/>
                                <w:sz w:val="24"/>
                                <w:szCs w:val="24"/>
                              </w:rPr>
                              <w:t>Highlights</w:t>
                            </w:r>
                          </w:p>
                          <w:p w14:paraId="78BC4682" w14:textId="3EE5B56F" w:rsidR="005E6FB1" w:rsidRPr="00831C0C" w:rsidRDefault="005E6FB1" w:rsidP="00831C0C">
                            <w:pPr>
                              <w:pStyle w:val="ListParagraph"/>
                              <w:numPr>
                                <w:ilvl w:val="0"/>
                                <w:numId w:val="18"/>
                              </w:numPr>
                              <w:spacing w:before="120" w:after="0" w:line="240" w:lineRule="auto"/>
                              <w:ind w:left="1440" w:right="1440"/>
                              <w:rPr>
                                <w:rFonts w:ascii="Arial" w:hAnsi="Arial" w:cs="Arial"/>
                                <w:color w:val="27415F"/>
                              </w:rPr>
                            </w:pPr>
                            <w:r w:rsidRPr="00831C0C">
                              <w:rPr>
                                <w:rFonts w:ascii="Arial" w:hAnsi="Arial" w:cs="Arial"/>
                                <w:color w:val="27415F"/>
                              </w:rPr>
                              <w:t>Lead paint is the primary source of childhood lead exposure and Massachusetts has the 3rd oldest housing stock in the country, making lead exposure a significant health risk for Massachusetts children.</w:t>
                            </w:r>
                          </w:p>
                          <w:p w14:paraId="16658970" w14:textId="77777777" w:rsidR="005E6FB1" w:rsidRPr="00831C0C" w:rsidRDefault="005E6FB1" w:rsidP="00831C0C">
                            <w:pPr>
                              <w:pStyle w:val="ListParagraph"/>
                              <w:spacing w:before="240" w:after="0" w:line="120" w:lineRule="auto"/>
                              <w:ind w:left="1440" w:right="1440"/>
                              <w:rPr>
                                <w:rFonts w:ascii="Arial" w:hAnsi="Arial" w:cs="Arial"/>
                                <w:color w:val="27415F"/>
                              </w:rPr>
                            </w:pPr>
                          </w:p>
                          <w:p w14:paraId="3B8AEAA2" w14:textId="7A727589" w:rsidR="005E6FB1" w:rsidRPr="00831C0C" w:rsidRDefault="005E6FB1" w:rsidP="00831C0C">
                            <w:pPr>
                              <w:pStyle w:val="ListParagraph"/>
                              <w:numPr>
                                <w:ilvl w:val="0"/>
                                <w:numId w:val="18"/>
                              </w:numPr>
                              <w:spacing w:before="240" w:after="0"/>
                              <w:ind w:left="1440" w:right="1440"/>
                              <w:rPr>
                                <w:rFonts w:ascii="Arial" w:hAnsi="Arial" w:cs="Arial"/>
                                <w:color w:val="27415F"/>
                              </w:rPr>
                            </w:pPr>
                            <w:r w:rsidRPr="00831C0C">
                              <w:rPr>
                                <w:rFonts w:ascii="Arial" w:hAnsi="Arial" w:cs="Arial"/>
                                <w:color w:val="27415F"/>
                              </w:rPr>
                              <w:t>420 children were identified as having lead poisoning in 2020, a venous BLL ≥ 10 µg/dL, and 1,880 children were estimated to have a BLL ≥ 5 µg/dL</w:t>
                            </w:r>
                            <w:r w:rsidRPr="00831C0C">
                              <w:rPr>
                                <w:rFonts w:ascii="Arial" w:hAnsi="Arial" w:cs="Arial"/>
                                <w:b/>
                                <w:bCs/>
                                <w:color w:val="27415F"/>
                              </w:rPr>
                              <w:t xml:space="preserve">. </w:t>
                            </w:r>
                          </w:p>
                          <w:p w14:paraId="4AD0C2FB" w14:textId="77777777" w:rsidR="005E6FB1" w:rsidRPr="00831C0C" w:rsidRDefault="005E6FB1" w:rsidP="00831C0C">
                            <w:pPr>
                              <w:pStyle w:val="ListParagraph"/>
                              <w:spacing w:before="240" w:line="120" w:lineRule="auto"/>
                              <w:ind w:left="1440" w:right="1440"/>
                              <w:rPr>
                                <w:rFonts w:ascii="Arial" w:hAnsi="Arial" w:cs="Arial"/>
                                <w:color w:val="27415F"/>
                              </w:rPr>
                            </w:pPr>
                          </w:p>
                          <w:p w14:paraId="2070994B" w14:textId="50A45153" w:rsidR="005E6FB1" w:rsidRPr="00831C0C" w:rsidRDefault="005E6FB1" w:rsidP="00831C0C">
                            <w:pPr>
                              <w:pStyle w:val="ListParagraph"/>
                              <w:numPr>
                                <w:ilvl w:val="0"/>
                                <w:numId w:val="18"/>
                              </w:numPr>
                              <w:spacing w:before="240" w:line="276" w:lineRule="auto"/>
                              <w:ind w:left="1440" w:right="1440"/>
                              <w:rPr>
                                <w:rFonts w:ascii="Arial" w:hAnsi="Arial" w:cs="Arial"/>
                                <w:color w:val="27415F"/>
                              </w:rPr>
                            </w:pPr>
                            <w:r w:rsidRPr="00831C0C">
                              <w:rPr>
                                <w:rFonts w:ascii="Arial" w:hAnsi="Arial" w:cs="Arial"/>
                                <w:color w:val="27415F"/>
                              </w:rPr>
                              <w:t>Due to impacts from the COVID-19 pandemic, lead screening was down 10% for the year in 2020 and the prevalence of lead poisoning increased.</w:t>
                            </w:r>
                          </w:p>
                          <w:p w14:paraId="34EE00DC" w14:textId="77777777" w:rsidR="005E6FB1" w:rsidRPr="00831C0C" w:rsidRDefault="005E6FB1" w:rsidP="00831C0C">
                            <w:pPr>
                              <w:pStyle w:val="ListParagraph"/>
                              <w:spacing w:before="240" w:line="120" w:lineRule="auto"/>
                              <w:ind w:left="1440" w:right="1440"/>
                              <w:rPr>
                                <w:rFonts w:ascii="Arial" w:hAnsi="Arial" w:cs="Arial"/>
                                <w:color w:val="27415F"/>
                              </w:rPr>
                            </w:pPr>
                          </w:p>
                          <w:p w14:paraId="0C91BA0F" w14:textId="39144322" w:rsidR="005E6FB1" w:rsidRPr="00831C0C" w:rsidRDefault="005E6FB1" w:rsidP="00831C0C">
                            <w:pPr>
                              <w:pStyle w:val="ListParagraph"/>
                              <w:numPr>
                                <w:ilvl w:val="0"/>
                                <w:numId w:val="18"/>
                              </w:numPr>
                              <w:spacing w:before="240" w:line="276" w:lineRule="auto"/>
                              <w:ind w:left="1440" w:right="1440"/>
                              <w:rPr>
                                <w:rFonts w:ascii="Arial" w:hAnsi="Arial" w:cs="Arial"/>
                                <w:color w:val="27415F"/>
                              </w:rPr>
                            </w:pPr>
                            <w:r w:rsidRPr="00831C0C">
                              <w:rPr>
                                <w:rFonts w:ascii="Arial" w:hAnsi="Arial" w:cs="Arial"/>
                                <w:color w:val="27415F"/>
                              </w:rPr>
                              <w:t>In 2020, 17 high-risk communities were identified, representing more than half of lead poisoning cases.</w:t>
                            </w:r>
                          </w:p>
                          <w:p w14:paraId="7DCEADC4" w14:textId="77777777" w:rsidR="005E6FB1" w:rsidRPr="00831C0C" w:rsidRDefault="005E6FB1" w:rsidP="00831C0C">
                            <w:pPr>
                              <w:pStyle w:val="ListParagraph"/>
                              <w:spacing w:before="240" w:line="120" w:lineRule="auto"/>
                              <w:ind w:left="1440" w:right="1440"/>
                              <w:rPr>
                                <w:rFonts w:ascii="Arial" w:hAnsi="Arial" w:cs="Arial"/>
                                <w:color w:val="27415F"/>
                              </w:rPr>
                            </w:pPr>
                          </w:p>
                          <w:p w14:paraId="36562FDE" w14:textId="1CC64841" w:rsidR="005E6FB1" w:rsidRPr="00831C0C" w:rsidRDefault="005E6FB1" w:rsidP="00831C0C">
                            <w:pPr>
                              <w:pStyle w:val="ListParagraph"/>
                              <w:numPr>
                                <w:ilvl w:val="0"/>
                                <w:numId w:val="18"/>
                              </w:numPr>
                              <w:spacing w:before="240" w:line="276" w:lineRule="auto"/>
                              <w:ind w:left="1440" w:right="1440"/>
                              <w:rPr>
                                <w:rFonts w:ascii="Arial" w:hAnsi="Arial" w:cs="Arial"/>
                                <w:color w:val="27415F"/>
                              </w:rPr>
                            </w:pPr>
                            <w:r w:rsidRPr="00831C0C">
                              <w:rPr>
                                <w:rFonts w:ascii="Arial" w:hAnsi="Arial" w:cs="Arial"/>
                                <w:color w:val="27415F"/>
                              </w:rPr>
                              <w:t>Lead exposure is more than an urban issue, impacting all areas of the state, including rural areas where the prevalence of elevated BLLs is often higher per capita.</w:t>
                            </w:r>
                          </w:p>
                          <w:p w14:paraId="7CE6F2C2" w14:textId="77777777" w:rsidR="005E6FB1" w:rsidRPr="00831C0C" w:rsidRDefault="005E6FB1" w:rsidP="00831C0C">
                            <w:pPr>
                              <w:pStyle w:val="ListParagraph"/>
                              <w:spacing w:before="240" w:line="120" w:lineRule="auto"/>
                              <w:ind w:left="1440" w:right="1440"/>
                              <w:rPr>
                                <w:rFonts w:ascii="Arial" w:hAnsi="Arial" w:cs="Arial"/>
                                <w:color w:val="27415F"/>
                              </w:rPr>
                            </w:pPr>
                          </w:p>
                          <w:p w14:paraId="26879DD6" w14:textId="344DB56A" w:rsidR="005E6FB1" w:rsidRPr="00831C0C" w:rsidRDefault="005E6FB1" w:rsidP="00831C0C">
                            <w:pPr>
                              <w:pStyle w:val="ListParagraph"/>
                              <w:numPr>
                                <w:ilvl w:val="0"/>
                                <w:numId w:val="18"/>
                              </w:numPr>
                              <w:spacing w:before="240" w:line="276" w:lineRule="auto"/>
                              <w:ind w:left="1440" w:right="1440"/>
                              <w:rPr>
                                <w:rFonts w:ascii="Arial" w:hAnsi="Arial" w:cs="Arial"/>
                                <w:color w:val="27415F"/>
                              </w:rPr>
                            </w:pPr>
                            <w:r w:rsidRPr="00831C0C">
                              <w:rPr>
                                <w:rFonts w:ascii="Arial" w:hAnsi="Arial" w:cs="Arial"/>
                                <w:color w:val="27415F"/>
                              </w:rPr>
                              <w:t>Children living in low-income communities are nearly 4 times more likely to have elevated BLLs than those in high-income communities.</w:t>
                            </w:r>
                          </w:p>
                          <w:p w14:paraId="2FACB852" w14:textId="77777777" w:rsidR="005E6FB1" w:rsidRPr="00831C0C" w:rsidRDefault="005E6FB1" w:rsidP="00831C0C">
                            <w:pPr>
                              <w:pStyle w:val="ListParagraph"/>
                              <w:spacing w:line="120" w:lineRule="auto"/>
                              <w:ind w:left="1440" w:right="1440"/>
                              <w:rPr>
                                <w:rFonts w:ascii="Arial" w:hAnsi="Arial" w:cs="Arial"/>
                                <w:color w:val="27415F"/>
                              </w:rPr>
                            </w:pPr>
                          </w:p>
                          <w:p w14:paraId="1FAA228C" w14:textId="672EA0F2" w:rsidR="005E6FB1" w:rsidRPr="00831C0C" w:rsidRDefault="005E6FB1" w:rsidP="00831C0C">
                            <w:pPr>
                              <w:pStyle w:val="ListParagraph"/>
                              <w:numPr>
                                <w:ilvl w:val="0"/>
                                <w:numId w:val="18"/>
                              </w:numPr>
                              <w:spacing w:before="240" w:line="276" w:lineRule="auto"/>
                              <w:ind w:left="1440" w:right="1440"/>
                              <w:rPr>
                                <w:rFonts w:ascii="Arial" w:hAnsi="Arial" w:cs="Arial"/>
                                <w:b/>
                                <w:bCs/>
                                <w:color w:val="27415F"/>
                              </w:rPr>
                            </w:pPr>
                            <w:r w:rsidRPr="00831C0C">
                              <w:rPr>
                                <w:rFonts w:ascii="Arial" w:hAnsi="Arial" w:cs="Arial"/>
                                <w:color w:val="27415F"/>
                              </w:rPr>
                              <w:t>Multi-race children are 3 times more likely to have lead poisoning than white children.</w:t>
                            </w:r>
                          </w:p>
                          <w:p w14:paraId="517BD925" w14:textId="77777777" w:rsidR="005E6FB1" w:rsidRPr="00831C0C" w:rsidRDefault="005E6FB1" w:rsidP="00831C0C">
                            <w:pPr>
                              <w:pStyle w:val="ListParagraph"/>
                              <w:spacing w:line="120" w:lineRule="auto"/>
                              <w:ind w:left="1440" w:right="1440"/>
                              <w:rPr>
                                <w:rFonts w:ascii="Arial" w:hAnsi="Arial" w:cs="Arial"/>
                                <w:b/>
                                <w:bCs/>
                                <w:color w:val="27415F"/>
                              </w:rPr>
                            </w:pPr>
                          </w:p>
                          <w:p w14:paraId="02E16428" w14:textId="4AD2AAB8" w:rsidR="005E6FB1" w:rsidRPr="00831C0C" w:rsidRDefault="005E6FB1" w:rsidP="00831C0C">
                            <w:pPr>
                              <w:pStyle w:val="ListParagraph"/>
                              <w:numPr>
                                <w:ilvl w:val="0"/>
                                <w:numId w:val="18"/>
                              </w:numPr>
                              <w:spacing w:before="240" w:line="276" w:lineRule="auto"/>
                              <w:ind w:left="1440" w:right="1440"/>
                              <w:rPr>
                                <w:rFonts w:ascii="Arial" w:hAnsi="Arial" w:cs="Arial"/>
                                <w:color w:val="27415F"/>
                              </w:rPr>
                            </w:pPr>
                            <w:bookmarkStart w:id="0" w:name="_Hlk83037350"/>
                            <w:bookmarkStart w:id="1" w:name="_Hlk83037351"/>
                            <w:bookmarkStart w:id="2" w:name="_Hlk83037359"/>
                            <w:bookmarkStart w:id="3" w:name="_Hlk83037360"/>
                            <w:bookmarkStart w:id="4" w:name="_Hlk83037361"/>
                            <w:bookmarkStart w:id="5" w:name="_Hlk83037362"/>
                            <w:r w:rsidRPr="00831C0C">
                              <w:rPr>
                                <w:rFonts w:ascii="Arial" w:hAnsi="Arial" w:cs="Arial"/>
                                <w:color w:val="27415F"/>
                              </w:rPr>
                              <w:t>To address health inequities and the impacts of the COVID-19 pandemic on childhood lead exposure, the CLPPP is targeting expanded outreach to high-risk populations and family care practitioners.</w:t>
                            </w:r>
                            <w:bookmarkEnd w:id="0"/>
                            <w:bookmarkEnd w:id="1"/>
                            <w:bookmarkEnd w:id="2"/>
                            <w:bookmarkEnd w:id="3"/>
                            <w:bookmarkEnd w:id="4"/>
                            <w:bookmarkEnd w:id="5"/>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shape w14:anchorId="1179668E" id="_x0000_s1027" type="#_x0000_t202" style="position:absolute;margin-left:0;margin-top:30pt;width:611.8pt;height:324.5pt;z-index:251758592;visibility:visible;mso-wrap-style:square;mso-width-percent:0;mso-height-percent:0;mso-wrap-distance-left:9pt;mso-wrap-distance-top:3.6pt;mso-wrap-distance-right:9pt;mso-wrap-distance-bottom:3.6pt;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" fillcolor="#b5c9e1" stroked="f">
                <v:textbox>
                  <w:txbxContent>
                    <w:p w14:paraId="156C5C8F" w14:textId="7320ADAC" w:rsidR="005E6FB1" w:rsidRPr="001675FA" w:rsidRDefault="005E6FB1" w:rsidP="001675FA">
                      <w:pPr>
                        <w:spacing w:before="120" w:after="0" w:line="240" w:lineRule="auto"/>
                        <w:jc w:val="center"/>
                        <w:rPr>
                          <w:rFonts w:ascii="Arial" w:hAnsi="Arial" w:cs="Arial"/>
                          <w:b/>
                          <w:bCs/>
                          <w:color w:val="27415F"/>
                          <w:sz w:val="24"/>
                          <w:szCs w:val="24"/>
                        </w:rPr>
                      </w:pPr>
                      <w:r w:rsidRPr="001675FA">
                        <w:rPr>
                          <w:rFonts w:ascii="Arial" w:hAnsi="Arial" w:cs="Arial"/>
                          <w:b/>
                          <w:bCs/>
                          <w:color w:val="27415F"/>
                          <w:sz w:val="24"/>
                          <w:szCs w:val="24"/>
                        </w:rPr>
                        <w:t>Highlights</w:t>
                      </w:r>
                    </w:p>
                    <w:p w14:paraId="78BC4682" w14:textId="3EE5B56F" w:rsidR="005E6FB1" w:rsidRPr="00831C0C" w:rsidRDefault="005E6FB1" w:rsidP="00831C0C">
                      <w:pPr>
                        <w:pStyle w:val="ListParagraph"/>
                        <w:numPr>
                          <w:ilvl w:val="0"/>
                          <w:numId w:val="18"/>
                        </w:numPr>
                        <w:spacing w:before="120" w:after="0" w:line="240" w:lineRule="auto"/>
                        <w:ind w:left="1440" w:right="1440"/>
                        <w:rPr>
                          <w:rFonts w:ascii="Arial" w:hAnsi="Arial" w:cs="Arial"/>
                          <w:color w:val="27415F"/>
                        </w:rPr>
                      </w:pPr>
                      <w:r w:rsidRPr="00831C0C">
                        <w:rPr>
                          <w:rFonts w:ascii="Arial" w:hAnsi="Arial" w:cs="Arial"/>
                          <w:color w:val="27415F"/>
                        </w:rPr>
                        <w:t>Lead paint is the primary source of childhood lead exposure and Massachusetts has the 3rd oldest housing stock in the country, making lead exposure a significant health risk for Massachusetts children.</w:t>
                      </w:r>
                    </w:p>
                    <w:p w14:paraId="16658970" w14:textId="77777777" w:rsidR="005E6FB1" w:rsidRPr="00831C0C" w:rsidRDefault="005E6FB1" w:rsidP="00831C0C">
                      <w:pPr>
                        <w:pStyle w:val="ListParagraph"/>
                        <w:spacing w:before="240" w:after="0" w:line="120" w:lineRule="auto"/>
                        <w:ind w:left="1440" w:right="1440"/>
                        <w:rPr>
                          <w:rFonts w:ascii="Arial" w:hAnsi="Arial" w:cs="Arial"/>
                          <w:color w:val="27415F"/>
                        </w:rPr>
                      </w:pPr>
                    </w:p>
                    <w:p w14:paraId="3B8AEAA2" w14:textId="7A727589" w:rsidR="005E6FB1" w:rsidRPr="00831C0C" w:rsidRDefault="005E6FB1" w:rsidP="00831C0C">
                      <w:pPr>
                        <w:pStyle w:val="ListParagraph"/>
                        <w:numPr>
                          <w:ilvl w:val="0"/>
                          <w:numId w:val="18"/>
                        </w:numPr>
                        <w:spacing w:before="240" w:after="0"/>
                        <w:ind w:left="1440" w:right="1440"/>
                        <w:rPr>
                          <w:rFonts w:ascii="Arial" w:hAnsi="Arial" w:cs="Arial"/>
                          <w:color w:val="27415F"/>
                        </w:rPr>
                      </w:pPr>
                      <w:r w:rsidRPr="00831C0C">
                        <w:rPr>
                          <w:rFonts w:ascii="Arial" w:hAnsi="Arial" w:cs="Arial"/>
                          <w:color w:val="27415F"/>
                        </w:rPr>
                        <w:t>420 children were identified as having lead poisoning in 2020, a venous BLL ≥ 10 µg/dL, and 1,880 children were estimated to have a BLL ≥ 5 µg/dL</w:t>
                      </w:r>
                      <w:r w:rsidRPr="00831C0C">
                        <w:rPr>
                          <w:rFonts w:ascii="Arial" w:hAnsi="Arial" w:cs="Arial"/>
                          <w:b/>
                          <w:bCs/>
                          <w:color w:val="27415F"/>
                        </w:rPr>
                        <w:t xml:space="preserve">. </w:t>
                      </w:r>
                    </w:p>
                    <w:p w14:paraId="4AD0C2FB" w14:textId="77777777" w:rsidR="005E6FB1" w:rsidRPr="00831C0C" w:rsidRDefault="005E6FB1" w:rsidP="00831C0C">
                      <w:pPr>
                        <w:pStyle w:val="ListParagraph"/>
                        <w:spacing w:before="240" w:line="120" w:lineRule="auto"/>
                        <w:ind w:left="1440" w:right="1440"/>
                        <w:rPr>
                          <w:rFonts w:ascii="Arial" w:hAnsi="Arial" w:cs="Arial"/>
                          <w:color w:val="27415F"/>
                        </w:rPr>
                      </w:pPr>
                    </w:p>
                    <w:p w14:paraId="2070994B" w14:textId="50A45153" w:rsidR="005E6FB1" w:rsidRPr="00831C0C" w:rsidRDefault="005E6FB1" w:rsidP="00831C0C">
                      <w:pPr>
                        <w:pStyle w:val="ListParagraph"/>
                        <w:numPr>
                          <w:ilvl w:val="0"/>
                          <w:numId w:val="18"/>
                        </w:numPr>
                        <w:spacing w:before="240" w:line="276" w:lineRule="auto"/>
                        <w:ind w:left="1440" w:right="1440"/>
                        <w:rPr>
                          <w:rFonts w:ascii="Arial" w:hAnsi="Arial" w:cs="Arial"/>
                          <w:color w:val="27415F"/>
                        </w:rPr>
                      </w:pPr>
                      <w:r w:rsidRPr="00831C0C">
                        <w:rPr>
                          <w:rFonts w:ascii="Arial" w:hAnsi="Arial" w:cs="Arial"/>
                          <w:color w:val="27415F"/>
                        </w:rPr>
                        <w:t>Due to impacts from the COVID-19 pandemic, lead screening was down 10% for the year in 2020 and the prevalence of lead poisoning increased.</w:t>
                      </w:r>
                    </w:p>
                    <w:p w14:paraId="34EE00DC" w14:textId="77777777" w:rsidR="005E6FB1" w:rsidRPr="00831C0C" w:rsidRDefault="005E6FB1" w:rsidP="00831C0C">
                      <w:pPr>
                        <w:pStyle w:val="ListParagraph"/>
                        <w:spacing w:before="240" w:line="120" w:lineRule="auto"/>
                        <w:ind w:left="1440" w:right="1440"/>
                        <w:rPr>
                          <w:rFonts w:ascii="Arial" w:hAnsi="Arial" w:cs="Arial"/>
                          <w:color w:val="27415F"/>
                        </w:rPr>
                      </w:pPr>
                    </w:p>
                    <w:p w14:paraId="0C91BA0F" w14:textId="39144322" w:rsidR="005E6FB1" w:rsidRPr="00831C0C" w:rsidRDefault="005E6FB1" w:rsidP="00831C0C">
                      <w:pPr>
                        <w:pStyle w:val="ListParagraph"/>
                        <w:numPr>
                          <w:ilvl w:val="0"/>
                          <w:numId w:val="18"/>
                        </w:numPr>
                        <w:spacing w:before="240" w:line="276" w:lineRule="auto"/>
                        <w:ind w:left="1440" w:right="1440"/>
                        <w:rPr>
                          <w:rFonts w:ascii="Arial" w:hAnsi="Arial" w:cs="Arial"/>
                          <w:color w:val="27415F"/>
                        </w:rPr>
                      </w:pPr>
                      <w:r w:rsidRPr="00831C0C">
                        <w:rPr>
                          <w:rFonts w:ascii="Arial" w:hAnsi="Arial" w:cs="Arial"/>
                          <w:color w:val="27415F"/>
                        </w:rPr>
                        <w:t>In 2020, 17 high-risk communities were identified, representing more than half of lead poisoning cases.</w:t>
                      </w:r>
                    </w:p>
                    <w:p w14:paraId="7DCEADC4" w14:textId="77777777" w:rsidR="005E6FB1" w:rsidRPr="00831C0C" w:rsidRDefault="005E6FB1" w:rsidP="00831C0C">
                      <w:pPr>
                        <w:pStyle w:val="ListParagraph"/>
                        <w:spacing w:before="240" w:line="120" w:lineRule="auto"/>
                        <w:ind w:left="1440" w:right="1440"/>
                        <w:rPr>
                          <w:rFonts w:ascii="Arial" w:hAnsi="Arial" w:cs="Arial"/>
                          <w:color w:val="27415F"/>
                        </w:rPr>
                      </w:pPr>
                    </w:p>
                    <w:p w14:paraId="36562FDE" w14:textId="1CC64841" w:rsidR="005E6FB1" w:rsidRPr="00831C0C" w:rsidRDefault="005E6FB1" w:rsidP="00831C0C">
                      <w:pPr>
                        <w:pStyle w:val="ListParagraph"/>
                        <w:numPr>
                          <w:ilvl w:val="0"/>
                          <w:numId w:val="18"/>
                        </w:numPr>
                        <w:spacing w:before="240" w:line="276" w:lineRule="auto"/>
                        <w:ind w:left="1440" w:right="1440"/>
                        <w:rPr>
                          <w:rFonts w:ascii="Arial" w:hAnsi="Arial" w:cs="Arial"/>
                          <w:color w:val="27415F"/>
                        </w:rPr>
                      </w:pPr>
                      <w:r w:rsidRPr="00831C0C">
                        <w:rPr>
                          <w:rFonts w:ascii="Arial" w:hAnsi="Arial" w:cs="Arial"/>
                          <w:color w:val="27415F"/>
                        </w:rPr>
                        <w:t>Lead exposure is more than an urban issue, impacting all areas of the state, including rural areas where the prevalence of elevated BLLs is often higher per capita.</w:t>
                      </w:r>
                    </w:p>
                    <w:p w14:paraId="7CE6F2C2" w14:textId="77777777" w:rsidR="005E6FB1" w:rsidRPr="00831C0C" w:rsidRDefault="005E6FB1" w:rsidP="00831C0C">
                      <w:pPr>
                        <w:pStyle w:val="ListParagraph"/>
                        <w:spacing w:before="240" w:line="120" w:lineRule="auto"/>
                        <w:ind w:left="1440" w:right="1440"/>
                        <w:rPr>
                          <w:rFonts w:ascii="Arial" w:hAnsi="Arial" w:cs="Arial"/>
                          <w:color w:val="27415F"/>
                        </w:rPr>
                      </w:pPr>
                    </w:p>
                    <w:p w14:paraId="26879DD6" w14:textId="344DB56A" w:rsidR="005E6FB1" w:rsidRPr="00831C0C" w:rsidRDefault="005E6FB1" w:rsidP="00831C0C">
                      <w:pPr>
                        <w:pStyle w:val="ListParagraph"/>
                        <w:numPr>
                          <w:ilvl w:val="0"/>
                          <w:numId w:val="18"/>
                        </w:numPr>
                        <w:spacing w:before="240" w:line="276" w:lineRule="auto"/>
                        <w:ind w:left="1440" w:right="1440"/>
                        <w:rPr>
                          <w:rFonts w:ascii="Arial" w:hAnsi="Arial" w:cs="Arial"/>
                          <w:color w:val="27415F"/>
                        </w:rPr>
                      </w:pPr>
                      <w:r w:rsidRPr="00831C0C">
                        <w:rPr>
                          <w:rFonts w:ascii="Arial" w:hAnsi="Arial" w:cs="Arial"/>
                          <w:color w:val="27415F"/>
                        </w:rPr>
                        <w:t>Children living in low-income communities are nearly 4 times more likely to have elevated BLLs than those in high-income communities.</w:t>
                      </w:r>
                    </w:p>
                    <w:p w14:paraId="2FACB852" w14:textId="77777777" w:rsidR="005E6FB1" w:rsidRPr="00831C0C" w:rsidRDefault="005E6FB1" w:rsidP="00831C0C">
                      <w:pPr>
                        <w:pStyle w:val="ListParagraph"/>
                        <w:spacing w:line="120" w:lineRule="auto"/>
                        <w:ind w:left="1440" w:right="1440"/>
                        <w:rPr>
                          <w:rFonts w:ascii="Arial" w:hAnsi="Arial" w:cs="Arial"/>
                          <w:color w:val="27415F"/>
                        </w:rPr>
                      </w:pPr>
                    </w:p>
                    <w:p w14:paraId="1FAA228C" w14:textId="672EA0F2" w:rsidR="005E6FB1" w:rsidRPr="00831C0C" w:rsidRDefault="005E6FB1" w:rsidP="00831C0C">
                      <w:pPr>
                        <w:pStyle w:val="ListParagraph"/>
                        <w:numPr>
                          <w:ilvl w:val="0"/>
                          <w:numId w:val="18"/>
                        </w:numPr>
                        <w:spacing w:before="240" w:line="276" w:lineRule="auto"/>
                        <w:ind w:left="1440" w:right="1440"/>
                        <w:rPr>
                          <w:rFonts w:ascii="Arial" w:hAnsi="Arial" w:cs="Arial"/>
                          <w:b/>
                          <w:bCs/>
                          <w:color w:val="27415F"/>
                        </w:rPr>
                      </w:pPr>
                      <w:r w:rsidRPr="00831C0C">
                        <w:rPr>
                          <w:rFonts w:ascii="Arial" w:hAnsi="Arial" w:cs="Arial"/>
                          <w:color w:val="27415F"/>
                        </w:rPr>
                        <w:t>Multi-race children are 3 times more likely to have lead poisoning than white children.</w:t>
                      </w:r>
                    </w:p>
                    <w:p w14:paraId="517BD925" w14:textId="77777777" w:rsidR="005E6FB1" w:rsidRPr="00831C0C" w:rsidRDefault="005E6FB1" w:rsidP="00831C0C">
                      <w:pPr>
                        <w:pStyle w:val="ListParagraph"/>
                        <w:spacing w:line="120" w:lineRule="auto"/>
                        <w:ind w:left="1440" w:right="1440"/>
                        <w:rPr>
                          <w:rFonts w:ascii="Arial" w:hAnsi="Arial" w:cs="Arial"/>
                          <w:b/>
                          <w:bCs/>
                          <w:color w:val="27415F"/>
                        </w:rPr>
                      </w:pPr>
                    </w:p>
                    <w:p w14:paraId="02E16428" w14:textId="4AD2AAB8" w:rsidR="005E6FB1" w:rsidRPr="00831C0C" w:rsidRDefault="005E6FB1" w:rsidP="00831C0C">
                      <w:pPr>
                        <w:pStyle w:val="ListParagraph"/>
                        <w:numPr>
                          <w:ilvl w:val="0"/>
                          <w:numId w:val="18"/>
                        </w:numPr>
                        <w:spacing w:before="240" w:line="276" w:lineRule="auto"/>
                        <w:ind w:left="1440" w:right="1440"/>
                        <w:rPr>
                          <w:rFonts w:ascii="Arial" w:hAnsi="Arial" w:cs="Arial"/>
                          <w:color w:val="27415F"/>
                        </w:rPr>
                      </w:pPr>
                      <w:bookmarkStart w:id="6" w:name="_Hlk83037350"/>
                      <w:bookmarkStart w:id="7" w:name="_Hlk83037351"/>
                      <w:bookmarkStart w:id="8" w:name="_Hlk83037359"/>
                      <w:bookmarkStart w:id="9" w:name="_Hlk83037360"/>
                      <w:bookmarkStart w:id="10" w:name="_Hlk83037361"/>
                      <w:bookmarkStart w:id="11" w:name="_Hlk83037362"/>
                      <w:r w:rsidRPr="00831C0C">
                        <w:rPr>
                          <w:rFonts w:ascii="Arial" w:hAnsi="Arial" w:cs="Arial"/>
                          <w:color w:val="27415F"/>
                        </w:rPr>
                        <w:t>To address health inequities and the impacts of the COVID-19 pandemic on childhood lead exposure, the CLPPP is targeting expanded outreach to high-risk populations and family care practitioners.</w:t>
                      </w:r>
                      <w:bookmarkEnd w:id="6"/>
                      <w:bookmarkEnd w:id="7"/>
                      <w:bookmarkEnd w:id="8"/>
                      <w:bookmarkEnd w:id="9"/>
                      <w:bookmarkEnd w:id="10"/>
                      <w:bookmarkEnd w:id="11"/>
                    </w:p>
                  </w:txbxContent>
                </v:textbox>
                <w10:wrap type="through" anchorx="page"/>
              </v:shape>
            </w:pict>
          </mc:Fallback>
        </mc:AlternateContent>
      </w:r>
    </w:p>
    <w:p w14:paraId="354E964A" w14:textId="2D297416" w:rsidR="00E03803" w:rsidRPr="00A52DB1" w:rsidRDefault="0051437A" w:rsidP="001675FA">
      <w:pPr>
        <w:pStyle w:val="Heading1"/>
        <w:spacing w:before="360"/>
      </w:pPr>
      <w:r w:rsidRPr="00A52DB1">
        <w:t>BACKGROUND</w:t>
      </w:r>
      <w:r w:rsidR="00493BD0" w:rsidRPr="00A52DB1">
        <w:t xml:space="preserve"> </w:t>
      </w:r>
    </w:p>
    <w:p w14:paraId="0F318C32" w14:textId="6AD1204F" w:rsidR="00456790" w:rsidRPr="00FB109D" w:rsidRDefault="009D1C0D" w:rsidP="006B350D">
      <w:pPr>
        <w:rPr>
          <w:rFonts w:ascii="Arial" w:hAnsi="Arial" w:cs="Arial"/>
          <w:vertAlign w:val="superscript"/>
        </w:rPr>
      </w:pPr>
      <w:r w:rsidRPr="00FB109D">
        <w:rPr>
          <w:rFonts w:ascii="Arial" w:hAnsi="Arial" w:cs="Arial"/>
        </w:rPr>
        <w:t xml:space="preserve">While the Commonwealth has made substantial gains in mitigating the harmful effects of lead exposure through public health interventions over the past 45 years, </w:t>
      </w:r>
      <w:r w:rsidRPr="00FB109D">
        <w:rPr>
          <w:rFonts w:ascii="Arial" w:hAnsi="Arial" w:cs="Arial"/>
          <w:b/>
          <w:bCs/>
        </w:rPr>
        <w:t>lead exposure remains a significant health risk for children across Massachusetts</w:t>
      </w:r>
      <w:r w:rsidRPr="00FB109D">
        <w:rPr>
          <w:rFonts w:ascii="Arial" w:hAnsi="Arial" w:cs="Arial"/>
        </w:rPr>
        <w:t xml:space="preserve">. There is no safe level of </w:t>
      </w:r>
      <w:r w:rsidR="00FC50DE">
        <w:rPr>
          <w:rFonts w:ascii="Arial" w:hAnsi="Arial" w:cs="Arial"/>
        </w:rPr>
        <w:t>lead in blood</w:t>
      </w:r>
      <w:r w:rsidRPr="00FB109D">
        <w:rPr>
          <w:rFonts w:ascii="Arial" w:hAnsi="Arial" w:cs="Arial"/>
        </w:rPr>
        <w:t xml:space="preserve"> and </w:t>
      </w:r>
      <w:r w:rsidRPr="00FB109D">
        <w:rPr>
          <w:rFonts w:ascii="Arial" w:hAnsi="Arial" w:cs="Arial"/>
          <w:b/>
          <w:bCs/>
        </w:rPr>
        <w:t>childhood exposure to relatively low levels can cause severe and irreversible health effects</w:t>
      </w:r>
      <w:r w:rsidR="00E7725C" w:rsidRPr="00E7725C">
        <w:rPr>
          <w:rFonts w:ascii="Arial" w:hAnsi="Arial" w:cs="Arial"/>
          <w:b/>
          <w:bCs/>
          <w:vertAlign w:val="superscript"/>
        </w:rPr>
        <w:t>1</w:t>
      </w:r>
      <w:r w:rsidRPr="00FB109D">
        <w:rPr>
          <w:rFonts w:ascii="Arial" w:hAnsi="Arial" w:cs="Arial"/>
        </w:rPr>
        <w:t>,</w:t>
      </w:r>
      <w:r w:rsidR="00DC1078" w:rsidRPr="00FB109D">
        <w:rPr>
          <w:rFonts w:ascii="Arial" w:hAnsi="Arial" w:cs="Arial"/>
        </w:rPr>
        <w:t xml:space="preserve"> </w:t>
      </w:r>
      <w:r w:rsidRPr="00FB109D">
        <w:rPr>
          <w:rFonts w:ascii="Arial" w:hAnsi="Arial" w:cs="Arial"/>
        </w:rPr>
        <w:t>including damage to a child’s mental and physical development</w:t>
      </w:r>
      <w:r w:rsidR="00E7725C" w:rsidRPr="00E7725C">
        <w:rPr>
          <w:rFonts w:ascii="Arial" w:hAnsi="Arial" w:cs="Arial"/>
          <w:vertAlign w:val="superscript"/>
        </w:rPr>
        <w:t>2</w:t>
      </w:r>
      <w:r w:rsidR="00E7725C">
        <w:rPr>
          <w:rFonts w:ascii="Arial" w:hAnsi="Arial" w:cs="Arial"/>
        </w:rPr>
        <w:t>.</w:t>
      </w:r>
      <w:r w:rsidRPr="00FB109D">
        <w:rPr>
          <w:rFonts w:ascii="Arial" w:hAnsi="Arial" w:cs="Arial"/>
        </w:rPr>
        <w:t xml:space="preserve"> Numerous studies have documented correlations between childhood lead poisoning and future school performance, unemployment, crime, violence, and incarceration, making lead exposure an important </w:t>
      </w:r>
      <w:r w:rsidR="00FC50DE">
        <w:rPr>
          <w:rFonts w:ascii="Arial" w:hAnsi="Arial" w:cs="Arial"/>
        </w:rPr>
        <w:t>factor in</w:t>
      </w:r>
      <w:r w:rsidRPr="00FB109D">
        <w:rPr>
          <w:rFonts w:ascii="Arial" w:hAnsi="Arial" w:cs="Arial"/>
        </w:rPr>
        <w:t xml:space="preserve"> the social determinants of health</w:t>
      </w:r>
      <w:r w:rsidR="00C27014">
        <w:rPr>
          <w:rFonts w:ascii="Arial" w:hAnsi="Arial" w:cs="Arial"/>
          <w:vertAlign w:val="superscript"/>
        </w:rPr>
        <w:t>3,4,5</w:t>
      </w:r>
      <w:r w:rsidRPr="003706D3">
        <w:rPr>
          <w:rFonts w:ascii="Arial" w:hAnsi="Arial" w:cs="Arial"/>
        </w:rPr>
        <w:t>.</w:t>
      </w:r>
      <w:r w:rsidR="00FA25FB" w:rsidRPr="003706D3">
        <w:rPr>
          <w:rFonts w:ascii="Arial" w:hAnsi="Arial" w:cs="Arial"/>
          <w:vertAlign w:val="superscript"/>
        </w:rPr>
        <w:t xml:space="preserve"> </w:t>
      </w:r>
      <w:r w:rsidR="003F4C8A" w:rsidRPr="003706D3">
        <w:rPr>
          <w:rFonts w:ascii="Arial" w:hAnsi="Arial" w:cs="Arial"/>
          <w:bCs/>
        </w:rPr>
        <w:t>Lead</w:t>
      </w:r>
      <w:r w:rsidR="003F4C8A" w:rsidRPr="003706D3">
        <w:rPr>
          <w:rFonts w:ascii="Arial" w:hAnsi="Arial" w:cs="Arial"/>
          <w:bCs/>
          <w:noProof/>
        </w:rPr>
        <w:t xml:space="preserve"> </w:t>
      </w:r>
      <w:r w:rsidR="003F4C8A" w:rsidRPr="003706D3">
        <w:rPr>
          <w:rFonts w:ascii="Arial" w:hAnsi="Arial" w:cs="Arial"/>
          <w:bCs/>
        </w:rPr>
        <w:t>exposure</w:t>
      </w:r>
      <w:r w:rsidR="001D6DF0" w:rsidRPr="003706D3">
        <w:rPr>
          <w:rFonts w:ascii="Arial" w:hAnsi="Arial" w:cs="Arial"/>
          <w:bCs/>
        </w:rPr>
        <w:t xml:space="preserve"> is also a health equity issue, in which social position (</w:t>
      </w:r>
      <w:proofErr w:type="gramStart"/>
      <w:r w:rsidR="001D6DF0" w:rsidRPr="003706D3">
        <w:rPr>
          <w:rFonts w:ascii="Arial" w:hAnsi="Arial" w:cs="Arial"/>
          <w:bCs/>
        </w:rPr>
        <w:t>e.g.</w:t>
      </w:r>
      <w:proofErr w:type="gramEnd"/>
      <w:r w:rsidR="001D6DF0" w:rsidRPr="003706D3">
        <w:rPr>
          <w:rFonts w:ascii="Arial" w:hAnsi="Arial" w:cs="Arial"/>
          <w:bCs/>
        </w:rPr>
        <w:t xml:space="preserve"> socio-economic status) and socially assigned circumstances (e.g. race, ethnicity</w:t>
      </w:r>
      <w:r w:rsidR="001D7272" w:rsidRPr="003706D3">
        <w:rPr>
          <w:rFonts w:ascii="Arial" w:hAnsi="Arial" w:cs="Arial"/>
          <w:bCs/>
        </w:rPr>
        <w:t>,</w:t>
      </w:r>
      <w:r w:rsidR="001D6DF0" w:rsidRPr="003706D3">
        <w:rPr>
          <w:rFonts w:ascii="Arial" w:hAnsi="Arial" w:cs="Arial"/>
          <w:bCs/>
        </w:rPr>
        <w:t xml:space="preserve"> etc.) prevent equal opportunities in attaining one’s full health potential.</w:t>
      </w:r>
      <w:r w:rsidR="003F4C8A" w:rsidRPr="003F4C8A">
        <w:rPr>
          <w:rFonts w:ascii="Arial" w:hAnsi="Arial" w:cs="Arial"/>
          <w:bCs/>
        </w:rPr>
        <w:t xml:space="preserve"> </w:t>
      </w:r>
    </w:p>
    <w:p w14:paraId="3236C0CD" w14:textId="2A1D227D" w:rsidR="00456790" w:rsidRPr="00FB109D" w:rsidRDefault="00456790" w:rsidP="006B350D">
      <w:pPr>
        <w:contextualSpacing/>
        <w:rPr>
          <w:rFonts w:ascii="Arial" w:hAnsi="Arial" w:cs="Arial"/>
          <w:b/>
        </w:rPr>
      </w:pPr>
      <w:r w:rsidRPr="00FB109D">
        <w:rPr>
          <w:rFonts w:ascii="Arial" w:hAnsi="Arial" w:cs="Arial"/>
          <w:b/>
          <w:bCs/>
        </w:rPr>
        <w:t>Lead paint</w:t>
      </w:r>
      <w:r w:rsidRPr="00FB109D">
        <w:rPr>
          <w:rFonts w:ascii="Arial" w:hAnsi="Arial" w:cs="Arial"/>
        </w:rPr>
        <w:t xml:space="preserve"> is the primary </w:t>
      </w:r>
      <w:r w:rsidR="004377AC" w:rsidRPr="00FB109D">
        <w:rPr>
          <w:rFonts w:ascii="Arial" w:hAnsi="Arial" w:cs="Arial"/>
        </w:rPr>
        <w:t>source of exposure for</w:t>
      </w:r>
      <w:r w:rsidRPr="00FB109D">
        <w:rPr>
          <w:rFonts w:ascii="Arial" w:hAnsi="Arial" w:cs="Arial"/>
        </w:rPr>
        <w:t xml:space="preserve"> lead</w:t>
      </w:r>
      <w:r w:rsidR="00810EBA">
        <w:rPr>
          <w:rFonts w:ascii="Arial" w:hAnsi="Arial" w:cs="Arial"/>
        </w:rPr>
        <w:t>-</w:t>
      </w:r>
      <w:r w:rsidRPr="00FB109D">
        <w:rPr>
          <w:rFonts w:ascii="Arial" w:hAnsi="Arial" w:cs="Arial"/>
        </w:rPr>
        <w:t>poisoned</w:t>
      </w:r>
      <w:r w:rsidR="004377AC" w:rsidRPr="00FB109D">
        <w:rPr>
          <w:rFonts w:ascii="Arial" w:hAnsi="Arial" w:cs="Arial"/>
        </w:rPr>
        <w:t xml:space="preserve"> children</w:t>
      </w:r>
      <w:r w:rsidR="00894AF5">
        <w:rPr>
          <w:rFonts w:ascii="Arial" w:hAnsi="Arial" w:cs="Arial"/>
        </w:rPr>
        <w:t xml:space="preserve">. </w:t>
      </w:r>
      <w:r w:rsidR="0001052C" w:rsidRPr="00FB109D">
        <w:rPr>
          <w:rFonts w:ascii="Arial" w:hAnsi="Arial" w:cs="Arial"/>
          <w:b/>
        </w:rPr>
        <w:t>Most often, exposure occurs through ingestion of dust or soil contaminated by loose or deteriorated lead paint</w:t>
      </w:r>
      <w:r w:rsidR="0001052C" w:rsidRPr="00FB109D">
        <w:rPr>
          <w:rFonts w:ascii="Arial" w:hAnsi="Arial" w:cs="Arial"/>
        </w:rPr>
        <w:t>,</w:t>
      </w:r>
      <w:r w:rsidR="0001052C" w:rsidRPr="00FB109D">
        <w:rPr>
          <w:rFonts w:ascii="Arial" w:hAnsi="Arial" w:cs="Arial"/>
          <w:b/>
        </w:rPr>
        <w:t xml:space="preserve"> </w:t>
      </w:r>
      <w:r w:rsidR="0001052C" w:rsidRPr="00FB109D">
        <w:rPr>
          <w:rFonts w:ascii="Arial" w:hAnsi="Arial" w:cs="Arial"/>
        </w:rPr>
        <w:t>frequently on windows and exteriors, or disturbed by unsafe renovation work.</w:t>
      </w:r>
      <w:r w:rsidR="0001052C">
        <w:rPr>
          <w:rFonts w:ascii="Arial" w:hAnsi="Arial" w:cs="Arial"/>
        </w:rPr>
        <w:t xml:space="preserve"> </w:t>
      </w:r>
      <w:r w:rsidR="00894AF5">
        <w:rPr>
          <w:rFonts w:ascii="Arial" w:hAnsi="Arial" w:cs="Arial"/>
        </w:rPr>
        <w:t xml:space="preserve">Historically, lead paint </w:t>
      </w:r>
      <w:r w:rsidR="00FA7424">
        <w:rPr>
          <w:rFonts w:ascii="Arial" w:hAnsi="Arial" w:cs="Arial"/>
        </w:rPr>
        <w:t xml:space="preserve">has </w:t>
      </w:r>
      <w:r w:rsidR="00894AF5">
        <w:rPr>
          <w:rFonts w:ascii="Arial" w:hAnsi="Arial" w:cs="Arial"/>
        </w:rPr>
        <w:t>accounted for 95% of all lead poisoning cases</w:t>
      </w:r>
      <w:r w:rsidR="0001052C">
        <w:rPr>
          <w:rFonts w:ascii="Arial" w:hAnsi="Arial" w:cs="Arial"/>
        </w:rPr>
        <w:t xml:space="preserve"> in Massachusetts. I</w:t>
      </w:r>
      <w:r w:rsidR="00894AF5">
        <w:rPr>
          <w:rFonts w:ascii="Arial" w:hAnsi="Arial" w:cs="Arial"/>
        </w:rPr>
        <w:t>n more recent years</w:t>
      </w:r>
      <w:r w:rsidR="0001052C">
        <w:rPr>
          <w:rFonts w:ascii="Arial" w:hAnsi="Arial" w:cs="Arial"/>
        </w:rPr>
        <w:t xml:space="preserve">, lead paint has accounted for 88%, while exposure from alternative sources such as spices </w:t>
      </w:r>
      <w:r w:rsidR="0001052C" w:rsidRPr="003706D3">
        <w:rPr>
          <w:rFonts w:ascii="Arial" w:hAnsi="Arial" w:cs="Arial"/>
        </w:rPr>
        <w:t>and herbal remedies has increased, accounting for 9% of lead poisoning cases.</w:t>
      </w:r>
      <w:r w:rsidR="00894AF5" w:rsidRPr="003706D3">
        <w:rPr>
          <w:rFonts w:ascii="Arial" w:hAnsi="Arial" w:cs="Arial"/>
        </w:rPr>
        <w:t xml:space="preserve"> </w:t>
      </w:r>
      <w:r w:rsidR="0055770D" w:rsidRPr="003706D3">
        <w:rPr>
          <w:rFonts w:ascii="Arial" w:hAnsi="Arial" w:cs="Arial"/>
        </w:rPr>
        <w:t xml:space="preserve">Exposure sources for the </w:t>
      </w:r>
      <w:r w:rsidR="0001052C" w:rsidRPr="003706D3">
        <w:rPr>
          <w:rFonts w:ascii="Arial" w:hAnsi="Arial" w:cs="Arial"/>
        </w:rPr>
        <w:t xml:space="preserve">remaining 3% of cases </w:t>
      </w:r>
      <w:r w:rsidR="0055770D" w:rsidRPr="003706D3">
        <w:rPr>
          <w:rFonts w:ascii="Arial" w:hAnsi="Arial" w:cs="Arial"/>
        </w:rPr>
        <w:t xml:space="preserve">could not be </w:t>
      </w:r>
      <w:r w:rsidR="0001052C" w:rsidRPr="003706D3">
        <w:rPr>
          <w:rFonts w:ascii="Arial" w:hAnsi="Arial" w:cs="Arial"/>
        </w:rPr>
        <w:t>identified.</w:t>
      </w:r>
      <w:r w:rsidR="004377AC" w:rsidRPr="003706D3">
        <w:rPr>
          <w:rFonts w:ascii="Arial" w:hAnsi="Arial" w:cs="Arial"/>
        </w:rPr>
        <w:t xml:space="preserve"> </w:t>
      </w:r>
    </w:p>
    <w:p w14:paraId="798F39E2" w14:textId="4CB29079" w:rsidR="00456790" w:rsidRPr="00FB109D" w:rsidRDefault="00456790" w:rsidP="00456790">
      <w:pPr>
        <w:pStyle w:val="Body1"/>
        <w:jc w:val="left"/>
        <w:rPr>
          <w:rFonts w:ascii="Arial" w:hAnsi="Arial" w:cs="Arial"/>
        </w:rPr>
      </w:pPr>
      <w:r w:rsidRPr="00FB109D">
        <w:rPr>
          <w:rFonts w:ascii="Arial" w:hAnsi="Arial" w:cs="Arial"/>
          <w:b/>
        </w:rPr>
        <w:t xml:space="preserve">The Massachusetts Lead Law </w:t>
      </w:r>
      <w:r w:rsidRPr="00FB109D">
        <w:rPr>
          <w:rFonts w:ascii="Arial" w:hAnsi="Arial" w:cs="Arial"/>
        </w:rPr>
        <w:t>(</w:t>
      </w:r>
      <w:r w:rsidRPr="00FB109D">
        <w:rPr>
          <w:rFonts w:ascii="Arial" w:hAnsi="Arial" w:cs="Arial"/>
          <w:u w:val="single"/>
        </w:rPr>
        <w:t>see</w:t>
      </w:r>
      <w:r w:rsidRPr="00FB109D">
        <w:rPr>
          <w:rFonts w:ascii="Arial" w:hAnsi="Arial" w:cs="Arial"/>
        </w:rPr>
        <w:t xml:space="preserve"> MGL c. 111, §§ 189A-199B)</w:t>
      </w:r>
      <w:r w:rsidRPr="00FB109D">
        <w:rPr>
          <w:rFonts w:ascii="Arial" w:hAnsi="Arial" w:cs="Arial"/>
          <w:b/>
        </w:rPr>
        <w:t xml:space="preserve"> requires any dwelling unit where a child under six years of age resides to be lead safe,</w:t>
      </w:r>
      <w:r w:rsidRPr="00FB109D">
        <w:rPr>
          <w:rFonts w:ascii="Arial" w:hAnsi="Arial" w:cs="Arial"/>
        </w:rPr>
        <w:t xml:space="preserve"> regardless of a child’s blood lead level (BLL) or whether the </w:t>
      </w:r>
      <w:r w:rsidRPr="00FB109D">
        <w:rPr>
          <w:rFonts w:ascii="Arial" w:hAnsi="Arial" w:cs="Arial"/>
        </w:rPr>
        <w:lastRenderedPageBreak/>
        <w:t xml:space="preserve">property is owner-occupied. To implement the law, </w:t>
      </w:r>
      <w:r w:rsidR="00F543A2">
        <w:rPr>
          <w:rFonts w:ascii="Arial" w:hAnsi="Arial" w:cs="Arial"/>
        </w:rPr>
        <w:t xml:space="preserve">the </w:t>
      </w:r>
      <w:r w:rsidRPr="00FB109D">
        <w:rPr>
          <w:rFonts w:ascii="Arial" w:hAnsi="Arial" w:cs="Arial"/>
        </w:rPr>
        <w:t>D</w:t>
      </w:r>
      <w:r w:rsidR="00F543A2">
        <w:rPr>
          <w:rFonts w:ascii="Arial" w:hAnsi="Arial" w:cs="Arial"/>
        </w:rPr>
        <w:t xml:space="preserve">epartment of </w:t>
      </w:r>
      <w:r w:rsidRPr="00FB109D">
        <w:rPr>
          <w:rFonts w:ascii="Arial" w:hAnsi="Arial" w:cs="Arial"/>
        </w:rPr>
        <w:t>P</w:t>
      </w:r>
      <w:r w:rsidR="00F543A2">
        <w:rPr>
          <w:rFonts w:ascii="Arial" w:hAnsi="Arial" w:cs="Arial"/>
        </w:rPr>
        <w:t xml:space="preserve">ublic </w:t>
      </w:r>
      <w:r w:rsidRPr="00FB109D">
        <w:rPr>
          <w:rFonts w:ascii="Arial" w:hAnsi="Arial" w:cs="Arial"/>
        </w:rPr>
        <w:t>H</w:t>
      </w:r>
      <w:r w:rsidR="00F543A2">
        <w:rPr>
          <w:rFonts w:ascii="Arial" w:hAnsi="Arial" w:cs="Arial"/>
        </w:rPr>
        <w:t>ealth</w:t>
      </w:r>
      <w:r w:rsidRPr="00FB109D">
        <w:rPr>
          <w:rFonts w:ascii="Arial" w:hAnsi="Arial" w:cs="Arial"/>
        </w:rPr>
        <w:t xml:space="preserve">’s </w:t>
      </w:r>
      <w:r w:rsidR="00F543A2">
        <w:rPr>
          <w:rFonts w:ascii="Arial" w:hAnsi="Arial" w:cs="Arial"/>
        </w:rPr>
        <w:t xml:space="preserve">(DPH) </w:t>
      </w:r>
      <w:r w:rsidRPr="00FB109D">
        <w:rPr>
          <w:rFonts w:ascii="Arial" w:hAnsi="Arial" w:cs="Arial"/>
        </w:rPr>
        <w:t xml:space="preserve">Childhood Lead Poisoning Prevention Program (CLPPP) </w:t>
      </w:r>
      <w:r w:rsidR="004377AC" w:rsidRPr="00FB109D">
        <w:rPr>
          <w:rFonts w:ascii="Arial" w:hAnsi="Arial" w:cs="Arial"/>
        </w:rPr>
        <w:t xml:space="preserve">operates </w:t>
      </w:r>
      <w:r w:rsidRPr="00FB109D">
        <w:rPr>
          <w:rFonts w:ascii="Arial" w:hAnsi="Arial" w:cs="Arial"/>
        </w:rPr>
        <w:t xml:space="preserve">an integrated program of laboratory services, mandatory blood lead screening, medical case management for children with elevated blood lead levels, </w:t>
      </w:r>
      <w:r w:rsidR="00FC50DE" w:rsidRPr="00FB109D">
        <w:rPr>
          <w:rFonts w:ascii="Arial" w:hAnsi="Arial" w:cs="Arial"/>
        </w:rPr>
        <w:t>health education</w:t>
      </w:r>
      <w:r w:rsidR="00FC50DE">
        <w:rPr>
          <w:rFonts w:ascii="Arial" w:hAnsi="Arial" w:cs="Arial"/>
        </w:rPr>
        <w:t>,</w:t>
      </w:r>
      <w:r w:rsidR="00FC50DE" w:rsidRPr="00FB109D">
        <w:rPr>
          <w:rFonts w:ascii="Arial" w:hAnsi="Arial" w:cs="Arial"/>
        </w:rPr>
        <w:t xml:space="preserve"> </w:t>
      </w:r>
      <w:r w:rsidRPr="00FB109D">
        <w:rPr>
          <w:rFonts w:ascii="Arial" w:hAnsi="Arial" w:cs="Arial"/>
        </w:rPr>
        <w:t>environmental follow-up,</w:t>
      </w:r>
      <w:r w:rsidR="00FC50DE">
        <w:rPr>
          <w:rFonts w:ascii="Arial" w:hAnsi="Arial" w:cs="Arial"/>
        </w:rPr>
        <w:t xml:space="preserve"> and</w:t>
      </w:r>
      <w:r w:rsidRPr="00FB109D">
        <w:rPr>
          <w:rFonts w:ascii="Arial" w:hAnsi="Arial" w:cs="Arial"/>
        </w:rPr>
        <w:t xml:space="preserve"> training and licensure of public and private lead inspectors.</w:t>
      </w:r>
    </w:p>
    <w:p w14:paraId="2486A36A" w14:textId="2C2F1D2A" w:rsidR="00D574A2" w:rsidRDefault="00FB109D" w:rsidP="00FB109D">
      <w:pPr>
        <w:pStyle w:val="BodyText"/>
        <w:rPr>
          <w:sz w:val="22"/>
          <w:szCs w:val="22"/>
        </w:rPr>
      </w:pPr>
      <w:r w:rsidRPr="002A5045">
        <w:rPr>
          <w:sz w:val="22"/>
          <w:szCs w:val="22"/>
        </w:rPr>
        <w:t xml:space="preserve">This report </w:t>
      </w:r>
      <w:r w:rsidR="00F543A2">
        <w:rPr>
          <w:sz w:val="22"/>
          <w:szCs w:val="22"/>
        </w:rPr>
        <w:t xml:space="preserve">for the year 2020 </w:t>
      </w:r>
      <w:r w:rsidRPr="002A5045">
        <w:rPr>
          <w:sz w:val="22"/>
          <w:szCs w:val="22"/>
        </w:rPr>
        <w:t>contains results of t</w:t>
      </w:r>
      <w:r w:rsidR="006B350D" w:rsidRPr="002A5045">
        <w:rPr>
          <w:sz w:val="22"/>
          <w:szCs w:val="22"/>
        </w:rPr>
        <w:t xml:space="preserve">he </w:t>
      </w:r>
      <w:r w:rsidR="00F543A2">
        <w:rPr>
          <w:sz w:val="22"/>
          <w:szCs w:val="22"/>
        </w:rPr>
        <w:t xml:space="preserve">DPH Childhood Lead Poisoning Prevention Program’s </w:t>
      </w:r>
      <w:r w:rsidR="006B350D" w:rsidRPr="002A5045">
        <w:rPr>
          <w:sz w:val="22"/>
          <w:szCs w:val="22"/>
        </w:rPr>
        <w:t>annual review of screening</w:t>
      </w:r>
      <w:r w:rsidR="00281BE6">
        <w:rPr>
          <w:sz w:val="22"/>
          <w:szCs w:val="22"/>
        </w:rPr>
        <w:t xml:space="preserve"> rates</w:t>
      </w:r>
      <w:r w:rsidR="006B350D" w:rsidRPr="002A5045">
        <w:rPr>
          <w:sz w:val="22"/>
          <w:szCs w:val="22"/>
        </w:rPr>
        <w:t xml:space="preserve"> and blood lead level prevalence</w:t>
      </w:r>
      <w:r w:rsidR="004377AC" w:rsidRPr="002A5045">
        <w:rPr>
          <w:sz w:val="22"/>
          <w:szCs w:val="22"/>
        </w:rPr>
        <w:t xml:space="preserve">, </w:t>
      </w:r>
      <w:r w:rsidR="006B350D" w:rsidRPr="002A5045">
        <w:rPr>
          <w:sz w:val="22"/>
          <w:szCs w:val="22"/>
        </w:rPr>
        <w:t>high-risk communities for lead poisoning</w:t>
      </w:r>
      <w:r w:rsidR="004377AC" w:rsidRPr="002A5045">
        <w:rPr>
          <w:sz w:val="22"/>
          <w:szCs w:val="22"/>
        </w:rPr>
        <w:t xml:space="preserve">, and special analyses </w:t>
      </w:r>
      <w:r w:rsidRPr="002A5045">
        <w:rPr>
          <w:sz w:val="22"/>
          <w:szCs w:val="22"/>
        </w:rPr>
        <w:t xml:space="preserve">designed </w:t>
      </w:r>
      <w:r w:rsidR="004377AC" w:rsidRPr="002A5045">
        <w:rPr>
          <w:sz w:val="22"/>
          <w:szCs w:val="22"/>
        </w:rPr>
        <w:t>to identify high-risk populations and evaluate progress towards health equity</w:t>
      </w:r>
      <w:r w:rsidR="008E380F">
        <w:rPr>
          <w:sz w:val="22"/>
          <w:szCs w:val="22"/>
        </w:rPr>
        <w:t>.</w:t>
      </w:r>
    </w:p>
    <w:p w14:paraId="5D7BD339" w14:textId="61CD857B" w:rsidR="00F90193" w:rsidRPr="002A5045" w:rsidRDefault="00EC1443" w:rsidP="00FB109D">
      <w:pPr>
        <w:pStyle w:val="BodyText"/>
        <w:rPr>
          <w:sz w:val="22"/>
          <w:szCs w:val="22"/>
        </w:rPr>
      </w:pPr>
      <w:r>
        <w:rPr>
          <w:b/>
          <w:bCs/>
          <w:noProof/>
          <w:sz w:val="26"/>
          <w:szCs w:val="26"/>
        </w:rPr>
        <w:drawing>
          <wp:anchor distT="0" distB="0" distL="114300" distR="114300" simplePos="0" relativeHeight="251751424" behindDoc="0" locked="1" layoutInCell="1" allowOverlap="0" wp14:anchorId="2431FE19" wp14:editId="61FFC2F4">
            <wp:simplePos x="0" y="0"/>
            <wp:positionH relativeFrom="margin">
              <wp:posOffset>-77470</wp:posOffset>
            </wp:positionH>
            <wp:positionV relativeFrom="paragraph">
              <wp:posOffset>441960</wp:posOffset>
            </wp:positionV>
            <wp:extent cx="6860540" cy="1389380"/>
            <wp:effectExtent l="19050" t="0" r="16510" b="0"/>
            <wp:wrapThrough wrapText="bothSides">
              <wp:wrapPolygon edited="0">
                <wp:start x="-60" y="2665"/>
                <wp:lineTo x="-60" y="3850"/>
                <wp:lineTo x="780" y="7996"/>
                <wp:lineTo x="960" y="12735"/>
                <wp:lineTo x="-60" y="17770"/>
                <wp:lineTo x="-60" y="18954"/>
                <wp:lineTo x="20213" y="18954"/>
                <wp:lineTo x="21592" y="11550"/>
                <wp:lineTo x="21592" y="10662"/>
                <wp:lineTo x="21172" y="7996"/>
                <wp:lineTo x="20213" y="2665"/>
                <wp:lineTo x="-60" y="2665"/>
              </wp:wrapPolygon>
            </wp:wrapThrough>
            <wp:docPr id="23" name="Diagram 2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14:sizeRelH relativeFrom="margin">
              <wp14:pctWidth>0</wp14:pctWidth>
            </wp14:sizeRelH>
            <wp14:sizeRelV relativeFrom="margin">
              <wp14:pctHeight>0</wp14:pctHeight>
            </wp14:sizeRelV>
          </wp:anchor>
        </w:drawing>
      </w:r>
    </w:p>
    <w:p w14:paraId="675532DA" w14:textId="12254F53" w:rsidR="001F6868" w:rsidRPr="001F6868" w:rsidRDefault="00A87CA5" w:rsidP="008754F8">
      <w:pPr>
        <w:pStyle w:val="Heading1"/>
        <w:spacing w:before="120"/>
        <w:jc w:val="left"/>
      </w:pPr>
      <w:r w:rsidRPr="00920C5B">
        <w:t>BLOOD LEAD SCREENING</w:t>
      </w:r>
      <w:r w:rsidR="000E6493">
        <w:t xml:space="preserve"> AND PREVALENCE</w:t>
      </w:r>
      <w:r w:rsidR="000E6493" w:rsidRPr="000E6493">
        <w:t xml:space="preserve"> </w:t>
      </w:r>
      <w:r w:rsidR="000E6493">
        <w:t>OF EXPOSURE</w:t>
      </w:r>
    </w:p>
    <w:p w14:paraId="27DEA619" w14:textId="77777777" w:rsidR="004A1317" w:rsidRDefault="004A1317" w:rsidP="00DB5481">
      <w:pPr>
        <w:pStyle w:val="Body1"/>
        <w:jc w:val="left"/>
        <w:rPr>
          <w:rFonts w:ascii="Arial" w:hAnsi="Arial" w:cs="Arial"/>
          <w:b/>
          <w:bCs/>
        </w:rPr>
      </w:pPr>
    </w:p>
    <w:p w14:paraId="6D2054AF" w14:textId="5F1DC5F3" w:rsidR="004A1317" w:rsidRDefault="004A1317" w:rsidP="00DB5481">
      <w:pPr>
        <w:pStyle w:val="Body1"/>
        <w:jc w:val="left"/>
        <w:rPr>
          <w:rFonts w:ascii="Arial" w:hAnsi="Arial" w:cs="Arial"/>
          <w:b/>
          <w:bCs/>
        </w:rPr>
      </w:pPr>
    </w:p>
    <w:p w14:paraId="3D7059F6" w14:textId="20F7544A" w:rsidR="00DB5481" w:rsidRDefault="00DB5481" w:rsidP="00DB5481">
      <w:pPr>
        <w:pStyle w:val="Body1"/>
        <w:jc w:val="left"/>
        <w:rPr>
          <w:rFonts w:ascii="Arial" w:hAnsi="Arial" w:cs="Arial"/>
        </w:rPr>
      </w:pPr>
      <w:r w:rsidRPr="00FB109D">
        <w:rPr>
          <w:rFonts w:ascii="Arial" w:hAnsi="Arial" w:cs="Arial"/>
          <w:b/>
          <w:bCs/>
        </w:rPr>
        <w:t xml:space="preserve">Massachusetts </w:t>
      </w:r>
      <w:proofErr w:type="gramStart"/>
      <w:r w:rsidRPr="00FB109D">
        <w:rPr>
          <w:rFonts w:ascii="Arial" w:hAnsi="Arial" w:cs="Arial"/>
          <w:b/>
          <w:bCs/>
        </w:rPr>
        <w:t>lead</w:t>
      </w:r>
      <w:proofErr w:type="gramEnd"/>
      <w:r w:rsidRPr="00FB109D">
        <w:rPr>
          <w:rFonts w:ascii="Arial" w:hAnsi="Arial" w:cs="Arial"/>
          <w:b/>
          <w:bCs/>
        </w:rPr>
        <w:t xml:space="preserve"> regulation</w:t>
      </w:r>
      <w:r w:rsidR="00F543A2">
        <w:rPr>
          <w:rFonts w:ascii="Arial" w:hAnsi="Arial" w:cs="Arial"/>
          <w:b/>
          <w:bCs/>
        </w:rPr>
        <w:t>s</w:t>
      </w:r>
      <w:r w:rsidRPr="00FB109D">
        <w:rPr>
          <w:rFonts w:ascii="Arial" w:hAnsi="Arial" w:cs="Arial"/>
        </w:rPr>
        <w:t xml:space="preserve"> (105 CMR 460.050) </w:t>
      </w:r>
      <w:r w:rsidRPr="00FB109D">
        <w:rPr>
          <w:rFonts w:ascii="Arial" w:hAnsi="Arial" w:cs="Arial"/>
          <w:b/>
          <w:bCs/>
        </w:rPr>
        <w:t xml:space="preserve">require that all children be tested for blood lead </w:t>
      </w:r>
      <w:r w:rsidR="00F90193" w:rsidRPr="00FB109D">
        <w:rPr>
          <w:rFonts w:ascii="Arial" w:hAnsi="Arial" w:cs="Arial"/>
          <w:b/>
          <w:bCs/>
        </w:rPr>
        <w:t xml:space="preserve">between 9 and 12 months </w:t>
      </w:r>
      <w:r w:rsidR="00F90193">
        <w:rPr>
          <w:rFonts w:ascii="Arial" w:hAnsi="Arial" w:cs="Arial"/>
          <w:b/>
          <w:bCs/>
        </w:rPr>
        <w:t xml:space="preserve">of age </w:t>
      </w:r>
      <w:r w:rsidR="00F90193" w:rsidRPr="00FB109D">
        <w:rPr>
          <w:rFonts w:ascii="Arial" w:hAnsi="Arial" w:cs="Arial"/>
          <w:b/>
          <w:bCs/>
        </w:rPr>
        <w:t>and,</w:t>
      </w:r>
      <w:r w:rsidR="00F90193" w:rsidRPr="00450B1D">
        <w:rPr>
          <w:rFonts w:ascii="Arial" w:hAnsi="Arial" w:cs="Arial"/>
          <w:b/>
          <w:bCs/>
        </w:rPr>
        <w:t xml:space="preserve"> again</w:t>
      </w:r>
      <w:r w:rsidR="00F90193" w:rsidRPr="00FB109D">
        <w:rPr>
          <w:rFonts w:ascii="Arial" w:hAnsi="Arial" w:cs="Arial"/>
          <w:b/>
          <w:bCs/>
        </w:rPr>
        <w:t>, at ages 2 and 3 years.</w:t>
      </w:r>
      <w:r w:rsidR="00F90193" w:rsidRPr="00FB109D">
        <w:rPr>
          <w:rFonts w:ascii="Arial" w:hAnsi="Arial" w:cs="Arial"/>
        </w:rPr>
        <w:t xml:space="preserve"> Additionally, all children should be tested at age 4 years if they live in a high-risk community.</w:t>
      </w:r>
      <w:r w:rsidR="00181975">
        <w:rPr>
          <w:rFonts w:ascii="Arial" w:hAnsi="Arial" w:cs="Arial"/>
        </w:rPr>
        <w:t xml:space="preserve"> </w:t>
      </w:r>
      <w:r w:rsidR="009A369B" w:rsidRPr="009A369B">
        <w:rPr>
          <w:rFonts w:ascii="Arial" w:hAnsi="Arial" w:cs="Arial"/>
        </w:rPr>
        <w:t xml:space="preserve">In 2020, statewide screening rates for 1- and 2-year-old children </w:t>
      </w:r>
      <w:r w:rsidR="009A369B">
        <w:rPr>
          <w:rFonts w:ascii="Arial" w:hAnsi="Arial" w:cs="Arial"/>
        </w:rPr>
        <w:t xml:space="preserve">were </w:t>
      </w:r>
      <w:r w:rsidR="009A369B" w:rsidRPr="009A369B">
        <w:rPr>
          <w:rFonts w:ascii="Arial" w:hAnsi="Arial" w:cs="Arial"/>
        </w:rPr>
        <w:t xml:space="preserve">67% and 65%, </w:t>
      </w:r>
      <w:proofErr w:type="gramStart"/>
      <w:r w:rsidR="009A369B" w:rsidRPr="009A369B">
        <w:rPr>
          <w:rFonts w:ascii="Arial" w:hAnsi="Arial" w:cs="Arial"/>
        </w:rPr>
        <w:t>respectively</w:t>
      </w:r>
      <w:r w:rsidR="009A369B">
        <w:rPr>
          <w:rFonts w:ascii="Arial" w:hAnsi="Arial" w:cs="Arial"/>
        </w:rPr>
        <w:t>—lower</w:t>
      </w:r>
      <w:proofErr w:type="gramEnd"/>
      <w:r w:rsidR="009A369B">
        <w:rPr>
          <w:rFonts w:ascii="Arial" w:hAnsi="Arial" w:cs="Arial"/>
        </w:rPr>
        <w:t xml:space="preserve"> than typical years, but </w:t>
      </w:r>
      <w:r w:rsidR="009A369B" w:rsidRPr="009A369B">
        <w:rPr>
          <w:rFonts w:ascii="Arial" w:hAnsi="Arial" w:cs="Arial"/>
        </w:rPr>
        <w:t>still surpass</w:t>
      </w:r>
      <w:r w:rsidR="009A369B">
        <w:rPr>
          <w:rFonts w:ascii="Arial" w:hAnsi="Arial" w:cs="Arial"/>
        </w:rPr>
        <w:t xml:space="preserve">ing the </w:t>
      </w:r>
      <w:r w:rsidR="009A369B" w:rsidRPr="009A369B">
        <w:rPr>
          <w:rFonts w:ascii="Arial" w:hAnsi="Arial" w:cs="Arial"/>
        </w:rPr>
        <w:t xml:space="preserve">screening rate of 3-year-old children (58%). Screening children through age 3 is vital since </w:t>
      </w:r>
      <w:r w:rsidR="009A369B">
        <w:rPr>
          <w:rFonts w:ascii="Arial" w:hAnsi="Arial" w:cs="Arial"/>
        </w:rPr>
        <w:t xml:space="preserve">approximately </w:t>
      </w:r>
      <w:r w:rsidR="009A369B" w:rsidRPr="009A369B">
        <w:rPr>
          <w:rFonts w:ascii="Arial" w:hAnsi="Arial" w:cs="Arial"/>
        </w:rPr>
        <w:t>1</w:t>
      </w:r>
      <w:r w:rsidR="009A369B">
        <w:rPr>
          <w:rFonts w:ascii="Arial" w:hAnsi="Arial" w:cs="Arial"/>
        </w:rPr>
        <w:t>5</w:t>
      </w:r>
      <w:r w:rsidR="009A369B" w:rsidRPr="009A369B">
        <w:rPr>
          <w:rFonts w:ascii="Arial" w:hAnsi="Arial" w:cs="Arial"/>
        </w:rPr>
        <w:t>% of newly elevated blood lead levels (≥5 µg/dL) are in 3-year-olds</w:t>
      </w:r>
      <w:r w:rsidR="009A369B">
        <w:rPr>
          <w:rFonts w:ascii="Arial" w:hAnsi="Arial" w:cs="Arial"/>
        </w:rPr>
        <w:t xml:space="preserve"> and</w:t>
      </w:r>
      <w:r w:rsidR="009A369B" w:rsidRPr="009A369B">
        <w:rPr>
          <w:rFonts w:ascii="Arial" w:hAnsi="Arial" w:cs="Arial"/>
        </w:rPr>
        <w:t xml:space="preserve"> the large majority of </w:t>
      </w:r>
      <w:r w:rsidR="009A369B">
        <w:rPr>
          <w:rFonts w:ascii="Arial" w:hAnsi="Arial" w:cs="Arial"/>
        </w:rPr>
        <w:t>those</w:t>
      </w:r>
      <w:r w:rsidR="009A369B" w:rsidRPr="009A369B">
        <w:rPr>
          <w:rFonts w:ascii="Arial" w:hAnsi="Arial" w:cs="Arial"/>
        </w:rPr>
        <w:t xml:space="preserve"> (8</w:t>
      </w:r>
      <w:r w:rsidR="009A369B">
        <w:rPr>
          <w:rFonts w:ascii="Arial" w:hAnsi="Arial" w:cs="Arial"/>
        </w:rPr>
        <w:t>0</w:t>
      </w:r>
      <w:r w:rsidR="009A369B" w:rsidRPr="009A369B">
        <w:rPr>
          <w:rFonts w:ascii="Arial" w:hAnsi="Arial" w:cs="Arial"/>
        </w:rPr>
        <w:t>%</w:t>
      </w:r>
      <w:r w:rsidR="009A369B">
        <w:rPr>
          <w:rFonts w:ascii="Arial" w:hAnsi="Arial" w:cs="Arial"/>
        </w:rPr>
        <w:t xml:space="preserve"> on average</w:t>
      </w:r>
      <w:r w:rsidR="009A369B" w:rsidRPr="009A369B">
        <w:rPr>
          <w:rFonts w:ascii="Arial" w:hAnsi="Arial" w:cs="Arial"/>
        </w:rPr>
        <w:t xml:space="preserve">) </w:t>
      </w:r>
      <w:r w:rsidR="009A369B">
        <w:rPr>
          <w:rFonts w:ascii="Arial" w:hAnsi="Arial" w:cs="Arial"/>
        </w:rPr>
        <w:t>we</w:t>
      </w:r>
      <w:r w:rsidR="009A369B" w:rsidRPr="009A369B">
        <w:rPr>
          <w:rFonts w:ascii="Arial" w:hAnsi="Arial" w:cs="Arial"/>
        </w:rPr>
        <w:t xml:space="preserve">re tested regularly at younger ages with no previous elevations. </w:t>
      </w:r>
      <w:r w:rsidR="00C725C9">
        <w:rPr>
          <w:rFonts w:ascii="Arial" w:hAnsi="Arial" w:cs="Arial"/>
        </w:rPr>
        <w:t xml:space="preserve">Failure to continue regular </w:t>
      </w:r>
      <w:r w:rsidR="00146188">
        <w:rPr>
          <w:rFonts w:ascii="Arial" w:hAnsi="Arial" w:cs="Arial"/>
        </w:rPr>
        <w:t>screen</w:t>
      </w:r>
      <w:r w:rsidR="00C725C9">
        <w:rPr>
          <w:rFonts w:ascii="Arial" w:hAnsi="Arial" w:cs="Arial"/>
        </w:rPr>
        <w:t>ing</w:t>
      </w:r>
      <w:r w:rsidR="00146188">
        <w:rPr>
          <w:rFonts w:ascii="Arial" w:hAnsi="Arial" w:cs="Arial"/>
        </w:rPr>
        <w:t xml:space="preserve"> through age 3</w:t>
      </w:r>
      <w:r w:rsidR="00C725C9">
        <w:rPr>
          <w:rFonts w:ascii="Arial" w:hAnsi="Arial" w:cs="Arial"/>
        </w:rPr>
        <w:t xml:space="preserve"> results in</w:t>
      </w:r>
      <w:r w:rsidR="00146188">
        <w:rPr>
          <w:rFonts w:ascii="Arial" w:hAnsi="Arial" w:cs="Arial"/>
        </w:rPr>
        <w:t xml:space="preserve"> a significant number of </w:t>
      </w:r>
      <w:r w:rsidR="00C725C9">
        <w:rPr>
          <w:rFonts w:ascii="Arial" w:hAnsi="Arial" w:cs="Arial"/>
        </w:rPr>
        <w:t xml:space="preserve">unidentified </w:t>
      </w:r>
      <w:r w:rsidR="00146188">
        <w:rPr>
          <w:rFonts w:ascii="Arial" w:hAnsi="Arial" w:cs="Arial"/>
        </w:rPr>
        <w:t xml:space="preserve">children with elevated lead levels </w:t>
      </w:r>
      <w:r w:rsidR="00C725C9">
        <w:rPr>
          <w:rFonts w:ascii="Arial" w:hAnsi="Arial" w:cs="Arial"/>
        </w:rPr>
        <w:t>who</w:t>
      </w:r>
      <w:r w:rsidR="00146188">
        <w:rPr>
          <w:rFonts w:ascii="Arial" w:hAnsi="Arial" w:cs="Arial"/>
        </w:rPr>
        <w:t xml:space="preserve"> will not receive necessary </w:t>
      </w:r>
      <w:r w:rsidR="0037628E">
        <w:rPr>
          <w:rFonts w:ascii="Arial" w:hAnsi="Arial" w:cs="Arial"/>
        </w:rPr>
        <w:t>preventative services.</w:t>
      </w:r>
    </w:p>
    <w:p w14:paraId="1780E73D" w14:textId="75E8B2B7" w:rsidR="002801A9" w:rsidRDefault="003841F5" w:rsidP="00DB5481">
      <w:pPr>
        <w:pStyle w:val="Body1"/>
        <w:jc w:val="left"/>
        <w:rPr>
          <w:rFonts w:ascii="Arial" w:hAnsi="Arial" w:cs="Arial"/>
        </w:rPr>
      </w:pPr>
      <w:r>
        <w:rPr>
          <w:rFonts w:ascii="Arial" w:hAnsi="Arial" w:cs="Arial"/>
        </w:rPr>
        <w:t xml:space="preserve">On December 1, 2017, the </w:t>
      </w:r>
      <w:r w:rsidR="00F543A2">
        <w:rPr>
          <w:rFonts w:ascii="Arial" w:hAnsi="Arial" w:cs="Arial"/>
        </w:rPr>
        <w:t xml:space="preserve">DPH </w:t>
      </w:r>
      <w:r w:rsidR="003B55FE">
        <w:rPr>
          <w:rFonts w:ascii="Arial" w:hAnsi="Arial" w:cs="Arial"/>
        </w:rPr>
        <w:t xml:space="preserve">CLPPP </w:t>
      </w:r>
      <w:r>
        <w:rPr>
          <w:rFonts w:ascii="Arial" w:hAnsi="Arial" w:cs="Arial"/>
        </w:rPr>
        <w:t xml:space="preserve">began </w:t>
      </w:r>
      <w:r w:rsidRPr="00BD1374">
        <w:rPr>
          <w:rFonts w:ascii="Arial" w:hAnsi="Arial" w:cs="Arial"/>
          <w:b/>
          <w:bCs/>
        </w:rPr>
        <w:t>requiring venous confirmation of capillary blood lead specimens ≥5 µg/dL</w:t>
      </w:r>
      <w:r w:rsidR="008E4835">
        <w:rPr>
          <w:rFonts w:ascii="Arial" w:hAnsi="Arial" w:cs="Arial"/>
        </w:rPr>
        <w:t xml:space="preserve">, the </w:t>
      </w:r>
      <w:r w:rsidR="0072201A">
        <w:rPr>
          <w:rFonts w:ascii="Arial" w:hAnsi="Arial" w:cs="Arial"/>
        </w:rPr>
        <w:t xml:space="preserve">federal </w:t>
      </w:r>
      <w:r w:rsidR="008E4835">
        <w:rPr>
          <w:rFonts w:ascii="Arial" w:hAnsi="Arial" w:cs="Arial"/>
        </w:rPr>
        <w:t>C</w:t>
      </w:r>
      <w:r w:rsidR="0072201A">
        <w:rPr>
          <w:rFonts w:ascii="Arial" w:hAnsi="Arial" w:cs="Arial"/>
        </w:rPr>
        <w:t xml:space="preserve">enters for </w:t>
      </w:r>
      <w:r w:rsidR="008E4835">
        <w:rPr>
          <w:rFonts w:ascii="Arial" w:hAnsi="Arial" w:cs="Arial"/>
        </w:rPr>
        <w:t>D</w:t>
      </w:r>
      <w:r w:rsidR="0072201A">
        <w:rPr>
          <w:rFonts w:ascii="Arial" w:hAnsi="Arial" w:cs="Arial"/>
        </w:rPr>
        <w:t xml:space="preserve">isease </w:t>
      </w:r>
      <w:r w:rsidR="008E4835">
        <w:rPr>
          <w:rFonts w:ascii="Arial" w:hAnsi="Arial" w:cs="Arial"/>
        </w:rPr>
        <w:t>C</w:t>
      </w:r>
      <w:r w:rsidR="0072201A">
        <w:rPr>
          <w:rFonts w:ascii="Arial" w:hAnsi="Arial" w:cs="Arial"/>
        </w:rPr>
        <w:t>ontrol and Prevention’s (CDC)</w:t>
      </w:r>
      <w:r w:rsidR="008E4835">
        <w:rPr>
          <w:rFonts w:ascii="Arial" w:hAnsi="Arial" w:cs="Arial"/>
        </w:rPr>
        <w:t xml:space="preserve"> reference value</w:t>
      </w:r>
      <w:r w:rsidR="00D87A9D">
        <w:rPr>
          <w:rFonts w:ascii="Arial" w:hAnsi="Arial" w:cs="Arial"/>
        </w:rPr>
        <w:t xml:space="preserve"> in effect from 2012 to 2021</w:t>
      </w:r>
      <w:r>
        <w:rPr>
          <w:rFonts w:ascii="Arial" w:hAnsi="Arial" w:cs="Arial"/>
        </w:rPr>
        <w:t xml:space="preserve">. </w:t>
      </w:r>
      <w:r w:rsidR="008E4835">
        <w:rPr>
          <w:rFonts w:ascii="Arial" w:hAnsi="Arial" w:cs="Arial"/>
        </w:rPr>
        <w:t>Children with BLLs above 5 µg/dL</w:t>
      </w:r>
      <w:r w:rsidR="008E4835" w:rsidDel="008E4835">
        <w:rPr>
          <w:rFonts w:ascii="Arial" w:hAnsi="Arial" w:cs="Arial"/>
        </w:rPr>
        <w:t xml:space="preserve"> </w:t>
      </w:r>
      <w:r w:rsidR="008E4835">
        <w:rPr>
          <w:rFonts w:ascii="Arial" w:hAnsi="Arial" w:cs="Arial"/>
        </w:rPr>
        <w:t xml:space="preserve">should receive intervention such as lead education, environmental investigation, and additional medical monitoring. </w:t>
      </w:r>
      <w:r>
        <w:rPr>
          <w:rFonts w:ascii="Arial" w:hAnsi="Arial" w:cs="Arial"/>
        </w:rPr>
        <w:t xml:space="preserve">Capillary specimens </w:t>
      </w:r>
      <w:r w:rsidR="003C443E">
        <w:rPr>
          <w:rFonts w:ascii="Arial" w:hAnsi="Arial" w:cs="Arial"/>
        </w:rPr>
        <w:t>are</w:t>
      </w:r>
      <w:r>
        <w:rPr>
          <w:rFonts w:ascii="Arial" w:hAnsi="Arial" w:cs="Arial"/>
        </w:rPr>
        <w:t xml:space="preserve"> a useful tool for preliminary lead screening</w:t>
      </w:r>
      <w:r w:rsidR="003C443E">
        <w:rPr>
          <w:rFonts w:ascii="Arial" w:hAnsi="Arial" w:cs="Arial"/>
        </w:rPr>
        <w:t xml:space="preserve">; </w:t>
      </w:r>
      <w:r>
        <w:rPr>
          <w:rFonts w:ascii="Arial" w:hAnsi="Arial" w:cs="Arial"/>
        </w:rPr>
        <w:t>they are easier to conduct than venous tests</w:t>
      </w:r>
      <w:r w:rsidR="003C443E">
        <w:rPr>
          <w:rFonts w:ascii="Arial" w:hAnsi="Arial" w:cs="Arial"/>
        </w:rPr>
        <w:t xml:space="preserve"> and a negative result is, typically, very reliable</w:t>
      </w:r>
      <w:r>
        <w:rPr>
          <w:rFonts w:ascii="Arial" w:hAnsi="Arial" w:cs="Arial"/>
        </w:rPr>
        <w:t xml:space="preserve">. However, a single </w:t>
      </w:r>
      <w:r w:rsidR="003C443E">
        <w:rPr>
          <w:rFonts w:ascii="Arial" w:hAnsi="Arial" w:cs="Arial"/>
        </w:rPr>
        <w:t xml:space="preserve">elevated </w:t>
      </w:r>
      <w:r>
        <w:rPr>
          <w:rFonts w:ascii="Arial" w:hAnsi="Arial" w:cs="Arial"/>
        </w:rPr>
        <w:t xml:space="preserve">capillary </w:t>
      </w:r>
      <w:r w:rsidR="003C443E">
        <w:rPr>
          <w:rFonts w:ascii="Arial" w:hAnsi="Arial" w:cs="Arial"/>
        </w:rPr>
        <w:t>result</w:t>
      </w:r>
      <w:r>
        <w:rPr>
          <w:rFonts w:ascii="Arial" w:hAnsi="Arial" w:cs="Arial"/>
        </w:rPr>
        <w:t xml:space="preserve"> </w:t>
      </w:r>
      <w:r w:rsidR="003C443E">
        <w:rPr>
          <w:rFonts w:ascii="Arial" w:hAnsi="Arial" w:cs="Arial"/>
        </w:rPr>
        <w:t xml:space="preserve">(≥5 µg/dL) </w:t>
      </w:r>
      <w:r>
        <w:rPr>
          <w:rFonts w:ascii="Arial" w:hAnsi="Arial" w:cs="Arial"/>
        </w:rPr>
        <w:t>provide</w:t>
      </w:r>
      <w:r w:rsidR="003C443E">
        <w:rPr>
          <w:rFonts w:ascii="Arial" w:hAnsi="Arial" w:cs="Arial"/>
        </w:rPr>
        <w:t>s</w:t>
      </w:r>
      <w:r>
        <w:rPr>
          <w:rFonts w:ascii="Arial" w:hAnsi="Arial" w:cs="Arial"/>
        </w:rPr>
        <w:t xml:space="preserve"> </w:t>
      </w:r>
      <w:r w:rsidR="003C443E">
        <w:rPr>
          <w:rFonts w:ascii="Arial" w:hAnsi="Arial" w:cs="Arial"/>
        </w:rPr>
        <w:t>o</w:t>
      </w:r>
      <w:r>
        <w:rPr>
          <w:rFonts w:ascii="Arial" w:hAnsi="Arial" w:cs="Arial"/>
        </w:rPr>
        <w:t xml:space="preserve">nly </w:t>
      </w:r>
      <w:r w:rsidR="008E4835">
        <w:rPr>
          <w:rFonts w:ascii="Arial" w:hAnsi="Arial" w:cs="Arial"/>
        </w:rPr>
        <w:t xml:space="preserve">a </w:t>
      </w:r>
      <w:r>
        <w:rPr>
          <w:rFonts w:ascii="Arial" w:hAnsi="Arial" w:cs="Arial"/>
        </w:rPr>
        <w:t xml:space="preserve">30% </w:t>
      </w:r>
      <w:r w:rsidR="003C443E">
        <w:rPr>
          <w:rFonts w:ascii="Arial" w:hAnsi="Arial" w:cs="Arial"/>
        </w:rPr>
        <w:t xml:space="preserve">chance of </w:t>
      </w:r>
      <w:r>
        <w:rPr>
          <w:rFonts w:ascii="Arial" w:hAnsi="Arial" w:cs="Arial"/>
        </w:rPr>
        <w:t>be</w:t>
      </w:r>
      <w:r w:rsidR="003C443E">
        <w:rPr>
          <w:rFonts w:ascii="Arial" w:hAnsi="Arial" w:cs="Arial"/>
        </w:rPr>
        <w:t>ing</w:t>
      </w:r>
      <w:r>
        <w:rPr>
          <w:rFonts w:ascii="Arial" w:hAnsi="Arial" w:cs="Arial"/>
        </w:rPr>
        <w:t xml:space="preserve"> truly elevated upon confirmation testing</w:t>
      </w:r>
      <w:r w:rsidR="00B505C1">
        <w:rPr>
          <w:rFonts w:ascii="Arial" w:hAnsi="Arial" w:cs="Arial"/>
        </w:rPr>
        <w:t xml:space="preserve"> due to frequent sample contamination</w:t>
      </w:r>
      <w:r>
        <w:rPr>
          <w:rFonts w:ascii="Arial" w:hAnsi="Arial" w:cs="Arial"/>
        </w:rPr>
        <w:t xml:space="preserve">. </w:t>
      </w:r>
      <w:r w:rsidR="008E4835">
        <w:rPr>
          <w:rFonts w:ascii="Arial" w:hAnsi="Arial" w:cs="Arial"/>
        </w:rPr>
        <w:t>Venous confirmation of elevated capillary results is an important part of preventing lead poisoning. The rate of confirmatory venous testing increased with</w:t>
      </w:r>
      <w:r>
        <w:rPr>
          <w:rFonts w:ascii="Arial" w:hAnsi="Arial" w:cs="Arial"/>
        </w:rPr>
        <w:t xml:space="preserve"> the regulatory </w:t>
      </w:r>
      <w:r w:rsidR="007E0961">
        <w:rPr>
          <w:rFonts w:ascii="Arial" w:hAnsi="Arial" w:cs="Arial"/>
        </w:rPr>
        <w:t>requirement but</w:t>
      </w:r>
      <w:r w:rsidR="008E4835">
        <w:rPr>
          <w:rFonts w:ascii="Arial" w:hAnsi="Arial" w:cs="Arial"/>
        </w:rPr>
        <w:t xml:space="preserve"> remains low. </w:t>
      </w:r>
      <w:r w:rsidR="00E40B56">
        <w:rPr>
          <w:rFonts w:ascii="Arial" w:hAnsi="Arial" w:cs="Arial"/>
        </w:rPr>
        <w:t>In 20</w:t>
      </w:r>
      <w:r w:rsidR="00EE123D">
        <w:rPr>
          <w:rFonts w:ascii="Arial" w:hAnsi="Arial" w:cs="Arial"/>
        </w:rPr>
        <w:t>20</w:t>
      </w:r>
      <w:r w:rsidR="00E40B56">
        <w:rPr>
          <w:rFonts w:ascii="Arial" w:hAnsi="Arial" w:cs="Arial"/>
        </w:rPr>
        <w:t xml:space="preserve">, </w:t>
      </w:r>
      <w:r w:rsidR="008E4835">
        <w:rPr>
          <w:rFonts w:ascii="Arial" w:hAnsi="Arial" w:cs="Arial"/>
        </w:rPr>
        <w:t xml:space="preserve">only </w:t>
      </w:r>
      <w:r w:rsidR="00E40B56">
        <w:rPr>
          <w:rFonts w:ascii="Arial" w:hAnsi="Arial" w:cs="Arial"/>
        </w:rPr>
        <w:t>6</w:t>
      </w:r>
      <w:r w:rsidR="00EE123D">
        <w:rPr>
          <w:rFonts w:ascii="Arial" w:hAnsi="Arial" w:cs="Arial"/>
        </w:rPr>
        <w:t>3</w:t>
      </w:r>
      <w:r w:rsidR="00E40B56">
        <w:rPr>
          <w:rFonts w:ascii="Arial" w:hAnsi="Arial" w:cs="Arial"/>
        </w:rPr>
        <w:t>% of children received the required venous follow-up test</w:t>
      </w:r>
      <w:r w:rsidR="009B00E5">
        <w:rPr>
          <w:rFonts w:ascii="Arial" w:hAnsi="Arial" w:cs="Arial"/>
        </w:rPr>
        <w:t>, leaving many children without important follow-up support</w:t>
      </w:r>
      <w:r w:rsidR="00E40B56">
        <w:rPr>
          <w:rFonts w:ascii="Arial" w:hAnsi="Arial" w:cs="Arial"/>
        </w:rPr>
        <w:t>.</w:t>
      </w:r>
    </w:p>
    <w:p w14:paraId="0FD0726B" w14:textId="69E5EB1E" w:rsidR="00F90193" w:rsidRPr="00EC1443" w:rsidRDefault="00ED3E99" w:rsidP="00EC1443">
      <w:bookmarkStart w:id="6" w:name="_Hlk77336142"/>
      <w:r>
        <w:rPr>
          <w:b/>
          <w:bCs/>
          <w:noProof/>
          <w:sz w:val="26"/>
          <w:szCs w:val="26"/>
        </w:rPr>
        <w:drawing>
          <wp:anchor distT="0" distB="0" distL="114300" distR="114300" simplePos="0" relativeHeight="251752448" behindDoc="0" locked="1" layoutInCell="1" allowOverlap="0" wp14:anchorId="0C399D66" wp14:editId="7E7E55C4">
            <wp:simplePos x="0" y="0"/>
            <wp:positionH relativeFrom="margin">
              <wp:posOffset>226695</wp:posOffset>
            </wp:positionH>
            <wp:positionV relativeFrom="paragraph">
              <wp:posOffset>89535</wp:posOffset>
            </wp:positionV>
            <wp:extent cx="6071616" cy="786384"/>
            <wp:effectExtent l="19050" t="0" r="5715" b="13970"/>
            <wp:wrapThrough wrapText="bothSides">
              <wp:wrapPolygon edited="0">
                <wp:start x="-68" y="0"/>
                <wp:lineTo x="-68" y="1047"/>
                <wp:lineTo x="881" y="8375"/>
                <wp:lineTo x="407" y="16750"/>
                <wp:lineTo x="-68" y="20414"/>
                <wp:lineTo x="-68" y="21460"/>
                <wp:lineTo x="20333" y="21460"/>
                <wp:lineTo x="20400" y="21460"/>
                <wp:lineTo x="20943" y="16750"/>
                <wp:lineTo x="21349" y="14132"/>
                <wp:lineTo x="21553" y="10468"/>
                <wp:lineTo x="21417" y="8375"/>
                <wp:lineTo x="20333" y="0"/>
                <wp:lineTo x="-68" y="0"/>
              </wp:wrapPolygon>
            </wp:wrapThrough>
            <wp:docPr id="6" name="Diagram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14:sizeRelH relativeFrom="margin">
              <wp14:pctWidth>0</wp14:pctWidth>
            </wp14:sizeRelH>
            <wp14:sizeRelV relativeFrom="margin">
              <wp14:pctHeight>0</wp14:pctHeight>
            </wp14:sizeRelV>
          </wp:anchor>
        </w:drawing>
      </w:r>
    </w:p>
    <w:p w14:paraId="324F51EE" w14:textId="77777777" w:rsidR="00EC1443" w:rsidRDefault="00EC1443" w:rsidP="00A87CA5">
      <w:pPr>
        <w:rPr>
          <w:rFonts w:ascii="Arial" w:hAnsi="Arial" w:cs="Arial"/>
        </w:rPr>
      </w:pPr>
    </w:p>
    <w:p w14:paraId="2CC2EFE3" w14:textId="5E0E692E" w:rsidR="00EC1443" w:rsidRDefault="00EC1443" w:rsidP="00A87CA5">
      <w:pPr>
        <w:rPr>
          <w:rFonts w:ascii="Arial" w:hAnsi="Arial" w:cs="Arial"/>
        </w:rPr>
      </w:pPr>
    </w:p>
    <w:p w14:paraId="50998EC0" w14:textId="77777777" w:rsidR="00EC1443" w:rsidRDefault="00EC1443" w:rsidP="00A87CA5">
      <w:pPr>
        <w:rPr>
          <w:rFonts w:ascii="Arial" w:hAnsi="Arial" w:cs="Arial"/>
        </w:rPr>
      </w:pPr>
    </w:p>
    <w:p w14:paraId="32EA0B2E" w14:textId="605E57A9" w:rsidR="00926210" w:rsidRPr="00FB109D" w:rsidRDefault="00A87CA5" w:rsidP="00A87CA5">
      <w:pPr>
        <w:rPr>
          <w:rFonts w:ascii="Arial" w:hAnsi="Arial" w:cs="Arial"/>
        </w:rPr>
      </w:pPr>
      <w:r w:rsidRPr="008E380F">
        <w:rPr>
          <w:rFonts w:ascii="Arial" w:hAnsi="Arial" w:cs="Arial"/>
        </w:rPr>
        <w:t xml:space="preserve">At the community-level, </w:t>
      </w:r>
      <w:r w:rsidR="005D3F40" w:rsidRPr="008E380F">
        <w:rPr>
          <w:rFonts w:ascii="Arial" w:hAnsi="Arial" w:cs="Arial"/>
        </w:rPr>
        <w:t>75</w:t>
      </w:r>
      <w:r w:rsidRPr="008E380F">
        <w:rPr>
          <w:rFonts w:ascii="Arial" w:hAnsi="Arial" w:cs="Arial"/>
        </w:rPr>
        <w:t xml:space="preserve">% of communities saw a 2020 screening rate that was </w:t>
      </w:r>
      <w:proofErr w:type="gramStart"/>
      <w:r w:rsidRPr="008E380F">
        <w:rPr>
          <w:rFonts w:ascii="Arial" w:hAnsi="Arial" w:cs="Arial"/>
        </w:rPr>
        <w:t>similar to</w:t>
      </w:r>
      <w:proofErr w:type="gramEnd"/>
      <w:r w:rsidRPr="008E380F">
        <w:rPr>
          <w:rFonts w:ascii="Arial" w:hAnsi="Arial" w:cs="Arial"/>
        </w:rPr>
        <w:t xml:space="preserve"> or higher than the 2019 screening rate. </w:t>
      </w:r>
      <w:r w:rsidR="00926210" w:rsidRPr="008E380F">
        <w:rPr>
          <w:rFonts w:ascii="Arial" w:hAnsi="Arial" w:cs="Arial"/>
        </w:rPr>
        <w:t>The remaining communities saw a</w:t>
      </w:r>
      <w:r w:rsidR="00EE4141" w:rsidRPr="008E380F">
        <w:rPr>
          <w:rFonts w:ascii="Arial" w:hAnsi="Arial" w:cs="Arial"/>
        </w:rPr>
        <w:t xml:space="preserve">n average </w:t>
      </w:r>
      <w:r w:rsidR="00926210" w:rsidRPr="008E380F">
        <w:rPr>
          <w:rFonts w:ascii="Arial" w:hAnsi="Arial" w:cs="Arial"/>
        </w:rPr>
        <w:t xml:space="preserve">screening rate </w:t>
      </w:r>
      <w:r w:rsidR="00DC0239" w:rsidRPr="008E380F">
        <w:rPr>
          <w:rFonts w:ascii="Arial" w:hAnsi="Arial" w:cs="Arial"/>
        </w:rPr>
        <w:t>decrease of 13% in 2020.</w:t>
      </w:r>
      <w:bookmarkEnd w:id="6"/>
      <w:r w:rsidR="008E380F">
        <w:rPr>
          <w:rFonts w:ascii="Arial" w:hAnsi="Arial" w:cs="Arial"/>
        </w:rPr>
        <w:t xml:space="preserve"> Efforts are ongoing to identify characteristics of the communities that experienced the greatest decreases in screening and to </w:t>
      </w:r>
      <w:r w:rsidR="00EA0282">
        <w:rPr>
          <w:rFonts w:ascii="Arial" w:hAnsi="Arial" w:cs="Arial"/>
        </w:rPr>
        <w:t>determine potential solutions to any barriers to screening in those communities.</w:t>
      </w:r>
    </w:p>
    <w:p w14:paraId="1F3E7A5D" w14:textId="77777777" w:rsidR="008754F8" w:rsidRDefault="008754F8" w:rsidP="002926B6">
      <w:pPr>
        <w:rPr>
          <w:rFonts w:ascii="Arial" w:hAnsi="Arial" w:cs="Arial"/>
        </w:rPr>
      </w:pPr>
    </w:p>
    <w:p w14:paraId="1AD8A62E" w14:textId="77777777" w:rsidR="008754F8" w:rsidRDefault="008754F8" w:rsidP="002926B6">
      <w:pPr>
        <w:rPr>
          <w:rFonts w:ascii="Arial" w:hAnsi="Arial" w:cs="Arial"/>
        </w:rPr>
      </w:pPr>
    </w:p>
    <w:p w14:paraId="3CF433E2" w14:textId="77777777" w:rsidR="008754F8" w:rsidRDefault="008754F8" w:rsidP="002926B6">
      <w:pPr>
        <w:rPr>
          <w:rFonts w:ascii="Arial" w:hAnsi="Arial" w:cs="Arial"/>
        </w:rPr>
      </w:pPr>
    </w:p>
    <w:p w14:paraId="4B66617D" w14:textId="046BF720" w:rsidR="002926B6" w:rsidRDefault="00762770" w:rsidP="002926B6">
      <w:pPr>
        <w:rPr>
          <w:rFonts w:ascii="Arial" w:hAnsi="Arial" w:cs="Arial"/>
        </w:rPr>
      </w:pPr>
      <w:r>
        <w:rPr>
          <w:rFonts w:ascii="Arial" w:hAnsi="Arial" w:cs="Arial"/>
        </w:rPr>
        <w:t>Since regulatory changes in 2017</w:t>
      </w:r>
      <w:r w:rsidR="00EA0282">
        <w:rPr>
          <w:rFonts w:ascii="Arial" w:hAnsi="Arial" w:cs="Arial"/>
        </w:rPr>
        <w:t>, the</w:t>
      </w:r>
      <w:r w:rsidR="00A87CA5" w:rsidRPr="00FB109D">
        <w:rPr>
          <w:rFonts w:ascii="Arial" w:hAnsi="Arial" w:cs="Arial"/>
        </w:rPr>
        <w:t xml:space="preserve"> percentage of children with </w:t>
      </w:r>
      <w:r w:rsidR="00EB08BD">
        <w:rPr>
          <w:rFonts w:ascii="Arial" w:hAnsi="Arial" w:cs="Arial"/>
        </w:rPr>
        <w:t>elevated</w:t>
      </w:r>
      <w:r w:rsidR="009B00E5">
        <w:rPr>
          <w:rFonts w:ascii="Arial" w:hAnsi="Arial" w:cs="Arial"/>
        </w:rPr>
        <w:t xml:space="preserve"> blood</w:t>
      </w:r>
      <w:r w:rsidR="00EB08BD">
        <w:rPr>
          <w:rFonts w:ascii="Arial" w:hAnsi="Arial" w:cs="Arial"/>
        </w:rPr>
        <w:t xml:space="preserve"> lead levels and </w:t>
      </w:r>
      <w:r w:rsidR="000E6493" w:rsidRPr="00FB109D">
        <w:rPr>
          <w:rFonts w:ascii="Arial" w:hAnsi="Arial" w:cs="Arial"/>
        </w:rPr>
        <w:t xml:space="preserve">lead </w:t>
      </w:r>
      <w:r w:rsidR="00A87CA5" w:rsidRPr="00FB109D">
        <w:rPr>
          <w:rFonts w:ascii="Arial" w:hAnsi="Arial" w:cs="Arial"/>
        </w:rPr>
        <w:t>poison</w:t>
      </w:r>
      <w:r w:rsidR="000E6493" w:rsidRPr="00FB109D">
        <w:rPr>
          <w:rFonts w:ascii="Arial" w:hAnsi="Arial" w:cs="Arial"/>
        </w:rPr>
        <w:t>ing</w:t>
      </w:r>
      <w:r w:rsidR="00A87CA5" w:rsidRPr="00FB109D">
        <w:rPr>
          <w:rFonts w:ascii="Arial" w:hAnsi="Arial" w:cs="Arial"/>
        </w:rPr>
        <w:t xml:space="preserve"> in Massachusetts has historically declined</w:t>
      </w:r>
      <w:r w:rsidR="00926210" w:rsidRPr="00FB109D">
        <w:rPr>
          <w:rFonts w:ascii="Arial" w:hAnsi="Arial" w:cs="Arial"/>
        </w:rPr>
        <w:t xml:space="preserve"> each year</w:t>
      </w:r>
      <w:r w:rsidR="00A87CA5" w:rsidRPr="00FB109D">
        <w:rPr>
          <w:rFonts w:ascii="Arial" w:hAnsi="Arial" w:cs="Arial"/>
        </w:rPr>
        <w:t xml:space="preserve">, </w:t>
      </w:r>
      <w:r w:rsidR="00EB08BD">
        <w:rPr>
          <w:rFonts w:ascii="Arial" w:hAnsi="Arial" w:cs="Arial"/>
        </w:rPr>
        <w:t xml:space="preserve">with elevated </w:t>
      </w:r>
      <w:r w:rsidR="009B00E5">
        <w:rPr>
          <w:rFonts w:ascii="Arial" w:hAnsi="Arial" w:cs="Arial"/>
        </w:rPr>
        <w:t xml:space="preserve">blood </w:t>
      </w:r>
      <w:r w:rsidR="00EB08BD">
        <w:rPr>
          <w:rFonts w:ascii="Arial" w:hAnsi="Arial" w:cs="Arial"/>
        </w:rPr>
        <w:t xml:space="preserve">lead levels </w:t>
      </w:r>
      <w:r w:rsidR="00EB08BD" w:rsidRPr="00596871">
        <w:rPr>
          <w:rFonts w:ascii="Arial" w:hAnsi="Arial" w:cs="Arial"/>
        </w:rPr>
        <w:t xml:space="preserve">≥5 µg/dL </w:t>
      </w:r>
      <w:r w:rsidR="00EB08BD">
        <w:rPr>
          <w:rFonts w:ascii="Arial" w:hAnsi="Arial" w:cs="Arial"/>
        </w:rPr>
        <w:t xml:space="preserve">displaying a substantial decrease (Figure </w:t>
      </w:r>
      <w:r w:rsidR="002926B6">
        <w:rPr>
          <w:rFonts w:ascii="Arial" w:hAnsi="Arial" w:cs="Arial"/>
        </w:rPr>
        <w:t>1</w:t>
      </w:r>
      <w:r w:rsidR="00EB08BD">
        <w:rPr>
          <w:rFonts w:ascii="Arial" w:hAnsi="Arial" w:cs="Arial"/>
        </w:rPr>
        <w:t xml:space="preserve">). </w:t>
      </w:r>
      <w:r>
        <w:rPr>
          <w:rFonts w:ascii="Arial" w:hAnsi="Arial" w:cs="Arial"/>
        </w:rPr>
        <w:t>However</w:t>
      </w:r>
      <w:r w:rsidR="00EA0282">
        <w:rPr>
          <w:rFonts w:ascii="Arial" w:hAnsi="Arial" w:cs="Arial"/>
        </w:rPr>
        <w:t>,</w:t>
      </w:r>
      <w:r>
        <w:rPr>
          <w:rFonts w:ascii="Arial" w:hAnsi="Arial" w:cs="Arial"/>
        </w:rPr>
        <w:t xml:space="preserve"> i</w:t>
      </w:r>
      <w:r w:rsidR="00EB08BD">
        <w:rPr>
          <w:rFonts w:ascii="Arial" w:hAnsi="Arial" w:cs="Arial"/>
        </w:rPr>
        <w:t>n 2020, both elevated and poisoned</w:t>
      </w:r>
      <w:r w:rsidR="009B00E5">
        <w:rPr>
          <w:rFonts w:ascii="Arial" w:hAnsi="Arial" w:cs="Arial"/>
        </w:rPr>
        <w:t xml:space="preserve"> blood</w:t>
      </w:r>
      <w:r w:rsidR="00EB08BD">
        <w:rPr>
          <w:rFonts w:ascii="Arial" w:hAnsi="Arial" w:cs="Arial"/>
        </w:rPr>
        <w:t xml:space="preserve"> lead levels increased slightly compared to 2019.</w:t>
      </w:r>
    </w:p>
    <w:p w14:paraId="006B9690" w14:textId="77777777" w:rsidR="00A5239C" w:rsidRDefault="00A5239C" w:rsidP="002926B6">
      <w:pPr>
        <w:rPr>
          <w:rFonts w:ascii="Arial" w:hAnsi="Arial" w:cs="Arial"/>
        </w:rPr>
      </w:pPr>
    </w:p>
    <w:p w14:paraId="635A3A2D" w14:textId="6415E056" w:rsidR="00DE371C" w:rsidRPr="002926B6" w:rsidRDefault="00C50357" w:rsidP="002926B6">
      <w:pPr>
        <w:rPr>
          <w:rFonts w:ascii="Arial" w:hAnsi="Arial" w:cs="Arial"/>
        </w:rPr>
      </w:pPr>
      <w:r>
        <w:rPr>
          <w:noProof/>
        </w:rPr>
        <w:drawing>
          <wp:anchor distT="0" distB="0" distL="114300" distR="114300" simplePos="0" relativeHeight="251738112" behindDoc="0" locked="0" layoutInCell="1" allowOverlap="1" wp14:anchorId="6B3075DB" wp14:editId="58DD52B2">
            <wp:simplePos x="0" y="0"/>
            <wp:positionH relativeFrom="margin">
              <wp:posOffset>146050</wp:posOffset>
            </wp:positionH>
            <wp:positionV relativeFrom="paragraph">
              <wp:posOffset>114300</wp:posOffset>
            </wp:positionV>
            <wp:extent cx="6076950" cy="2984500"/>
            <wp:effectExtent l="0" t="0" r="0" b="6350"/>
            <wp:wrapThrough wrapText="bothSides">
              <wp:wrapPolygon edited="0">
                <wp:start x="0" y="0"/>
                <wp:lineTo x="0" y="21508"/>
                <wp:lineTo x="21532" y="21508"/>
                <wp:lineTo x="21532" y="0"/>
                <wp:lineTo x="0" y="0"/>
              </wp:wrapPolygon>
            </wp:wrapThrough>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14:sizeRelH relativeFrom="margin">
              <wp14:pctWidth>0</wp14:pctWidth>
            </wp14:sizeRelH>
            <wp14:sizeRelV relativeFrom="margin">
              <wp14:pctHeight>0</wp14:pctHeight>
            </wp14:sizeRelV>
          </wp:anchor>
        </w:drawing>
      </w:r>
      <w:r w:rsidR="006B3F64" w:rsidRPr="00FD23D9">
        <w:rPr>
          <w:noProof/>
        </w:rPr>
        <mc:AlternateContent>
          <mc:Choice Requires="wps">
            <w:drawing>
              <wp:anchor distT="45720" distB="45720" distL="114300" distR="114300" simplePos="0" relativeHeight="251655167" behindDoc="0" locked="1" layoutInCell="1" allowOverlap="1" wp14:anchorId="2CDFA949" wp14:editId="30D3DA99">
                <wp:simplePos x="0" y="0"/>
                <wp:positionH relativeFrom="margin">
                  <wp:posOffset>44450</wp:posOffset>
                </wp:positionH>
                <wp:positionV relativeFrom="paragraph">
                  <wp:posOffset>3124200</wp:posOffset>
                </wp:positionV>
                <wp:extent cx="6619875" cy="383540"/>
                <wp:effectExtent l="0" t="0" r="0" b="0"/>
                <wp:wrapSquare wrapText="bothSides"/>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9875" cy="383540"/>
                        </a:xfrm>
                        <a:prstGeom prst="rect">
                          <a:avLst/>
                        </a:prstGeom>
                        <a:noFill/>
                        <a:ln w="9525">
                          <a:noFill/>
                          <a:miter lim="800000"/>
                          <a:headEnd/>
                          <a:tailEnd/>
                        </a:ln>
                      </wps:spPr>
                      <wps:txbx>
                        <w:txbxContent>
                          <w:p w14:paraId="19484851" w14:textId="36C754F8" w:rsidR="005E6FB1" w:rsidRPr="00596871" w:rsidRDefault="005E6FB1" w:rsidP="00B53CAC">
                            <w:pPr>
                              <w:contextualSpacing/>
                              <w:rPr>
                                <w:sz w:val="18"/>
                                <w:szCs w:val="18"/>
                              </w:rPr>
                            </w:pPr>
                            <w:r w:rsidRPr="00596871">
                              <w:rPr>
                                <w:sz w:val="18"/>
                                <w:szCs w:val="18"/>
                                <w:vertAlign w:val="superscript"/>
                              </w:rPr>
                              <w:t>1</w:t>
                            </w:r>
                            <w:r w:rsidRPr="00596871">
                              <w:rPr>
                                <w:sz w:val="18"/>
                                <w:szCs w:val="18"/>
                              </w:rPr>
                              <w:t>Estimated confirmed BLLs ≥5 µg/dL include both confirmed results (venous and confirmed capillary tests) and a proportion of unconfirmed capillary results estimated to be truly elevated based on known capillary test reliability.</w:t>
                            </w:r>
                          </w:p>
                          <w:p w14:paraId="18137235" w14:textId="438E9A79" w:rsidR="005E6FB1" w:rsidRPr="00DE371C" w:rsidRDefault="005E6FB1" w:rsidP="00B53CAC">
                            <w:pPr>
                              <w:contextualSpacing/>
                              <w:rPr>
                                <w:sz w:val="16"/>
                                <w:szCs w:val="16"/>
                              </w:rPr>
                            </w:pPr>
                          </w:p>
                          <w:p w14:paraId="050B08F2" w14:textId="26EE6E4A" w:rsidR="005E6FB1" w:rsidRPr="0006120B" w:rsidRDefault="005E6FB1" w:rsidP="00B53CAC">
                            <w:pPr>
                              <w:contextualSpacing/>
                              <w:rPr>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shape w14:anchorId="2CDFA949" id="_x0000_s1028" type="#_x0000_t202" style="position:absolute;margin-left:3.5pt;margin-top:246pt;width:521.25pt;height:30.2pt;z-index:251655167;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" filled="f" stroked="f">
                <v:textbox>
                  <w:txbxContent>
                    <w:p w14:paraId="19484851" w14:textId="36C754F8" w:rsidR="005E6FB1" w:rsidRPr="00596871" w:rsidRDefault="005E6FB1" w:rsidP="00B53CAC">
                      <w:pPr>
                        <w:contextualSpacing/>
                        <w:rPr>
                          <w:sz w:val="18"/>
                          <w:szCs w:val="18"/>
                        </w:rPr>
                      </w:pPr>
                      <w:r w:rsidRPr="00596871">
                        <w:rPr>
                          <w:sz w:val="18"/>
                          <w:szCs w:val="18"/>
                          <w:vertAlign w:val="superscript"/>
                        </w:rPr>
                        <w:t>1</w:t>
                      </w:r>
                      <w:r w:rsidRPr="00596871">
                        <w:rPr>
                          <w:sz w:val="18"/>
                          <w:szCs w:val="18"/>
                        </w:rPr>
                        <w:t>Estimated confirmed BLLs ≥5 µg/dL include both confirmed results (venous and confirmed capillary tests) and a proportion of unconfirmed capillary results estimated to be truly elevated based on known capillary test reliability.</w:t>
                      </w:r>
                    </w:p>
                    <w:p w14:paraId="18137235" w14:textId="438E9A79" w:rsidR="005E6FB1" w:rsidRPr="00DE371C" w:rsidRDefault="005E6FB1" w:rsidP="00B53CAC">
                      <w:pPr>
                        <w:contextualSpacing/>
                        <w:rPr>
                          <w:sz w:val="16"/>
                          <w:szCs w:val="16"/>
                        </w:rPr>
                      </w:pPr>
                    </w:p>
                    <w:p w14:paraId="050B08F2" w14:textId="26EE6E4A" w:rsidR="005E6FB1" w:rsidRPr="0006120B" w:rsidRDefault="005E6FB1" w:rsidP="00B53CAC">
                      <w:pPr>
                        <w:contextualSpacing/>
                        <w:rPr>
                          <w:sz w:val="16"/>
                          <w:szCs w:val="16"/>
                        </w:rPr>
                      </w:pPr>
                    </w:p>
                  </w:txbxContent>
                </v:textbox>
                <w10:wrap type="square" anchorx="margin"/>
                <w10:anchorlock/>
              </v:shape>
            </w:pict>
          </mc:Fallback>
        </mc:AlternateContent>
      </w:r>
    </w:p>
    <w:p w14:paraId="1D5AA4C2" w14:textId="5B14D2F2" w:rsidR="00AB7B26" w:rsidRPr="00AB7B26" w:rsidRDefault="00C0165B" w:rsidP="00AB7B26">
      <w:pPr>
        <w:pStyle w:val="Heading1"/>
        <w:spacing w:before="360"/>
      </w:pPr>
      <w:r>
        <w:t xml:space="preserve">IMPACT OF COVID-19 PANDEMIC </w:t>
      </w:r>
    </w:p>
    <w:p w14:paraId="2D2CF5C5" w14:textId="14B01E51" w:rsidR="00C0165B" w:rsidRDefault="00F346AF" w:rsidP="00AA1223">
      <w:pPr>
        <w:pStyle w:val="BodyText"/>
        <w:rPr>
          <w:sz w:val="22"/>
          <w:szCs w:val="22"/>
        </w:rPr>
      </w:pPr>
      <w:r w:rsidRPr="009D462A">
        <w:rPr>
          <w:noProof/>
        </w:rPr>
        <w:drawing>
          <wp:anchor distT="0" distB="0" distL="114300" distR="114300" simplePos="0" relativeHeight="251748352" behindDoc="0" locked="0" layoutInCell="1" allowOverlap="0" wp14:anchorId="57A7B1A1" wp14:editId="176AC5E3">
            <wp:simplePos x="0" y="0"/>
            <wp:positionH relativeFrom="margin">
              <wp:align>right</wp:align>
            </wp:positionH>
            <wp:positionV relativeFrom="paragraph">
              <wp:posOffset>71755</wp:posOffset>
            </wp:positionV>
            <wp:extent cx="4070350" cy="2965450"/>
            <wp:effectExtent l="0" t="0" r="6350" b="12700"/>
            <wp:wrapThrough wrapText="bothSides">
              <wp:wrapPolygon edited="0">
                <wp:start x="0" y="0"/>
                <wp:lineTo x="0" y="21507"/>
                <wp:lineTo x="21533" y="21507"/>
                <wp:lineTo x="21533" y="0"/>
                <wp:lineTo x="0" y="0"/>
              </wp:wrapPolygon>
            </wp:wrapThrough>
            <wp:docPr id="15" name="Chart 15">
              <a:extLst xmlns:a="http://schemas.openxmlformats.org/drawingml/2006/main">
                <a:ext uri="{FF2B5EF4-FFF2-40B4-BE49-F238E27FC236}">
                  <a16:creationId xmlns:a16="http://schemas.microsoft.com/office/drawing/2014/main" id="{00000000-0008-0000-04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14:sizeRelH relativeFrom="margin">
              <wp14:pctWidth>0</wp14:pctWidth>
            </wp14:sizeRelH>
            <wp14:sizeRelV relativeFrom="margin">
              <wp14:pctHeight>0</wp14:pctHeight>
            </wp14:sizeRelV>
          </wp:anchor>
        </w:drawing>
      </w:r>
      <w:r w:rsidR="000B1DAF">
        <w:rPr>
          <w:sz w:val="22"/>
          <w:szCs w:val="22"/>
        </w:rPr>
        <w:t xml:space="preserve">In March 2020, the world saw the outbreak of a coronavirus pandemic. To protect public health and preserve life, </w:t>
      </w:r>
      <w:r w:rsidR="00C0165B">
        <w:rPr>
          <w:sz w:val="22"/>
          <w:szCs w:val="22"/>
        </w:rPr>
        <w:t xml:space="preserve">Massachusetts </w:t>
      </w:r>
      <w:r w:rsidR="00B94DAC">
        <w:rPr>
          <w:sz w:val="22"/>
          <w:szCs w:val="22"/>
        </w:rPr>
        <w:t xml:space="preserve">issued </w:t>
      </w:r>
      <w:r w:rsidR="00C0165B">
        <w:rPr>
          <w:sz w:val="22"/>
          <w:szCs w:val="22"/>
        </w:rPr>
        <w:t>stay-at-home orders</w:t>
      </w:r>
      <w:r w:rsidR="00CD6E77">
        <w:rPr>
          <w:sz w:val="22"/>
          <w:szCs w:val="22"/>
        </w:rPr>
        <w:t xml:space="preserve"> on March 16, 2020</w:t>
      </w:r>
      <w:r w:rsidR="00930BD5">
        <w:rPr>
          <w:sz w:val="22"/>
          <w:szCs w:val="22"/>
        </w:rPr>
        <w:t>.</w:t>
      </w:r>
      <w:r w:rsidR="00C0165B">
        <w:rPr>
          <w:sz w:val="22"/>
          <w:szCs w:val="22"/>
        </w:rPr>
        <w:t xml:space="preserve"> </w:t>
      </w:r>
      <w:r w:rsidR="00930BD5">
        <w:rPr>
          <w:sz w:val="22"/>
          <w:szCs w:val="22"/>
        </w:rPr>
        <w:t>C</w:t>
      </w:r>
      <w:r w:rsidR="00C0165B">
        <w:rPr>
          <w:sz w:val="22"/>
          <w:szCs w:val="22"/>
        </w:rPr>
        <w:t>linical office</w:t>
      </w:r>
      <w:r w:rsidR="00B94DAC">
        <w:rPr>
          <w:sz w:val="22"/>
          <w:szCs w:val="22"/>
        </w:rPr>
        <w:t>s were</w:t>
      </w:r>
      <w:r w:rsidR="00C0165B">
        <w:rPr>
          <w:sz w:val="22"/>
          <w:szCs w:val="22"/>
        </w:rPr>
        <w:t xml:space="preserve"> clos</w:t>
      </w:r>
      <w:r w:rsidR="00B94DAC">
        <w:rPr>
          <w:sz w:val="22"/>
          <w:szCs w:val="22"/>
        </w:rPr>
        <w:t>ed or limited to urgent care</w:t>
      </w:r>
      <w:r w:rsidR="00C0165B">
        <w:rPr>
          <w:sz w:val="22"/>
          <w:szCs w:val="22"/>
        </w:rPr>
        <w:t xml:space="preserve">, </w:t>
      </w:r>
      <w:r w:rsidR="00B94DAC">
        <w:rPr>
          <w:sz w:val="22"/>
          <w:szCs w:val="22"/>
        </w:rPr>
        <w:t xml:space="preserve">schools and early childhood facilities were closed, </w:t>
      </w:r>
      <w:r w:rsidR="00C0165B">
        <w:rPr>
          <w:sz w:val="22"/>
          <w:szCs w:val="22"/>
        </w:rPr>
        <w:t xml:space="preserve">and </w:t>
      </w:r>
      <w:r w:rsidR="00B94DAC">
        <w:rPr>
          <w:sz w:val="22"/>
          <w:szCs w:val="22"/>
        </w:rPr>
        <w:t xml:space="preserve">well-child visits were </w:t>
      </w:r>
      <w:r w:rsidR="00C0165B">
        <w:rPr>
          <w:sz w:val="22"/>
          <w:szCs w:val="22"/>
        </w:rPr>
        <w:t>transition</w:t>
      </w:r>
      <w:r w:rsidR="00B94DAC">
        <w:rPr>
          <w:sz w:val="22"/>
          <w:szCs w:val="22"/>
        </w:rPr>
        <w:t>ed</w:t>
      </w:r>
      <w:r w:rsidR="00C0165B">
        <w:rPr>
          <w:sz w:val="22"/>
          <w:szCs w:val="22"/>
        </w:rPr>
        <w:t xml:space="preserve"> to </w:t>
      </w:r>
      <w:r w:rsidR="00B94DAC">
        <w:rPr>
          <w:sz w:val="22"/>
          <w:szCs w:val="22"/>
        </w:rPr>
        <w:t xml:space="preserve">a </w:t>
      </w:r>
      <w:r w:rsidR="00C0165B">
        <w:rPr>
          <w:sz w:val="22"/>
          <w:szCs w:val="22"/>
        </w:rPr>
        <w:t>telehealth</w:t>
      </w:r>
      <w:r w:rsidR="00B94DAC">
        <w:rPr>
          <w:sz w:val="22"/>
          <w:szCs w:val="22"/>
        </w:rPr>
        <w:t xml:space="preserve"> model.</w:t>
      </w:r>
      <w:r w:rsidR="00C0165B">
        <w:rPr>
          <w:sz w:val="22"/>
          <w:szCs w:val="22"/>
        </w:rPr>
        <w:t xml:space="preserve"> </w:t>
      </w:r>
      <w:r w:rsidR="00B94DAC">
        <w:rPr>
          <w:sz w:val="22"/>
          <w:szCs w:val="22"/>
        </w:rPr>
        <w:t>These events</w:t>
      </w:r>
      <w:r w:rsidR="00C0165B">
        <w:rPr>
          <w:sz w:val="22"/>
          <w:szCs w:val="22"/>
        </w:rPr>
        <w:t xml:space="preserve"> </w:t>
      </w:r>
      <w:bookmarkStart w:id="7" w:name="_Hlk78276131"/>
      <w:r w:rsidR="00080B55">
        <w:rPr>
          <w:sz w:val="22"/>
          <w:szCs w:val="22"/>
        </w:rPr>
        <w:t>had a significant impact on lead screening</w:t>
      </w:r>
      <w:r w:rsidR="00C0165B">
        <w:rPr>
          <w:sz w:val="22"/>
          <w:szCs w:val="22"/>
        </w:rPr>
        <w:t xml:space="preserve"> in 2020. </w:t>
      </w:r>
      <w:bookmarkEnd w:id="7"/>
      <w:r w:rsidR="00C0165B">
        <w:rPr>
          <w:sz w:val="22"/>
          <w:szCs w:val="22"/>
        </w:rPr>
        <w:t xml:space="preserve">The number of children screened for lead fell dramatically during the first wave of the pandemic compared to 2019 (Figure </w:t>
      </w:r>
      <w:r w:rsidR="008147FC">
        <w:rPr>
          <w:sz w:val="22"/>
          <w:szCs w:val="22"/>
        </w:rPr>
        <w:t>2</w:t>
      </w:r>
      <w:r w:rsidR="00C0165B">
        <w:rPr>
          <w:sz w:val="22"/>
          <w:szCs w:val="22"/>
        </w:rPr>
        <w:t xml:space="preserve">). Though screening rates recovered in June, the number of children screened </w:t>
      </w:r>
      <w:r w:rsidR="00CD6E77">
        <w:rPr>
          <w:sz w:val="22"/>
          <w:szCs w:val="22"/>
        </w:rPr>
        <w:t>since the stay-at-home orders we</w:t>
      </w:r>
      <w:r w:rsidR="00080B55">
        <w:rPr>
          <w:sz w:val="22"/>
          <w:szCs w:val="22"/>
        </w:rPr>
        <w:t xml:space="preserve">nt </w:t>
      </w:r>
      <w:r w:rsidR="00CD6E77">
        <w:rPr>
          <w:sz w:val="22"/>
          <w:szCs w:val="22"/>
        </w:rPr>
        <w:t>in</w:t>
      </w:r>
      <w:r w:rsidR="00080B55">
        <w:rPr>
          <w:sz w:val="22"/>
          <w:szCs w:val="22"/>
        </w:rPr>
        <w:t>to</w:t>
      </w:r>
      <w:r w:rsidR="00CD6E77">
        <w:rPr>
          <w:sz w:val="22"/>
          <w:szCs w:val="22"/>
        </w:rPr>
        <w:t xml:space="preserve"> effect </w:t>
      </w:r>
      <w:r w:rsidR="00C0165B">
        <w:rPr>
          <w:sz w:val="22"/>
          <w:szCs w:val="22"/>
        </w:rPr>
        <w:t xml:space="preserve">was down by 15% </w:t>
      </w:r>
      <w:r w:rsidR="00CD6E77">
        <w:rPr>
          <w:sz w:val="22"/>
          <w:szCs w:val="22"/>
        </w:rPr>
        <w:t xml:space="preserve">through </w:t>
      </w:r>
      <w:r w:rsidR="00C0165B">
        <w:rPr>
          <w:sz w:val="22"/>
          <w:szCs w:val="22"/>
        </w:rPr>
        <w:t xml:space="preserve">the </w:t>
      </w:r>
      <w:r w:rsidR="00CD6E77">
        <w:rPr>
          <w:sz w:val="22"/>
          <w:szCs w:val="22"/>
        </w:rPr>
        <w:t xml:space="preserve">end of the </w:t>
      </w:r>
      <w:r w:rsidR="00C0165B">
        <w:rPr>
          <w:sz w:val="22"/>
          <w:szCs w:val="22"/>
        </w:rPr>
        <w:t>year.</w:t>
      </w:r>
    </w:p>
    <w:p w14:paraId="3C7FE7D3" w14:textId="35E85439" w:rsidR="00C0165B" w:rsidRPr="003706D3" w:rsidRDefault="005C41F9" w:rsidP="00AA1223">
      <w:pPr>
        <w:pStyle w:val="BodyText"/>
        <w:rPr>
          <w:sz w:val="22"/>
          <w:szCs w:val="22"/>
        </w:rPr>
      </w:pPr>
      <w:r w:rsidRPr="009D462A">
        <w:rPr>
          <w:noProof/>
        </w:rPr>
        <w:lastRenderedPageBreak/>
        <w:drawing>
          <wp:anchor distT="0" distB="0" distL="114300" distR="114300" simplePos="0" relativeHeight="251770880" behindDoc="0" locked="1" layoutInCell="1" allowOverlap="0" wp14:anchorId="7DC4CB36" wp14:editId="352A987A">
            <wp:simplePos x="0" y="0"/>
            <wp:positionH relativeFrom="margin">
              <wp:align>left</wp:align>
            </wp:positionH>
            <wp:positionV relativeFrom="paragraph">
              <wp:posOffset>742950</wp:posOffset>
            </wp:positionV>
            <wp:extent cx="4051300" cy="2921000"/>
            <wp:effectExtent l="0" t="0" r="6350" b="12700"/>
            <wp:wrapSquare wrapText="bothSides"/>
            <wp:docPr id="20" name="Chart 20">
              <a:extLst xmlns:a="http://schemas.openxmlformats.org/drawingml/2006/main">
                <a:ext uri="{FF2B5EF4-FFF2-40B4-BE49-F238E27FC236}">
                  <a16:creationId xmlns:a16="http://schemas.microsoft.com/office/drawing/2014/main" id="{00000000-0008-0000-06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14:sizeRelH relativeFrom="margin">
              <wp14:pctWidth>0</wp14:pctWidth>
            </wp14:sizeRelH>
            <wp14:sizeRelV relativeFrom="margin">
              <wp14:pctHeight>0</wp14:pctHeight>
            </wp14:sizeRelV>
          </wp:anchor>
        </w:drawing>
      </w:r>
      <w:r w:rsidR="00B53CB7" w:rsidRPr="00B53CB7">
        <w:rPr>
          <w:sz w:val="22"/>
          <w:szCs w:val="22"/>
        </w:rPr>
        <w:t xml:space="preserve">Monthly </w:t>
      </w:r>
      <w:r w:rsidR="007313D0">
        <w:rPr>
          <w:sz w:val="22"/>
          <w:szCs w:val="22"/>
        </w:rPr>
        <w:t xml:space="preserve">prevalence </w:t>
      </w:r>
      <w:r w:rsidR="00EA0282">
        <w:rPr>
          <w:sz w:val="22"/>
          <w:szCs w:val="22"/>
        </w:rPr>
        <w:t xml:space="preserve">estimates of </w:t>
      </w:r>
      <w:r w:rsidR="00B53CB7" w:rsidRPr="00B53CB7">
        <w:rPr>
          <w:sz w:val="22"/>
          <w:szCs w:val="22"/>
        </w:rPr>
        <w:t xml:space="preserve">lead poisoning varied greatly </w:t>
      </w:r>
      <w:r w:rsidR="00B94DAC">
        <w:rPr>
          <w:sz w:val="22"/>
          <w:szCs w:val="22"/>
        </w:rPr>
        <w:t xml:space="preserve">from </w:t>
      </w:r>
      <w:r w:rsidR="00B53CB7" w:rsidRPr="00B53CB7">
        <w:rPr>
          <w:sz w:val="22"/>
          <w:szCs w:val="22"/>
        </w:rPr>
        <w:t>March</w:t>
      </w:r>
      <w:r w:rsidR="00B94DAC">
        <w:rPr>
          <w:sz w:val="22"/>
          <w:szCs w:val="22"/>
        </w:rPr>
        <w:t xml:space="preserve"> through June </w:t>
      </w:r>
      <w:r w:rsidR="00B53CB7" w:rsidRPr="00B53CB7">
        <w:rPr>
          <w:sz w:val="22"/>
          <w:szCs w:val="22"/>
        </w:rPr>
        <w:t xml:space="preserve">(Figure </w:t>
      </w:r>
      <w:r w:rsidR="000E73B3">
        <w:rPr>
          <w:sz w:val="22"/>
          <w:szCs w:val="22"/>
        </w:rPr>
        <w:t>3</w:t>
      </w:r>
      <w:r w:rsidR="00596871" w:rsidRPr="00B53CB7">
        <w:rPr>
          <w:sz w:val="22"/>
          <w:szCs w:val="22"/>
        </w:rPr>
        <w:t>) but</w:t>
      </w:r>
      <w:r w:rsidR="00B53CB7" w:rsidRPr="00B53CB7">
        <w:rPr>
          <w:sz w:val="22"/>
          <w:szCs w:val="22"/>
        </w:rPr>
        <w:t xml:space="preserve"> </w:t>
      </w:r>
      <w:r w:rsidR="00B94DAC">
        <w:rPr>
          <w:sz w:val="22"/>
          <w:szCs w:val="22"/>
        </w:rPr>
        <w:t>were</w:t>
      </w:r>
      <w:r w:rsidR="00B53CB7" w:rsidRPr="00B53CB7">
        <w:rPr>
          <w:sz w:val="22"/>
          <w:szCs w:val="22"/>
        </w:rPr>
        <w:t xml:space="preserve"> consistently higher </w:t>
      </w:r>
      <w:r w:rsidR="00B94DAC">
        <w:rPr>
          <w:sz w:val="22"/>
          <w:szCs w:val="22"/>
        </w:rPr>
        <w:t>beginning in July with a particularly striking increase in</w:t>
      </w:r>
      <w:r w:rsidR="00B53CB7" w:rsidRPr="00B53CB7">
        <w:rPr>
          <w:sz w:val="22"/>
          <w:szCs w:val="22"/>
        </w:rPr>
        <w:t xml:space="preserve"> October</w:t>
      </w:r>
      <w:r w:rsidR="00B94DAC">
        <w:rPr>
          <w:sz w:val="22"/>
          <w:szCs w:val="22"/>
        </w:rPr>
        <w:t xml:space="preserve">. </w:t>
      </w:r>
      <w:r w:rsidR="00596871">
        <w:rPr>
          <w:sz w:val="22"/>
          <w:szCs w:val="22"/>
        </w:rPr>
        <w:t>On average</w:t>
      </w:r>
      <w:r w:rsidR="00B94DAC">
        <w:rPr>
          <w:sz w:val="22"/>
          <w:szCs w:val="22"/>
        </w:rPr>
        <w:t xml:space="preserve">, </w:t>
      </w:r>
      <w:r w:rsidR="00B94DAC" w:rsidRPr="00EA0282">
        <w:rPr>
          <w:sz w:val="22"/>
          <w:szCs w:val="22"/>
        </w:rPr>
        <w:t>an</w:t>
      </w:r>
      <w:r w:rsidR="00B53CB7" w:rsidRPr="00EA0282">
        <w:rPr>
          <w:sz w:val="22"/>
          <w:szCs w:val="22"/>
        </w:rPr>
        <w:t xml:space="preserve"> increase </w:t>
      </w:r>
      <w:r w:rsidR="00B94DAC" w:rsidRPr="00EA0282">
        <w:rPr>
          <w:sz w:val="22"/>
          <w:szCs w:val="22"/>
        </w:rPr>
        <w:t xml:space="preserve">in lead poisoning </w:t>
      </w:r>
      <w:r w:rsidR="00B53CB7" w:rsidRPr="00EA0282">
        <w:rPr>
          <w:sz w:val="22"/>
          <w:szCs w:val="22"/>
        </w:rPr>
        <w:t xml:space="preserve">of 20% </w:t>
      </w:r>
      <w:r w:rsidR="00B94DAC" w:rsidRPr="00EA0282">
        <w:rPr>
          <w:sz w:val="22"/>
          <w:szCs w:val="22"/>
        </w:rPr>
        <w:t>was observed from</w:t>
      </w:r>
      <w:r w:rsidR="00B53CB7" w:rsidRPr="00EA0282">
        <w:rPr>
          <w:sz w:val="22"/>
          <w:szCs w:val="22"/>
        </w:rPr>
        <w:t xml:space="preserve"> July</w:t>
      </w:r>
      <w:r w:rsidR="00B94DAC" w:rsidRPr="00EA0282">
        <w:rPr>
          <w:sz w:val="22"/>
          <w:szCs w:val="22"/>
        </w:rPr>
        <w:t>-December</w:t>
      </w:r>
      <w:r w:rsidR="00A418E1" w:rsidRPr="00EA0282">
        <w:rPr>
          <w:sz w:val="22"/>
          <w:szCs w:val="22"/>
        </w:rPr>
        <w:t xml:space="preserve">. This </w:t>
      </w:r>
      <w:r w:rsidR="00A418E1" w:rsidRPr="003706D3">
        <w:rPr>
          <w:sz w:val="22"/>
          <w:szCs w:val="22"/>
        </w:rPr>
        <w:t>is</w:t>
      </w:r>
      <w:r w:rsidR="00B94DAC" w:rsidRPr="003706D3">
        <w:rPr>
          <w:sz w:val="22"/>
          <w:szCs w:val="22"/>
        </w:rPr>
        <w:t xml:space="preserve"> a concerning</w:t>
      </w:r>
      <w:r w:rsidR="00B53CB7" w:rsidRPr="003706D3">
        <w:rPr>
          <w:sz w:val="22"/>
          <w:szCs w:val="22"/>
        </w:rPr>
        <w:t xml:space="preserve"> increase since, on an annual basis, rates </w:t>
      </w:r>
      <w:r w:rsidR="002A2064" w:rsidRPr="003706D3">
        <w:rPr>
          <w:sz w:val="22"/>
          <w:szCs w:val="22"/>
        </w:rPr>
        <w:t xml:space="preserve">have </w:t>
      </w:r>
      <w:r w:rsidR="00EA0282" w:rsidRPr="003706D3">
        <w:rPr>
          <w:sz w:val="22"/>
          <w:szCs w:val="22"/>
        </w:rPr>
        <w:t>historically stayed stable or decreased over time</w:t>
      </w:r>
      <w:r w:rsidR="0031038B" w:rsidRPr="003706D3">
        <w:rPr>
          <w:sz w:val="22"/>
          <w:szCs w:val="22"/>
        </w:rPr>
        <w:t>, in large part due to the CLPPP’s efforts</w:t>
      </w:r>
      <w:r w:rsidR="00B53CB7" w:rsidRPr="003706D3">
        <w:rPr>
          <w:sz w:val="22"/>
          <w:szCs w:val="22"/>
        </w:rPr>
        <w:t>.</w:t>
      </w:r>
    </w:p>
    <w:p w14:paraId="1A8F9FC8" w14:textId="1A7BCC13" w:rsidR="00B53CB7" w:rsidRPr="003706D3" w:rsidRDefault="00B53CB7" w:rsidP="001F6868">
      <w:pPr>
        <w:pStyle w:val="BodyText"/>
        <w:spacing w:line="120" w:lineRule="auto"/>
        <w:rPr>
          <w:sz w:val="22"/>
          <w:szCs w:val="22"/>
        </w:rPr>
      </w:pPr>
    </w:p>
    <w:p w14:paraId="77607DC9" w14:textId="79BCEA22" w:rsidR="00B53CB7" w:rsidRDefault="00B53CB7" w:rsidP="00FA09BF">
      <w:pPr>
        <w:pStyle w:val="BodyText"/>
        <w:rPr>
          <w:sz w:val="22"/>
          <w:szCs w:val="22"/>
        </w:rPr>
      </w:pPr>
      <w:r w:rsidRPr="003706D3">
        <w:rPr>
          <w:sz w:val="22"/>
          <w:szCs w:val="22"/>
        </w:rPr>
        <w:t>Some possible reasons for increased lead poisoning</w:t>
      </w:r>
      <w:r>
        <w:rPr>
          <w:sz w:val="22"/>
          <w:szCs w:val="22"/>
        </w:rPr>
        <w:t xml:space="preserve"> rates </w:t>
      </w:r>
      <w:r w:rsidR="003223FD">
        <w:rPr>
          <w:sz w:val="22"/>
          <w:szCs w:val="22"/>
        </w:rPr>
        <w:t xml:space="preserve">observed </w:t>
      </w:r>
      <w:r>
        <w:rPr>
          <w:sz w:val="22"/>
          <w:szCs w:val="22"/>
        </w:rPr>
        <w:t>include:</w:t>
      </w:r>
    </w:p>
    <w:p w14:paraId="320B5935" w14:textId="0E88C7C9" w:rsidR="00FA09BF" w:rsidRPr="00FA09BF" w:rsidRDefault="00B53CB7" w:rsidP="00FA09BF">
      <w:pPr>
        <w:pStyle w:val="BodyText"/>
        <w:numPr>
          <w:ilvl w:val="0"/>
          <w:numId w:val="16"/>
        </w:numPr>
        <w:spacing w:before="120"/>
        <w:ind w:left="432" w:right="432" w:firstLine="0"/>
        <w:mirrorIndents/>
        <w:rPr>
          <w:sz w:val="22"/>
          <w:szCs w:val="22"/>
        </w:rPr>
      </w:pPr>
      <w:bookmarkStart w:id="8" w:name="_Hlk78983427"/>
      <w:r w:rsidRPr="00FA09BF">
        <w:rPr>
          <w:sz w:val="22"/>
          <w:szCs w:val="22"/>
        </w:rPr>
        <w:t xml:space="preserve">An increase in home improvement and renovation projects undertaken during the pandemic, a common source of lead poisoning for those living in older homes containing lead-based </w:t>
      </w:r>
      <w:proofErr w:type="gramStart"/>
      <w:r w:rsidRPr="00FA09BF">
        <w:rPr>
          <w:sz w:val="22"/>
          <w:szCs w:val="22"/>
        </w:rPr>
        <w:t>paint;</w:t>
      </w:r>
      <w:proofErr w:type="gramEnd"/>
    </w:p>
    <w:p w14:paraId="1F93A786" w14:textId="0ED46445" w:rsidR="00FA09BF" w:rsidRDefault="00B53CB7" w:rsidP="00FA09BF">
      <w:pPr>
        <w:pStyle w:val="BodyText"/>
        <w:numPr>
          <w:ilvl w:val="0"/>
          <w:numId w:val="16"/>
        </w:numPr>
        <w:spacing w:before="120"/>
        <w:ind w:left="432" w:right="432" w:firstLine="0"/>
        <w:mirrorIndents/>
        <w:rPr>
          <w:sz w:val="22"/>
          <w:szCs w:val="22"/>
        </w:rPr>
      </w:pPr>
      <w:r>
        <w:rPr>
          <w:sz w:val="22"/>
          <w:szCs w:val="22"/>
        </w:rPr>
        <w:t>A major shift in the environments of many young children as daycare centers were closed and children were spending more time indoors</w:t>
      </w:r>
      <w:r w:rsidR="003223FD">
        <w:rPr>
          <w:sz w:val="22"/>
          <w:szCs w:val="22"/>
        </w:rPr>
        <w:t xml:space="preserve"> at home</w:t>
      </w:r>
      <w:r>
        <w:rPr>
          <w:sz w:val="22"/>
          <w:szCs w:val="22"/>
        </w:rPr>
        <w:t xml:space="preserve"> than usual; and</w:t>
      </w:r>
    </w:p>
    <w:p w14:paraId="136822AF" w14:textId="3F9DB0C7" w:rsidR="00B53CB7" w:rsidRPr="00FA09BF" w:rsidRDefault="00B53CB7" w:rsidP="00FA09BF">
      <w:pPr>
        <w:pStyle w:val="BodyText"/>
        <w:numPr>
          <w:ilvl w:val="0"/>
          <w:numId w:val="16"/>
        </w:numPr>
        <w:spacing w:before="120"/>
        <w:ind w:left="0" w:right="288" w:firstLine="0"/>
        <w:mirrorIndents/>
        <w:rPr>
          <w:sz w:val="22"/>
          <w:szCs w:val="22"/>
        </w:rPr>
      </w:pPr>
      <w:r w:rsidRPr="00FA09BF">
        <w:rPr>
          <w:sz w:val="22"/>
          <w:szCs w:val="22"/>
        </w:rPr>
        <w:t xml:space="preserve">Reduced rates of lead screening may have slowed the early identification of lead exposures </w:t>
      </w:r>
      <w:r w:rsidR="00626D7B" w:rsidRPr="00FA09BF">
        <w:rPr>
          <w:sz w:val="22"/>
          <w:szCs w:val="22"/>
        </w:rPr>
        <w:t>that usually serves to prevent</w:t>
      </w:r>
      <w:r w:rsidRPr="00FA09BF">
        <w:rPr>
          <w:sz w:val="22"/>
          <w:szCs w:val="22"/>
        </w:rPr>
        <w:t xml:space="preserve"> lead poisoning.</w:t>
      </w:r>
    </w:p>
    <w:bookmarkEnd w:id="8"/>
    <w:p w14:paraId="20D641A0" w14:textId="2C2A0676" w:rsidR="00B53CB7" w:rsidRDefault="00B53CB7" w:rsidP="001F6868">
      <w:pPr>
        <w:pStyle w:val="BodyText"/>
        <w:spacing w:line="120" w:lineRule="auto"/>
        <w:rPr>
          <w:sz w:val="22"/>
          <w:szCs w:val="22"/>
        </w:rPr>
      </w:pPr>
    </w:p>
    <w:p w14:paraId="6346A7B8" w14:textId="289D294B" w:rsidR="00DB4DF6" w:rsidRDefault="00DB4DF6" w:rsidP="001F6868">
      <w:pPr>
        <w:pStyle w:val="BodyText"/>
        <w:spacing w:line="120" w:lineRule="auto"/>
        <w:rPr>
          <w:sz w:val="22"/>
          <w:szCs w:val="22"/>
        </w:rPr>
      </w:pPr>
    </w:p>
    <w:p w14:paraId="31BADB2C" w14:textId="3E285C68" w:rsidR="0027621B" w:rsidRDefault="0027621B" w:rsidP="005C41F9">
      <w:pPr>
        <w:pStyle w:val="BodyText"/>
        <w:rPr>
          <w:sz w:val="22"/>
          <w:szCs w:val="22"/>
        </w:rPr>
      </w:pPr>
    </w:p>
    <w:p w14:paraId="18A6ADB3" w14:textId="18F03FFA" w:rsidR="00F364AE" w:rsidRDefault="000567A0" w:rsidP="005C41F9">
      <w:pPr>
        <w:pStyle w:val="BodyText"/>
        <w:rPr>
          <w:sz w:val="22"/>
          <w:szCs w:val="22"/>
        </w:rPr>
      </w:pPr>
      <w:r w:rsidRPr="000567A0">
        <w:rPr>
          <w:noProof/>
          <w:sz w:val="22"/>
          <w:szCs w:val="22"/>
        </w:rPr>
        <mc:AlternateContent>
          <mc:Choice Requires="wps">
            <w:drawing>
              <wp:anchor distT="45720" distB="45720" distL="114300" distR="114300" simplePos="0" relativeHeight="251754496" behindDoc="0" locked="1" layoutInCell="1" allowOverlap="1" wp14:anchorId="2CA2EABA" wp14:editId="016D9FAD">
                <wp:simplePos x="0" y="0"/>
                <wp:positionH relativeFrom="margin">
                  <wp:posOffset>-57150</wp:posOffset>
                </wp:positionH>
                <wp:positionV relativeFrom="paragraph">
                  <wp:posOffset>-507365</wp:posOffset>
                </wp:positionV>
                <wp:extent cx="4159250" cy="260350"/>
                <wp:effectExtent l="0" t="0" r="0" b="6350"/>
                <wp:wrapSquare wrapText="bothSides"/>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59250" cy="260350"/>
                        </a:xfrm>
                        <a:prstGeom prst="rect">
                          <a:avLst/>
                        </a:prstGeom>
                        <a:noFill/>
                        <a:ln w="9525">
                          <a:noFill/>
                          <a:miter lim="800000"/>
                          <a:headEnd/>
                          <a:tailEnd/>
                        </a:ln>
                      </wps:spPr>
                      <wps:txbx>
                        <w:txbxContent>
                          <w:p w14:paraId="3A7CDB6A" w14:textId="1A6101CB" w:rsidR="005E6FB1" w:rsidRPr="0033362C" w:rsidRDefault="005E6FB1">
                            <w:pPr>
                              <w:rPr>
                                <w:sz w:val="18"/>
                                <w:szCs w:val="18"/>
                              </w:rPr>
                            </w:pPr>
                            <w:r>
                              <w:rPr>
                                <w:sz w:val="18"/>
                                <w:szCs w:val="18"/>
                              </w:rPr>
                              <w:t>See Appendix III for detailed monthly lead poisoning case counts from 2019-2020.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shape w14:anchorId="2CA2EABA" id="_x0000_s1029" type="#_x0000_t202" style="position:absolute;margin-left:-4.5pt;margin-top:-39.95pt;width:327.5pt;height:20.5pt;z-index:2517544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" filled="f" stroked="f">
                <v:textbox>
                  <w:txbxContent>
                    <w:p w14:paraId="3A7CDB6A" w14:textId="1A6101CB" w:rsidR="005E6FB1" w:rsidRPr="0033362C" w:rsidRDefault="005E6FB1">
                      <w:pPr>
                        <w:rPr>
                          <w:sz w:val="18"/>
                          <w:szCs w:val="18"/>
                        </w:rPr>
                      </w:pPr>
                      <w:r>
                        <w:rPr>
                          <w:sz w:val="18"/>
                          <w:szCs w:val="18"/>
                        </w:rPr>
                        <w:t>See Appendix III for detailed monthly lead poisoning case counts from 2019-2020.</w:t>
                      </w:r>
                    </w:p>
                  </w:txbxContent>
                </v:textbox>
                <w10:wrap type="square" anchorx="margin"/>
                <w10:anchorlock/>
              </v:shape>
            </w:pict>
          </mc:Fallback>
        </mc:AlternateContent>
      </w:r>
      <w:r w:rsidR="00F364AE" w:rsidRPr="00F364AE">
        <w:rPr>
          <w:sz w:val="22"/>
          <w:szCs w:val="22"/>
        </w:rPr>
        <w:t>Lead inspections and de</w:t>
      </w:r>
      <w:r w:rsidR="0031038B">
        <w:rPr>
          <w:sz w:val="22"/>
          <w:szCs w:val="22"/>
        </w:rPr>
        <w:t>-</w:t>
      </w:r>
      <w:r w:rsidR="00F364AE" w:rsidRPr="00F364AE">
        <w:rPr>
          <w:sz w:val="22"/>
          <w:szCs w:val="22"/>
        </w:rPr>
        <w:t xml:space="preserve">leading activities in 2020 were also greatly impacted by Massachusetts stay-at-home orders. </w:t>
      </w:r>
      <w:r w:rsidR="003223FD">
        <w:rPr>
          <w:sz w:val="22"/>
          <w:szCs w:val="22"/>
        </w:rPr>
        <w:t>F</w:t>
      </w:r>
      <w:r w:rsidR="00F364AE" w:rsidRPr="00F364AE">
        <w:rPr>
          <w:sz w:val="22"/>
          <w:szCs w:val="22"/>
        </w:rPr>
        <w:t xml:space="preserve">ield work completed by Community Health Workers (CHWs) and inspectors was </w:t>
      </w:r>
      <w:r w:rsidR="003223FD">
        <w:rPr>
          <w:sz w:val="22"/>
          <w:szCs w:val="22"/>
        </w:rPr>
        <w:t>targeted to only include homes where a child’s</w:t>
      </w:r>
      <w:r w:rsidR="00F364AE" w:rsidRPr="00F364AE">
        <w:rPr>
          <w:sz w:val="22"/>
          <w:szCs w:val="22"/>
        </w:rPr>
        <w:t xml:space="preserve"> BLL was greater than or equal to 25 </w:t>
      </w:r>
      <w:r w:rsidR="00626D7B">
        <w:rPr>
          <w:sz w:val="22"/>
          <w:szCs w:val="22"/>
        </w:rPr>
        <w:t>µ</w:t>
      </w:r>
      <w:r w:rsidR="00F364AE" w:rsidRPr="00F364AE">
        <w:rPr>
          <w:sz w:val="22"/>
          <w:szCs w:val="22"/>
        </w:rPr>
        <w:t>g/dL. In many instances</w:t>
      </w:r>
      <w:r w:rsidR="00626D7B">
        <w:rPr>
          <w:sz w:val="22"/>
          <w:szCs w:val="22"/>
        </w:rPr>
        <w:t>,</w:t>
      </w:r>
      <w:r w:rsidR="00F364AE" w:rsidRPr="00F364AE">
        <w:rPr>
          <w:sz w:val="22"/>
          <w:szCs w:val="22"/>
        </w:rPr>
        <w:t xml:space="preserve"> in-home visits </w:t>
      </w:r>
      <w:r w:rsidR="003223FD">
        <w:rPr>
          <w:sz w:val="22"/>
          <w:szCs w:val="22"/>
        </w:rPr>
        <w:t xml:space="preserve">by CHWs </w:t>
      </w:r>
      <w:r w:rsidR="00626D7B">
        <w:rPr>
          <w:sz w:val="22"/>
          <w:szCs w:val="22"/>
        </w:rPr>
        <w:t xml:space="preserve">were replaced </w:t>
      </w:r>
      <w:r w:rsidR="00F364AE" w:rsidRPr="00F364AE">
        <w:rPr>
          <w:sz w:val="22"/>
          <w:szCs w:val="22"/>
        </w:rPr>
        <w:t xml:space="preserve">with telehealth visits and inspectors </w:t>
      </w:r>
      <w:r w:rsidR="003223FD">
        <w:rPr>
          <w:sz w:val="22"/>
          <w:szCs w:val="22"/>
        </w:rPr>
        <w:t>conducted only</w:t>
      </w:r>
      <w:r w:rsidR="003223FD" w:rsidRPr="00F364AE">
        <w:rPr>
          <w:sz w:val="22"/>
          <w:szCs w:val="22"/>
        </w:rPr>
        <w:t xml:space="preserve"> </w:t>
      </w:r>
      <w:r w:rsidR="00F364AE" w:rsidRPr="00F364AE">
        <w:rPr>
          <w:sz w:val="22"/>
          <w:szCs w:val="22"/>
        </w:rPr>
        <w:t>exterior inspections and consultations. The return to revised field work began in May and inspectors resumed full inspections in late August.</w:t>
      </w:r>
    </w:p>
    <w:p w14:paraId="53D3214D" w14:textId="65B16BC0" w:rsidR="00831C0C" w:rsidRDefault="00831C0C" w:rsidP="005C41F9">
      <w:pPr>
        <w:pStyle w:val="BodyText"/>
        <w:rPr>
          <w:sz w:val="22"/>
          <w:szCs w:val="22"/>
        </w:rPr>
      </w:pPr>
    </w:p>
    <w:p w14:paraId="35A1AC42" w14:textId="7EF535FD" w:rsidR="00AB7B26" w:rsidRDefault="00831C0C" w:rsidP="005C41F9">
      <w:pPr>
        <w:pStyle w:val="BodyText"/>
        <w:rPr>
          <w:sz w:val="22"/>
          <w:szCs w:val="22"/>
        </w:rPr>
      </w:pPr>
      <w:r>
        <w:rPr>
          <w:sz w:val="22"/>
          <w:szCs w:val="22"/>
        </w:rPr>
        <w:t xml:space="preserve">To address the impacts of the COVID-19 pandemic, the CLPPP </w:t>
      </w:r>
      <w:r w:rsidR="004870F4">
        <w:rPr>
          <w:sz w:val="22"/>
          <w:szCs w:val="22"/>
        </w:rPr>
        <w:t>is</w:t>
      </w:r>
      <w:r>
        <w:rPr>
          <w:sz w:val="22"/>
          <w:szCs w:val="22"/>
        </w:rPr>
        <w:t xml:space="preserve"> expand</w:t>
      </w:r>
      <w:r w:rsidR="004870F4">
        <w:rPr>
          <w:sz w:val="22"/>
          <w:szCs w:val="22"/>
        </w:rPr>
        <w:t>ing</w:t>
      </w:r>
      <w:r>
        <w:rPr>
          <w:sz w:val="22"/>
          <w:szCs w:val="22"/>
        </w:rPr>
        <w:t xml:space="preserve"> outreach to family care practitioners</w:t>
      </w:r>
      <w:r w:rsidR="004870F4">
        <w:rPr>
          <w:sz w:val="22"/>
          <w:szCs w:val="22"/>
        </w:rPr>
        <w:t xml:space="preserve"> and to </w:t>
      </w:r>
      <w:r>
        <w:rPr>
          <w:sz w:val="22"/>
          <w:szCs w:val="22"/>
        </w:rPr>
        <w:t xml:space="preserve">high-risk </w:t>
      </w:r>
      <w:r w:rsidR="004870F4">
        <w:rPr>
          <w:sz w:val="22"/>
          <w:szCs w:val="22"/>
        </w:rPr>
        <w:t xml:space="preserve">and/or </w:t>
      </w:r>
      <w:r>
        <w:rPr>
          <w:sz w:val="22"/>
          <w:szCs w:val="22"/>
        </w:rPr>
        <w:t>low-sc</w:t>
      </w:r>
      <w:r w:rsidR="004870F4">
        <w:rPr>
          <w:sz w:val="22"/>
          <w:szCs w:val="22"/>
        </w:rPr>
        <w:t>reened areas. For example, CLPPP collaborates with the New England Pediatric Environmental Health Specialty Unit (PEHSU) in</w:t>
      </w:r>
      <w:r>
        <w:rPr>
          <w:sz w:val="22"/>
          <w:szCs w:val="22"/>
        </w:rPr>
        <w:t xml:space="preserve"> </w:t>
      </w:r>
      <w:r w:rsidR="004870F4">
        <w:rPr>
          <w:sz w:val="22"/>
          <w:szCs w:val="22"/>
        </w:rPr>
        <w:t xml:space="preserve">providing </w:t>
      </w:r>
      <w:r>
        <w:rPr>
          <w:sz w:val="22"/>
          <w:szCs w:val="22"/>
        </w:rPr>
        <w:t xml:space="preserve">targeted training </w:t>
      </w:r>
      <w:r w:rsidR="004870F4">
        <w:rPr>
          <w:sz w:val="22"/>
          <w:szCs w:val="22"/>
        </w:rPr>
        <w:t xml:space="preserve">to clinicians using a tele-mentoring platform consisting of a series of collaborative webinars. The training has focused on the impacts of the COVID-19 pandemic on childhood lead screening and exposure to increase knowledge, comfort, and competence </w:t>
      </w:r>
      <w:r w:rsidR="00D30AC6">
        <w:rPr>
          <w:sz w:val="22"/>
          <w:szCs w:val="22"/>
        </w:rPr>
        <w:t xml:space="preserve">among participants </w:t>
      </w:r>
      <w:r w:rsidR="004870F4">
        <w:rPr>
          <w:sz w:val="22"/>
          <w:szCs w:val="22"/>
        </w:rPr>
        <w:t>in preventing and addressing lead poisoning. The CLPPP is also increasing capacity for clinical care coordination, increasing direct networking with family care practices, and e</w:t>
      </w:r>
      <w:r w:rsidRPr="00831C0C">
        <w:rPr>
          <w:sz w:val="22"/>
          <w:szCs w:val="22"/>
        </w:rPr>
        <w:t xml:space="preserve">xpanding our </w:t>
      </w:r>
      <w:r w:rsidR="004870F4">
        <w:rPr>
          <w:sz w:val="22"/>
          <w:szCs w:val="22"/>
        </w:rPr>
        <w:t xml:space="preserve">clinical </w:t>
      </w:r>
      <w:r w:rsidRPr="00831C0C">
        <w:rPr>
          <w:sz w:val="22"/>
          <w:szCs w:val="22"/>
        </w:rPr>
        <w:t>in-service</w:t>
      </w:r>
      <w:r w:rsidR="004870F4">
        <w:rPr>
          <w:sz w:val="22"/>
          <w:szCs w:val="22"/>
        </w:rPr>
        <w:t xml:space="preserve"> program</w:t>
      </w:r>
      <w:r w:rsidRPr="00831C0C">
        <w:rPr>
          <w:sz w:val="22"/>
          <w:szCs w:val="22"/>
        </w:rPr>
        <w:t xml:space="preserve"> to reach more practitioners and</w:t>
      </w:r>
      <w:r w:rsidR="004870F4">
        <w:rPr>
          <w:sz w:val="22"/>
          <w:szCs w:val="22"/>
        </w:rPr>
        <w:t xml:space="preserve"> to incorporate a new provider-specific feedback tool describing screening performance</w:t>
      </w:r>
      <w:r w:rsidR="00D30AC6">
        <w:rPr>
          <w:sz w:val="22"/>
          <w:szCs w:val="22"/>
        </w:rPr>
        <w:t xml:space="preserve"> and lead exposure metrics</w:t>
      </w:r>
      <w:r w:rsidR="004870F4">
        <w:rPr>
          <w:sz w:val="22"/>
          <w:szCs w:val="22"/>
        </w:rPr>
        <w:t>.</w:t>
      </w:r>
    </w:p>
    <w:p w14:paraId="3C427462" w14:textId="654835EB" w:rsidR="001664B8" w:rsidRPr="007402C0" w:rsidRDefault="001664B8" w:rsidP="008754F8">
      <w:pPr>
        <w:pStyle w:val="Heading1"/>
        <w:spacing w:before="360"/>
      </w:pPr>
      <w:r w:rsidRPr="007402C0">
        <w:t xml:space="preserve">PRIMARY PREVENTION ACTIVITIES </w:t>
      </w:r>
    </w:p>
    <w:p w14:paraId="1E49634C" w14:textId="61E111E2" w:rsidR="00E50F55" w:rsidRPr="007402C0" w:rsidRDefault="00E50F55" w:rsidP="00A53029">
      <w:r w:rsidRPr="007402C0">
        <w:rPr>
          <w:rFonts w:ascii="Arial" w:hAnsi="Arial" w:cs="Arial"/>
          <w:color w:val="000000"/>
        </w:rPr>
        <w:t xml:space="preserve">Primary prevention is </w:t>
      </w:r>
      <w:r w:rsidR="00264E2A" w:rsidRPr="007402C0">
        <w:rPr>
          <w:rFonts w:ascii="Arial" w:hAnsi="Arial" w:cs="Arial"/>
          <w:color w:val="000000"/>
        </w:rPr>
        <w:t>vital</w:t>
      </w:r>
      <w:r w:rsidRPr="007402C0">
        <w:rPr>
          <w:rFonts w:ascii="Arial" w:hAnsi="Arial" w:cs="Arial"/>
          <w:color w:val="000000"/>
        </w:rPr>
        <w:t xml:space="preserve"> to eradicating childhood lead exposure. While Massachusetts is fortunate to have an active private sector </w:t>
      </w:r>
      <w:r w:rsidR="00D97F23">
        <w:rPr>
          <w:rFonts w:ascii="Arial" w:hAnsi="Arial" w:cs="Arial"/>
          <w:color w:val="000000"/>
        </w:rPr>
        <w:t>of lead inspectors and de</w:t>
      </w:r>
      <w:r w:rsidR="0031038B">
        <w:rPr>
          <w:rFonts w:ascii="Arial" w:hAnsi="Arial" w:cs="Arial"/>
          <w:color w:val="000000"/>
        </w:rPr>
        <w:t>-</w:t>
      </w:r>
      <w:r w:rsidR="00D97F23">
        <w:rPr>
          <w:rFonts w:ascii="Arial" w:hAnsi="Arial" w:cs="Arial"/>
          <w:color w:val="000000"/>
        </w:rPr>
        <w:t>leading contractors</w:t>
      </w:r>
      <w:r w:rsidR="00D97F23" w:rsidRPr="007402C0">
        <w:rPr>
          <w:rFonts w:ascii="Arial" w:hAnsi="Arial" w:cs="Arial"/>
          <w:color w:val="000000"/>
        </w:rPr>
        <w:t xml:space="preserve">, </w:t>
      </w:r>
      <w:r w:rsidRPr="007402C0">
        <w:rPr>
          <w:rFonts w:ascii="Arial" w:hAnsi="Arial" w:cs="Arial"/>
          <w:b/>
          <w:bCs/>
          <w:color w:val="000000"/>
        </w:rPr>
        <w:t>we also have the third oldest housing stock in the country,</w:t>
      </w:r>
      <w:r w:rsidRPr="007402C0">
        <w:rPr>
          <w:rFonts w:ascii="Arial" w:hAnsi="Arial" w:cs="Arial"/>
          <w:color w:val="000000"/>
        </w:rPr>
        <w:t xml:space="preserve"> </w:t>
      </w:r>
      <w:r w:rsidRPr="007402C0">
        <w:rPr>
          <w:rFonts w:ascii="Arial" w:hAnsi="Arial" w:cs="Arial"/>
          <w:b/>
          <w:bCs/>
          <w:color w:val="000000"/>
        </w:rPr>
        <w:t xml:space="preserve">with approximately 69% of housing </w:t>
      </w:r>
      <w:r w:rsidR="00264E2A" w:rsidRPr="007402C0">
        <w:rPr>
          <w:rFonts w:ascii="Arial" w:hAnsi="Arial" w:cs="Arial"/>
          <w:b/>
          <w:bCs/>
          <w:color w:val="000000"/>
        </w:rPr>
        <w:t xml:space="preserve">units </w:t>
      </w:r>
      <w:r w:rsidRPr="007402C0">
        <w:rPr>
          <w:rFonts w:ascii="Arial" w:hAnsi="Arial" w:cs="Arial"/>
          <w:b/>
          <w:bCs/>
          <w:color w:val="000000"/>
        </w:rPr>
        <w:t>built before 1978</w:t>
      </w:r>
      <w:r w:rsidRPr="007402C0">
        <w:rPr>
          <w:rFonts w:ascii="Arial" w:hAnsi="Arial" w:cs="Arial"/>
          <w:color w:val="000000"/>
        </w:rPr>
        <w:t xml:space="preserve"> </w:t>
      </w:r>
      <w:r w:rsidR="00A418E1">
        <w:rPr>
          <w:rFonts w:ascii="Arial" w:hAnsi="Arial" w:cs="Arial"/>
          <w:color w:val="000000"/>
        </w:rPr>
        <w:t>when</w:t>
      </w:r>
      <w:r w:rsidRPr="007402C0">
        <w:rPr>
          <w:rFonts w:ascii="Arial" w:hAnsi="Arial" w:cs="Arial"/>
          <w:color w:val="000000"/>
        </w:rPr>
        <w:t xml:space="preserve"> lead was banned in residential paint. </w:t>
      </w:r>
    </w:p>
    <w:p w14:paraId="0422BDE0" w14:textId="4CD41145" w:rsidR="006920A2" w:rsidRPr="006920A2" w:rsidRDefault="006920A2" w:rsidP="006920A2">
      <w:pPr>
        <w:rPr>
          <w:rFonts w:ascii="Arial" w:hAnsi="Arial" w:cs="Arial"/>
          <w:color w:val="000000"/>
        </w:rPr>
      </w:pPr>
      <w:r w:rsidRPr="007402C0">
        <w:rPr>
          <w:rFonts w:ascii="Arial" w:hAnsi="Arial" w:cs="Arial"/>
          <w:color w:val="000000"/>
        </w:rPr>
        <w:t xml:space="preserve">Code enforcement lead determinations (abbreviated lead inspections) are key to local primary prevention efforts. Under the Massachusetts Lead Law, all </w:t>
      </w:r>
      <w:proofErr w:type="gramStart"/>
      <w:r w:rsidRPr="007402C0">
        <w:rPr>
          <w:rFonts w:ascii="Arial" w:hAnsi="Arial" w:cs="Arial"/>
          <w:color w:val="000000"/>
        </w:rPr>
        <w:t>parents</w:t>
      </w:r>
      <w:proofErr w:type="gramEnd"/>
      <w:r w:rsidR="00B301D3" w:rsidRPr="007402C0">
        <w:rPr>
          <w:rFonts w:ascii="Arial" w:hAnsi="Arial" w:cs="Arial"/>
          <w:color w:val="000000"/>
        </w:rPr>
        <w:t xml:space="preserve"> or guardians</w:t>
      </w:r>
      <w:r w:rsidRPr="007402C0">
        <w:rPr>
          <w:rFonts w:ascii="Arial" w:hAnsi="Arial" w:cs="Arial"/>
          <w:color w:val="000000"/>
        </w:rPr>
        <w:t xml:space="preserve"> with a child under 6 </w:t>
      </w:r>
      <w:r w:rsidR="00B301D3" w:rsidRPr="007402C0">
        <w:rPr>
          <w:rFonts w:ascii="Arial" w:hAnsi="Arial" w:cs="Arial"/>
          <w:color w:val="000000"/>
        </w:rPr>
        <w:t xml:space="preserve">years of age </w:t>
      </w:r>
      <w:r w:rsidRPr="007402C0">
        <w:rPr>
          <w:rFonts w:ascii="Arial" w:hAnsi="Arial" w:cs="Arial"/>
          <w:color w:val="000000"/>
        </w:rPr>
        <w:t xml:space="preserve">who rent a home built before 1978 can request the local health department, or, if there is no local capacity, </w:t>
      </w:r>
      <w:r w:rsidR="00A418E1">
        <w:rPr>
          <w:rFonts w:ascii="Arial" w:hAnsi="Arial" w:cs="Arial"/>
          <w:color w:val="000000"/>
        </w:rPr>
        <w:t xml:space="preserve">DPH’s </w:t>
      </w:r>
      <w:r w:rsidRPr="007402C0">
        <w:rPr>
          <w:rFonts w:ascii="Arial" w:hAnsi="Arial" w:cs="Arial"/>
          <w:color w:val="000000"/>
        </w:rPr>
        <w:t xml:space="preserve">CLPPP, to inspect their home for lead violations and enforce </w:t>
      </w:r>
      <w:r w:rsidR="00877328" w:rsidRPr="007402C0">
        <w:rPr>
          <w:rFonts w:ascii="Arial" w:hAnsi="Arial" w:cs="Arial"/>
          <w:color w:val="000000"/>
        </w:rPr>
        <w:t>de</w:t>
      </w:r>
      <w:r w:rsidR="0031038B">
        <w:rPr>
          <w:rFonts w:ascii="Arial" w:hAnsi="Arial" w:cs="Arial"/>
          <w:color w:val="000000"/>
        </w:rPr>
        <w:t>-</w:t>
      </w:r>
      <w:r w:rsidR="00877328" w:rsidRPr="007402C0">
        <w:rPr>
          <w:rFonts w:ascii="Arial" w:hAnsi="Arial" w:cs="Arial"/>
          <w:color w:val="000000"/>
        </w:rPr>
        <w:t>leading</w:t>
      </w:r>
      <w:r w:rsidRPr="007402C0">
        <w:rPr>
          <w:rFonts w:ascii="Arial" w:hAnsi="Arial" w:cs="Arial"/>
          <w:color w:val="000000"/>
        </w:rPr>
        <w:t>. Currently</w:t>
      </w:r>
      <w:r w:rsidR="00FC50DE" w:rsidRPr="007402C0">
        <w:rPr>
          <w:rFonts w:ascii="Arial" w:hAnsi="Arial" w:cs="Arial"/>
          <w:color w:val="000000"/>
        </w:rPr>
        <w:t>,</w:t>
      </w:r>
      <w:r w:rsidRPr="007402C0">
        <w:rPr>
          <w:rFonts w:ascii="Arial" w:hAnsi="Arial" w:cs="Arial"/>
          <w:color w:val="000000"/>
        </w:rPr>
        <w:t xml:space="preserve"> CLPPP licenses 119 local Boards of Health to help enforce the Lead Law in their communities</w:t>
      </w:r>
      <w:r w:rsidR="00B52F01">
        <w:rPr>
          <w:rFonts w:ascii="Arial" w:hAnsi="Arial" w:cs="Arial"/>
          <w:color w:val="000000"/>
        </w:rPr>
        <w:t xml:space="preserve">. To better communicate with families and </w:t>
      </w:r>
      <w:r w:rsidR="00B52F01">
        <w:rPr>
          <w:rFonts w:ascii="Arial" w:hAnsi="Arial" w:cs="Arial"/>
          <w:color w:val="000000"/>
        </w:rPr>
        <w:lastRenderedPageBreak/>
        <w:t xml:space="preserve">educate the public </w:t>
      </w:r>
      <w:r w:rsidR="00E50F55" w:rsidRPr="007402C0">
        <w:rPr>
          <w:rFonts w:ascii="Arial" w:hAnsi="Arial" w:cs="Arial"/>
          <w:color w:val="000000"/>
        </w:rPr>
        <w:t xml:space="preserve">about lead poisoning prevention, CLPPP </w:t>
      </w:r>
      <w:r w:rsidR="003223FD" w:rsidRPr="007402C0">
        <w:rPr>
          <w:rFonts w:ascii="Arial" w:hAnsi="Arial" w:cs="Arial"/>
          <w:color w:val="000000"/>
        </w:rPr>
        <w:t>offer</w:t>
      </w:r>
      <w:r w:rsidR="003223FD">
        <w:rPr>
          <w:rFonts w:ascii="Arial" w:hAnsi="Arial" w:cs="Arial"/>
          <w:color w:val="000000"/>
        </w:rPr>
        <w:t>s</w:t>
      </w:r>
      <w:r w:rsidR="003223FD" w:rsidRPr="007402C0">
        <w:rPr>
          <w:rFonts w:ascii="Arial" w:hAnsi="Arial" w:cs="Arial"/>
          <w:color w:val="000000"/>
        </w:rPr>
        <w:t xml:space="preserve"> educational materials in six languages</w:t>
      </w:r>
      <w:r w:rsidR="00A418E1">
        <w:rPr>
          <w:rFonts w:ascii="Arial" w:hAnsi="Arial" w:cs="Arial"/>
          <w:color w:val="000000"/>
        </w:rPr>
        <w:t>. S</w:t>
      </w:r>
      <w:r w:rsidR="00E50F55" w:rsidRPr="007402C0">
        <w:rPr>
          <w:rFonts w:ascii="Arial" w:hAnsi="Arial" w:cs="Arial"/>
          <w:color w:val="000000"/>
        </w:rPr>
        <w:t>taff can communicate in nine languages</w:t>
      </w:r>
      <w:r w:rsidR="00731532">
        <w:rPr>
          <w:rFonts w:ascii="Arial" w:hAnsi="Arial" w:cs="Arial"/>
          <w:color w:val="000000"/>
        </w:rPr>
        <w:t xml:space="preserve"> in addition to English.</w:t>
      </w:r>
    </w:p>
    <w:p w14:paraId="4FCFE263" w14:textId="7BD00C7B" w:rsidR="00FA09BF" w:rsidRDefault="006920A2" w:rsidP="0027621B">
      <w:pPr>
        <w:rPr>
          <w:rFonts w:ascii="Arial" w:hAnsi="Arial" w:cs="Arial"/>
          <w:color w:val="000000"/>
        </w:rPr>
      </w:pPr>
      <w:r w:rsidRPr="006920A2">
        <w:rPr>
          <w:rFonts w:ascii="Arial" w:hAnsi="Arial" w:cs="Arial"/>
          <w:color w:val="000000"/>
        </w:rPr>
        <w:t>CLPPP authorize</w:t>
      </w:r>
      <w:r w:rsidR="00E50F55">
        <w:rPr>
          <w:rFonts w:ascii="Arial" w:hAnsi="Arial" w:cs="Arial"/>
          <w:color w:val="000000"/>
        </w:rPr>
        <w:t>s</w:t>
      </w:r>
      <w:r w:rsidRPr="006920A2">
        <w:rPr>
          <w:rFonts w:ascii="Arial" w:hAnsi="Arial" w:cs="Arial"/>
          <w:color w:val="000000"/>
        </w:rPr>
        <w:t xml:space="preserve"> owners and agents</w:t>
      </w:r>
      <w:r w:rsidR="00243A5A">
        <w:rPr>
          <w:rFonts w:ascii="Arial" w:hAnsi="Arial" w:cs="Arial"/>
          <w:color w:val="000000"/>
        </w:rPr>
        <w:t xml:space="preserve"> (who work on behalf of owner</w:t>
      </w:r>
      <w:r w:rsidR="00A418E1">
        <w:rPr>
          <w:rFonts w:ascii="Arial" w:hAnsi="Arial" w:cs="Arial"/>
          <w:color w:val="000000"/>
        </w:rPr>
        <w:t>s</w:t>
      </w:r>
      <w:r w:rsidR="00243A5A">
        <w:rPr>
          <w:rFonts w:ascii="Arial" w:hAnsi="Arial" w:cs="Arial"/>
          <w:color w:val="000000"/>
        </w:rPr>
        <w:t>)</w:t>
      </w:r>
      <w:r w:rsidRPr="006920A2">
        <w:rPr>
          <w:rFonts w:ascii="Arial" w:hAnsi="Arial" w:cs="Arial"/>
          <w:color w:val="000000"/>
        </w:rPr>
        <w:t xml:space="preserve"> to safely do </w:t>
      </w:r>
      <w:r w:rsidR="00877328">
        <w:rPr>
          <w:rFonts w:ascii="Arial" w:hAnsi="Arial" w:cs="Arial"/>
          <w:color w:val="000000"/>
        </w:rPr>
        <w:t>low</w:t>
      </w:r>
      <w:r w:rsidR="000E7C31">
        <w:rPr>
          <w:rFonts w:ascii="Arial" w:hAnsi="Arial" w:cs="Arial"/>
          <w:color w:val="000000"/>
        </w:rPr>
        <w:t>-</w:t>
      </w:r>
      <w:r w:rsidR="00877328">
        <w:rPr>
          <w:rFonts w:ascii="Arial" w:hAnsi="Arial" w:cs="Arial"/>
          <w:color w:val="000000"/>
        </w:rPr>
        <w:t xml:space="preserve"> or moderate-risk</w:t>
      </w:r>
      <w:r w:rsidRPr="006920A2">
        <w:rPr>
          <w:rFonts w:ascii="Arial" w:hAnsi="Arial" w:cs="Arial"/>
          <w:color w:val="000000"/>
        </w:rPr>
        <w:t xml:space="preserve"> de</w:t>
      </w:r>
      <w:r w:rsidR="0031038B">
        <w:rPr>
          <w:rFonts w:ascii="Arial" w:hAnsi="Arial" w:cs="Arial"/>
          <w:color w:val="000000"/>
        </w:rPr>
        <w:t>-</w:t>
      </w:r>
      <w:r w:rsidRPr="006920A2">
        <w:rPr>
          <w:rFonts w:ascii="Arial" w:hAnsi="Arial" w:cs="Arial"/>
          <w:color w:val="000000"/>
        </w:rPr>
        <w:t xml:space="preserve">leading work. More than 18,000 owners and agents have become trained and authorized to fix the lead hazards in their homes. </w:t>
      </w:r>
      <w:r w:rsidR="00E50F55" w:rsidRPr="00A53029">
        <w:rPr>
          <w:rFonts w:ascii="Arial" w:hAnsi="Arial" w:cs="Arial"/>
          <w:b/>
          <w:bCs/>
          <w:color w:val="000000"/>
        </w:rPr>
        <w:t>In FY 2020</w:t>
      </w:r>
      <w:r w:rsidR="00522124">
        <w:rPr>
          <w:rFonts w:ascii="Arial" w:hAnsi="Arial" w:cs="Arial"/>
          <w:b/>
          <w:bCs/>
          <w:color w:val="000000"/>
        </w:rPr>
        <w:t>,</w:t>
      </w:r>
      <w:r w:rsidR="00E50F55" w:rsidRPr="00A53029">
        <w:rPr>
          <w:rFonts w:ascii="Arial" w:hAnsi="Arial" w:cs="Arial"/>
          <w:b/>
          <w:bCs/>
          <w:color w:val="000000"/>
        </w:rPr>
        <w:t xml:space="preserve"> </w:t>
      </w:r>
      <w:proofErr w:type="spellStart"/>
      <w:r w:rsidR="00E50F55" w:rsidRPr="00A53029">
        <w:rPr>
          <w:rFonts w:ascii="Arial" w:hAnsi="Arial" w:cs="Arial"/>
          <w:b/>
          <w:bCs/>
          <w:color w:val="000000"/>
        </w:rPr>
        <w:t>MassHousing’s</w:t>
      </w:r>
      <w:proofErr w:type="spellEnd"/>
      <w:r w:rsidR="00E50F55" w:rsidRPr="00A53029">
        <w:rPr>
          <w:rFonts w:ascii="Arial" w:hAnsi="Arial" w:cs="Arial"/>
          <w:b/>
          <w:bCs/>
          <w:color w:val="000000"/>
        </w:rPr>
        <w:t xml:space="preserve"> </w:t>
      </w:r>
      <w:r w:rsidR="00E50F55" w:rsidRPr="00D33643">
        <w:rPr>
          <w:rFonts w:ascii="Arial" w:hAnsi="Arial" w:cs="Arial"/>
          <w:b/>
          <w:bCs/>
          <w:i/>
          <w:iCs/>
          <w:color w:val="000000"/>
        </w:rPr>
        <w:t>Get the Lead Out</w:t>
      </w:r>
      <w:r w:rsidR="00E50F55" w:rsidRPr="00A53029">
        <w:rPr>
          <w:rFonts w:ascii="Arial" w:hAnsi="Arial" w:cs="Arial"/>
          <w:b/>
          <w:bCs/>
          <w:color w:val="000000"/>
        </w:rPr>
        <w:t xml:space="preserve"> </w:t>
      </w:r>
      <w:r w:rsidR="00A418E1">
        <w:rPr>
          <w:rFonts w:ascii="Arial" w:hAnsi="Arial" w:cs="Arial"/>
          <w:b/>
          <w:bCs/>
          <w:color w:val="000000"/>
        </w:rPr>
        <w:t>l</w:t>
      </w:r>
      <w:r w:rsidR="00A418E1" w:rsidRPr="00A53029">
        <w:rPr>
          <w:rFonts w:ascii="Arial" w:hAnsi="Arial" w:cs="Arial"/>
          <w:b/>
          <w:bCs/>
          <w:color w:val="000000"/>
        </w:rPr>
        <w:t xml:space="preserve">oan </w:t>
      </w:r>
      <w:r w:rsidR="00E50F55" w:rsidRPr="00A53029">
        <w:rPr>
          <w:rFonts w:ascii="Arial" w:hAnsi="Arial" w:cs="Arial"/>
          <w:b/>
          <w:bCs/>
          <w:color w:val="000000"/>
        </w:rPr>
        <w:t>program l</w:t>
      </w:r>
      <w:r w:rsidR="00243A5A">
        <w:rPr>
          <w:rFonts w:ascii="Arial" w:hAnsi="Arial" w:cs="Arial"/>
          <w:b/>
          <w:bCs/>
          <w:color w:val="000000"/>
        </w:rPr>
        <w:t>oaned</w:t>
      </w:r>
      <w:r w:rsidR="00E50F55" w:rsidRPr="00A53029">
        <w:rPr>
          <w:rFonts w:ascii="Arial" w:hAnsi="Arial" w:cs="Arial"/>
          <w:b/>
          <w:bCs/>
          <w:color w:val="000000"/>
        </w:rPr>
        <w:t xml:space="preserve"> more than $1.6 million to qualified property owners to de</w:t>
      </w:r>
      <w:r w:rsidR="0031038B">
        <w:rPr>
          <w:rFonts w:ascii="Arial" w:hAnsi="Arial" w:cs="Arial"/>
          <w:b/>
          <w:bCs/>
          <w:color w:val="000000"/>
        </w:rPr>
        <w:t>-</w:t>
      </w:r>
      <w:r w:rsidR="00E50F55" w:rsidRPr="00A53029">
        <w:rPr>
          <w:rFonts w:ascii="Arial" w:hAnsi="Arial" w:cs="Arial"/>
          <w:b/>
          <w:bCs/>
          <w:color w:val="000000"/>
        </w:rPr>
        <w:t>lead their homes.</w:t>
      </w:r>
      <w:r w:rsidR="0027621B">
        <w:rPr>
          <w:rFonts w:ascii="Arial" w:hAnsi="Arial" w:cs="Arial"/>
          <w:color w:val="000000"/>
        </w:rPr>
        <w:t xml:space="preserve"> </w:t>
      </w:r>
    </w:p>
    <w:p w14:paraId="0E8EE27F" w14:textId="20251AA1" w:rsidR="00AB7B26" w:rsidRPr="0027621B" w:rsidRDefault="006920A2" w:rsidP="0027621B">
      <w:pPr>
        <w:rPr>
          <w:rFonts w:ascii="Arial" w:hAnsi="Arial" w:cs="Arial"/>
          <w:color w:val="000000"/>
        </w:rPr>
      </w:pPr>
      <w:r w:rsidRPr="006920A2">
        <w:rPr>
          <w:rFonts w:ascii="Arial" w:hAnsi="Arial" w:cs="Arial"/>
          <w:color w:val="000000"/>
        </w:rPr>
        <w:t>CLPPP currently licenses 79 private lead inspectors. Each year</w:t>
      </w:r>
      <w:r w:rsidR="00522124">
        <w:rPr>
          <w:rFonts w:ascii="Arial" w:hAnsi="Arial" w:cs="Arial"/>
          <w:color w:val="000000"/>
        </w:rPr>
        <w:t>,</w:t>
      </w:r>
      <w:r w:rsidRPr="006920A2">
        <w:rPr>
          <w:rFonts w:ascii="Arial" w:hAnsi="Arial" w:cs="Arial"/>
          <w:color w:val="000000"/>
        </w:rPr>
        <w:t xml:space="preserve"> </w:t>
      </w:r>
      <w:r w:rsidR="00731532" w:rsidRPr="006920A2">
        <w:rPr>
          <w:rFonts w:ascii="Arial" w:hAnsi="Arial" w:cs="Arial"/>
          <w:color w:val="000000"/>
        </w:rPr>
        <w:t xml:space="preserve">more than </w:t>
      </w:r>
      <w:r w:rsidR="00731532">
        <w:rPr>
          <w:rFonts w:ascii="Arial" w:hAnsi="Arial" w:cs="Arial"/>
          <w:color w:val="000000"/>
        </w:rPr>
        <w:t>6</w:t>
      </w:r>
      <w:r w:rsidR="00731532" w:rsidRPr="006920A2">
        <w:rPr>
          <w:rFonts w:ascii="Arial" w:hAnsi="Arial" w:cs="Arial"/>
          <w:color w:val="000000"/>
        </w:rPr>
        <w:t xml:space="preserve">,000 homes </w:t>
      </w:r>
      <w:r w:rsidR="00731532">
        <w:rPr>
          <w:rFonts w:ascii="Arial" w:hAnsi="Arial" w:cs="Arial"/>
          <w:color w:val="000000"/>
        </w:rPr>
        <w:t xml:space="preserve">are </w:t>
      </w:r>
      <w:r w:rsidR="00A418E1">
        <w:rPr>
          <w:rFonts w:ascii="Arial" w:hAnsi="Arial" w:cs="Arial"/>
          <w:color w:val="000000"/>
        </w:rPr>
        <w:t>characterized as</w:t>
      </w:r>
      <w:r w:rsidR="00731532" w:rsidRPr="006920A2">
        <w:rPr>
          <w:rFonts w:ascii="Arial" w:hAnsi="Arial" w:cs="Arial"/>
          <w:color w:val="000000"/>
        </w:rPr>
        <w:t xml:space="preserve"> free from lead hazards or lead</w:t>
      </w:r>
      <w:r w:rsidR="00A418E1">
        <w:rPr>
          <w:rFonts w:ascii="Arial" w:hAnsi="Arial" w:cs="Arial"/>
          <w:color w:val="000000"/>
        </w:rPr>
        <w:t>-</w:t>
      </w:r>
      <w:r w:rsidR="00731532" w:rsidRPr="006920A2">
        <w:rPr>
          <w:rFonts w:ascii="Arial" w:hAnsi="Arial" w:cs="Arial"/>
          <w:color w:val="000000"/>
        </w:rPr>
        <w:t>safe</w:t>
      </w:r>
      <w:r w:rsidR="00731532">
        <w:rPr>
          <w:rFonts w:ascii="Arial" w:hAnsi="Arial" w:cs="Arial"/>
          <w:color w:val="000000"/>
        </w:rPr>
        <w:t xml:space="preserve"> by</w:t>
      </w:r>
      <w:r w:rsidR="00731532" w:rsidRPr="006920A2">
        <w:rPr>
          <w:rFonts w:ascii="Arial" w:hAnsi="Arial" w:cs="Arial"/>
          <w:color w:val="000000"/>
        </w:rPr>
        <w:t xml:space="preserve"> </w:t>
      </w:r>
      <w:r w:rsidRPr="006920A2">
        <w:rPr>
          <w:rFonts w:ascii="Arial" w:hAnsi="Arial" w:cs="Arial"/>
          <w:color w:val="000000"/>
        </w:rPr>
        <w:t>these inspectors</w:t>
      </w:r>
      <w:r w:rsidR="007E0961">
        <w:rPr>
          <w:rFonts w:ascii="Arial" w:hAnsi="Arial" w:cs="Arial"/>
          <w:color w:val="000000"/>
        </w:rPr>
        <w:t>, including newly de</w:t>
      </w:r>
      <w:r w:rsidR="0031038B">
        <w:rPr>
          <w:rFonts w:ascii="Arial" w:hAnsi="Arial" w:cs="Arial"/>
          <w:color w:val="000000"/>
        </w:rPr>
        <w:t>-</w:t>
      </w:r>
      <w:r w:rsidR="007E0961">
        <w:rPr>
          <w:rFonts w:ascii="Arial" w:hAnsi="Arial" w:cs="Arial"/>
          <w:color w:val="000000"/>
        </w:rPr>
        <w:t>leaded homes and those found to be lead</w:t>
      </w:r>
      <w:r w:rsidR="00A418E1">
        <w:rPr>
          <w:rFonts w:ascii="Arial" w:hAnsi="Arial" w:cs="Arial"/>
          <w:color w:val="000000"/>
        </w:rPr>
        <w:t>-</w:t>
      </w:r>
      <w:r w:rsidR="007E0961">
        <w:rPr>
          <w:rFonts w:ascii="Arial" w:hAnsi="Arial" w:cs="Arial"/>
          <w:color w:val="000000"/>
        </w:rPr>
        <w:t>safe after initial inspection</w:t>
      </w:r>
      <w:r w:rsidRPr="006920A2">
        <w:rPr>
          <w:rFonts w:ascii="Arial" w:hAnsi="Arial" w:cs="Arial"/>
          <w:color w:val="000000"/>
        </w:rPr>
        <w:t>.</w:t>
      </w:r>
    </w:p>
    <w:p w14:paraId="2935710B" w14:textId="76C69B58" w:rsidR="00CF77B8" w:rsidRPr="00A52DB1" w:rsidRDefault="0051437A" w:rsidP="008754F8">
      <w:pPr>
        <w:pStyle w:val="Heading1"/>
        <w:spacing w:before="360"/>
      </w:pPr>
      <w:r>
        <w:t>HIGH-RISK COMMUNITIES</w:t>
      </w:r>
    </w:p>
    <w:p w14:paraId="33695B20" w14:textId="06988814" w:rsidR="006735B5" w:rsidRDefault="00626D7B" w:rsidP="005774E0">
      <w:pPr>
        <w:pStyle w:val="BodyText"/>
        <w:rPr>
          <w:sz w:val="22"/>
          <w:szCs w:val="22"/>
        </w:rPr>
      </w:pPr>
      <w:r>
        <w:rPr>
          <w:b/>
          <w:bCs/>
          <w:sz w:val="22"/>
          <w:szCs w:val="22"/>
        </w:rPr>
        <w:t>Each year</w:t>
      </w:r>
      <w:r w:rsidR="00CF77B8" w:rsidRPr="00CF77B8">
        <w:rPr>
          <w:b/>
          <w:bCs/>
          <w:sz w:val="22"/>
          <w:szCs w:val="22"/>
        </w:rPr>
        <w:t>, DPH identifies communities with a higher risk of childhood lead poisoning</w:t>
      </w:r>
      <w:r w:rsidR="00CF77B8">
        <w:rPr>
          <w:sz w:val="22"/>
          <w:szCs w:val="22"/>
        </w:rPr>
        <w:t xml:space="preserve"> to better target resources and reduce health inequities associated with lead exposure in those communities. DPH determines risk by </w:t>
      </w:r>
      <w:r w:rsidR="00243A5A">
        <w:rPr>
          <w:sz w:val="22"/>
          <w:szCs w:val="22"/>
        </w:rPr>
        <w:t>examining</w:t>
      </w:r>
      <w:r w:rsidR="00CF77B8">
        <w:rPr>
          <w:sz w:val="22"/>
          <w:szCs w:val="22"/>
        </w:rPr>
        <w:t xml:space="preserve"> rates of newly poisoned children, the age of housing, and income levels for each of the </w:t>
      </w:r>
      <w:r w:rsidR="00754794">
        <w:rPr>
          <w:sz w:val="22"/>
          <w:szCs w:val="22"/>
        </w:rPr>
        <w:t xml:space="preserve">state’s </w:t>
      </w:r>
      <w:r w:rsidR="00CF77B8">
        <w:rPr>
          <w:sz w:val="22"/>
          <w:szCs w:val="22"/>
        </w:rPr>
        <w:t xml:space="preserve">351 cities and towns. </w:t>
      </w:r>
      <w:r w:rsidR="00CF77B8" w:rsidRPr="00CF77B8">
        <w:rPr>
          <w:b/>
          <w:bCs/>
          <w:sz w:val="22"/>
          <w:szCs w:val="22"/>
        </w:rPr>
        <w:t xml:space="preserve">High-risk communities </w:t>
      </w:r>
      <w:r w:rsidR="00754794">
        <w:rPr>
          <w:b/>
          <w:bCs/>
          <w:sz w:val="22"/>
          <w:szCs w:val="22"/>
        </w:rPr>
        <w:t>span</w:t>
      </w:r>
      <w:r w:rsidR="00CF77B8" w:rsidRPr="00CF77B8">
        <w:rPr>
          <w:b/>
          <w:bCs/>
          <w:sz w:val="22"/>
          <w:szCs w:val="22"/>
        </w:rPr>
        <w:t xml:space="preserve"> the state</w:t>
      </w:r>
      <w:r w:rsidR="00CF77B8">
        <w:rPr>
          <w:sz w:val="22"/>
          <w:szCs w:val="22"/>
        </w:rPr>
        <w:t xml:space="preserve">. </w:t>
      </w:r>
      <w:bookmarkStart w:id="9" w:name="_Hlk78276298"/>
      <w:r w:rsidR="00CF77B8">
        <w:rPr>
          <w:sz w:val="22"/>
          <w:szCs w:val="22"/>
        </w:rPr>
        <w:t xml:space="preserve">In 2020, </w:t>
      </w:r>
      <w:r w:rsidR="00BD0CE5">
        <w:rPr>
          <w:sz w:val="22"/>
          <w:szCs w:val="22"/>
        </w:rPr>
        <w:t>17</w:t>
      </w:r>
      <w:r w:rsidR="00CF77B8">
        <w:rPr>
          <w:sz w:val="22"/>
          <w:szCs w:val="22"/>
        </w:rPr>
        <w:t xml:space="preserve"> high-risk communities were identified.</w:t>
      </w:r>
      <w:r w:rsidR="0033615A">
        <w:rPr>
          <w:sz w:val="22"/>
          <w:szCs w:val="22"/>
        </w:rPr>
        <w:t xml:space="preserve"> </w:t>
      </w:r>
      <w:bookmarkEnd w:id="9"/>
      <w:r w:rsidR="00BD0CE5">
        <w:rPr>
          <w:sz w:val="22"/>
          <w:szCs w:val="22"/>
        </w:rPr>
        <w:t>Chicopee</w:t>
      </w:r>
      <w:r w:rsidR="0033615A">
        <w:rPr>
          <w:sz w:val="22"/>
          <w:szCs w:val="22"/>
        </w:rPr>
        <w:t xml:space="preserve"> was added to the </w:t>
      </w:r>
      <w:r w:rsidR="00754794">
        <w:rPr>
          <w:sz w:val="22"/>
          <w:szCs w:val="22"/>
        </w:rPr>
        <w:t xml:space="preserve">2020 </w:t>
      </w:r>
      <w:r w:rsidR="0033615A">
        <w:rPr>
          <w:sz w:val="22"/>
          <w:szCs w:val="22"/>
        </w:rPr>
        <w:t xml:space="preserve">high-risk community list, and </w:t>
      </w:r>
      <w:r w:rsidR="00BD0CE5">
        <w:rPr>
          <w:sz w:val="22"/>
          <w:szCs w:val="22"/>
        </w:rPr>
        <w:t>Gardner</w:t>
      </w:r>
      <w:r w:rsidR="0033615A">
        <w:rPr>
          <w:sz w:val="22"/>
          <w:szCs w:val="22"/>
        </w:rPr>
        <w:t xml:space="preserve"> dropped off </w:t>
      </w:r>
      <w:r w:rsidR="00754794">
        <w:rPr>
          <w:sz w:val="22"/>
          <w:szCs w:val="22"/>
        </w:rPr>
        <w:t>t</w:t>
      </w:r>
      <w:r w:rsidR="0033615A">
        <w:rPr>
          <w:sz w:val="22"/>
          <w:szCs w:val="22"/>
        </w:rPr>
        <w:t xml:space="preserve">he </w:t>
      </w:r>
      <w:r w:rsidR="00F547D5">
        <w:rPr>
          <w:sz w:val="22"/>
          <w:szCs w:val="22"/>
        </w:rPr>
        <w:t>list since 2019</w:t>
      </w:r>
      <w:r w:rsidR="0033615A">
        <w:rPr>
          <w:sz w:val="22"/>
          <w:szCs w:val="22"/>
        </w:rPr>
        <w:t xml:space="preserve">. </w:t>
      </w:r>
      <w:r w:rsidR="005F287D">
        <w:rPr>
          <w:sz w:val="22"/>
          <w:szCs w:val="22"/>
        </w:rPr>
        <w:t>Children living in high-risk communities are more likely to have lead poisoning than those living in other parts of the state (</w:t>
      </w:r>
      <w:r w:rsidR="00C11773">
        <w:rPr>
          <w:sz w:val="22"/>
          <w:szCs w:val="22"/>
        </w:rPr>
        <w:t xml:space="preserve">Figure </w:t>
      </w:r>
      <w:r w:rsidR="00ED5FB9">
        <w:rPr>
          <w:sz w:val="22"/>
          <w:szCs w:val="22"/>
        </w:rPr>
        <w:t>4</w:t>
      </w:r>
      <w:r w:rsidR="00C11773">
        <w:rPr>
          <w:sz w:val="22"/>
          <w:szCs w:val="22"/>
        </w:rPr>
        <w:t>)</w:t>
      </w:r>
      <w:r>
        <w:rPr>
          <w:sz w:val="22"/>
          <w:szCs w:val="22"/>
        </w:rPr>
        <w:t>, though this disparity was narrowing until 2020</w:t>
      </w:r>
      <w:r w:rsidR="00C11773">
        <w:rPr>
          <w:sz w:val="22"/>
          <w:szCs w:val="22"/>
        </w:rPr>
        <w:t xml:space="preserve">. </w:t>
      </w:r>
    </w:p>
    <w:p w14:paraId="029666CC" w14:textId="25D0B8F9" w:rsidR="008E3DD4" w:rsidRDefault="008E3DD4" w:rsidP="005774E0">
      <w:pPr>
        <w:pStyle w:val="BodyText"/>
        <w:rPr>
          <w:sz w:val="22"/>
          <w:szCs w:val="22"/>
        </w:rPr>
      </w:pPr>
    </w:p>
    <w:p w14:paraId="313F2BB8" w14:textId="2E4AF4DE" w:rsidR="00CD5485" w:rsidRPr="00FC24FC" w:rsidRDefault="00882F78" w:rsidP="008754F8">
      <w:pPr>
        <w:pStyle w:val="BodyText"/>
        <w:spacing w:before="240"/>
        <w:jc w:val="center"/>
        <w:rPr>
          <w:b/>
          <w:bCs/>
          <w:color w:val="FFFFFF" w:themeColor="background1"/>
          <w:sz w:val="28"/>
          <w:szCs w:val="28"/>
        </w:rPr>
      </w:pPr>
      <w:r>
        <w:rPr>
          <w:noProof/>
          <w:sz w:val="22"/>
          <w:szCs w:val="22"/>
        </w:rPr>
        <mc:AlternateContent>
          <mc:Choice Requires="wps">
            <w:drawing>
              <wp:anchor distT="0" distB="0" distL="114300" distR="114300" simplePos="0" relativeHeight="251723776" behindDoc="1" locked="1" layoutInCell="1" allowOverlap="1" wp14:anchorId="7AC0AA14" wp14:editId="0DCCF2CC">
                <wp:simplePos x="0" y="0"/>
                <wp:positionH relativeFrom="column">
                  <wp:posOffset>-12700</wp:posOffset>
                </wp:positionH>
                <wp:positionV relativeFrom="paragraph">
                  <wp:posOffset>3175</wp:posOffset>
                </wp:positionV>
                <wp:extent cx="6912610" cy="1627505"/>
                <wp:effectExtent l="38100" t="38100" r="116840" b="106045"/>
                <wp:wrapNone/>
                <wp:docPr id="29" name="Flowchart: Alternate Process 29"/>
                <wp:cNvGraphicFramePr/>
                <a:graphic xmlns:a="http://schemas.openxmlformats.org/drawingml/2006/main">
                  <a:graphicData uri="http://schemas.microsoft.com/office/word/2010/wordprocessingShape">
                    <wps:wsp>
                      <wps:cNvSpPr/>
                      <wps:spPr>
                        <a:xfrm>
                          <a:off x="0" y="0"/>
                          <a:ext cx="6912610" cy="1627505"/>
                        </a:xfrm>
                        <a:prstGeom prst="flowChartAlternateProcess">
                          <a:avLst/>
                        </a:prstGeom>
                        <a:solidFill>
                          <a:srgbClr val="27415F"/>
                        </a:solidFill>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shapetype w14:anchorId="354AC9D9"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29" o:spid="_x0000_s1026" type="#_x0000_t176" style="position:absolute;margin-left:-1pt;margin-top:.25pt;width:544.3pt;height:128.15pt;z-index:-251592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" fillcolor="#27415f" strokecolor="#1f3763 [1604]" strokeweight="1pt">
                <v:shadow on="t" color="black" opacity="26214f" origin="-.5,-.5" offset=".74836mm,.74836mm"/>
                <w10:anchorlock/>
              </v:shape>
            </w:pict>
          </mc:Fallback>
        </mc:AlternateContent>
      </w:r>
      <w:bookmarkStart w:id="10" w:name="_Hlk78280460"/>
      <w:r w:rsidR="00CD5485" w:rsidRPr="00FC24FC">
        <w:rPr>
          <w:b/>
          <w:bCs/>
          <w:color w:val="FFFFFF" w:themeColor="background1"/>
          <w:sz w:val="28"/>
          <w:szCs w:val="28"/>
        </w:rPr>
        <w:t>2020 High-Risk Communities</w:t>
      </w:r>
    </w:p>
    <w:p w14:paraId="6BDA1E9C" w14:textId="1226F15A" w:rsidR="00CD5485" w:rsidRPr="00AA1223" w:rsidRDefault="00CD5485" w:rsidP="00CD5485">
      <w:pPr>
        <w:pStyle w:val="BodyText"/>
        <w:jc w:val="center"/>
        <w:rPr>
          <w:b/>
          <w:bCs/>
          <w:color w:val="FFFFFF" w:themeColor="background1"/>
          <w:sz w:val="22"/>
          <w:szCs w:val="22"/>
        </w:rPr>
      </w:pPr>
    </w:p>
    <w:p w14:paraId="6DA8741D" w14:textId="77777777" w:rsidR="00CD5485" w:rsidRPr="00AA1223" w:rsidRDefault="00CD5485" w:rsidP="00CD5485">
      <w:pPr>
        <w:pStyle w:val="BodyText"/>
        <w:numPr>
          <w:ilvl w:val="0"/>
          <w:numId w:val="2"/>
        </w:numPr>
        <w:jc w:val="center"/>
        <w:rPr>
          <w:b/>
          <w:bCs/>
          <w:color w:val="FFFFFF" w:themeColor="background1"/>
          <w:sz w:val="22"/>
          <w:szCs w:val="22"/>
        </w:rPr>
        <w:sectPr w:rsidR="00CD5485" w:rsidRPr="00AA1223" w:rsidSect="00456790">
          <w:type w:val="continuous"/>
          <w:pgSz w:w="12240" w:h="15840"/>
          <w:pgMar w:top="720" w:right="720" w:bottom="720" w:left="720" w:header="720" w:footer="720" w:gutter="0"/>
          <w:cols w:space="720"/>
          <w:docGrid w:linePitch="360"/>
        </w:sectPr>
      </w:pPr>
    </w:p>
    <w:p w14:paraId="73BCABC3" w14:textId="5BFC0068" w:rsidR="00CD5485" w:rsidRPr="00AA1223" w:rsidRDefault="00CD5485" w:rsidP="00F364AE">
      <w:pPr>
        <w:pStyle w:val="BodyText"/>
        <w:numPr>
          <w:ilvl w:val="0"/>
          <w:numId w:val="2"/>
        </w:numPr>
        <w:ind w:left="1224"/>
        <w:rPr>
          <w:b/>
          <w:bCs/>
          <w:color w:val="FFFFFF" w:themeColor="background1"/>
          <w:sz w:val="22"/>
          <w:szCs w:val="22"/>
        </w:rPr>
      </w:pPr>
      <w:r w:rsidRPr="00AA1223">
        <w:rPr>
          <w:b/>
          <w:bCs/>
          <w:color w:val="FFFFFF" w:themeColor="background1"/>
          <w:sz w:val="22"/>
          <w:szCs w:val="22"/>
        </w:rPr>
        <w:t>Boston</w:t>
      </w:r>
    </w:p>
    <w:p w14:paraId="41E8AEB0" w14:textId="74427413" w:rsidR="00CD5485" w:rsidRPr="00AA1223" w:rsidRDefault="00CD5485" w:rsidP="00F364AE">
      <w:pPr>
        <w:pStyle w:val="BodyText"/>
        <w:numPr>
          <w:ilvl w:val="0"/>
          <w:numId w:val="2"/>
        </w:numPr>
        <w:ind w:left="1224"/>
        <w:rPr>
          <w:b/>
          <w:bCs/>
          <w:color w:val="FFFFFF" w:themeColor="background1"/>
          <w:sz w:val="22"/>
          <w:szCs w:val="22"/>
        </w:rPr>
      </w:pPr>
      <w:r w:rsidRPr="00AA1223">
        <w:rPr>
          <w:b/>
          <w:bCs/>
          <w:color w:val="FFFFFF" w:themeColor="background1"/>
          <w:sz w:val="22"/>
          <w:szCs w:val="22"/>
        </w:rPr>
        <w:t>Brockton</w:t>
      </w:r>
    </w:p>
    <w:p w14:paraId="346BDFCF" w14:textId="331A7B47" w:rsidR="00CD5485" w:rsidRPr="00AA1223" w:rsidRDefault="00CD5485" w:rsidP="00F364AE">
      <w:pPr>
        <w:pStyle w:val="BodyText"/>
        <w:numPr>
          <w:ilvl w:val="0"/>
          <w:numId w:val="2"/>
        </w:numPr>
        <w:ind w:left="1224"/>
        <w:rPr>
          <w:b/>
          <w:bCs/>
          <w:color w:val="FFFFFF" w:themeColor="background1"/>
          <w:sz w:val="22"/>
          <w:szCs w:val="22"/>
        </w:rPr>
      </w:pPr>
      <w:r w:rsidRPr="00AA1223">
        <w:rPr>
          <w:b/>
          <w:bCs/>
          <w:color w:val="FFFFFF" w:themeColor="background1"/>
          <w:sz w:val="22"/>
          <w:szCs w:val="22"/>
        </w:rPr>
        <w:t>Chelsea</w:t>
      </w:r>
    </w:p>
    <w:p w14:paraId="5E936D79" w14:textId="4EF6F543" w:rsidR="00CD5485" w:rsidRPr="00AA1223" w:rsidRDefault="00CD5485" w:rsidP="00F364AE">
      <w:pPr>
        <w:pStyle w:val="BodyText"/>
        <w:numPr>
          <w:ilvl w:val="0"/>
          <w:numId w:val="2"/>
        </w:numPr>
        <w:ind w:left="1224"/>
        <w:rPr>
          <w:b/>
          <w:bCs/>
          <w:color w:val="FFFFFF" w:themeColor="background1"/>
          <w:sz w:val="22"/>
          <w:szCs w:val="22"/>
        </w:rPr>
      </w:pPr>
      <w:r w:rsidRPr="00AA1223">
        <w:rPr>
          <w:b/>
          <w:bCs/>
          <w:color w:val="FFFFFF" w:themeColor="background1"/>
          <w:sz w:val="22"/>
          <w:szCs w:val="22"/>
        </w:rPr>
        <w:t>Chicopee</w:t>
      </w:r>
    </w:p>
    <w:p w14:paraId="3600D363" w14:textId="398E4BC6" w:rsidR="00CD5485" w:rsidRPr="00AA1223" w:rsidRDefault="00CD5485" w:rsidP="00F364AE">
      <w:pPr>
        <w:pStyle w:val="BodyText"/>
        <w:numPr>
          <w:ilvl w:val="0"/>
          <w:numId w:val="2"/>
        </w:numPr>
        <w:ind w:left="1224"/>
        <w:rPr>
          <w:b/>
          <w:bCs/>
          <w:color w:val="FFFFFF" w:themeColor="background1"/>
          <w:sz w:val="22"/>
          <w:szCs w:val="22"/>
        </w:rPr>
      </w:pPr>
      <w:r w:rsidRPr="00AA1223">
        <w:rPr>
          <w:b/>
          <w:bCs/>
          <w:color w:val="FFFFFF" w:themeColor="background1"/>
          <w:sz w:val="22"/>
          <w:szCs w:val="22"/>
        </w:rPr>
        <w:t>Everett</w:t>
      </w:r>
    </w:p>
    <w:p w14:paraId="2E2A1DA9" w14:textId="5CC762A0" w:rsidR="00CD5485" w:rsidRPr="00AA1223" w:rsidRDefault="00CD5485" w:rsidP="00F364AE">
      <w:pPr>
        <w:pStyle w:val="BodyText"/>
        <w:numPr>
          <w:ilvl w:val="0"/>
          <w:numId w:val="2"/>
        </w:numPr>
        <w:ind w:left="1224"/>
        <w:rPr>
          <w:b/>
          <w:bCs/>
          <w:color w:val="FFFFFF" w:themeColor="background1"/>
          <w:sz w:val="22"/>
          <w:szCs w:val="22"/>
        </w:rPr>
      </w:pPr>
      <w:r w:rsidRPr="00AA1223">
        <w:rPr>
          <w:b/>
          <w:bCs/>
          <w:color w:val="FFFFFF" w:themeColor="background1"/>
          <w:sz w:val="22"/>
          <w:szCs w:val="22"/>
        </w:rPr>
        <w:t>Fall River</w:t>
      </w:r>
    </w:p>
    <w:p w14:paraId="74BAFABE" w14:textId="17A6750A" w:rsidR="00CD5485" w:rsidRPr="00AA1223" w:rsidRDefault="00CD5485" w:rsidP="00F364AE">
      <w:pPr>
        <w:pStyle w:val="BodyText"/>
        <w:numPr>
          <w:ilvl w:val="0"/>
          <w:numId w:val="2"/>
        </w:numPr>
        <w:rPr>
          <w:b/>
          <w:bCs/>
          <w:color w:val="FFFFFF" w:themeColor="background1"/>
          <w:sz w:val="22"/>
          <w:szCs w:val="22"/>
        </w:rPr>
      </w:pPr>
      <w:r w:rsidRPr="00AA1223">
        <w:rPr>
          <w:b/>
          <w:bCs/>
          <w:color w:val="FFFFFF" w:themeColor="background1"/>
          <w:sz w:val="22"/>
          <w:szCs w:val="22"/>
        </w:rPr>
        <w:t>Fitchburg</w:t>
      </w:r>
    </w:p>
    <w:p w14:paraId="0E63BB84" w14:textId="7C0085AA" w:rsidR="00CD5485" w:rsidRPr="00AA1223" w:rsidRDefault="00CD5485" w:rsidP="00F364AE">
      <w:pPr>
        <w:pStyle w:val="BodyText"/>
        <w:numPr>
          <w:ilvl w:val="0"/>
          <w:numId w:val="2"/>
        </w:numPr>
        <w:rPr>
          <w:b/>
          <w:bCs/>
          <w:color w:val="FFFFFF" w:themeColor="background1"/>
          <w:sz w:val="22"/>
          <w:szCs w:val="22"/>
        </w:rPr>
      </w:pPr>
      <w:r w:rsidRPr="00AA1223">
        <w:rPr>
          <w:b/>
          <w:bCs/>
          <w:color w:val="FFFFFF" w:themeColor="background1"/>
          <w:sz w:val="22"/>
          <w:szCs w:val="22"/>
        </w:rPr>
        <w:t>Holyoke</w:t>
      </w:r>
    </w:p>
    <w:p w14:paraId="3B14B262" w14:textId="5230EDA8" w:rsidR="00CD5485" w:rsidRPr="00AA1223" w:rsidRDefault="00CD5485" w:rsidP="00F364AE">
      <w:pPr>
        <w:pStyle w:val="BodyText"/>
        <w:numPr>
          <w:ilvl w:val="0"/>
          <w:numId w:val="2"/>
        </w:numPr>
        <w:rPr>
          <w:b/>
          <w:bCs/>
          <w:color w:val="FFFFFF" w:themeColor="background1"/>
          <w:sz w:val="22"/>
          <w:szCs w:val="22"/>
        </w:rPr>
      </w:pPr>
      <w:r w:rsidRPr="00AA1223">
        <w:rPr>
          <w:b/>
          <w:bCs/>
          <w:color w:val="FFFFFF" w:themeColor="background1"/>
          <w:sz w:val="22"/>
          <w:szCs w:val="22"/>
        </w:rPr>
        <w:t>Lawrence</w:t>
      </w:r>
    </w:p>
    <w:p w14:paraId="03091779" w14:textId="0D863132" w:rsidR="00CD5485" w:rsidRPr="00AA1223" w:rsidRDefault="00CD5485" w:rsidP="00F364AE">
      <w:pPr>
        <w:pStyle w:val="BodyText"/>
        <w:numPr>
          <w:ilvl w:val="0"/>
          <w:numId w:val="2"/>
        </w:numPr>
        <w:rPr>
          <w:b/>
          <w:bCs/>
          <w:color w:val="FFFFFF" w:themeColor="background1"/>
          <w:sz w:val="22"/>
          <w:szCs w:val="22"/>
        </w:rPr>
      </w:pPr>
      <w:r w:rsidRPr="00AA1223">
        <w:rPr>
          <w:b/>
          <w:bCs/>
          <w:color w:val="FFFFFF" w:themeColor="background1"/>
          <w:sz w:val="22"/>
          <w:szCs w:val="22"/>
        </w:rPr>
        <w:t>Lowell</w:t>
      </w:r>
    </w:p>
    <w:p w14:paraId="701A011C" w14:textId="4C65D2B0" w:rsidR="00CD5485" w:rsidRPr="00AA1223" w:rsidRDefault="00CD5485" w:rsidP="00F364AE">
      <w:pPr>
        <w:pStyle w:val="BodyText"/>
        <w:numPr>
          <w:ilvl w:val="0"/>
          <w:numId w:val="2"/>
        </w:numPr>
        <w:rPr>
          <w:b/>
          <w:bCs/>
          <w:color w:val="FFFFFF" w:themeColor="background1"/>
          <w:sz w:val="22"/>
          <w:szCs w:val="22"/>
        </w:rPr>
      </w:pPr>
      <w:r w:rsidRPr="00AA1223">
        <w:rPr>
          <w:b/>
          <w:bCs/>
          <w:color w:val="FFFFFF" w:themeColor="background1"/>
          <w:sz w:val="22"/>
          <w:szCs w:val="22"/>
        </w:rPr>
        <w:t>Lynn</w:t>
      </w:r>
    </w:p>
    <w:p w14:paraId="79509681" w14:textId="3C9CE4E9" w:rsidR="00CD5485" w:rsidRPr="00AA1223" w:rsidRDefault="00CD5485" w:rsidP="0031038B">
      <w:pPr>
        <w:pStyle w:val="BodyText"/>
        <w:numPr>
          <w:ilvl w:val="0"/>
          <w:numId w:val="2"/>
        </w:numPr>
        <w:spacing w:after="120"/>
        <w:rPr>
          <w:b/>
          <w:bCs/>
          <w:color w:val="FFFFFF" w:themeColor="background1"/>
          <w:sz w:val="22"/>
          <w:szCs w:val="22"/>
        </w:rPr>
      </w:pPr>
      <w:r w:rsidRPr="00AA1223">
        <w:rPr>
          <w:b/>
          <w:bCs/>
          <w:color w:val="FFFFFF" w:themeColor="background1"/>
          <w:sz w:val="22"/>
          <w:szCs w:val="22"/>
        </w:rPr>
        <w:t>Malden</w:t>
      </w:r>
    </w:p>
    <w:bookmarkEnd w:id="10"/>
    <w:p w14:paraId="6A06A4C5" w14:textId="7E11ADF9" w:rsidR="00CD5485" w:rsidRPr="00AA1223" w:rsidRDefault="00CD5485" w:rsidP="00F364AE">
      <w:pPr>
        <w:pStyle w:val="BodyText"/>
        <w:numPr>
          <w:ilvl w:val="0"/>
          <w:numId w:val="2"/>
        </w:numPr>
        <w:rPr>
          <w:b/>
          <w:bCs/>
          <w:color w:val="FFFFFF" w:themeColor="background1"/>
          <w:sz w:val="22"/>
          <w:szCs w:val="22"/>
        </w:rPr>
      </w:pPr>
      <w:r w:rsidRPr="00AA1223">
        <w:rPr>
          <w:b/>
          <w:bCs/>
          <w:color w:val="FFFFFF" w:themeColor="background1"/>
          <w:sz w:val="22"/>
          <w:szCs w:val="22"/>
        </w:rPr>
        <w:t>New Bedford</w:t>
      </w:r>
    </w:p>
    <w:p w14:paraId="7F4AB44D" w14:textId="6DF34D8E" w:rsidR="00CD5485" w:rsidRPr="00AA1223" w:rsidRDefault="00CD5485" w:rsidP="00F364AE">
      <w:pPr>
        <w:pStyle w:val="BodyText"/>
        <w:numPr>
          <w:ilvl w:val="0"/>
          <w:numId w:val="2"/>
        </w:numPr>
        <w:rPr>
          <w:b/>
          <w:bCs/>
          <w:color w:val="FFFFFF" w:themeColor="background1"/>
          <w:sz w:val="22"/>
          <w:szCs w:val="22"/>
        </w:rPr>
      </w:pPr>
      <w:r w:rsidRPr="00AA1223">
        <w:rPr>
          <w:b/>
          <w:bCs/>
          <w:color w:val="FFFFFF" w:themeColor="background1"/>
          <w:sz w:val="22"/>
          <w:szCs w:val="22"/>
        </w:rPr>
        <w:t>Pittsfield</w:t>
      </w:r>
    </w:p>
    <w:p w14:paraId="4E14F0BB" w14:textId="509ED00F" w:rsidR="00CD5485" w:rsidRPr="00AA1223" w:rsidRDefault="00CD5485" w:rsidP="00F364AE">
      <w:pPr>
        <w:pStyle w:val="BodyText"/>
        <w:numPr>
          <w:ilvl w:val="0"/>
          <w:numId w:val="2"/>
        </w:numPr>
        <w:rPr>
          <w:b/>
          <w:bCs/>
          <w:color w:val="FFFFFF" w:themeColor="background1"/>
          <w:sz w:val="22"/>
          <w:szCs w:val="22"/>
        </w:rPr>
      </w:pPr>
      <w:r w:rsidRPr="00AA1223">
        <w:rPr>
          <w:b/>
          <w:bCs/>
          <w:color w:val="FFFFFF" w:themeColor="background1"/>
          <w:sz w:val="22"/>
          <w:szCs w:val="22"/>
        </w:rPr>
        <w:t>Springfield</w:t>
      </w:r>
    </w:p>
    <w:p w14:paraId="77A0A22B" w14:textId="36E290F0" w:rsidR="00CA28E9" w:rsidRPr="00AA1223" w:rsidRDefault="00CA28E9" w:rsidP="00F364AE">
      <w:pPr>
        <w:pStyle w:val="BodyText"/>
        <w:numPr>
          <w:ilvl w:val="0"/>
          <w:numId w:val="2"/>
        </w:numPr>
        <w:rPr>
          <w:b/>
          <w:bCs/>
          <w:color w:val="FFFFFF" w:themeColor="background1"/>
          <w:sz w:val="22"/>
          <w:szCs w:val="22"/>
        </w:rPr>
      </w:pPr>
      <w:r w:rsidRPr="00AA1223">
        <w:rPr>
          <w:b/>
          <w:bCs/>
          <w:color w:val="FFFFFF" w:themeColor="background1"/>
          <w:sz w:val="22"/>
          <w:szCs w:val="22"/>
        </w:rPr>
        <w:t>Westfield</w:t>
      </w:r>
    </w:p>
    <w:p w14:paraId="5216C7D5" w14:textId="77777777" w:rsidR="00CD5485" w:rsidRDefault="00CD5485" w:rsidP="0051798A">
      <w:pPr>
        <w:pStyle w:val="BodyText"/>
        <w:numPr>
          <w:ilvl w:val="0"/>
          <w:numId w:val="2"/>
        </w:numPr>
        <w:rPr>
          <w:b/>
          <w:bCs/>
          <w:color w:val="FFFFFF" w:themeColor="background1"/>
          <w:sz w:val="22"/>
          <w:szCs w:val="22"/>
        </w:rPr>
      </w:pPr>
      <w:r w:rsidRPr="00AA1223">
        <w:rPr>
          <w:b/>
          <w:bCs/>
          <w:color w:val="FFFFFF" w:themeColor="background1"/>
          <w:sz w:val="22"/>
          <w:szCs w:val="22"/>
        </w:rPr>
        <w:t>Worcester</w:t>
      </w:r>
    </w:p>
    <w:p w14:paraId="049E654F" w14:textId="7A70BD30" w:rsidR="005C41F9" w:rsidRPr="00465335" w:rsidRDefault="005C41F9" w:rsidP="00D33643">
      <w:pPr>
        <w:pStyle w:val="BodyText"/>
        <w:rPr>
          <w:b/>
          <w:bCs/>
          <w:color w:val="FFFFFF" w:themeColor="background1"/>
          <w:sz w:val="22"/>
          <w:szCs w:val="22"/>
        </w:rPr>
        <w:sectPr w:rsidR="005C41F9" w:rsidRPr="00465335" w:rsidSect="00CA28E9">
          <w:footerReference w:type="default" r:id="rId23"/>
          <w:type w:val="continuous"/>
          <w:pgSz w:w="12240" w:h="15840"/>
          <w:pgMar w:top="720" w:right="720" w:bottom="720" w:left="720" w:header="720" w:footer="720" w:gutter="0"/>
          <w:cols w:num="3" w:space="720"/>
          <w:docGrid w:linePitch="360"/>
        </w:sectPr>
      </w:pPr>
    </w:p>
    <w:p w14:paraId="49B10B16" w14:textId="0745D99A" w:rsidR="005C41F9" w:rsidRDefault="005C41F9" w:rsidP="005774E0">
      <w:pPr>
        <w:pStyle w:val="BodyText"/>
        <w:rPr>
          <w:sz w:val="22"/>
          <w:szCs w:val="22"/>
        </w:rPr>
      </w:pPr>
    </w:p>
    <w:p w14:paraId="57C51C61" w14:textId="1B740B61" w:rsidR="00FF03FE" w:rsidRDefault="0061615C" w:rsidP="005774E0">
      <w:pPr>
        <w:pStyle w:val="BodyText"/>
        <w:rPr>
          <w:sz w:val="22"/>
          <w:szCs w:val="22"/>
        </w:rPr>
      </w:pPr>
      <w:r>
        <w:rPr>
          <w:sz w:val="22"/>
          <w:szCs w:val="22"/>
        </w:rPr>
        <w:t xml:space="preserve">Approximately </w:t>
      </w:r>
      <w:r w:rsidR="00346A2D">
        <w:rPr>
          <w:sz w:val="22"/>
          <w:szCs w:val="22"/>
        </w:rPr>
        <w:t>54</w:t>
      </w:r>
      <w:r>
        <w:rPr>
          <w:sz w:val="22"/>
          <w:szCs w:val="22"/>
        </w:rPr>
        <w:t>% of identified cases of children with lead poisoning live in high-risk communities</w:t>
      </w:r>
      <w:r w:rsidR="00435A0E">
        <w:rPr>
          <w:sz w:val="22"/>
          <w:szCs w:val="22"/>
        </w:rPr>
        <w:t>,</w:t>
      </w:r>
      <w:r>
        <w:rPr>
          <w:sz w:val="22"/>
          <w:szCs w:val="22"/>
        </w:rPr>
        <w:t xml:space="preserve"> even though only about one</w:t>
      </w:r>
      <w:r w:rsidR="00435A0E">
        <w:rPr>
          <w:sz w:val="22"/>
          <w:szCs w:val="22"/>
        </w:rPr>
        <w:t>-</w:t>
      </w:r>
      <w:r>
        <w:rPr>
          <w:sz w:val="22"/>
          <w:szCs w:val="22"/>
        </w:rPr>
        <w:t>third of Massachusetts children live in those communities. This inequity in the prevalence of poisoned childhood blood lead levels has persisted, despite reductions in BLLs overall.</w:t>
      </w:r>
      <w:r w:rsidR="008910AB">
        <w:rPr>
          <w:sz w:val="22"/>
          <w:szCs w:val="22"/>
        </w:rPr>
        <w:t xml:space="preserve"> </w:t>
      </w:r>
      <w:r w:rsidR="001820F6">
        <w:rPr>
          <w:sz w:val="22"/>
          <w:szCs w:val="22"/>
        </w:rPr>
        <w:t>Since 2016</w:t>
      </w:r>
      <w:r w:rsidR="00435A0E">
        <w:rPr>
          <w:sz w:val="22"/>
          <w:szCs w:val="22"/>
        </w:rPr>
        <w:t xml:space="preserve"> and until 2020</w:t>
      </w:r>
      <w:r w:rsidR="001820F6">
        <w:rPr>
          <w:sz w:val="22"/>
          <w:szCs w:val="22"/>
        </w:rPr>
        <w:t xml:space="preserve">, the data </w:t>
      </w:r>
      <w:r w:rsidR="00B87B8F">
        <w:rPr>
          <w:sz w:val="22"/>
          <w:szCs w:val="22"/>
        </w:rPr>
        <w:t>show</w:t>
      </w:r>
      <w:r w:rsidR="001820F6">
        <w:rPr>
          <w:sz w:val="22"/>
          <w:szCs w:val="22"/>
        </w:rPr>
        <w:t xml:space="preserve"> </w:t>
      </w:r>
      <w:r w:rsidR="0082663D">
        <w:rPr>
          <w:sz w:val="22"/>
          <w:szCs w:val="22"/>
        </w:rPr>
        <w:t xml:space="preserve">this disparity </w:t>
      </w:r>
      <w:r w:rsidR="00435A0E">
        <w:rPr>
          <w:sz w:val="22"/>
          <w:szCs w:val="22"/>
        </w:rPr>
        <w:t xml:space="preserve">has been </w:t>
      </w:r>
      <w:r w:rsidR="00B87B8F">
        <w:rPr>
          <w:sz w:val="22"/>
          <w:szCs w:val="22"/>
        </w:rPr>
        <w:t>shrink</w:t>
      </w:r>
      <w:r w:rsidR="00435A0E">
        <w:rPr>
          <w:sz w:val="22"/>
          <w:szCs w:val="22"/>
        </w:rPr>
        <w:t>ing</w:t>
      </w:r>
      <w:r w:rsidR="0082663D">
        <w:rPr>
          <w:sz w:val="22"/>
          <w:szCs w:val="22"/>
        </w:rPr>
        <w:t xml:space="preserve"> as the rates of poisoned blood lead levels in children living in high-risk communities ha</w:t>
      </w:r>
      <w:r w:rsidR="00435A0E">
        <w:rPr>
          <w:sz w:val="22"/>
          <w:szCs w:val="22"/>
        </w:rPr>
        <w:t>ve been</w:t>
      </w:r>
      <w:r w:rsidR="0082663D">
        <w:rPr>
          <w:sz w:val="22"/>
          <w:szCs w:val="22"/>
        </w:rPr>
        <w:t xml:space="preserve"> co</w:t>
      </w:r>
      <w:r w:rsidR="008910AB">
        <w:rPr>
          <w:sz w:val="22"/>
          <w:szCs w:val="22"/>
        </w:rPr>
        <w:t>nsistently decreas</w:t>
      </w:r>
      <w:r w:rsidR="00B87B8F">
        <w:rPr>
          <w:sz w:val="22"/>
          <w:szCs w:val="22"/>
        </w:rPr>
        <w:t>ing (Figure 4)</w:t>
      </w:r>
      <w:r w:rsidR="001820F6">
        <w:rPr>
          <w:sz w:val="22"/>
          <w:szCs w:val="22"/>
        </w:rPr>
        <w:t>.</w:t>
      </w:r>
      <w:r w:rsidR="008910AB">
        <w:rPr>
          <w:sz w:val="22"/>
          <w:szCs w:val="22"/>
        </w:rPr>
        <w:t xml:space="preserve"> However, the pandemic has</w:t>
      </w:r>
      <w:r w:rsidR="00174827">
        <w:rPr>
          <w:sz w:val="22"/>
          <w:szCs w:val="22"/>
        </w:rPr>
        <w:t xml:space="preserve"> adversely</w:t>
      </w:r>
      <w:r w:rsidR="008910AB">
        <w:rPr>
          <w:sz w:val="22"/>
          <w:szCs w:val="22"/>
        </w:rPr>
        <w:t xml:space="preserve"> impacted this trend, with </w:t>
      </w:r>
      <w:r w:rsidR="00174827">
        <w:rPr>
          <w:sz w:val="22"/>
          <w:szCs w:val="22"/>
        </w:rPr>
        <w:t xml:space="preserve">poisoned blood lead level </w:t>
      </w:r>
      <w:r w:rsidR="00281BE6">
        <w:rPr>
          <w:sz w:val="22"/>
          <w:szCs w:val="22"/>
        </w:rPr>
        <w:t>prevalence</w:t>
      </w:r>
      <w:r w:rsidR="008910AB">
        <w:rPr>
          <w:sz w:val="22"/>
          <w:szCs w:val="22"/>
        </w:rPr>
        <w:t xml:space="preserve"> increasing in 2020 for children living in high-risk communities</w:t>
      </w:r>
      <w:r w:rsidR="00643855">
        <w:rPr>
          <w:sz w:val="22"/>
          <w:szCs w:val="22"/>
        </w:rPr>
        <w:t>.</w:t>
      </w:r>
    </w:p>
    <w:p w14:paraId="4A33837E" w14:textId="77777777" w:rsidR="00A866FC" w:rsidRDefault="00A866FC" w:rsidP="005774E0">
      <w:pPr>
        <w:pStyle w:val="BodyText"/>
        <w:rPr>
          <w:sz w:val="22"/>
          <w:szCs w:val="22"/>
        </w:rPr>
      </w:pPr>
    </w:p>
    <w:p w14:paraId="5E0969F6" w14:textId="6C9FC3F9" w:rsidR="00A866FC" w:rsidRDefault="008D3728" w:rsidP="005774E0">
      <w:pPr>
        <w:pStyle w:val="BodyText"/>
        <w:rPr>
          <w:sz w:val="22"/>
          <w:szCs w:val="22"/>
        </w:rPr>
      </w:pPr>
      <w:r>
        <w:rPr>
          <w:noProof/>
        </w:rPr>
        <w:lastRenderedPageBreak/>
        <w:drawing>
          <wp:inline distT="0" distB="0" distL="0" distR="0" wp14:anchorId="62B6DF8B" wp14:editId="442072BA">
            <wp:extent cx="5998210" cy="3800723"/>
            <wp:effectExtent l="0" t="0" r="2540" b="9525"/>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78C4A825" w14:textId="4E2E3739" w:rsidR="00453514" w:rsidRDefault="00453514" w:rsidP="005774E0">
      <w:pPr>
        <w:pStyle w:val="BodyText"/>
        <w:rPr>
          <w:sz w:val="22"/>
          <w:szCs w:val="22"/>
        </w:rPr>
      </w:pPr>
      <w:r w:rsidRPr="00F830B1">
        <w:rPr>
          <w:noProof/>
        </w:rPr>
        <mc:AlternateContent>
          <mc:Choice Requires="wps">
            <w:drawing>
              <wp:anchor distT="45720" distB="45720" distL="114300" distR="114300" simplePos="0" relativeHeight="251753471" behindDoc="0" locked="1" layoutInCell="1" allowOverlap="1" wp14:anchorId="04FD7144" wp14:editId="47C43E4D">
                <wp:simplePos x="0" y="0"/>
                <wp:positionH relativeFrom="margin">
                  <wp:align>left</wp:align>
                </wp:positionH>
                <wp:positionV relativeFrom="paragraph">
                  <wp:posOffset>58420</wp:posOffset>
                </wp:positionV>
                <wp:extent cx="6019800" cy="247650"/>
                <wp:effectExtent l="0" t="0" r="0" b="0"/>
                <wp:wrapThrough wrapText="bothSides">
                  <wp:wrapPolygon edited="0">
                    <wp:start x="205" y="0"/>
                    <wp:lineTo x="205" y="19938"/>
                    <wp:lineTo x="21327" y="19938"/>
                    <wp:lineTo x="21327" y="0"/>
                    <wp:lineTo x="205" y="0"/>
                  </wp:wrapPolygon>
                </wp:wrapThrough>
                <wp:docPr id="30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9800" cy="247650"/>
                        </a:xfrm>
                        <a:prstGeom prst="rect">
                          <a:avLst/>
                        </a:prstGeom>
                        <a:noFill/>
                        <a:ln w="9525">
                          <a:noFill/>
                          <a:miter lim="800000"/>
                          <a:headEnd/>
                          <a:tailEnd/>
                        </a:ln>
                      </wps:spPr>
                      <wps:txbx>
                        <w:txbxContent>
                          <w:p w14:paraId="04D101D9" w14:textId="7410FB06" w:rsidR="005E6FB1" w:rsidRPr="00F830B1" w:rsidRDefault="005E6FB1">
                            <w:pPr>
                              <w:contextualSpacing/>
                            </w:pPr>
                            <w:r w:rsidRPr="00F830B1">
                              <w:rPr>
                                <w:sz w:val="18"/>
                                <w:szCs w:val="18"/>
                                <w:vertAlign w:val="superscript"/>
                              </w:rPr>
                              <w:t>1</w:t>
                            </w:r>
                            <w:r>
                              <w:rPr>
                                <w:sz w:val="18"/>
                                <w:szCs w:val="18"/>
                              </w:rPr>
                              <w:t>Includes both</w:t>
                            </w:r>
                            <w:r w:rsidRPr="00F830B1">
                              <w:rPr>
                                <w:sz w:val="18"/>
                                <w:szCs w:val="18"/>
                              </w:rPr>
                              <w:t xml:space="preserve"> venous </w:t>
                            </w:r>
                            <w:r>
                              <w:rPr>
                                <w:sz w:val="18"/>
                                <w:szCs w:val="18"/>
                              </w:rPr>
                              <w:t xml:space="preserve">tests and results of </w:t>
                            </w:r>
                            <w:r w:rsidRPr="00F830B1">
                              <w:rPr>
                                <w:sz w:val="18"/>
                                <w:szCs w:val="18"/>
                              </w:rPr>
                              <w:t xml:space="preserve">two capillary tests </w:t>
                            </w:r>
                            <w:r>
                              <w:rPr>
                                <w:rFonts w:cstheme="minorHAnsi"/>
                                <w:sz w:val="18"/>
                                <w:szCs w:val="18"/>
                              </w:rPr>
                              <w:t>≥</w:t>
                            </w:r>
                            <w:r>
                              <w:rPr>
                                <w:sz w:val="18"/>
                                <w:szCs w:val="18"/>
                              </w:rPr>
                              <w:t xml:space="preserve">10 </w:t>
                            </w:r>
                            <w:r>
                              <w:rPr>
                                <w:rFonts w:cstheme="minorHAnsi"/>
                                <w:sz w:val="18"/>
                                <w:szCs w:val="18"/>
                              </w:rPr>
                              <w:t>µ</w:t>
                            </w:r>
                            <w:r>
                              <w:rPr>
                                <w:sz w:val="18"/>
                                <w:szCs w:val="18"/>
                              </w:rPr>
                              <w:t xml:space="preserve">g/dL </w:t>
                            </w:r>
                            <w:r w:rsidRPr="00F830B1">
                              <w:rPr>
                                <w:sz w:val="18"/>
                                <w:szCs w:val="18"/>
                              </w:rPr>
                              <w:t>drawn within 84 days of each other.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shape w14:anchorId="04FD7144" id="_x0000_s1030" type="#_x0000_t202" style="position:absolute;margin-left:0;margin-top:4.6pt;width:474pt;height:19.5pt;z-index:25175347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" filled="f" stroked="f">
                <v:textbox>
                  <w:txbxContent>
                    <w:p w14:paraId="04D101D9" w14:textId="7410FB06" w:rsidR="005E6FB1" w:rsidRPr="00F830B1" w:rsidRDefault="005E6FB1">
                      <w:pPr>
                        <w:contextualSpacing/>
                      </w:pPr>
                      <w:r w:rsidRPr="00F830B1">
                        <w:rPr>
                          <w:sz w:val="18"/>
                          <w:szCs w:val="18"/>
                          <w:vertAlign w:val="superscript"/>
                        </w:rPr>
                        <w:t>1</w:t>
                      </w:r>
                      <w:r>
                        <w:rPr>
                          <w:sz w:val="18"/>
                          <w:szCs w:val="18"/>
                        </w:rPr>
                        <w:t>Includes both</w:t>
                      </w:r>
                      <w:r w:rsidRPr="00F830B1">
                        <w:rPr>
                          <w:sz w:val="18"/>
                          <w:szCs w:val="18"/>
                        </w:rPr>
                        <w:t xml:space="preserve"> venous </w:t>
                      </w:r>
                      <w:r>
                        <w:rPr>
                          <w:sz w:val="18"/>
                          <w:szCs w:val="18"/>
                        </w:rPr>
                        <w:t xml:space="preserve">tests and results of </w:t>
                      </w:r>
                      <w:r w:rsidRPr="00F830B1">
                        <w:rPr>
                          <w:sz w:val="18"/>
                          <w:szCs w:val="18"/>
                        </w:rPr>
                        <w:t xml:space="preserve">two capillary tests </w:t>
                      </w:r>
                      <w:r>
                        <w:rPr>
                          <w:rFonts w:cstheme="minorHAnsi"/>
                          <w:sz w:val="18"/>
                          <w:szCs w:val="18"/>
                        </w:rPr>
                        <w:t>≥</w:t>
                      </w:r>
                      <w:r>
                        <w:rPr>
                          <w:sz w:val="18"/>
                          <w:szCs w:val="18"/>
                        </w:rPr>
                        <w:t xml:space="preserve">10 </w:t>
                      </w:r>
                      <w:r>
                        <w:rPr>
                          <w:rFonts w:cstheme="minorHAnsi"/>
                          <w:sz w:val="18"/>
                          <w:szCs w:val="18"/>
                        </w:rPr>
                        <w:t>µ</w:t>
                      </w:r>
                      <w:r>
                        <w:rPr>
                          <w:sz w:val="18"/>
                          <w:szCs w:val="18"/>
                        </w:rPr>
                        <w:t xml:space="preserve">g/dL </w:t>
                      </w:r>
                      <w:r w:rsidRPr="00F830B1">
                        <w:rPr>
                          <w:sz w:val="18"/>
                          <w:szCs w:val="18"/>
                        </w:rPr>
                        <w:t>drawn within 84 days of each other.</w:t>
                      </w:r>
                    </w:p>
                  </w:txbxContent>
                </v:textbox>
                <w10:wrap type="through" anchorx="margin"/>
                <w10:anchorlock/>
              </v:shape>
            </w:pict>
          </mc:Fallback>
        </mc:AlternateContent>
      </w:r>
    </w:p>
    <w:p w14:paraId="485AEF3A" w14:textId="3BA6E472" w:rsidR="00FF03FE" w:rsidRPr="00A52DB1" w:rsidRDefault="00E53214" w:rsidP="007641BD">
      <w:pPr>
        <w:pStyle w:val="Heading1"/>
        <w:spacing w:before="360"/>
      </w:pPr>
      <w:r>
        <w:t>RU</w:t>
      </w:r>
      <w:r w:rsidR="00836A8F">
        <w:t>R</w:t>
      </w:r>
      <w:r w:rsidR="005221BC">
        <w:t>A</w:t>
      </w:r>
      <w:r w:rsidR="00836A8F">
        <w:t>L COMMUNITIES</w:t>
      </w:r>
    </w:p>
    <w:p w14:paraId="20B9DB5E" w14:textId="62EEE295" w:rsidR="0050717A" w:rsidRDefault="00836A8F" w:rsidP="005774E0">
      <w:pPr>
        <w:pStyle w:val="BodyText"/>
        <w:rPr>
          <w:sz w:val="22"/>
          <w:szCs w:val="22"/>
        </w:rPr>
      </w:pPr>
      <w:r>
        <w:rPr>
          <w:sz w:val="22"/>
          <w:szCs w:val="22"/>
        </w:rPr>
        <w:t>Rural communities with small populations may not</w:t>
      </w:r>
      <w:r w:rsidR="00622C2A">
        <w:rPr>
          <w:sz w:val="22"/>
          <w:szCs w:val="22"/>
        </w:rPr>
        <w:t xml:space="preserve"> meet the </w:t>
      </w:r>
      <w:r w:rsidR="00626D7B">
        <w:rPr>
          <w:sz w:val="22"/>
          <w:szCs w:val="22"/>
        </w:rPr>
        <w:t xml:space="preserve">definition </w:t>
      </w:r>
      <w:r w:rsidR="00622C2A">
        <w:rPr>
          <w:sz w:val="22"/>
          <w:szCs w:val="22"/>
        </w:rPr>
        <w:t>of a high-risk community</w:t>
      </w:r>
      <w:r w:rsidR="0050717A">
        <w:rPr>
          <w:sz w:val="22"/>
          <w:szCs w:val="22"/>
        </w:rPr>
        <w:t>. This is because, by definition, a high-risk community requires</w:t>
      </w:r>
      <w:r w:rsidR="00626D7B">
        <w:rPr>
          <w:sz w:val="22"/>
          <w:szCs w:val="22"/>
        </w:rPr>
        <w:t xml:space="preserve"> a minimum of 15 lead poisoning cases over 5 years. H</w:t>
      </w:r>
      <w:r w:rsidR="00622C2A">
        <w:rPr>
          <w:sz w:val="22"/>
          <w:szCs w:val="22"/>
        </w:rPr>
        <w:t xml:space="preserve">owever, </w:t>
      </w:r>
      <w:r w:rsidR="005C3AF6" w:rsidRPr="009F5333">
        <w:rPr>
          <w:b/>
          <w:bCs/>
          <w:sz w:val="22"/>
          <w:szCs w:val="22"/>
        </w:rPr>
        <w:t xml:space="preserve">non-high-risk communities can still have </w:t>
      </w:r>
      <w:r w:rsidR="005375B5" w:rsidRPr="009F5333">
        <w:rPr>
          <w:b/>
          <w:bCs/>
          <w:sz w:val="22"/>
          <w:szCs w:val="22"/>
        </w:rPr>
        <w:t>high incidence rates of childhood blood lead poisoning</w:t>
      </w:r>
      <w:r w:rsidR="005C3AF6" w:rsidRPr="009F5333">
        <w:rPr>
          <w:b/>
          <w:bCs/>
          <w:sz w:val="22"/>
          <w:szCs w:val="22"/>
        </w:rPr>
        <w:t xml:space="preserve"> even though</w:t>
      </w:r>
      <w:r w:rsidR="005375B5" w:rsidRPr="009F5333">
        <w:rPr>
          <w:b/>
          <w:bCs/>
          <w:sz w:val="22"/>
          <w:szCs w:val="22"/>
        </w:rPr>
        <w:t xml:space="preserve"> </w:t>
      </w:r>
      <w:r w:rsidR="005C3AF6" w:rsidRPr="009F5333">
        <w:rPr>
          <w:b/>
          <w:bCs/>
          <w:sz w:val="22"/>
          <w:szCs w:val="22"/>
        </w:rPr>
        <w:t xml:space="preserve">the total number of </w:t>
      </w:r>
      <w:r w:rsidR="005375B5" w:rsidRPr="009F5333">
        <w:rPr>
          <w:b/>
          <w:bCs/>
          <w:sz w:val="22"/>
          <w:szCs w:val="22"/>
        </w:rPr>
        <w:t>case</w:t>
      </w:r>
      <w:r w:rsidR="005C3AF6" w:rsidRPr="009F5333">
        <w:rPr>
          <w:b/>
          <w:bCs/>
          <w:sz w:val="22"/>
          <w:szCs w:val="22"/>
        </w:rPr>
        <w:t>s may be low</w:t>
      </w:r>
      <w:r w:rsidR="00AE156D" w:rsidRPr="009F5333">
        <w:rPr>
          <w:b/>
          <w:bCs/>
          <w:sz w:val="22"/>
          <w:szCs w:val="22"/>
        </w:rPr>
        <w:t>,</w:t>
      </w:r>
      <w:r w:rsidR="005C3AF6" w:rsidRPr="009F5333">
        <w:rPr>
          <w:b/>
          <w:bCs/>
          <w:sz w:val="22"/>
          <w:szCs w:val="22"/>
        </w:rPr>
        <w:t xml:space="preserve"> meaning that individual children in these communities </w:t>
      </w:r>
      <w:r w:rsidR="005C3AF6" w:rsidRPr="009F5333">
        <w:rPr>
          <w:b/>
          <w:bCs/>
          <w:i/>
          <w:iCs/>
          <w:sz w:val="22"/>
          <w:szCs w:val="22"/>
        </w:rPr>
        <w:t>are</w:t>
      </w:r>
      <w:r w:rsidR="005C3AF6" w:rsidRPr="009F5333">
        <w:rPr>
          <w:b/>
          <w:bCs/>
          <w:sz w:val="22"/>
          <w:szCs w:val="22"/>
        </w:rPr>
        <w:t xml:space="preserve"> at high</w:t>
      </w:r>
      <w:r w:rsidR="0050717A">
        <w:rPr>
          <w:b/>
          <w:bCs/>
          <w:sz w:val="22"/>
          <w:szCs w:val="22"/>
        </w:rPr>
        <w:t>-</w:t>
      </w:r>
      <w:r w:rsidR="005C3AF6" w:rsidRPr="009F5333">
        <w:rPr>
          <w:b/>
          <w:bCs/>
          <w:sz w:val="22"/>
          <w:szCs w:val="22"/>
        </w:rPr>
        <w:t>risk</w:t>
      </w:r>
      <w:r w:rsidR="005C3AF6">
        <w:rPr>
          <w:sz w:val="22"/>
          <w:szCs w:val="22"/>
        </w:rPr>
        <w:t>.</w:t>
      </w:r>
      <w:r w:rsidR="005375B5">
        <w:rPr>
          <w:sz w:val="22"/>
          <w:szCs w:val="22"/>
        </w:rPr>
        <w:t xml:space="preserve"> </w:t>
      </w:r>
    </w:p>
    <w:p w14:paraId="3FA19223" w14:textId="77777777" w:rsidR="0050717A" w:rsidRDefault="0050717A" w:rsidP="005774E0">
      <w:pPr>
        <w:pStyle w:val="BodyText"/>
        <w:rPr>
          <w:sz w:val="22"/>
          <w:szCs w:val="22"/>
        </w:rPr>
      </w:pPr>
    </w:p>
    <w:p w14:paraId="2478D223" w14:textId="7B006711" w:rsidR="00522124" w:rsidRDefault="005C3AF6" w:rsidP="005774E0">
      <w:pPr>
        <w:pStyle w:val="BodyText"/>
        <w:rPr>
          <w:sz w:val="22"/>
          <w:szCs w:val="22"/>
        </w:rPr>
      </w:pPr>
      <w:r>
        <w:rPr>
          <w:sz w:val="22"/>
          <w:szCs w:val="22"/>
        </w:rPr>
        <w:t xml:space="preserve">To address this issue, </w:t>
      </w:r>
      <w:r w:rsidR="005375B5">
        <w:rPr>
          <w:sz w:val="22"/>
          <w:szCs w:val="22"/>
        </w:rPr>
        <w:t xml:space="preserve">DPH </w:t>
      </w:r>
      <w:r>
        <w:rPr>
          <w:sz w:val="22"/>
          <w:szCs w:val="22"/>
        </w:rPr>
        <w:t xml:space="preserve">now </w:t>
      </w:r>
      <w:r w:rsidR="00F46E59">
        <w:rPr>
          <w:sz w:val="22"/>
          <w:szCs w:val="22"/>
        </w:rPr>
        <w:t>analyze</w:t>
      </w:r>
      <w:r>
        <w:rPr>
          <w:sz w:val="22"/>
          <w:szCs w:val="22"/>
        </w:rPr>
        <w:t>s</w:t>
      </w:r>
      <w:r w:rsidR="00145A43">
        <w:rPr>
          <w:sz w:val="22"/>
          <w:szCs w:val="22"/>
        </w:rPr>
        <w:t xml:space="preserve"> and </w:t>
      </w:r>
      <w:r w:rsidR="00F46E59">
        <w:rPr>
          <w:sz w:val="22"/>
          <w:szCs w:val="22"/>
        </w:rPr>
        <w:t>map</w:t>
      </w:r>
      <w:r>
        <w:rPr>
          <w:sz w:val="22"/>
          <w:szCs w:val="22"/>
        </w:rPr>
        <w:t>s</w:t>
      </w:r>
      <w:r w:rsidR="005375B5">
        <w:rPr>
          <w:sz w:val="22"/>
          <w:szCs w:val="22"/>
        </w:rPr>
        <w:t xml:space="preserve"> </w:t>
      </w:r>
      <w:r w:rsidR="00145A43">
        <w:rPr>
          <w:sz w:val="22"/>
          <w:szCs w:val="22"/>
        </w:rPr>
        <w:t xml:space="preserve">screening rates and </w:t>
      </w:r>
      <w:r w:rsidR="005375B5">
        <w:rPr>
          <w:sz w:val="22"/>
          <w:szCs w:val="22"/>
        </w:rPr>
        <w:t xml:space="preserve">prevalence of </w:t>
      </w:r>
      <w:r w:rsidR="00145A43">
        <w:rPr>
          <w:sz w:val="22"/>
          <w:szCs w:val="22"/>
        </w:rPr>
        <w:t xml:space="preserve">elevated and poisoned blood lead levels by </w:t>
      </w:r>
      <w:r w:rsidRPr="00465335">
        <w:rPr>
          <w:b/>
          <w:bCs/>
          <w:sz w:val="22"/>
          <w:szCs w:val="22"/>
        </w:rPr>
        <w:t>rural clusters</w:t>
      </w:r>
      <w:r>
        <w:rPr>
          <w:sz w:val="22"/>
          <w:szCs w:val="22"/>
        </w:rPr>
        <w:t xml:space="preserve"> </w:t>
      </w:r>
      <w:r w:rsidR="00D243A3">
        <w:rPr>
          <w:sz w:val="22"/>
          <w:szCs w:val="22"/>
        </w:rPr>
        <w:t xml:space="preserve">(Map 1) </w:t>
      </w:r>
      <w:r w:rsidR="00DC1F71">
        <w:rPr>
          <w:sz w:val="22"/>
          <w:szCs w:val="22"/>
        </w:rPr>
        <w:t xml:space="preserve">in addition </w:t>
      </w:r>
      <w:r w:rsidR="0097394B">
        <w:rPr>
          <w:sz w:val="22"/>
          <w:szCs w:val="22"/>
        </w:rPr>
        <w:t xml:space="preserve">to </w:t>
      </w:r>
      <w:r>
        <w:rPr>
          <w:sz w:val="22"/>
          <w:szCs w:val="22"/>
        </w:rPr>
        <w:t xml:space="preserve">individual </w:t>
      </w:r>
      <w:r w:rsidR="00145A43">
        <w:rPr>
          <w:sz w:val="22"/>
          <w:szCs w:val="22"/>
        </w:rPr>
        <w:t>communities</w:t>
      </w:r>
      <w:r>
        <w:rPr>
          <w:sz w:val="22"/>
          <w:szCs w:val="22"/>
        </w:rPr>
        <w:t>.</w:t>
      </w:r>
      <w:r w:rsidR="00145A43">
        <w:rPr>
          <w:sz w:val="22"/>
          <w:szCs w:val="22"/>
        </w:rPr>
        <w:t xml:space="preserve"> </w:t>
      </w:r>
      <w:r>
        <w:rPr>
          <w:sz w:val="22"/>
          <w:szCs w:val="22"/>
        </w:rPr>
        <w:t xml:space="preserve">Rural clusters consist of neighboring or nearby rural communities </w:t>
      </w:r>
      <w:r w:rsidR="00145A43">
        <w:rPr>
          <w:sz w:val="22"/>
          <w:szCs w:val="22"/>
        </w:rPr>
        <w:t xml:space="preserve">grouped </w:t>
      </w:r>
      <w:r>
        <w:rPr>
          <w:sz w:val="22"/>
          <w:szCs w:val="22"/>
        </w:rPr>
        <w:t xml:space="preserve">by the DPH Office of Rural Health </w:t>
      </w:r>
      <w:r w:rsidR="00BC7C9A">
        <w:rPr>
          <w:sz w:val="22"/>
          <w:szCs w:val="22"/>
        </w:rPr>
        <w:t>and represent geographic areas that have been historically classified together in those regions. Clusters may represent areas of shared services, cultural commonality, or geographic cohesion.</w:t>
      </w:r>
      <w:r w:rsidR="00DC1F71">
        <w:rPr>
          <w:sz w:val="22"/>
          <w:szCs w:val="22"/>
        </w:rPr>
        <w:t xml:space="preserve"> Grouping rural communities into clusters enables more robust and reliable </w:t>
      </w:r>
      <w:r w:rsidR="0050717A">
        <w:rPr>
          <w:sz w:val="22"/>
          <w:szCs w:val="22"/>
        </w:rPr>
        <w:t xml:space="preserve">blood lead level </w:t>
      </w:r>
      <w:r w:rsidR="00DC1F71">
        <w:rPr>
          <w:sz w:val="22"/>
          <w:szCs w:val="22"/>
        </w:rPr>
        <w:t>rates to be generated whereas rates for individual rural communities are frequently suppressed due to small numbers.</w:t>
      </w:r>
    </w:p>
    <w:p w14:paraId="1FA82740" w14:textId="0759F41E" w:rsidR="00522124" w:rsidRDefault="00D30AC6" w:rsidP="005774E0">
      <w:pPr>
        <w:pStyle w:val="BodyText"/>
        <w:rPr>
          <w:sz w:val="22"/>
          <w:szCs w:val="22"/>
        </w:rPr>
      </w:pPr>
      <w:r w:rsidRPr="0073792C">
        <w:rPr>
          <w:noProof/>
          <w:sz w:val="22"/>
          <w:szCs w:val="22"/>
        </w:rPr>
        <w:lastRenderedPageBreak/>
        <mc:AlternateContent>
          <mc:Choice Requires="wps">
            <w:drawing>
              <wp:anchor distT="0" distB="0" distL="114300" distR="114300" simplePos="0" relativeHeight="251783168" behindDoc="0" locked="0" layoutInCell="1" allowOverlap="1" wp14:anchorId="08598463" wp14:editId="57764BCD">
                <wp:simplePos x="0" y="0"/>
                <wp:positionH relativeFrom="margin">
                  <wp:posOffset>2498725</wp:posOffset>
                </wp:positionH>
                <wp:positionV relativeFrom="page">
                  <wp:posOffset>4682490</wp:posOffset>
                </wp:positionV>
                <wp:extent cx="1144905" cy="222250"/>
                <wp:effectExtent l="0" t="0" r="0" b="6350"/>
                <wp:wrapNone/>
                <wp:docPr id="8" name="Text Box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1144905" cy="222250"/>
                        </a:xfrm>
                        <a:prstGeom prst="rect">
                          <a:avLst/>
                        </a:prstGeom>
                        <a:noFill/>
                        <a:ln w="9525">
                          <a:noFill/>
                          <a:miter lim="800000"/>
                          <a:headEnd/>
                          <a:tailEnd/>
                        </a:ln>
                      </wps:spPr>
                      <wps:txbx>
                        <w:txbxContent>
                          <w:p w14:paraId="76176339" w14:textId="1D36596F" w:rsidR="005E6FB1" w:rsidRPr="00611083" w:rsidRDefault="005E6FB1" w:rsidP="00611083">
                            <w:pPr>
                              <w:rPr>
                                <w:b/>
                                <w:sz w:val="18"/>
                                <w:szCs w:val="18"/>
                              </w:rPr>
                            </w:pPr>
                            <w:r w:rsidRPr="00611083">
                              <w:rPr>
                                <w:b/>
                                <w:sz w:val="18"/>
                                <w:szCs w:val="18"/>
                              </w:rPr>
                              <w:t>Statewide Rate: 2.9</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shape w14:anchorId="08598463" id="_x0000_s1031" type="#_x0000_t202" style="position:absolute;margin-left:196.75pt;margin-top:368.7pt;width:90.15pt;height:17.5pt;z-index:25178316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" filled="f" stroked="f">
                <o:lock v:ext="edit" aspectratio="t"/>
                <v:textbox>
                  <w:txbxContent>
                    <w:p w14:paraId="76176339" w14:textId="1D36596F" w:rsidR="005E6FB1" w:rsidRPr="00611083" w:rsidRDefault="005E6FB1" w:rsidP="00611083">
                      <w:pPr>
                        <w:rPr>
                          <w:b/>
                          <w:sz w:val="18"/>
                          <w:szCs w:val="18"/>
                        </w:rPr>
                      </w:pPr>
                      <w:r w:rsidRPr="00611083">
                        <w:rPr>
                          <w:b/>
                          <w:sz w:val="18"/>
                          <w:szCs w:val="18"/>
                        </w:rPr>
                        <w:t>Statewide Rate: 2.9</w:t>
                      </w:r>
                    </w:p>
                  </w:txbxContent>
                </v:textbox>
                <w10:wrap anchorx="margin" anchory="page"/>
              </v:shape>
            </w:pict>
          </mc:Fallback>
        </mc:AlternateContent>
      </w:r>
      <w:r w:rsidR="00D243A3" w:rsidRPr="0073792C">
        <w:rPr>
          <w:noProof/>
          <w:sz w:val="22"/>
          <w:szCs w:val="22"/>
        </w:rPr>
        <mc:AlternateContent>
          <mc:Choice Requires="wps">
            <w:drawing>
              <wp:anchor distT="0" distB="0" distL="114300" distR="114300" simplePos="0" relativeHeight="251781120" behindDoc="0" locked="0" layoutInCell="1" allowOverlap="1" wp14:anchorId="678901FC" wp14:editId="4B9A4251">
                <wp:simplePos x="0" y="0"/>
                <wp:positionH relativeFrom="margin">
                  <wp:posOffset>152400</wp:posOffset>
                </wp:positionH>
                <wp:positionV relativeFrom="paragraph">
                  <wp:posOffset>103505</wp:posOffset>
                </wp:positionV>
                <wp:extent cx="4507865" cy="447675"/>
                <wp:effectExtent l="0" t="0" r="0" b="0"/>
                <wp:wrapNone/>
                <wp:docPr id="27" name="Text Box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4507865" cy="447675"/>
                        </a:xfrm>
                        <a:prstGeom prst="rect">
                          <a:avLst/>
                        </a:prstGeom>
                        <a:noFill/>
                        <a:ln w="9525">
                          <a:noFill/>
                          <a:miter lim="800000"/>
                          <a:headEnd/>
                          <a:tailEnd/>
                        </a:ln>
                      </wps:spPr>
                      <wps:txbx>
                        <w:txbxContent>
                          <w:p w14:paraId="5F89FE07" w14:textId="77777777" w:rsidR="005E6FB1" w:rsidRPr="0073792C" w:rsidRDefault="005E6FB1" w:rsidP="00D243A3">
                            <w:pPr>
                              <w:rPr>
                                <w:b/>
                              </w:rPr>
                            </w:pPr>
                            <w:r w:rsidRPr="0073792C">
                              <w:rPr>
                                <w:b/>
                              </w:rPr>
                              <w:t>Map 1. Prevalence of Confirmed Blood Lead Levels ≥10 µg/dL</w:t>
                            </w:r>
                            <w:r w:rsidRPr="003C5AC5">
                              <w:rPr>
                                <w:b/>
                                <w:vertAlign w:val="superscript"/>
                              </w:rPr>
                              <w:t>1</w:t>
                            </w:r>
                            <w:r w:rsidRPr="0073792C">
                              <w:rPr>
                                <w:b/>
                              </w:rPr>
                              <w:t xml:space="preserve"> by Rural Clusters </w:t>
                            </w:r>
                            <w:r>
                              <w:rPr>
                                <w:b/>
                              </w:rPr>
                              <w:t>(Numbered)</w:t>
                            </w:r>
                            <w:r w:rsidRPr="003C5AC5">
                              <w:rPr>
                                <w:b/>
                                <w:vertAlign w:val="superscript"/>
                              </w:rPr>
                              <w:t>2</w:t>
                            </w:r>
                            <w:r>
                              <w:rPr>
                                <w:b/>
                              </w:rPr>
                              <w:t xml:space="preserve"> </w:t>
                            </w:r>
                            <w:r w:rsidRPr="0073792C">
                              <w:rPr>
                                <w:b/>
                              </w:rPr>
                              <w:t>and Urban Commun</w:t>
                            </w:r>
                            <w:r>
                              <w:rPr>
                                <w:b/>
                              </w:rPr>
                              <w:t>ities</w:t>
                            </w:r>
                            <w:r w:rsidRPr="003C5AC5">
                              <w:rPr>
                                <w:b/>
                                <w:vertAlign w:val="superscript"/>
                              </w:rPr>
                              <w:t>3</w:t>
                            </w:r>
                            <w:r>
                              <w:rPr>
                                <w:b/>
                              </w:rPr>
                              <w:t>, 9-47 Months of Age</w:t>
                            </w:r>
                            <w:r w:rsidRPr="0073792C">
                              <w:rPr>
                                <w:b/>
                              </w:rPr>
                              <w:t>, 20</w:t>
                            </w:r>
                            <w:r>
                              <w:rPr>
                                <w:b/>
                              </w:rPr>
                              <w:t>20</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shape w14:anchorId="678901FC" id="_x0000_s1032" type="#_x0000_t202" style="position:absolute;margin-left:12pt;margin-top:8.15pt;width:354.95pt;height:35.25pt;z-index:251781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" filled="f" stroked="f">
                <o:lock v:ext="edit" aspectratio="t"/>
                <v:textbox>
                  <w:txbxContent>
                    <w:p w14:paraId="5F89FE07" w14:textId="77777777" w:rsidR="005E6FB1" w:rsidRPr="0073792C" w:rsidRDefault="005E6FB1" w:rsidP="00D243A3">
                      <w:pPr>
                        <w:rPr>
                          <w:b/>
                        </w:rPr>
                      </w:pPr>
                      <w:r w:rsidRPr="0073792C">
                        <w:rPr>
                          <w:b/>
                        </w:rPr>
                        <w:t>Map 1. Prevalence of Confirmed Blood Lead Levels ≥10 µg/dL</w:t>
                      </w:r>
                      <w:r w:rsidRPr="003C5AC5">
                        <w:rPr>
                          <w:b/>
                          <w:vertAlign w:val="superscript"/>
                        </w:rPr>
                        <w:t>1</w:t>
                      </w:r>
                      <w:r w:rsidRPr="0073792C">
                        <w:rPr>
                          <w:b/>
                        </w:rPr>
                        <w:t xml:space="preserve"> by Rural Clusters </w:t>
                      </w:r>
                      <w:r>
                        <w:rPr>
                          <w:b/>
                        </w:rPr>
                        <w:t>(Numbered)</w:t>
                      </w:r>
                      <w:r w:rsidRPr="003C5AC5">
                        <w:rPr>
                          <w:b/>
                          <w:vertAlign w:val="superscript"/>
                        </w:rPr>
                        <w:t>2</w:t>
                      </w:r>
                      <w:r>
                        <w:rPr>
                          <w:b/>
                        </w:rPr>
                        <w:t xml:space="preserve"> </w:t>
                      </w:r>
                      <w:r w:rsidRPr="0073792C">
                        <w:rPr>
                          <w:b/>
                        </w:rPr>
                        <w:t>and Urban Commun</w:t>
                      </w:r>
                      <w:r>
                        <w:rPr>
                          <w:b/>
                        </w:rPr>
                        <w:t>ities</w:t>
                      </w:r>
                      <w:r w:rsidRPr="003C5AC5">
                        <w:rPr>
                          <w:b/>
                          <w:vertAlign w:val="superscript"/>
                        </w:rPr>
                        <w:t>3</w:t>
                      </w:r>
                      <w:r>
                        <w:rPr>
                          <w:b/>
                        </w:rPr>
                        <w:t>, 9-47 Months of Age</w:t>
                      </w:r>
                      <w:r w:rsidRPr="0073792C">
                        <w:rPr>
                          <w:b/>
                        </w:rPr>
                        <w:t>, 20</w:t>
                      </w:r>
                      <w:r>
                        <w:rPr>
                          <w:b/>
                        </w:rPr>
                        <w:t>20</w:t>
                      </w:r>
                    </w:p>
                  </w:txbxContent>
                </v:textbox>
                <w10:wrap anchorx="margin"/>
              </v:shape>
            </w:pict>
          </mc:Fallback>
        </mc:AlternateContent>
      </w:r>
      <w:r w:rsidR="00606C7A">
        <w:rPr>
          <w:noProof/>
          <w:sz w:val="22"/>
          <w:szCs w:val="22"/>
        </w:rPr>
        <w:drawing>
          <wp:inline distT="0" distB="0" distL="0" distR="0" wp14:anchorId="114D45A3" wp14:editId="5C753F8D">
            <wp:extent cx="6400165" cy="4673600"/>
            <wp:effectExtent l="0" t="0" r="635" b="0"/>
            <wp:docPr id="13" name="Picture 13" descr="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Map&#10;&#10;Description automatically generated"/>
                    <pic:cNvPicPr/>
                  </pic:nvPicPr>
                  <pic:blipFill>
                    <a:blip r:embed="rId25" cstate="print">
                      <a:extLst>
                        <a:ext uri="{28A0092B-C50C-407E-A947-70E740481C1C}">
                          <a14:useLocalDpi xmlns:a14="http://schemas.microsoft.com/office/drawing/2010/main" val="0"/>
                        </a:ext>
                      </a:extLst>
                    </a:blip>
                    <a:stretch>
                      <a:fillRect/>
                    </a:stretch>
                  </pic:blipFill>
                  <pic:spPr>
                    <a:xfrm>
                      <a:off x="0" y="0"/>
                      <a:ext cx="6424269" cy="4691201"/>
                    </a:xfrm>
                    <a:prstGeom prst="rect">
                      <a:avLst/>
                    </a:prstGeom>
                  </pic:spPr>
                </pic:pic>
              </a:graphicData>
            </a:graphic>
          </wp:inline>
        </w:drawing>
      </w:r>
    </w:p>
    <w:p w14:paraId="59AB4A2D" w14:textId="0070EDA8" w:rsidR="00606C7A" w:rsidRDefault="00606C7A" w:rsidP="005774E0">
      <w:pPr>
        <w:pStyle w:val="BodyText"/>
        <w:rPr>
          <w:sz w:val="22"/>
          <w:szCs w:val="22"/>
        </w:rPr>
      </w:pPr>
      <w:r w:rsidRPr="00FD23D9">
        <w:rPr>
          <w:noProof/>
        </w:rPr>
        <mc:AlternateContent>
          <mc:Choice Requires="wps">
            <w:drawing>
              <wp:inline distT="0" distB="0" distL="0" distR="0" wp14:anchorId="638F08F2" wp14:editId="125D80F1">
                <wp:extent cx="6556248" cy="630936"/>
                <wp:effectExtent l="0" t="0" r="0" b="0"/>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6248" cy="630936"/>
                        </a:xfrm>
                        <a:prstGeom prst="rect">
                          <a:avLst/>
                        </a:prstGeom>
                        <a:noFill/>
                        <a:ln w="9525">
                          <a:noFill/>
                          <a:miter lim="800000"/>
                          <a:headEnd/>
                          <a:tailEnd/>
                        </a:ln>
                      </wps:spPr>
                      <wps:txbx>
                        <w:txbxContent>
                          <w:p w14:paraId="1854952C" w14:textId="77777777" w:rsidR="005E6FB1" w:rsidRPr="008262C2" w:rsidRDefault="005E6FB1" w:rsidP="00606C7A">
                            <w:pPr>
                              <w:contextualSpacing/>
                              <w:rPr>
                                <w:sz w:val="16"/>
                                <w:szCs w:val="16"/>
                              </w:rPr>
                            </w:pPr>
                            <w:r w:rsidRPr="008262C2">
                              <w:rPr>
                                <w:sz w:val="16"/>
                                <w:szCs w:val="16"/>
                                <w:vertAlign w:val="superscript"/>
                              </w:rPr>
                              <w:t>1</w:t>
                            </w:r>
                            <w:r w:rsidRPr="008262C2">
                              <w:rPr>
                                <w:sz w:val="16"/>
                                <w:szCs w:val="16"/>
                              </w:rPr>
                              <w:t>BLLs ≥10 µg/dL are considered poisoned. A confirmed BLL ≥10 µg/dL is defined as a venous test or two capillary tests drawn within 84 days of each other.</w:t>
                            </w:r>
                          </w:p>
                          <w:p w14:paraId="7FEB7D51" w14:textId="77777777" w:rsidR="005E6FB1" w:rsidRPr="008262C2" w:rsidRDefault="005E6FB1" w:rsidP="00606C7A">
                            <w:pPr>
                              <w:contextualSpacing/>
                              <w:rPr>
                                <w:sz w:val="16"/>
                                <w:szCs w:val="16"/>
                              </w:rPr>
                            </w:pPr>
                            <w:r w:rsidRPr="008262C2">
                              <w:rPr>
                                <w:sz w:val="16"/>
                                <w:szCs w:val="16"/>
                                <w:vertAlign w:val="superscript"/>
                              </w:rPr>
                              <w:t>2</w:t>
                            </w:r>
                            <w:r w:rsidRPr="008262C2">
                              <w:rPr>
                                <w:sz w:val="16"/>
                                <w:szCs w:val="16"/>
                              </w:rPr>
                              <w:t>Rural definitions are created by the MA Office of Rural Health. See technical notes section for details. All clusters are considered rural and were identified by state rural partners, representing geographic areas that have been historically classified together in those regions.</w:t>
                            </w:r>
                          </w:p>
                          <w:p w14:paraId="08337F72" w14:textId="77777777" w:rsidR="005E6FB1" w:rsidRPr="008262C2" w:rsidRDefault="005E6FB1" w:rsidP="00606C7A">
                            <w:pPr>
                              <w:contextualSpacing/>
                              <w:rPr>
                                <w:sz w:val="16"/>
                                <w:szCs w:val="16"/>
                              </w:rPr>
                            </w:pPr>
                            <w:r w:rsidRPr="008262C2">
                              <w:rPr>
                                <w:sz w:val="16"/>
                                <w:szCs w:val="16"/>
                                <w:vertAlign w:val="superscript"/>
                              </w:rPr>
                              <w:t>3</w:t>
                            </w:r>
                            <w:r w:rsidRPr="008262C2">
                              <w:rPr>
                                <w:sz w:val="16"/>
                                <w:szCs w:val="16"/>
                              </w:rPr>
                              <w:t xml:space="preserve">All other non-numbered geographies are considered urban and are mapped as individual communities/towns. </w:t>
                            </w:r>
                          </w:p>
                          <w:p w14:paraId="3AACE4FF" w14:textId="77777777" w:rsidR="005E6FB1" w:rsidRPr="0006120B" w:rsidRDefault="005E6FB1" w:rsidP="00606C7A">
                            <w:pPr>
                              <w:contextualSpacing/>
                              <w:rPr>
                                <w:sz w:val="16"/>
                                <w:szCs w:val="16"/>
                              </w:rPr>
                            </w:pPr>
                          </w:p>
                        </w:txbxContent>
                      </wps:txbx>
                      <wps:bodyPr rot="0" vert="horz" wrap="square" lIns="91440" tIns="45720" rIns="91440" bIns="45720" anchor="t" anchorCtr="0">
                        <a:noAutofit/>
                      </wps:bodyPr>
                    </wps:wsp>
                  </a:graphicData>
                </a:graphic>
              </wp:inline>
            </w:drawing>
          </mc:Choice>
          <mc:Fallback xmlns:w16sdtdh="http://schemas.microsoft.com/office/word/2020/wordml/sdtdatahash">
            <w:pict>
              <v:shape w14:anchorId="638F08F2" id="Text Box 2" o:spid="_x0000_s1033" type="#_x0000_t202" style="width:516.25pt;height:49.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" filled="f" stroked="f">
                <v:textbox>
                  <w:txbxContent>
                    <w:p w14:paraId="1854952C" w14:textId="77777777" w:rsidR="005E6FB1" w:rsidRPr="008262C2" w:rsidRDefault="005E6FB1" w:rsidP="00606C7A">
                      <w:pPr>
                        <w:contextualSpacing/>
                        <w:rPr>
                          <w:sz w:val="16"/>
                          <w:szCs w:val="16"/>
                        </w:rPr>
                      </w:pPr>
                      <w:r w:rsidRPr="008262C2">
                        <w:rPr>
                          <w:sz w:val="16"/>
                          <w:szCs w:val="16"/>
                          <w:vertAlign w:val="superscript"/>
                        </w:rPr>
                        <w:t>1</w:t>
                      </w:r>
                      <w:r w:rsidRPr="008262C2">
                        <w:rPr>
                          <w:sz w:val="16"/>
                          <w:szCs w:val="16"/>
                        </w:rPr>
                        <w:t>BLLs ≥10 µg/dL are considered poisoned. A confirmed BLL ≥10 µg/dL is defined as a venous test or two capillary tests drawn within 84 days of each other.</w:t>
                      </w:r>
                    </w:p>
                    <w:p w14:paraId="7FEB7D51" w14:textId="77777777" w:rsidR="005E6FB1" w:rsidRPr="008262C2" w:rsidRDefault="005E6FB1" w:rsidP="00606C7A">
                      <w:pPr>
                        <w:contextualSpacing/>
                        <w:rPr>
                          <w:sz w:val="16"/>
                          <w:szCs w:val="16"/>
                        </w:rPr>
                      </w:pPr>
                      <w:r w:rsidRPr="008262C2">
                        <w:rPr>
                          <w:sz w:val="16"/>
                          <w:szCs w:val="16"/>
                          <w:vertAlign w:val="superscript"/>
                        </w:rPr>
                        <w:t>2</w:t>
                      </w:r>
                      <w:r w:rsidRPr="008262C2">
                        <w:rPr>
                          <w:sz w:val="16"/>
                          <w:szCs w:val="16"/>
                        </w:rPr>
                        <w:t>Rural definitions are created by the MA Office of Rural Health. See technical notes section for details. All clusters are considered rural and were identified by state rural partners, representing geographic areas that have been historically classified together in those regions.</w:t>
                      </w:r>
                    </w:p>
                    <w:p w14:paraId="08337F72" w14:textId="77777777" w:rsidR="005E6FB1" w:rsidRPr="008262C2" w:rsidRDefault="005E6FB1" w:rsidP="00606C7A">
                      <w:pPr>
                        <w:contextualSpacing/>
                        <w:rPr>
                          <w:sz w:val="16"/>
                          <w:szCs w:val="16"/>
                        </w:rPr>
                      </w:pPr>
                      <w:r w:rsidRPr="008262C2">
                        <w:rPr>
                          <w:sz w:val="16"/>
                          <w:szCs w:val="16"/>
                          <w:vertAlign w:val="superscript"/>
                        </w:rPr>
                        <w:t>3</w:t>
                      </w:r>
                      <w:r w:rsidRPr="008262C2">
                        <w:rPr>
                          <w:sz w:val="16"/>
                          <w:szCs w:val="16"/>
                        </w:rPr>
                        <w:t xml:space="preserve">All other non-numbered geographies are considered urban and are mapped as individual communities/towns. </w:t>
                      </w:r>
                    </w:p>
                    <w:p w14:paraId="3AACE4FF" w14:textId="77777777" w:rsidR="005E6FB1" w:rsidRPr="0006120B" w:rsidRDefault="005E6FB1" w:rsidP="00606C7A">
                      <w:pPr>
                        <w:contextualSpacing/>
                        <w:rPr>
                          <w:sz w:val="16"/>
                          <w:szCs w:val="16"/>
                        </w:rPr>
                      </w:pPr>
                    </w:p>
                  </w:txbxContent>
                </v:textbox>
                <w10:anchorlock/>
              </v:shape>
            </w:pict>
          </mc:Fallback>
        </mc:AlternateContent>
      </w:r>
    </w:p>
    <w:p w14:paraId="3F279FF1" w14:textId="77777777" w:rsidR="00606C7A" w:rsidRDefault="00606C7A" w:rsidP="005774E0">
      <w:pPr>
        <w:pStyle w:val="BodyText"/>
        <w:rPr>
          <w:sz w:val="22"/>
          <w:szCs w:val="22"/>
        </w:rPr>
      </w:pPr>
    </w:p>
    <w:p w14:paraId="4E7FFF0D" w14:textId="1DAFFC78" w:rsidR="00453514" w:rsidRPr="00AB2A72" w:rsidRDefault="00FF50C5" w:rsidP="00AB2A72">
      <w:pPr>
        <w:pStyle w:val="BodyText"/>
        <w:rPr>
          <w:sz w:val="22"/>
          <w:szCs w:val="22"/>
        </w:rPr>
      </w:pPr>
      <w:r>
        <w:rPr>
          <w:sz w:val="22"/>
          <w:szCs w:val="22"/>
        </w:rPr>
        <w:t>In addition to the 1</w:t>
      </w:r>
      <w:r w:rsidR="00A94591">
        <w:rPr>
          <w:sz w:val="22"/>
          <w:szCs w:val="22"/>
        </w:rPr>
        <w:t>8</w:t>
      </w:r>
      <w:r>
        <w:rPr>
          <w:sz w:val="22"/>
          <w:szCs w:val="22"/>
        </w:rPr>
        <w:t xml:space="preserve"> rural clusters</w:t>
      </w:r>
      <w:r w:rsidR="0050717A">
        <w:rPr>
          <w:sz w:val="22"/>
          <w:szCs w:val="22"/>
        </w:rPr>
        <w:t xml:space="preserve"> identified by the DPH Office of Rural Health</w:t>
      </w:r>
      <w:r>
        <w:rPr>
          <w:sz w:val="22"/>
          <w:szCs w:val="22"/>
        </w:rPr>
        <w:t xml:space="preserve">, the Office also </w:t>
      </w:r>
      <w:r w:rsidR="00F346AF">
        <w:rPr>
          <w:sz w:val="22"/>
          <w:szCs w:val="22"/>
        </w:rPr>
        <w:t xml:space="preserve">classifies each community into two levels of rurality. </w:t>
      </w:r>
      <w:r>
        <w:rPr>
          <w:sz w:val="22"/>
          <w:szCs w:val="22"/>
        </w:rPr>
        <w:t xml:space="preserve">Level 2 rural </w:t>
      </w:r>
      <w:r w:rsidR="00F346AF">
        <w:rPr>
          <w:sz w:val="22"/>
          <w:szCs w:val="22"/>
        </w:rPr>
        <w:t>communities are</w:t>
      </w:r>
      <w:r w:rsidR="006362FC">
        <w:rPr>
          <w:sz w:val="22"/>
          <w:szCs w:val="22"/>
        </w:rPr>
        <w:t xml:space="preserve"> less densely populated</w:t>
      </w:r>
      <w:r w:rsidR="0050717A">
        <w:rPr>
          <w:sz w:val="22"/>
          <w:szCs w:val="22"/>
        </w:rPr>
        <w:t>,</w:t>
      </w:r>
      <w:r w:rsidR="006362FC">
        <w:rPr>
          <w:sz w:val="22"/>
          <w:szCs w:val="22"/>
        </w:rPr>
        <w:t xml:space="preserve"> more remote</w:t>
      </w:r>
      <w:r w:rsidR="0050717A">
        <w:rPr>
          <w:sz w:val="22"/>
          <w:szCs w:val="22"/>
        </w:rPr>
        <w:t>,</w:t>
      </w:r>
      <w:r w:rsidR="006362FC">
        <w:rPr>
          <w:sz w:val="22"/>
          <w:szCs w:val="22"/>
        </w:rPr>
        <w:t xml:space="preserve"> and </w:t>
      </w:r>
      <w:r w:rsidR="0050717A">
        <w:rPr>
          <w:sz w:val="22"/>
          <w:szCs w:val="22"/>
        </w:rPr>
        <w:t xml:space="preserve">more </w:t>
      </w:r>
      <w:r w:rsidR="006362FC">
        <w:rPr>
          <w:sz w:val="22"/>
          <w:szCs w:val="22"/>
        </w:rPr>
        <w:t xml:space="preserve">isolated from urban core areas than </w:t>
      </w:r>
      <w:r w:rsidR="000E7C31">
        <w:rPr>
          <w:sz w:val="22"/>
          <w:szCs w:val="22"/>
        </w:rPr>
        <w:t>Level</w:t>
      </w:r>
      <w:r w:rsidR="006362FC">
        <w:rPr>
          <w:sz w:val="22"/>
          <w:szCs w:val="22"/>
        </w:rPr>
        <w:t xml:space="preserve"> 1 </w:t>
      </w:r>
      <w:r w:rsidR="000E7C31">
        <w:rPr>
          <w:sz w:val="22"/>
          <w:szCs w:val="22"/>
        </w:rPr>
        <w:t xml:space="preserve">rural </w:t>
      </w:r>
      <w:r w:rsidR="00F346AF">
        <w:rPr>
          <w:sz w:val="22"/>
          <w:szCs w:val="22"/>
        </w:rPr>
        <w:t>communities</w:t>
      </w:r>
      <w:r w:rsidR="006362FC">
        <w:rPr>
          <w:sz w:val="22"/>
          <w:szCs w:val="22"/>
        </w:rPr>
        <w:t xml:space="preserve">. </w:t>
      </w:r>
      <w:r w:rsidR="00145A43" w:rsidRPr="00B71F63">
        <w:rPr>
          <w:sz w:val="22"/>
          <w:szCs w:val="22"/>
        </w:rPr>
        <w:t>In 20</w:t>
      </w:r>
      <w:r w:rsidR="00570C26" w:rsidRPr="00B71F63">
        <w:rPr>
          <w:sz w:val="22"/>
          <w:szCs w:val="22"/>
        </w:rPr>
        <w:t>20</w:t>
      </w:r>
      <w:r w:rsidR="00145A43" w:rsidRPr="00B71F63">
        <w:rPr>
          <w:sz w:val="22"/>
          <w:szCs w:val="22"/>
        </w:rPr>
        <w:t xml:space="preserve">, </w:t>
      </w:r>
      <w:r w:rsidRPr="00B71F63">
        <w:rPr>
          <w:sz w:val="22"/>
          <w:szCs w:val="22"/>
        </w:rPr>
        <w:t>th</w:t>
      </w:r>
      <w:r w:rsidR="00F346AF" w:rsidRPr="00B71F63">
        <w:rPr>
          <w:sz w:val="22"/>
          <w:szCs w:val="22"/>
        </w:rPr>
        <w:t>ese</w:t>
      </w:r>
      <w:r w:rsidR="00522124" w:rsidRPr="00B71F63">
        <w:rPr>
          <w:sz w:val="22"/>
          <w:szCs w:val="22"/>
        </w:rPr>
        <w:t xml:space="preserve"> most rural </w:t>
      </w:r>
      <w:r w:rsidRPr="00B71F63">
        <w:rPr>
          <w:sz w:val="22"/>
          <w:szCs w:val="22"/>
        </w:rPr>
        <w:t>area</w:t>
      </w:r>
      <w:r w:rsidR="00F346AF" w:rsidRPr="00B71F63">
        <w:rPr>
          <w:sz w:val="22"/>
          <w:szCs w:val="22"/>
        </w:rPr>
        <w:t>s</w:t>
      </w:r>
      <w:r w:rsidRPr="00B71F63">
        <w:rPr>
          <w:sz w:val="22"/>
          <w:szCs w:val="22"/>
        </w:rPr>
        <w:t xml:space="preserve"> </w:t>
      </w:r>
      <w:r w:rsidR="00522124" w:rsidRPr="00B71F63">
        <w:rPr>
          <w:sz w:val="22"/>
          <w:szCs w:val="22"/>
        </w:rPr>
        <w:t>of the state</w:t>
      </w:r>
      <w:r w:rsidR="00B606A3" w:rsidRPr="00B71F63">
        <w:rPr>
          <w:sz w:val="22"/>
          <w:szCs w:val="22"/>
        </w:rPr>
        <w:t xml:space="preserve"> </w:t>
      </w:r>
      <w:r w:rsidR="0050717A" w:rsidRPr="00B71F63">
        <w:rPr>
          <w:sz w:val="22"/>
          <w:szCs w:val="22"/>
        </w:rPr>
        <w:t xml:space="preserve">(that is, Level 2 communities) </w:t>
      </w:r>
      <w:r w:rsidR="00413CF2" w:rsidRPr="00B71F63">
        <w:rPr>
          <w:sz w:val="22"/>
          <w:szCs w:val="22"/>
        </w:rPr>
        <w:t xml:space="preserve">had a screening rate of </w:t>
      </w:r>
      <w:r w:rsidR="00522124" w:rsidRPr="00B71F63">
        <w:rPr>
          <w:sz w:val="22"/>
          <w:szCs w:val="22"/>
        </w:rPr>
        <w:t xml:space="preserve">just </w:t>
      </w:r>
      <w:r w:rsidR="00413CF2" w:rsidRPr="00B71F63">
        <w:rPr>
          <w:sz w:val="22"/>
          <w:szCs w:val="22"/>
        </w:rPr>
        <w:t>49%</w:t>
      </w:r>
      <w:r w:rsidR="004D4C05" w:rsidRPr="00B71F63">
        <w:rPr>
          <w:sz w:val="22"/>
          <w:szCs w:val="22"/>
        </w:rPr>
        <w:t xml:space="preserve"> </w:t>
      </w:r>
      <w:r w:rsidR="00413CF2" w:rsidRPr="00B71F63">
        <w:rPr>
          <w:sz w:val="22"/>
          <w:szCs w:val="22"/>
        </w:rPr>
        <w:t xml:space="preserve">compared to </w:t>
      </w:r>
      <w:r w:rsidR="004D4C05" w:rsidRPr="00B71F63">
        <w:rPr>
          <w:sz w:val="22"/>
          <w:szCs w:val="22"/>
        </w:rPr>
        <w:t xml:space="preserve">the </w:t>
      </w:r>
      <w:r w:rsidR="00413CF2" w:rsidRPr="00B71F63">
        <w:rPr>
          <w:sz w:val="22"/>
          <w:szCs w:val="22"/>
        </w:rPr>
        <w:t>6</w:t>
      </w:r>
      <w:r w:rsidR="00522124" w:rsidRPr="00B71F63">
        <w:rPr>
          <w:sz w:val="22"/>
          <w:szCs w:val="22"/>
        </w:rPr>
        <w:t>3</w:t>
      </w:r>
      <w:r w:rsidR="00413CF2" w:rsidRPr="00B71F63">
        <w:rPr>
          <w:sz w:val="22"/>
          <w:szCs w:val="22"/>
        </w:rPr>
        <w:t>%</w:t>
      </w:r>
      <w:r w:rsidR="004D4C05" w:rsidRPr="00B71F63">
        <w:rPr>
          <w:sz w:val="22"/>
          <w:szCs w:val="22"/>
        </w:rPr>
        <w:t xml:space="preserve"> screening rate</w:t>
      </w:r>
      <w:r w:rsidR="00413CF2" w:rsidRPr="00B71F63">
        <w:rPr>
          <w:sz w:val="22"/>
          <w:szCs w:val="22"/>
        </w:rPr>
        <w:t xml:space="preserve"> </w:t>
      </w:r>
      <w:r w:rsidR="00522124" w:rsidRPr="00B71F63">
        <w:rPr>
          <w:sz w:val="22"/>
          <w:szCs w:val="22"/>
        </w:rPr>
        <w:t xml:space="preserve">in </w:t>
      </w:r>
      <w:r w:rsidR="00413CF2" w:rsidRPr="00B71F63">
        <w:rPr>
          <w:sz w:val="22"/>
          <w:szCs w:val="22"/>
        </w:rPr>
        <w:t xml:space="preserve">urban (non-rural) communities. </w:t>
      </w:r>
      <w:r w:rsidR="001D3715" w:rsidRPr="00B71F63">
        <w:rPr>
          <w:sz w:val="22"/>
          <w:szCs w:val="22"/>
        </w:rPr>
        <w:t>W</w:t>
      </w:r>
      <w:r w:rsidR="00273D6B" w:rsidRPr="00B71F63">
        <w:rPr>
          <w:sz w:val="22"/>
          <w:szCs w:val="22"/>
        </w:rPr>
        <w:t xml:space="preserve">hen looking at </w:t>
      </w:r>
      <w:r w:rsidR="00281BE6" w:rsidRPr="00B71F63">
        <w:rPr>
          <w:sz w:val="22"/>
          <w:szCs w:val="22"/>
        </w:rPr>
        <w:t xml:space="preserve">the prevalence of </w:t>
      </w:r>
      <w:r w:rsidR="00273D6B" w:rsidRPr="00B71F63">
        <w:rPr>
          <w:sz w:val="22"/>
          <w:szCs w:val="22"/>
        </w:rPr>
        <w:t xml:space="preserve">blood lead </w:t>
      </w:r>
      <w:r w:rsidR="00281BE6" w:rsidRPr="00B71F63">
        <w:rPr>
          <w:sz w:val="22"/>
          <w:szCs w:val="22"/>
        </w:rPr>
        <w:t>levels</w:t>
      </w:r>
      <w:r w:rsidR="00273D6B" w:rsidRPr="00B71F63">
        <w:rPr>
          <w:sz w:val="22"/>
          <w:szCs w:val="22"/>
        </w:rPr>
        <w:t xml:space="preserve"> ≥10 µg/dL, children living in </w:t>
      </w:r>
      <w:r w:rsidR="00A012DE" w:rsidRPr="00B71F63">
        <w:rPr>
          <w:sz w:val="22"/>
          <w:szCs w:val="22"/>
        </w:rPr>
        <w:t>th</w:t>
      </w:r>
      <w:r w:rsidR="00F346AF" w:rsidRPr="00B71F63">
        <w:rPr>
          <w:sz w:val="22"/>
          <w:szCs w:val="22"/>
        </w:rPr>
        <w:t>ese</w:t>
      </w:r>
      <w:r w:rsidR="00522124" w:rsidRPr="00B71F63">
        <w:rPr>
          <w:sz w:val="22"/>
          <w:szCs w:val="22"/>
        </w:rPr>
        <w:t xml:space="preserve"> most </w:t>
      </w:r>
      <w:r w:rsidR="00273D6B" w:rsidRPr="00B71F63">
        <w:rPr>
          <w:sz w:val="22"/>
          <w:szCs w:val="22"/>
        </w:rPr>
        <w:t xml:space="preserve">rural </w:t>
      </w:r>
      <w:r w:rsidR="00522124" w:rsidRPr="00B71F63">
        <w:rPr>
          <w:sz w:val="22"/>
          <w:szCs w:val="22"/>
        </w:rPr>
        <w:t>area</w:t>
      </w:r>
      <w:r w:rsidR="00F346AF" w:rsidRPr="00B71F63">
        <w:rPr>
          <w:sz w:val="22"/>
          <w:szCs w:val="22"/>
        </w:rPr>
        <w:t>s</w:t>
      </w:r>
      <w:r w:rsidR="00273D6B" w:rsidRPr="00B71F63">
        <w:rPr>
          <w:sz w:val="22"/>
          <w:szCs w:val="22"/>
        </w:rPr>
        <w:t xml:space="preserve"> had a rate that was more than double </w:t>
      </w:r>
      <w:r w:rsidR="000E7C31" w:rsidRPr="00B71F63">
        <w:rPr>
          <w:sz w:val="22"/>
          <w:szCs w:val="22"/>
        </w:rPr>
        <w:t>that of</w:t>
      </w:r>
      <w:r w:rsidR="00273D6B" w:rsidRPr="00B71F63">
        <w:rPr>
          <w:sz w:val="22"/>
          <w:szCs w:val="22"/>
        </w:rPr>
        <w:t xml:space="preserve"> children living in urban communities or statewide.</w:t>
      </w:r>
      <w:r w:rsidR="00606C7A" w:rsidRPr="00606C7A">
        <w:rPr>
          <w:noProof/>
        </w:rPr>
        <w:t xml:space="preserve"> </w:t>
      </w:r>
      <w:r w:rsidR="00D60A67" w:rsidRPr="006A1AB6">
        <w:rPr>
          <w:noProof/>
          <w:sz w:val="22"/>
          <w:szCs w:val="22"/>
        </w:rPr>
        <mc:AlternateContent>
          <mc:Choice Requires="wps">
            <w:drawing>
              <wp:anchor distT="45720" distB="45720" distL="114300" distR="114300" simplePos="0" relativeHeight="251777024" behindDoc="0" locked="0" layoutInCell="1" allowOverlap="1" wp14:anchorId="15DD81E5" wp14:editId="169ABC86">
                <wp:simplePos x="0" y="0"/>
                <wp:positionH relativeFrom="column">
                  <wp:posOffset>2514600</wp:posOffset>
                </wp:positionH>
                <wp:positionV relativeFrom="paragraph">
                  <wp:posOffset>4241165</wp:posOffset>
                </wp:positionV>
                <wp:extent cx="1295400" cy="247650"/>
                <wp:effectExtent l="0" t="0" r="0" b="0"/>
                <wp:wrapNone/>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0" cy="247650"/>
                        </a:xfrm>
                        <a:prstGeom prst="rect">
                          <a:avLst/>
                        </a:prstGeom>
                        <a:noFill/>
                        <a:ln w="9525">
                          <a:noFill/>
                          <a:miter lim="800000"/>
                          <a:headEnd/>
                          <a:tailEnd/>
                        </a:ln>
                      </wps:spPr>
                      <wps:txbx>
                        <w:txbxContent>
                          <w:p w14:paraId="723DD082" w14:textId="77777777" w:rsidR="005E6FB1" w:rsidRPr="00337CC8" w:rsidRDefault="005E6FB1" w:rsidP="00D60A67">
                            <w:pPr>
                              <w:rPr>
                                <w:b/>
                                <w:bCs/>
                                <w:sz w:val="19"/>
                                <w:szCs w:val="19"/>
                              </w:rPr>
                            </w:pPr>
                            <w:r w:rsidRPr="00337CC8">
                              <w:rPr>
                                <w:b/>
                                <w:bCs/>
                                <w:sz w:val="19"/>
                                <w:szCs w:val="19"/>
                              </w:rPr>
                              <w:t>Statewide Rate: 2.9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shape w14:anchorId="15DD81E5" id="_x0000_s1034" type="#_x0000_t202" style="position:absolute;margin-left:198pt;margin-top:333.95pt;width:102pt;height:19.5pt;z-index:2517770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" filled="f" stroked="f">
                <v:textbox>
                  <w:txbxContent>
                    <w:p w14:paraId="723DD082" w14:textId="77777777" w:rsidR="005E6FB1" w:rsidRPr="00337CC8" w:rsidRDefault="005E6FB1" w:rsidP="00D60A67">
                      <w:pPr>
                        <w:rPr>
                          <w:b/>
                          <w:bCs/>
                          <w:sz w:val="19"/>
                          <w:szCs w:val="19"/>
                        </w:rPr>
                      </w:pPr>
                      <w:r w:rsidRPr="00337CC8">
                        <w:rPr>
                          <w:b/>
                          <w:bCs/>
                          <w:sz w:val="19"/>
                          <w:szCs w:val="19"/>
                        </w:rPr>
                        <w:t>Statewide Rate: 2.9</w:t>
                      </w:r>
                    </w:p>
                  </w:txbxContent>
                </v:textbox>
              </v:shape>
            </w:pict>
          </mc:Fallback>
        </mc:AlternateContent>
      </w:r>
    </w:p>
    <w:p w14:paraId="1E78C4C8" w14:textId="6A8A64E5" w:rsidR="00D430AD" w:rsidRPr="00A52DB1" w:rsidRDefault="00B649B5" w:rsidP="005774E0">
      <w:pPr>
        <w:pStyle w:val="Heading1"/>
      </w:pPr>
      <w:r>
        <w:rPr>
          <w:noProof/>
        </w:rPr>
        <w:lastRenderedPageBreak/>
        <w:drawing>
          <wp:anchor distT="0" distB="0" distL="114300" distR="114300" simplePos="0" relativeHeight="251780096" behindDoc="0" locked="0" layoutInCell="1" allowOverlap="1" wp14:anchorId="28EC3B6B" wp14:editId="6D54B62A">
            <wp:simplePos x="0" y="0"/>
            <wp:positionH relativeFrom="margin">
              <wp:align>left</wp:align>
            </wp:positionH>
            <wp:positionV relativeFrom="paragraph">
              <wp:posOffset>288290</wp:posOffset>
            </wp:positionV>
            <wp:extent cx="3919855" cy="3347085"/>
            <wp:effectExtent l="0" t="0" r="4445" b="5715"/>
            <wp:wrapThrough wrapText="bothSides">
              <wp:wrapPolygon edited="0">
                <wp:start x="0" y="0"/>
                <wp:lineTo x="0" y="21514"/>
                <wp:lineTo x="21520" y="21514"/>
                <wp:lineTo x="21520" y="0"/>
                <wp:lineTo x="0" y="0"/>
              </wp:wrapPolygon>
            </wp:wrapThrough>
            <wp:docPr id="290" name="Chart 290">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14:sizeRelH relativeFrom="margin">
              <wp14:pctWidth>0</wp14:pctWidth>
            </wp14:sizeRelH>
            <wp14:sizeRelV relativeFrom="margin">
              <wp14:pctHeight>0</wp14:pctHeight>
            </wp14:sizeRelV>
          </wp:anchor>
        </w:drawing>
      </w:r>
      <w:r w:rsidR="005046C2">
        <w:t>HEALTH EQUITY</w:t>
      </w:r>
    </w:p>
    <w:p w14:paraId="34F9A617" w14:textId="292A243C" w:rsidR="0079050F" w:rsidRDefault="00501045" w:rsidP="005774E0">
      <w:pPr>
        <w:pStyle w:val="BodyText"/>
        <w:rPr>
          <w:sz w:val="22"/>
          <w:szCs w:val="22"/>
        </w:rPr>
      </w:pPr>
      <w:r>
        <w:rPr>
          <w:sz w:val="22"/>
          <w:szCs w:val="22"/>
        </w:rPr>
        <w:t>W</w:t>
      </w:r>
      <w:r w:rsidR="00117CBB" w:rsidRPr="00DA3EA5">
        <w:rPr>
          <w:sz w:val="22"/>
          <w:szCs w:val="22"/>
        </w:rPr>
        <w:t xml:space="preserve">hile lead continues to affect children in all communities across Massachusetts, data collected by DPH shows that </w:t>
      </w:r>
      <w:bookmarkStart w:id="11" w:name="_Hlk79667930"/>
      <w:r w:rsidR="00117CBB" w:rsidRPr="00DA3EA5">
        <w:rPr>
          <w:b/>
          <w:sz w:val="22"/>
          <w:szCs w:val="22"/>
        </w:rPr>
        <w:t>lead</w:t>
      </w:r>
      <w:r w:rsidR="00117CBB" w:rsidRPr="00DA3EA5">
        <w:rPr>
          <w:noProof/>
          <w:sz w:val="22"/>
          <w:szCs w:val="22"/>
        </w:rPr>
        <w:t xml:space="preserve"> </w:t>
      </w:r>
      <w:r w:rsidR="00117CBB" w:rsidRPr="00DA3EA5">
        <w:rPr>
          <w:b/>
          <w:sz w:val="22"/>
          <w:szCs w:val="22"/>
        </w:rPr>
        <w:t>exposure disproportionately impacts lower income communities and communities of color</w:t>
      </w:r>
      <w:r w:rsidR="00117CBB" w:rsidRPr="00DA3EA5">
        <w:rPr>
          <w:sz w:val="22"/>
          <w:szCs w:val="22"/>
        </w:rPr>
        <w:t xml:space="preserve">, making lead exposure a critical health equity issue. </w:t>
      </w:r>
      <w:bookmarkEnd w:id="11"/>
      <w:r w:rsidR="00117CBB" w:rsidRPr="00DA3EA5">
        <w:rPr>
          <w:sz w:val="22"/>
          <w:szCs w:val="22"/>
        </w:rPr>
        <w:t xml:space="preserve">Specifically, </w:t>
      </w:r>
      <w:bookmarkStart w:id="12" w:name="_Hlk78276531"/>
      <w:r w:rsidR="00117CBB" w:rsidRPr="00DA3EA5">
        <w:rPr>
          <w:b/>
          <w:sz w:val="22"/>
          <w:szCs w:val="22"/>
        </w:rPr>
        <w:t xml:space="preserve">children living in </w:t>
      </w:r>
      <w:r w:rsidR="002B7B95" w:rsidRPr="00DA3EA5">
        <w:rPr>
          <w:b/>
          <w:sz w:val="22"/>
          <w:szCs w:val="22"/>
        </w:rPr>
        <w:t>low-income</w:t>
      </w:r>
      <w:r w:rsidR="00F9754E">
        <w:rPr>
          <w:b/>
          <w:sz w:val="22"/>
          <w:szCs w:val="22"/>
        </w:rPr>
        <w:t xml:space="preserve"> communities are nearly 4 </w:t>
      </w:r>
      <w:r w:rsidR="00117CBB" w:rsidRPr="00DA3EA5">
        <w:rPr>
          <w:b/>
          <w:sz w:val="22"/>
          <w:szCs w:val="22"/>
        </w:rPr>
        <w:t>times more likely to have elevated blood lead levels than children living in high</w:t>
      </w:r>
      <w:r w:rsidR="00300F45">
        <w:rPr>
          <w:b/>
          <w:sz w:val="22"/>
          <w:szCs w:val="22"/>
        </w:rPr>
        <w:t>-</w:t>
      </w:r>
      <w:r w:rsidR="00117CBB" w:rsidRPr="00DA3EA5">
        <w:rPr>
          <w:b/>
          <w:sz w:val="22"/>
          <w:szCs w:val="22"/>
        </w:rPr>
        <w:t>income communities</w:t>
      </w:r>
      <w:r w:rsidR="00117CBB" w:rsidRPr="00DA3EA5">
        <w:rPr>
          <w:sz w:val="22"/>
          <w:szCs w:val="22"/>
        </w:rPr>
        <w:t xml:space="preserve"> </w:t>
      </w:r>
      <w:bookmarkEnd w:id="12"/>
      <w:r w:rsidR="00117CBB" w:rsidRPr="00DA3EA5">
        <w:rPr>
          <w:sz w:val="22"/>
          <w:szCs w:val="22"/>
        </w:rPr>
        <w:t xml:space="preserve">(Figure </w:t>
      </w:r>
      <w:r w:rsidR="00ED5FB9">
        <w:rPr>
          <w:sz w:val="22"/>
          <w:szCs w:val="22"/>
        </w:rPr>
        <w:t>5</w:t>
      </w:r>
      <w:r w:rsidR="00A81B73">
        <w:rPr>
          <w:sz w:val="22"/>
          <w:szCs w:val="22"/>
        </w:rPr>
        <w:t xml:space="preserve">). </w:t>
      </w:r>
    </w:p>
    <w:p w14:paraId="1B667286" w14:textId="4E3D5CA3" w:rsidR="0079050F" w:rsidRDefault="0079050F" w:rsidP="009F5B57">
      <w:pPr>
        <w:pStyle w:val="BodyText"/>
        <w:spacing w:line="120" w:lineRule="auto"/>
        <w:rPr>
          <w:sz w:val="22"/>
          <w:szCs w:val="22"/>
        </w:rPr>
      </w:pPr>
    </w:p>
    <w:p w14:paraId="75DC72BB" w14:textId="685648EF" w:rsidR="00117CBB" w:rsidRPr="009F23D7" w:rsidRDefault="004F2D92" w:rsidP="005774E0">
      <w:pPr>
        <w:pStyle w:val="BodyText"/>
        <w:rPr>
          <w:b/>
          <w:sz w:val="22"/>
          <w:szCs w:val="22"/>
        </w:rPr>
      </w:pPr>
      <w:r w:rsidRPr="00FD23D9">
        <w:rPr>
          <w:noProof/>
        </w:rPr>
        <mc:AlternateContent>
          <mc:Choice Requires="wps">
            <w:drawing>
              <wp:anchor distT="45720" distB="45720" distL="114300" distR="182880" simplePos="0" relativeHeight="251695615" behindDoc="0" locked="1" layoutInCell="1" allowOverlap="1" wp14:anchorId="21BF3745" wp14:editId="1C865421">
                <wp:simplePos x="0" y="0"/>
                <wp:positionH relativeFrom="margin">
                  <wp:align>left</wp:align>
                </wp:positionH>
                <wp:positionV relativeFrom="paragraph">
                  <wp:posOffset>1457960</wp:posOffset>
                </wp:positionV>
                <wp:extent cx="4025900" cy="831850"/>
                <wp:effectExtent l="0" t="0" r="0" b="6350"/>
                <wp:wrapThrough wrapText="bothSides">
                  <wp:wrapPolygon edited="0">
                    <wp:start x="307" y="0"/>
                    <wp:lineTo x="307" y="21270"/>
                    <wp:lineTo x="21259" y="21270"/>
                    <wp:lineTo x="21259" y="0"/>
                    <wp:lineTo x="307" y="0"/>
                  </wp:wrapPolygon>
                </wp:wrapThrough>
                <wp:docPr id="28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5900" cy="831850"/>
                        </a:xfrm>
                        <a:prstGeom prst="rect">
                          <a:avLst/>
                        </a:prstGeom>
                        <a:noFill/>
                        <a:ln w="9525">
                          <a:noFill/>
                          <a:miter lim="800000"/>
                          <a:headEnd/>
                          <a:tailEnd/>
                        </a:ln>
                      </wps:spPr>
                      <wps:txbx>
                        <w:txbxContent>
                          <w:p w14:paraId="10102F81" w14:textId="77777777" w:rsidR="005E6FB1" w:rsidRPr="008262C2" w:rsidRDefault="005E6FB1" w:rsidP="00EF1514">
                            <w:pPr>
                              <w:contextualSpacing/>
                              <w:rPr>
                                <w:sz w:val="16"/>
                                <w:szCs w:val="16"/>
                              </w:rPr>
                            </w:pPr>
                            <w:r w:rsidRPr="008262C2">
                              <w:rPr>
                                <w:sz w:val="16"/>
                                <w:szCs w:val="16"/>
                                <w:vertAlign w:val="superscript"/>
                              </w:rPr>
                              <w:t>1</w:t>
                            </w:r>
                            <w:r w:rsidRPr="008262C2">
                              <w:rPr>
                                <w:sz w:val="16"/>
                                <w:szCs w:val="16"/>
                              </w:rPr>
                              <w:t>Includes confirmed BLLs (one venous or two capillary blood tests ≥5 µg/dL within 84 days) and a proportion of unconfirmed blood lead tests (single capillary tests) for children 9-47 months of age.</w:t>
                            </w:r>
                          </w:p>
                          <w:p w14:paraId="5A3AE9B7" w14:textId="3B7913C0" w:rsidR="005E6FB1" w:rsidRPr="0006120B" w:rsidRDefault="005E6FB1" w:rsidP="00EF1514">
                            <w:pPr>
                              <w:contextualSpacing/>
                              <w:rPr>
                                <w:sz w:val="16"/>
                                <w:szCs w:val="16"/>
                              </w:rPr>
                            </w:pPr>
                            <w:r w:rsidRPr="008262C2">
                              <w:rPr>
                                <w:sz w:val="16"/>
                                <w:szCs w:val="16"/>
                                <w:vertAlign w:val="superscript"/>
                              </w:rPr>
                              <w:t>2</w:t>
                            </w:r>
                            <w:r w:rsidRPr="008262C2">
                              <w:rPr>
                                <w:sz w:val="16"/>
                                <w:szCs w:val="16"/>
                              </w:rPr>
                              <w:t xml:space="preserve">Lowest </w:t>
                            </w:r>
                            <w:r>
                              <w:rPr>
                                <w:sz w:val="16"/>
                                <w:szCs w:val="16"/>
                              </w:rPr>
                              <w:t xml:space="preserve">versus highest </w:t>
                            </w:r>
                            <w:r w:rsidRPr="008262C2">
                              <w:rPr>
                                <w:sz w:val="16"/>
                                <w:szCs w:val="16"/>
                              </w:rPr>
                              <w:t xml:space="preserve">quartile of families living at or below 200% of the Federal Poverty threshold </w:t>
                            </w:r>
                            <w:r>
                              <w:rPr>
                                <w:sz w:val="16"/>
                                <w:szCs w:val="16"/>
                              </w:rPr>
                              <w:t>using p</w:t>
                            </w:r>
                            <w:r w:rsidRPr="008262C2">
                              <w:rPr>
                                <w:sz w:val="16"/>
                                <w:szCs w:val="16"/>
                              </w:rPr>
                              <w:t xml:space="preserve">overty to income ratio data from the </w:t>
                            </w:r>
                            <w:r>
                              <w:rPr>
                                <w:sz w:val="16"/>
                                <w:szCs w:val="16"/>
                              </w:rPr>
                              <w:t xml:space="preserve">U.S. </w:t>
                            </w:r>
                            <w:r w:rsidRPr="008262C2">
                              <w:rPr>
                                <w:sz w:val="16"/>
                                <w:szCs w:val="16"/>
                              </w:rPr>
                              <w:t>American Community Survey.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shape w14:anchorId="21BF3745" id="_x0000_s1035" type="#_x0000_t202" style="position:absolute;margin-left:0;margin-top:114.8pt;width:317pt;height:65.5pt;z-index:251695615;visibility:visible;mso-wrap-style:square;mso-width-percent:0;mso-height-percent:0;mso-wrap-distance-left:9pt;mso-wrap-distance-top:3.6pt;mso-wrap-distance-right:14.4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" filled="f" stroked="f">
                <v:textbox>
                  <w:txbxContent>
                    <w:p w14:paraId="10102F81" w14:textId="77777777" w:rsidR="005E6FB1" w:rsidRPr="008262C2" w:rsidRDefault="005E6FB1" w:rsidP="00EF1514">
                      <w:pPr>
                        <w:contextualSpacing/>
                        <w:rPr>
                          <w:sz w:val="16"/>
                          <w:szCs w:val="16"/>
                        </w:rPr>
                      </w:pPr>
                      <w:r w:rsidRPr="008262C2">
                        <w:rPr>
                          <w:sz w:val="16"/>
                          <w:szCs w:val="16"/>
                          <w:vertAlign w:val="superscript"/>
                        </w:rPr>
                        <w:t>1</w:t>
                      </w:r>
                      <w:r w:rsidRPr="008262C2">
                        <w:rPr>
                          <w:sz w:val="16"/>
                          <w:szCs w:val="16"/>
                        </w:rPr>
                        <w:t>Includes confirmed BLLs (one venous or two capillary blood tests ≥5 µg/dL within 84 days) and a proportion of unconfirmed blood lead tests (single capillary tests) for children 9-47 months of age.</w:t>
                      </w:r>
                    </w:p>
                    <w:p w14:paraId="5A3AE9B7" w14:textId="3B7913C0" w:rsidR="005E6FB1" w:rsidRPr="0006120B" w:rsidRDefault="005E6FB1" w:rsidP="00EF1514">
                      <w:pPr>
                        <w:contextualSpacing/>
                        <w:rPr>
                          <w:sz w:val="16"/>
                          <w:szCs w:val="16"/>
                        </w:rPr>
                      </w:pPr>
                      <w:r w:rsidRPr="008262C2">
                        <w:rPr>
                          <w:sz w:val="16"/>
                          <w:szCs w:val="16"/>
                          <w:vertAlign w:val="superscript"/>
                        </w:rPr>
                        <w:t>2</w:t>
                      </w:r>
                      <w:r w:rsidRPr="008262C2">
                        <w:rPr>
                          <w:sz w:val="16"/>
                          <w:szCs w:val="16"/>
                        </w:rPr>
                        <w:t xml:space="preserve">Lowest </w:t>
                      </w:r>
                      <w:r>
                        <w:rPr>
                          <w:sz w:val="16"/>
                          <w:szCs w:val="16"/>
                        </w:rPr>
                        <w:t xml:space="preserve">versus highest </w:t>
                      </w:r>
                      <w:r w:rsidRPr="008262C2">
                        <w:rPr>
                          <w:sz w:val="16"/>
                          <w:szCs w:val="16"/>
                        </w:rPr>
                        <w:t xml:space="preserve">quartile of families living at or below 200% of the Federal Poverty threshold </w:t>
                      </w:r>
                      <w:r>
                        <w:rPr>
                          <w:sz w:val="16"/>
                          <w:szCs w:val="16"/>
                        </w:rPr>
                        <w:t>using p</w:t>
                      </w:r>
                      <w:r w:rsidRPr="008262C2">
                        <w:rPr>
                          <w:sz w:val="16"/>
                          <w:szCs w:val="16"/>
                        </w:rPr>
                        <w:t xml:space="preserve">overty to income ratio data from the </w:t>
                      </w:r>
                      <w:r>
                        <w:rPr>
                          <w:sz w:val="16"/>
                          <w:szCs w:val="16"/>
                        </w:rPr>
                        <w:t xml:space="preserve">U.S. </w:t>
                      </w:r>
                      <w:r w:rsidRPr="008262C2">
                        <w:rPr>
                          <w:sz w:val="16"/>
                          <w:szCs w:val="16"/>
                        </w:rPr>
                        <w:t>American Community Survey.</w:t>
                      </w:r>
                    </w:p>
                  </w:txbxContent>
                </v:textbox>
                <w10:wrap type="through" anchorx="margin"/>
                <w10:anchorlock/>
              </v:shape>
            </w:pict>
          </mc:Fallback>
        </mc:AlternateContent>
      </w:r>
      <w:r w:rsidR="00C123B9">
        <w:rPr>
          <w:sz w:val="22"/>
          <w:szCs w:val="22"/>
        </w:rPr>
        <w:t>W</w:t>
      </w:r>
      <w:r w:rsidR="00C60889">
        <w:rPr>
          <w:sz w:val="22"/>
          <w:szCs w:val="22"/>
        </w:rPr>
        <w:t>hite children have the lowest risk of exhibiting lead poisoning</w:t>
      </w:r>
      <w:r w:rsidR="00EF1514">
        <w:rPr>
          <w:sz w:val="22"/>
          <w:szCs w:val="22"/>
        </w:rPr>
        <w:t>, w</w:t>
      </w:r>
      <w:r w:rsidR="00C123B9">
        <w:rPr>
          <w:sz w:val="22"/>
          <w:szCs w:val="22"/>
        </w:rPr>
        <w:t>hile</w:t>
      </w:r>
      <w:r w:rsidR="00117CBB" w:rsidRPr="00DA3EA5">
        <w:rPr>
          <w:sz w:val="22"/>
          <w:szCs w:val="22"/>
        </w:rPr>
        <w:t xml:space="preserve"> </w:t>
      </w:r>
      <w:bookmarkStart w:id="13" w:name="_Hlk78276563"/>
      <w:r w:rsidR="00117CBB" w:rsidRPr="00DA3EA5">
        <w:rPr>
          <w:b/>
          <w:sz w:val="22"/>
          <w:szCs w:val="22"/>
        </w:rPr>
        <w:t>black children</w:t>
      </w:r>
      <w:r w:rsidR="00C123B9">
        <w:rPr>
          <w:b/>
          <w:sz w:val="22"/>
          <w:szCs w:val="22"/>
        </w:rPr>
        <w:t xml:space="preserve"> </w:t>
      </w:r>
      <w:r w:rsidR="00C60889">
        <w:rPr>
          <w:b/>
          <w:sz w:val="22"/>
          <w:szCs w:val="22"/>
        </w:rPr>
        <w:t xml:space="preserve">are </w:t>
      </w:r>
      <w:r w:rsidR="00FD132C">
        <w:rPr>
          <w:b/>
          <w:sz w:val="22"/>
          <w:szCs w:val="22"/>
        </w:rPr>
        <w:t xml:space="preserve">nearly </w:t>
      </w:r>
      <w:r w:rsidR="00C60889">
        <w:rPr>
          <w:b/>
          <w:sz w:val="22"/>
          <w:szCs w:val="22"/>
        </w:rPr>
        <w:t>2 times more likely to have lead poisoning than white children</w:t>
      </w:r>
      <w:r w:rsidR="002B6C43">
        <w:rPr>
          <w:b/>
          <w:sz w:val="22"/>
          <w:szCs w:val="22"/>
        </w:rPr>
        <w:t>.</w:t>
      </w:r>
      <w:r w:rsidR="00F315BA">
        <w:rPr>
          <w:b/>
          <w:sz w:val="22"/>
          <w:szCs w:val="22"/>
        </w:rPr>
        <w:t xml:space="preserve"> </w:t>
      </w:r>
      <w:r w:rsidR="002B6C43">
        <w:rPr>
          <w:b/>
          <w:sz w:val="22"/>
          <w:szCs w:val="22"/>
        </w:rPr>
        <w:t>C</w:t>
      </w:r>
      <w:r w:rsidR="00811F9D" w:rsidRPr="00A52DB1">
        <w:rPr>
          <w:b/>
          <w:sz w:val="22"/>
          <w:szCs w:val="22"/>
        </w:rPr>
        <w:t xml:space="preserve">hildren </w:t>
      </w:r>
      <w:r w:rsidR="00F315BA">
        <w:rPr>
          <w:b/>
          <w:sz w:val="22"/>
          <w:szCs w:val="22"/>
        </w:rPr>
        <w:t xml:space="preserve">that identify as multi-race </w:t>
      </w:r>
      <w:r w:rsidR="00117CBB" w:rsidRPr="00A52DB1">
        <w:rPr>
          <w:b/>
          <w:sz w:val="22"/>
          <w:szCs w:val="22"/>
        </w:rPr>
        <w:t xml:space="preserve">are </w:t>
      </w:r>
      <w:r w:rsidR="00FD132C" w:rsidRPr="00A52DB1">
        <w:rPr>
          <w:b/>
          <w:sz w:val="22"/>
          <w:szCs w:val="22"/>
        </w:rPr>
        <w:t>3</w:t>
      </w:r>
      <w:r w:rsidR="00143CE4" w:rsidRPr="00A52DB1">
        <w:rPr>
          <w:b/>
          <w:sz w:val="22"/>
          <w:szCs w:val="22"/>
        </w:rPr>
        <w:t xml:space="preserve"> </w:t>
      </w:r>
      <w:r w:rsidR="00117CBB" w:rsidRPr="00A52DB1">
        <w:rPr>
          <w:b/>
          <w:sz w:val="22"/>
          <w:szCs w:val="22"/>
        </w:rPr>
        <w:t>times more likely to have lead poisoning than white children</w:t>
      </w:r>
      <w:r w:rsidR="00F315BA">
        <w:rPr>
          <w:b/>
          <w:sz w:val="22"/>
          <w:szCs w:val="22"/>
        </w:rPr>
        <w:t xml:space="preserve"> </w:t>
      </w:r>
      <w:bookmarkEnd w:id="13"/>
      <w:r w:rsidR="00F315BA" w:rsidRPr="00BC11DE">
        <w:rPr>
          <w:bCs/>
          <w:sz w:val="22"/>
          <w:szCs w:val="22"/>
        </w:rPr>
        <w:t xml:space="preserve">(Figure </w:t>
      </w:r>
      <w:r w:rsidR="00ED5FB9">
        <w:rPr>
          <w:bCs/>
          <w:sz w:val="22"/>
          <w:szCs w:val="22"/>
        </w:rPr>
        <w:t>6</w:t>
      </w:r>
      <w:r w:rsidR="00F315BA" w:rsidRPr="00BC11DE">
        <w:rPr>
          <w:bCs/>
          <w:sz w:val="22"/>
          <w:szCs w:val="22"/>
        </w:rPr>
        <w:t>)</w:t>
      </w:r>
      <w:r w:rsidR="00F315BA">
        <w:rPr>
          <w:bCs/>
          <w:sz w:val="22"/>
          <w:szCs w:val="22"/>
        </w:rPr>
        <w:t>.</w:t>
      </w:r>
      <w:r w:rsidR="00BC11DE">
        <w:rPr>
          <w:b/>
          <w:sz w:val="22"/>
          <w:szCs w:val="22"/>
        </w:rPr>
        <w:t xml:space="preserve"> </w:t>
      </w:r>
      <w:r w:rsidR="00117CBB" w:rsidRPr="00DA3EA5">
        <w:rPr>
          <w:sz w:val="22"/>
          <w:szCs w:val="22"/>
        </w:rPr>
        <w:t>Historical housing policies that have perpetuated segregation and limited opportunity for home ownership, such as redlining, have led to the increase in risk factors for lead poisoning in black communities, including older housing stock, dilapidated housing</w:t>
      </w:r>
      <w:r w:rsidR="00C11E0F">
        <w:rPr>
          <w:sz w:val="22"/>
          <w:szCs w:val="22"/>
        </w:rPr>
        <w:t>,</w:t>
      </w:r>
      <w:r w:rsidR="00117CBB" w:rsidRPr="00DA3EA5">
        <w:rPr>
          <w:sz w:val="22"/>
          <w:szCs w:val="22"/>
        </w:rPr>
        <w:t xml:space="preserve"> and fewer owner-occupied housing units</w:t>
      </w:r>
      <w:r w:rsidR="00C27014">
        <w:rPr>
          <w:sz w:val="22"/>
          <w:szCs w:val="22"/>
          <w:vertAlign w:val="superscript"/>
        </w:rPr>
        <w:t>6,7</w:t>
      </w:r>
      <w:r w:rsidR="00117CBB" w:rsidRPr="00DA3EA5">
        <w:rPr>
          <w:sz w:val="22"/>
          <w:szCs w:val="22"/>
        </w:rPr>
        <w:t>.</w:t>
      </w:r>
      <w:r w:rsidR="008262C2" w:rsidRPr="00E24817" w:rsidDel="008262C2">
        <w:rPr>
          <w:sz w:val="22"/>
          <w:szCs w:val="22"/>
          <w:vertAlign w:val="superscript"/>
        </w:rPr>
        <w:t xml:space="preserve"> </w:t>
      </w:r>
    </w:p>
    <w:p w14:paraId="76F11451" w14:textId="11E006E3" w:rsidR="00C51B1C" w:rsidRDefault="00FC43C9" w:rsidP="002121DC">
      <w:pPr>
        <w:pStyle w:val="BodyText"/>
        <w:spacing w:line="120" w:lineRule="auto"/>
        <w:rPr>
          <w:b/>
          <w:bCs/>
        </w:rPr>
      </w:pPr>
      <w:r w:rsidRPr="002121DC">
        <w:rPr>
          <w:noProof/>
        </w:rPr>
        <mc:AlternateContent>
          <mc:Choice Requires="wps">
            <w:drawing>
              <wp:anchor distT="0" distB="0" distL="114300" distR="114300" simplePos="0" relativeHeight="251769856" behindDoc="0" locked="0" layoutInCell="1" allowOverlap="1" wp14:anchorId="754474BE" wp14:editId="7D0ED67E">
                <wp:simplePos x="0" y="0"/>
                <wp:positionH relativeFrom="margin">
                  <wp:align>right</wp:align>
                </wp:positionH>
                <wp:positionV relativeFrom="paragraph">
                  <wp:posOffset>3597910</wp:posOffset>
                </wp:positionV>
                <wp:extent cx="6851650" cy="679450"/>
                <wp:effectExtent l="0" t="0" r="0" b="6350"/>
                <wp:wrapThrough wrapText="bothSides">
                  <wp:wrapPolygon edited="0">
                    <wp:start x="180" y="0"/>
                    <wp:lineTo x="180" y="21196"/>
                    <wp:lineTo x="21380" y="21196"/>
                    <wp:lineTo x="21380" y="0"/>
                    <wp:lineTo x="180" y="0"/>
                  </wp:wrapPolygon>
                </wp:wrapThrough>
                <wp:docPr id="29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1650" cy="679450"/>
                        </a:xfrm>
                        <a:prstGeom prst="rect">
                          <a:avLst/>
                        </a:prstGeom>
                        <a:noFill/>
                        <a:ln w="9525">
                          <a:noFill/>
                          <a:miter lim="800000"/>
                          <a:headEnd/>
                          <a:tailEnd/>
                        </a:ln>
                      </wps:spPr>
                      <wps:txbx>
                        <w:txbxContent>
                          <w:p w14:paraId="4EA0D1F8" w14:textId="3873FC77" w:rsidR="005E6FB1" w:rsidRPr="00186BED" w:rsidRDefault="005E6FB1" w:rsidP="009F5B57">
                            <w:pPr>
                              <w:spacing w:line="240" w:lineRule="auto"/>
                              <w:contextualSpacing/>
                              <w:rPr>
                                <w:sz w:val="18"/>
                                <w:szCs w:val="18"/>
                              </w:rPr>
                            </w:pPr>
                            <w:r w:rsidRPr="00186BED">
                              <w:rPr>
                                <w:sz w:val="18"/>
                                <w:szCs w:val="18"/>
                                <w:vertAlign w:val="superscript"/>
                              </w:rPr>
                              <w:t>1</w:t>
                            </w:r>
                            <w:r w:rsidRPr="00186BED">
                              <w:rPr>
                                <w:sz w:val="18"/>
                                <w:szCs w:val="18"/>
                              </w:rPr>
                              <w:t>Includes poisoned BLLs (defined as a venous test result ≥10 µg/dL) and results for children with two capillary tests ≥10 µg/dL drawn within 84 days of each other for children between 9 and 47 months of age.</w:t>
                            </w:r>
                          </w:p>
                          <w:p w14:paraId="0AA3FD13" w14:textId="05798B97" w:rsidR="005E6FB1" w:rsidRPr="00186BED" w:rsidRDefault="005E6FB1" w:rsidP="009F5B57">
                            <w:pPr>
                              <w:spacing w:line="240" w:lineRule="auto"/>
                              <w:contextualSpacing/>
                              <w:rPr>
                                <w:sz w:val="18"/>
                                <w:szCs w:val="18"/>
                              </w:rPr>
                            </w:pPr>
                            <w:r w:rsidRPr="00186BED">
                              <w:rPr>
                                <w:sz w:val="18"/>
                                <w:szCs w:val="18"/>
                                <w:vertAlign w:val="superscript"/>
                              </w:rPr>
                              <w:t>2</w:t>
                            </w:r>
                            <w:r w:rsidRPr="00186BED">
                              <w:rPr>
                                <w:sz w:val="18"/>
                                <w:szCs w:val="18"/>
                              </w:rPr>
                              <w:t>Each race category includes those of Hispanic and Non-Hispanic ethnicities.</w:t>
                            </w:r>
                          </w:p>
                          <w:p w14:paraId="50307D8B" w14:textId="14C64635" w:rsidR="005E6FB1" w:rsidRPr="00186BED" w:rsidRDefault="005E6FB1" w:rsidP="009F5B57">
                            <w:pPr>
                              <w:spacing w:line="240" w:lineRule="auto"/>
                              <w:contextualSpacing/>
                              <w:rPr>
                                <w:sz w:val="18"/>
                                <w:szCs w:val="18"/>
                              </w:rPr>
                            </w:pPr>
                            <w:r w:rsidRPr="00186BED">
                              <w:rPr>
                                <w:sz w:val="18"/>
                                <w:szCs w:val="18"/>
                                <w:vertAlign w:val="superscript"/>
                              </w:rPr>
                              <w:t>3</w:t>
                            </w:r>
                            <w:r w:rsidRPr="00186BED">
                              <w:rPr>
                                <w:sz w:val="18"/>
                                <w:szCs w:val="18"/>
                              </w:rPr>
                              <w:t>Prevalence values may be unstable due to small case counts.</w:t>
                            </w:r>
                          </w:p>
                          <w:p w14:paraId="6F4D2DD0" w14:textId="77777777" w:rsidR="005E6FB1" w:rsidRPr="00186BED" w:rsidRDefault="005E6FB1" w:rsidP="009F5B57">
                            <w:pPr>
                              <w:rPr>
                                <w:sz w:val="24"/>
                                <w:szCs w:val="24"/>
                              </w:rPr>
                            </w:pP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shape w14:anchorId="754474BE" id="_x0000_s1036" type="#_x0000_t202" style="position:absolute;margin-left:488.3pt;margin-top:283.3pt;width:539.5pt;height:53.5pt;z-index:2517698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" filled="f" stroked="f">
                <v:textbox>
                  <w:txbxContent>
                    <w:p w14:paraId="4EA0D1F8" w14:textId="3873FC77" w:rsidR="005E6FB1" w:rsidRPr="00186BED" w:rsidRDefault="005E6FB1" w:rsidP="009F5B57">
                      <w:pPr>
                        <w:spacing w:line="240" w:lineRule="auto"/>
                        <w:contextualSpacing/>
                        <w:rPr>
                          <w:sz w:val="18"/>
                          <w:szCs w:val="18"/>
                        </w:rPr>
                      </w:pPr>
                      <w:r w:rsidRPr="00186BED">
                        <w:rPr>
                          <w:sz w:val="18"/>
                          <w:szCs w:val="18"/>
                          <w:vertAlign w:val="superscript"/>
                        </w:rPr>
                        <w:t>1</w:t>
                      </w:r>
                      <w:r w:rsidRPr="00186BED">
                        <w:rPr>
                          <w:sz w:val="18"/>
                          <w:szCs w:val="18"/>
                        </w:rPr>
                        <w:t>Includes poisoned BLLs (defined as a venous test result ≥10 µg/dL) and results for children with two capillary tests ≥10 µg/dL drawn within 84 days of each other for children between 9 and 47 months of age.</w:t>
                      </w:r>
                    </w:p>
                    <w:p w14:paraId="0AA3FD13" w14:textId="05798B97" w:rsidR="005E6FB1" w:rsidRPr="00186BED" w:rsidRDefault="005E6FB1" w:rsidP="009F5B57">
                      <w:pPr>
                        <w:spacing w:line="240" w:lineRule="auto"/>
                        <w:contextualSpacing/>
                        <w:rPr>
                          <w:sz w:val="18"/>
                          <w:szCs w:val="18"/>
                        </w:rPr>
                      </w:pPr>
                      <w:r w:rsidRPr="00186BED">
                        <w:rPr>
                          <w:sz w:val="18"/>
                          <w:szCs w:val="18"/>
                          <w:vertAlign w:val="superscript"/>
                        </w:rPr>
                        <w:t>2</w:t>
                      </w:r>
                      <w:r w:rsidRPr="00186BED">
                        <w:rPr>
                          <w:sz w:val="18"/>
                          <w:szCs w:val="18"/>
                        </w:rPr>
                        <w:t>Each race category includes those of Hispanic and Non-Hispanic ethnicities.</w:t>
                      </w:r>
                    </w:p>
                    <w:p w14:paraId="50307D8B" w14:textId="14C64635" w:rsidR="005E6FB1" w:rsidRPr="00186BED" w:rsidRDefault="005E6FB1" w:rsidP="009F5B57">
                      <w:pPr>
                        <w:spacing w:line="240" w:lineRule="auto"/>
                        <w:contextualSpacing/>
                        <w:rPr>
                          <w:sz w:val="18"/>
                          <w:szCs w:val="18"/>
                        </w:rPr>
                      </w:pPr>
                      <w:r w:rsidRPr="00186BED">
                        <w:rPr>
                          <w:sz w:val="18"/>
                          <w:szCs w:val="18"/>
                          <w:vertAlign w:val="superscript"/>
                        </w:rPr>
                        <w:t>3</w:t>
                      </w:r>
                      <w:r w:rsidRPr="00186BED">
                        <w:rPr>
                          <w:sz w:val="18"/>
                          <w:szCs w:val="18"/>
                        </w:rPr>
                        <w:t>Prevalence values may be unstable due to small case counts.</w:t>
                      </w:r>
                    </w:p>
                    <w:p w14:paraId="6F4D2DD0" w14:textId="77777777" w:rsidR="005E6FB1" w:rsidRPr="00186BED" w:rsidRDefault="005E6FB1" w:rsidP="009F5B57">
                      <w:pPr>
                        <w:rPr>
                          <w:sz w:val="24"/>
                          <w:szCs w:val="24"/>
                        </w:rPr>
                      </w:pPr>
                    </w:p>
                  </w:txbxContent>
                </v:textbox>
                <w10:wrap type="through" anchorx="margin"/>
              </v:shape>
            </w:pict>
          </mc:Fallback>
        </mc:AlternateContent>
      </w:r>
      <w:r w:rsidR="003F4C8A">
        <w:rPr>
          <w:noProof/>
        </w:rPr>
        <w:drawing>
          <wp:anchor distT="0" distB="0" distL="114300" distR="114300" simplePos="0" relativeHeight="251768832" behindDoc="0" locked="0" layoutInCell="1" allowOverlap="1" wp14:anchorId="62431CC4" wp14:editId="6AE76BDE">
            <wp:simplePos x="0" y="0"/>
            <wp:positionH relativeFrom="page">
              <wp:posOffset>520700</wp:posOffset>
            </wp:positionH>
            <wp:positionV relativeFrom="paragraph">
              <wp:posOffset>165735</wp:posOffset>
            </wp:positionV>
            <wp:extent cx="6847840" cy="3404235"/>
            <wp:effectExtent l="0" t="0" r="10160" b="5715"/>
            <wp:wrapThrough wrapText="bothSides">
              <wp:wrapPolygon edited="0">
                <wp:start x="0" y="0"/>
                <wp:lineTo x="0" y="21515"/>
                <wp:lineTo x="21572" y="21515"/>
                <wp:lineTo x="21572" y="0"/>
                <wp:lineTo x="0" y="0"/>
              </wp:wrapPolygon>
            </wp:wrapThrough>
            <wp:docPr id="19" name="Chart 19">
              <a:extLst xmlns:a="http://schemas.openxmlformats.org/drawingml/2006/main">
                <a:ext uri="{FF2B5EF4-FFF2-40B4-BE49-F238E27FC236}">
                  <a16:creationId xmlns:a16="http://schemas.microsoft.com/office/drawing/2014/main" id="{00000000-0008-0000-0600-000007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14:sizeRelH relativeFrom="page">
              <wp14:pctWidth>0</wp14:pctWidth>
            </wp14:sizeRelH>
            <wp14:sizeRelV relativeFrom="page">
              <wp14:pctHeight>0</wp14:pctHeight>
            </wp14:sizeRelV>
          </wp:anchor>
        </w:drawing>
      </w:r>
    </w:p>
    <w:p w14:paraId="75F6264E" w14:textId="2E3FDB3A" w:rsidR="00C51B1C" w:rsidRDefault="00C51B1C" w:rsidP="002121DC">
      <w:pPr>
        <w:pStyle w:val="BodyText"/>
        <w:spacing w:line="120" w:lineRule="auto"/>
        <w:rPr>
          <w:b/>
          <w:bCs/>
        </w:rPr>
      </w:pPr>
    </w:p>
    <w:p w14:paraId="1661C4BC" w14:textId="77777777" w:rsidR="003A0791" w:rsidRDefault="003A0791" w:rsidP="002121DC">
      <w:pPr>
        <w:pStyle w:val="BodyText"/>
        <w:spacing w:line="120" w:lineRule="auto"/>
        <w:rPr>
          <w:b/>
          <w:bCs/>
        </w:rPr>
        <w:sectPr w:rsidR="003A0791" w:rsidSect="003A0791">
          <w:footerReference w:type="default" r:id="rId28"/>
          <w:type w:val="continuous"/>
          <w:pgSz w:w="12240" w:h="15840"/>
          <w:pgMar w:top="720" w:right="720" w:bottom="720" w:left="720" w:header="720" w:footer="720" w:gutter="0"/>
          <w:cols w:space="720"/>
          <w:docGrid w:linePitch="360"/>
        </w:sectPr>
      </w:pPr>
    </w:p>
    <w:tbl>
      <w:tblPr>
        <w:tblW w:w="9119" w:type="dxa"/>
        <w:tblCellMar>
          <w:top w:w="15" w:type="dxa"/>
        </w:tblCellMar>
        <w:tblLook w:val="04A0" w:firstRow="1" w:lastRow="0" w:firstColumn="1" w:lastColumn="0" w:noHBand="0" w:noVBand="1"/>
      </w:tblPr>
      <w:tblGrid>
        <w:gridCol w:w="1817"/>
        <w:gridCol w:w="1117"/>
        <w:gridCol w:w="856"/>
        <w:gridCol w:w="1432"/>
        <w:gridCol w:w="974"/>
        <w:gridCol w:w="1529"/>
        <w:gridCol w:w="1172"/>
        <w:gridCol w:w="222"/>
      </w:tblGrid>
      <w:tr w:rsidR="00BA48F1" w:rsidRPr="00BA48F1" w14:paraId="59B60D1A" w14:textId="77777777" w:rsidTr="003A0791">
        <w:trPr>
          <w:gridAfter w:val="1"/>
          <w:wAfter w:w="222" w:type="dxa"/>
          <w:trHeight w:val="255"/>
        </w:trPr>
        <w:tc>
          <w:tcPr>
            <w:tcW w:w="8897" w:type="dxa"/>
            <w:gridSpan w:val="7"/>
            <w:tcBorders>
              <w:top w:val="nil"/>
              <w:left w:val="nil"/>
              <w:bottom w:val="nil"/>
              <w:right w:val="nil"/>
            </w:tcBorders>
            <w:shd w:val="clear" w:color="auto" w:fill="auto"/>
            <w:vAlign w:val="bottom"/>
            <w:hideMark/>
          </w:tcPr>
          <w:p w14:paraId="1D442116" w14:textId="4FB26D2F" w:rsidR="00BA48F1" w:rsidRPr="00BA48F1" w:rsidRDefault="00BA48F1" w:rsidP="00BA48F1">
            <w:pPr>
              <w:spacing w:after="0" w:line="240" w:lineRule="auto"/>
              <w:jc w:val="center"/>
              <w:rPr>
                <w:rFonts w:ascii="Arial" w:eastAsia="Times New Roman" w:hAnsi="Arial" w:cs="Arial"/>
                <w:b/>
                <w:bCs/>
                <w:color w:val="000000"/>
                <w:sz w:val="20"/>
                <w:szCs w:val="20"/>
              </w:rPr>
            </w:pPr>
            <w:r w:rsidRPr="00BA48F1">
              <w:rPr>
                <w:rFonts w:ascii="Arial" w:eastAsia="Times New Roman" w:hAnsi="Arial" w:cs="Arial"/>
                <w:b/>
                <w:bCs/>
                <w:color w:val="000000"/>
                <w:sz w:val="20"/>
                <w:szCs w:val="20"/>
              </w:rPr>
              <w:lastRenderedPageBreak/>
              <w:t>Appendix I: High-Risk Communities for Childhood Lead Poisoning</w:t>
            </w:r>
          </w:p>
        </w:tc>
      </w:tr>
      <w:tr w:rsidR="00BA48F1" w:rsidRPr="00BA48F1" w14:paraId="77B432D1" w14:textId="77777777" w:rsidTr="003A0791">
        <w:trPr>
          <w:gridAfter w:val="1"/>
          <w:wAfter w:w="222" w:type="dxa"/>
          <w:trHeight w:val="255"/>
        </w:trPr>
        <w:tc>
          <w:tcPr>
            <w:tcW w:w="8897" w:type="dxa"/>
            <w:gridSpan w:val="7"/>
            <w:tcBorders>
              <w:top w:val="nil"/>
              <w:left w:val="nil"/>
              <w:bottom w:val="nil"/>
              <w:right w:val="nil"/>
            </w:tcBorders>
            <w:shd w:val="clear" w:color="auto" w:fill="auto"/>
            <w:hideMark/>
          </w:tcPr>
          <w:p w14:paraId="38217C8E" w14:textId="77777777" w:rsidR="00BA48F1" w:rsidRPr="00BA48F1" w:rsidRDefault="00BA48F1" w:rsidP="00BA48F1">
            <w:pPr>
              <w:spacing w:after="0" w:line="240" w:lineRule="auto"/>
              <w:jc w:val="center"/>
              <w:rPr>
                <w:rFonts w:ascii="Arial" w:eastAsia="Times New Roman" w:hAnsi="Arial" w:cs="Arial"/>
                <w:b/>
                <w:bCs/>
                <w:color w:val="000000"/>
                <w:sz w:val="20"/>
                <w:szCs w:val="20"/>
              </w:rPr>
            </w:pPr>
            <w:r w:rsidRPr="00BA48F1">
              <w:rPr>
                <w:rFonts w:ascii="Arial" w:eastAsia="Times New Roman" w:hAnsi="Arial" w:cs="Arial"/>
                <w:b/>
                <w:bCs/>
                <w:color w:val="000000"/>
                <w:sz w:val="20"/>
                <w:szCs w:val="20"/>
              </w:rPr>
              <w:t>Calendar Year: 2016 - 2020</w:t>
            </w:r>
          </w:p>
        </w:tc>
      </w:tr>
      <w:tr w:rsidR="00BA48F1" w:rsidRPr="00BA48F1" w14:paraId="0AE14F9A" w14:textId="77777777" w:rsidTr="003A0791">
        <w:trPr>
          <w:gridAfter w:val="1"/>
          <w:wAfter w:w="222" w:type="dxa"/>
          <w:trHeight w:val="450"/>
        </w:trPr>
        <w:tc>
          <w:tcPr>
            <w:tcW w:w="1817"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570E76F5" w14:textId="77777777" w:rsidR="00BA48F1" w:rsidRPr="00BA48F1" w:rsidRDefault="00BA48F1" w:rsidP="00BA48F1">
            <w:pPr>
              <w:spacing w:after="0" w:line="240" w:lineRule="auto"/>
              <w:jc w:val="center"/>
              <w:rPr>
                <w:rFonts w:ascii="Arial" w:eastAsia="Times New Roman" w:hAnsi="Arial" w:cs="Arial"/>
                <w:color w:val="000000"/>
                <w:sz w:val="20"/>
                <w:szCs w:val="20"/>
              </w:rPr>
            </w:pPr>
            <w:r w:rsidRPr="00BA48F1">
              <w:rPr>
                <w:rFonts w:ascii="Arial" w:eastAsia="Times New Roman" w:hAnsi="Arial" w:cs="Arial"/>
                <w:color w:val="000000"/>
                <w:sz w:val="20"/>
                <w:szCs w:val="20"/>
              </w:rPr>
              <w:t>Community</w:t>
            </w:r>
          </w:p>
        </w:tc>
        <w:tc>
          <w:tcPr>
            <w:tcW w:w="1117"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60F678BB" w14:textId="77777777" w:rsidR="00BA48F1" w:rsidRPr="00BA48F1" w:rsidRDefault="00BA48F1" w:rsidP="00BA48F1">
            <w:pPr>
              <w:spacing w:after="0" w:line="240" w:lineRule="auto"/>
              <w:jc w:val="center"/>
              <w:rPr>
                <w:rFonts w:ascii="Arial" w:eastAsia="Times New Roman" w:hAnsi="Arial" w:cs="Arial"/>
                <w:color w:val="000000"/>
                <w:sz w:val="20"/>
                <w:szCs w:val="20"/>
              </w:rPr>
            </w:pPr>
            <w:r w:rsidRPr="00BA48F1">
              <w:rPr>
                <w:rFonts w:ascii="Arial" w:eastAsia="Times New Roman" w:hAnsi="Arial" w:cs="Arial"/>
                <w:color w:val="000000"/>
                <w:sz w:val="20"/>
                <w:szCs w:val="20"/>
              </w:rPr>
              <w:t>% 5-Year Screening</w:t>
            </w:r>
          </w:p>
        </w:tc>
        <w:tc>
          <w:tcPr>
            <w:tcW w:w="856"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6A829511" w14:textId="77777777" w:rsidR="00BA48F1" w:rsidRPr="00BA48F1" w:rsidRDefault="00BA48F1" w:rsidP="00BA48F1">
            <w:pPr>
              <w:spacing w:after="0" w:line="240" w:lineRule="auto"/>
              <w:jc w:val="center"/>
              <w:rPr>
                <w:rFonts w:ascii="Arial" w:eastAsia="Times New Roman" w:hAnsi="Arial" w:cs="Arial"/>
                <w:color w:val="000000"/>
                <w:sz w:val="20"/>
                <w:szCs w:val="20"/>
              </w:rPr>
            </w:pPr>
            <w:r w:rsidRPr="00BA48F1">
              <w:rPr>
                <w:rFonts w:ascii="Arial" w:eastAsia="Times New Roman" w:hAnsi="Arial" w:cs="Arial"/>
                <w:color w:val="000000"/>
                <w:sz w:val="20"/>
                <w:szCs w:val="20"/>
              </w:rPr>
              <w:t>5-Year Cases</w:t>
            </w:r>
            <w:r w:rsidRPr="00BA48F1">
              <w:rPr>
                <w:rFonts w:ascii="Arial" w:eastAsia="Times New Roman" w:hAnsi="Arial" w:cs="Arial"/>
                <w:color w:val="000000"/>
                <w:sz w:val="20"/>
                <w:szCs w:val="20"/>
                <w:vertAlign w:val="superscript"/>
              </w:rPr>
              <w:t>1</w:t>
            </w:r>
          </w:p>
        </w:tc>
        <w:tc>
          <w:tcPr>
            <w:tcW w:w="1432"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2E9DA609" w14:textId="77777777" w:rsidR="00BA48F1" w:rsidRPr="00BA48F1" w:rsidRDefault="00BA48F1" w:rsidP="00BA48F1">
            <w:pPr>
              <w:spacing w:after="0" w:line="240" w:lineRule="auto"/>
              <w:jc w:val="center"/>
              <w:rPr>
                <w:rFonts w:ascii="Arial" w:eastAsia="Times New Roman" w:hAnsi="Arial" w:cs="Arial"/>
                <w:color w:val="000000"/>
                <w:sz w:val="20"/>
                <w:szCs w:val="20"/>
              </w:rPr>
            </w:pPr>
            <w:r w:rsidRPr="00BA48F1">
              <w:rPr>
                <w:rFonts w:ascii="Arial" w:eastAsia="Times New Roman" w:hAnsi="Arial" w:cs="Arial"/>
                <w:color w:val="000000"/>
                <w:sz w:val="20"/>
                <w:szCs w:val="20"/>
              </w:rPr>
              <w:t>Incidence Rate per 1,000</w:t>
            </w:r>
            <w:r w:rsidRPr="00BA48F1">
              <w:rPr>
                <w:rFonts w:ascii="Arial" w:eastAsia="Times New Roman" w:hAnsi="Arial" w:cs="Arial"/>
                <w:color w:val="000000"/>
                <w:sz w:val="20"/>
                <w:szCs w:val="20"/>
                <w:vertAlign w:val="superscript"/>
              </w:rPr>
              <w:t>1</w:t>
            </w:r>
          </w:p>
        </w:tc>
        <w:tc>
          <w:tcPr>
            <w:tcW w:w="974"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70F78095" w14:textId="77777777" w:rsidR="00BA48F1" w:rsidRPr="00BA48F1" w:rsidRDefault="00BA48F1" w:rsidP="00BA48F1">
            <w:pPr>
              <w:spacing w:after="0" w:line="240" w:lineRule="auto"/>
              <w:jc w:val="center"/>
              <w:rPr>
                <w:rFonts w:ascii="Arial" w:eastAsia="Times New Roman" w:hAnsi="Arial" w:cs="Arial"/>
                <w:color w:val="000000"/>
                <w:sz w:val="20"/>
                <w:szCs w:val="20"/>
              </w:rPr>
            </w:pPr>
            <w:r w:rsidRPr="00BA48F1">
              <w:rPr>
                <w:rFonts w:ascii="Arial" w:eastAsia="Times New Roman" w:hAnsi="Arial" w:cs="Arial"/>
                <w:color w:val="000000"/>
                <w:sz w:val="20"/>
                <w:szCs w:val="20"/>
              </w:rPr>
              <w:t>% PIR below 2</w:t>
            </w:r>
            <w:r w:rsidRPr="00BA48F1">
              <w:rPr>
                <w:rFonts w:ascii="Arial" w:eastAsia="Times New Roman" w:hAnsi="Arial" w:cs="Arial"/>
                <w:color w:val="000000"/>
                <w:sz w:val="20"/>
                <w:szCs w:val="20"/>
                <w:vertAlign w:val="superscript"/>
              </w:rPr>
              <w:t>2</w:t>
            </w:r>
          </w:p>
        </w:tc>
        <w:tc>
          <w:tcPr>
            <w:tcW w:w="1529"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620CC1BF" w14:textId="77777777" w:rsidR="00BA48F1" w:rsidRPr="00BA48F1" w:rsidRDefault="00BA48F1" w:rsidP="00BA48F1">
            <w:pPr>
              <w:spacing w:after="0" w:line="240" w:lineRule="auto"/>
              <w:jc w:val="center"/>
              <w:rPr>
                <w:rFonts w:ascii="Arial" w:eastAsia="Times New Roman" w:hAnsi="Arial" w:cs="Arial"/>
                <w:color w:val="000000"/>
                <w:sz w:val="20"/>
                <w:szCs w:val="20"/>
              </w:rPr>
            </w:pPr>
            <w:r w:rsidRPr="00BA48F1">
              <w:rPr>
                <w:rFonts w:ascii="Arial" w:eastAsia="Times New Roman" w:hAnsi="Arial" w:cs="Arial"/>
                <w:color w:val="000000"/>
                <w:sz w:val="20"/>
                <w:szCs w:val="20"/>
              </w:rPr>
              <w:t>% Pre-1978 Housing Units</w:t>
            </w:r>
            <w:r w:rsidRPr="00BA48F1">
              <w:rPr>
                <w:rFonts w:ascii="Arial" w:eastAsia="Times New Roman" w:hAnsi="Arial" w:cs="Arial"/>
                <w:color w:val="000000"/>
                <w:sz w:val="20"/>
                <w:szCs w:val="20"/>
                <w:vertAlign w:val="superscript"/>
              </w:rPr>
              <w:t>3</w:t>
            </w:r>
          </w:p>
        </w:tc>
        <w:tc>
          <w:tcPr>
            <w:tcW w:w="1172"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1E71B2B3" w14:textId="77777777" w:rsidR="00BA48F1" w:rsidRPr="00BA48F1" w:rsidRDefault="00BA48F1" w:rsidP="00BA48F1">
            <w:pPr>
              <w:spacing w:after="0" w:line="240" w:lineRule="auto"/>
              <w:jc w:val="center"/>
              <w:rPr>
                <w:rFonts w:ascii="Arial" w:eastAsia="Times New Roman" w:hAnsi="Arial" w:cs="Arial"/>
                <w:color w:val="000000"/>
                <w:sz w:val="20"/>
                <w:szCs w:val="20"/>
              </w:rPr>
            </w:pPr>
            <w:r w:rsidRPr="00BA48F1">
              <w:rPr>
                <w:rFonts w:ascii="Arial" w:eastAsia="Times New Roman" w:hAnsi="Arial" w:cs="Arial"/>
                <w:color w:val="000000"/>
                <w:sz w:val="20"/>
                <w:szCs w:val="20"/>
              </w:rPr>
              <w:t>High-Risk Score</w:t>
            </w:r>
            <w:r w:rsidRPr="00BA48F1">
              <w:rPr>
                <w:rFonts w:ascii="Arial" w:eastAsia="Times New Roman" w:hAnsi="Arial" w:cs="Arial"/>
                <w:color w:val="000000"/>
                <w:sz w:val="20"/>
                <w:szCs w:val="20"/>
                <w:vertAlign w:val="superscript"/>
              </w:rPr>
              <w:t>4</w:t>
            </w:r>
          </w:p>
        </w:tc>
      </w:tr>
      <w:tr w:rsidR="00BA48F1" w:rsidRPr="00BA48F1" w14:paraId="697BC769" w14:textId="77777777" w:rsidTr="003A0791">
        <w:trPr>
          <w:trHeight w:val="255"/>
        </w:trPr>
        <w:tc>
          <w:tcPr>
            <w:tcW w:w="1817" w:type="dxa"/>
            <w:vMerge/>
            <w:tcBorders>
              <w:top w:val="single" w:sz="4" w:space="0" w:color="auto"/>
              <w:left w:val="single" w:sz="4" w:space="0" w:color="auto"/>
              <w:bottom w:val="single" w:sz="4" w:space="0" w:color="auto"/>
              <w:right w:val="single" w:sz="4" w:space="0" w:color="auto"/>
            </w:tcBorders>
            <w:vAlign w:val="center"/>
            <w:hideMark/>
          </w:tcPr>
          <w:p w14:paraId="00B780DE" w14:textId="77777777" w:rsidR="00BA48F1" w:rsidRPr="00BA48F1" w:rsidRDefault="00BA48F1" w:rsidP="00BA48F1">
            <w:pPr>
              <w:spacing w:after="0" w:line="240" w:lineRule="auto"/>
              <w:rPr>
                <w:rFonts w:ascii="Arial" w:eastAsia="Times New Roman" w:hAnsi="Arial" w:cs="Arial"/>
                <w:color w:val="000000"/>
                <w:sz w:val="20"/>
                <w:szCs w:val="20"/>
              </w:rPr>
            </w:pPr>
          </w:p>
        </w:tc>
        <w:tc>
          <w:tcPr>
            <w:tcW w:w="1117" w:type="dxa"/>
            <w:vMerge/>
            <w:tcBorders>
              <w:top w:val="single" w:sz="4" w:space="0" w:color="auto"/>
              <w:left w:val="single" w:sz="4" w:space="0" w:color="auto"/>
              <w:bottom w:val="single" w:sz="4" w:space="0" w:color="auto"/>
              <w:right w:val="single" w:sz="4" w:space="0" w:color="auto"/>
            </w:tcBorders>
            <w:vAlign w:val="center"/>
            <w:hideMark/>
          </w:tcPr>
          <w:p w14:paraId="1AD787C9" w14:textId="77777777" w:rsidR="00BA48F1" w:rsidRPr="00BA48F1" w:rsidRDefault="00BA48F1" w:rsidP="00BA48F1">
            <w:pPr>
              <w:spacing w:after="0" w:line="240" w:lineRule="auto"/>
              <w:rPr>
                <w:rFonts w:ascii="Arial" w:eastAsia="Times New Roman" w:hAnsi="Arial" w:cs="Arial"/>
                <w:color w:val="000000"/>
                <w:sz w:val="20"/>
                <w:szCs w:val="20"/>
              </w:rPr>
            </w:pPr>
          </w:p>
        </w:tc>
        <w:tc>
          <w:tcPr>
            <w:tcW w:w="856" w:type="dxa"/>
            <w:vMerge/>
            <w:tcBorders>
              <w:top w:val="single" w:sz="4" w:space="0" w:color="auto"/>
              <w:left w:val="single" w:sz="4" w:space="0" w:color="auto"/>
              <w:bottom w:val="single" w:sz="4" w:space="0" w:color="auto"/>
              <w:right w:val="single" w:sz="4" w:space="0" w:color="auto"/>
            </w:tcBorders>
            <w:vAlign w:val="center"/>
            <w:hideMark/>
          </w:tcPr>
          <w:p w14:paraId="5980FA45" w14:textId="77777777" w:rsidR="00BA48F1" w:rsidRPr="00BA48F1" w:rsidRDefault="00BA48F1" w:rsidP="00BA48F1">
            <w:pPr>
              <w:spacing w:after="0" w:line="240" w:lineRule="auto"/>
              <w:rPr>
                <w:rFonts w:ascii="Arial" w:eastAsia="Times New Roman" w:hAnsi="Arial" w:cs="Arial"/>
                <w:color w:val="000000"/>
                <w:sz w:val="20"/>
                <w:szCs w:val="20"/>
              </w:rPr>
            </w:pPr>
          </w:p>
        </w:tc>
        <w:tc>
          <w:tcPr>
            <w:tcW w:w="1432" w:type="dxa"/>
            <w:vMerge/>
            <w:tcBorders>
              <w:top w:val="single" w:sz="4" w:space="0" w:color="auto"/>
              <w:left w:val="single" w:sz="4" w:space="0" w:color="auto"/>
              <w:bottom w:val="single" w:sz="4" w:space="0" w:color="auto"/>
              <w:right w:val="single" w:sz="4" w:space="0" w:color="auto"/>
            </w:tcBorders>
            <w:vAlign w:val="center"/>
            <w:hideMark/>
          </w:tcPr>
          <w:p w14:paraId="440DFCA6" w14:textId="77777777" w:rsidR="00BA48F1" w:rsidRPr="00BA48F1" w:rsidRDefault="00BA48F1" w:rsidP="00BA48F1">
            <w:pPr>
              <w:spacing w:after="0" w:line="240" w:lineRule="auto"/>
              <w:rPr>
                <w:rFonts w:ascii="Arial" w:eastAsia="Times New Roman" w:hAnsi="Arial" w:cs="Arial"/>
                <w:color w:val="000000"/>
                <w:sz w:val="20"/>
                <w:szCs w:val="20"/>
              </w:rPr>
            </w:pPr>
          </w:p>
        </w:tc>
        <w:tc>
          <w:tcPr>
            <w:tcW w:w="974" w:type="dxa"/>
            <w:vMerge/>
            <w:tcBorders>
              <w:top w:val="single" w:sz="4" w:space="0" w:color="auto"/>
              <w:left w:val="single" w:sz="4" w:space="0" w:color="auto"/>
              <w:bottom w:val="single" w:sz="4" w:space="0" w:color="auto"/>
              <w:right w:val="single" w:sz="4" w:space="0" w:color="auto"/>
            </w:tcBorders>
            <w:vAlign w:val="center"/>
            <w:hideMark/>
          </w:tcPr>
          <w:p w14:paraId="67A24AB6" w14:textId="77777777" w:rsidR="00BA48F1" w:rsidRPr="00BA48F1" w:rsidRDefault="00BA48F1" w:rsidP="00BA48F1">
            <w:pPr>
              <w:spacing w:after="0" w:line="240" w:lineRule="auto"/>
              <w:rPr>
                <w:rFonts w:ascii="Arial" w:eastAsia="Times New Roman" w:hAnsi="Arial" w:cs="Arial"/>
                <w:color w:val="000000"/>
                <w:sz w:val="20"/>
                <w:szCs w:val="20"/>
              </w:rPr>
            </w:pPr>
          </w:p>
        </w:tc>
        <w:tc>
          <w:tcPr>
            <w:tcW w:w="1529" w:type="dxa"/>
            <w:vMerge/>
            <w:tcBorders>
              <w:top w:val="single" w:sz="4" w:space="0" w:color="auto"/>
              <w:left w:val="single" w:sz="4" w:space="0" w:color="auto"/>
              <w:bottom w:val="single" w:sz="4" w:space="0" w:color="auto"/>
              <w:right w:val="single" w:sz="4" w:space="0" w:color="auto"/>
            </w:tcBorders>
            <w:vAlign w:val="center"/>
            <w:hideMark/>
          </w:tcPr>
          <w:p w14:paraId="58192339" w14:textId="77777777" w:rsidR="00BA48F1" w:rsidRPr="00BA48F1" w:rsidRDefault="00BA48F1" w:rsidP="00BA48F1">
            <w:pPr>
              <w:spacing w:after="0" w:line="240" w:lineRule="auto"/>
              <w:rPr>
                <w:rFonts w:ascii="Arial" w:eastAsia="Times New Roman" w:hAnsi="Arial" w:cs="Arial"/>
                <w:color w:val="000000"/>
                <w:sz w:val="20"/>
                <w:szCs w:val="20"/>
              </w:rPr>
            </w:pPr>
          </w:p>
        </w:tc>
        <w:tc>
          <w:tcPr>
            <w:tcW w:w="1172" w:type="dxa"/>
            <w:vMerge/>
            <w:tcBorders>
              <w:top w:val="single" w:sz="4" w:space="0" w:color="auto"/>
              <w:left w:val="single" w:sz="4" w:space="0" w:color="auto"/>
              <w:bottom w:val="single" w:sz="4" w:space="0" w:color="auto"/>
              <w:right w:val="single" w:sz="4" w:space="0" w:color="auto"/>
            </w:tcBorders>
            <w:vAlign w:val="center"/>
            <w:hideMark/>
          </w:tcPr>
          <w:p w14:paraId="57692C41" w14:textId="77777777" w:rsidR="00BA48F1" w:rsidRPr="00BA48F1" w:rsidRDefault="00BA48F1" w:rsidP="00BA48F1">
            <w:pPr>
              <w:spacing w:after="0" w:line="240" w:lineRule="auto"/>
              <w:rPr>
                <w:rFonts w:ascii="Arial" w:eastAsia="Times New Roman" w:hAnsi="Arial" w:cs="Arial"/>
                <w:color w:val="000000"/>
                <w:sz w:val="20"/>
                <w:szCs w:val="20"/>
              </w:rPr>
            </w:pPr>
          </w:p>
        </w:tc>
        <w:tc>
          <w:tcPr>
            <w:tcW w:w="222" w:type="dxa"/>
            <w:tcBorders>
              <w:top w:val="nil"/>
              <w:left w:val="nil"/>
              <w:bottom w:val="nil"/>
              <w:right w:val="nil"/>
            </w:tcBorders>
            <w:shd w:val="clear" w:color="auto" w:fill="auto"/>
            <w:noWrap/>
            <w:vAlign w:val="bottom"/>
            <w:hideMark/>
          </w:tcPr>
          <w:p w14:paraId="78D39EB0" w14:textId="77777777" w:rsidR="00BA48F1" w:rsidRPr="00BA48F1" w:rsidRDefault="00BA48F1" w:rsidP="00BA48F1">
            <w:pPr>
              <w:spacing w:after="0" w:line="240" w:lineRule="auto"/>
              <w:jc w:val="center"/>
              <w:rPr>
                <w:rFonts w:ascii="Arial" w:eastAsia="Times New Roman" w:hAnsi="Arial" w:cs="Arial"/>
                <w:color w:val="000000"/>
                <w:sz w:val="20"/>
                <w:szCs w:val="20"/>
              </w:rPr>
            </w:pPr>
          </w:p>
        </w:tc>
      </w:tr>
      <w:tr w:rsidR="00BA48F1" w:rsidRPr="00BA48F1" w14:paraId="31580856" w14:textId="77777777" w:rsidTr="003A0791">
        <w:trPr>
          <w:trHeight w:val="300"/>
        </w:trPr>
        <w:tc>
          <w:tcPr>
            <w:tcW w:w="1817" w:type="dxa"/>
            <w:tcBorders>
              <w:top w:val="nil"/>
              <w:left w:val="single" w:sz="4" w:space="0" w:color="auto"/>
              <w:bottom w:val="single" w:sz="4" w:space="0" w:color="auto"/>
              <w:right w:val="single" w:sz="4" w:space="0" w:color="auto"/>
            </w:tcBorders>
            <w:shd w:val="clear" w:color="auto" w:fill="auto"/>
            <w:noWrap/>
            <w:vAlign w:val="bottom"/>
            <w:hideMark/>
          </w:tcPr>
          <w:p w14:paraId="4C9E028D" w14:textId="77777777" w:rsidR="00BA48F1" w:rsidRPr="00BA48F1" w:rsidRDefault="00BA48F1" w:rsidP="00BA48F1">
            <w:pPr>
              <w:spacing w:after="0" w:line="240" w:lineRule="auto"/>
              <w:rPr>
                <w:rFonts w:ascii="Arial" w:eastAsia="Times New Roman" w:hAnsi="Arial" w:cs="Arial"/>
                <w:color w:val="000000"/>
                <w:sz w:val="18"/>
                <w:szCs w:val="18"/>
              </w:rPr>
            </w:pPr>
            <w:r w:rsidRPr="00BA48F1">
              <w:rPr>
                <w:rFonts w:ascii="Arial" w:eastAsia="Times New Roman" w:hAnsi="Arial" w:cs="Arial"/>
                <w:color w:val="000000"/>
                <w:sz w:val="18"/>
                <w:szCs w:val="18"/>
              </w:rPr>
              <w:t>BOSTON</w:t>
            </w:r>
          </w:p>
        </w:tc>
        <w:tc>
          <w:tcPr>
            <w:tcW w:w="1117" w:type="dxa"/>
            <w:tcBorders>
              <w:top w:val="nil"/>
              <w:left w:val="nil"/>
              <w:bottom w:val="single" w:sz="4" w:space="0" w:color="auto"/>
              <w:right w:val="single" w:sz="4" w:space="0" w:color="auto"/>
            </w:tcBorders>
            <w:shd w:val="clear" w:color="auto" w:fill="auto"/>
            <w:noWrap/>
            <w:vAlign w:val="bottom"/>
            <w:hideMark/>
          </w:tcPr>
          <w:p w14:paraId="64D4BB47" w14:textId="77777777" w:rsidR="00BA48F1" w:rsidRPr="00BA48F1" w:rsidRDefault="00BA48F1" w:rsidP="00BA48F1">
            <w:pPr>
              <w:spacing w:after="0" w:line="240" w:lineRule="auto"/>
              <w:jc w:val="center"/>
              <w:rPr>
                <w:rFonts w:ascii="Arial" w:eastAsia="Times New Roman" w:hAnsi="Arial" w:cs="Arial"/>
                <w:color w:val="000000"/>
                <w:sz w:val="18"/>
                <w:szCs w:val="18"/>
              </w:rPr>
            </w:pPr>
            <w:r w:rsidRPr="00BA48F1">
              <w:rPr>
                <w:rFonts w:ascii="Arial" w:eastAsia="Times New Roman" w:hAnsi="Arial" w:cs="Arial"/>
                <w:color w:val="000000"/>
                <w:sz w:val="18"/>
                <w:szCs w:val="18"/>
              </w:rPr>
              <w:t>74%</w:t>
            </w:r>
          </w:p>
        </w:tc>
        <w:tc>
          <w:tcPr>
            <w:tcW w:w="856" w:type="dxa"/>
            <w:tcBorders>
              <w:top w:val="nil"/>
              <w:left w:val="nil"/>
              <w:bottom w:val="single" w:sz="4" w:space="0" w:color="auto"/>
              <w:right w:val="single" w:sz="4" w:space="0" w:color="auto"/>
            </w:tcBorders>
            <w:shd w:val="clear" w:color="auto" w:fill="auto"/>
            <w:noWrap/>
            <w:vAlign w:val="bottom"/>
            <w:hideMark/>
          </w:tcPr>
          <w:p w14:paraId="50218DC0" w14:textId="77777777" w:rsidR="00BA48F1" w:rsidRPr="00BA48F1" w:rsidRDefault="00BA48F1" w:rsidP="00BA48F1">
            <w:pPr>
              <w:spacing w:after="0" w:line="240" w:lineRule="auto"/>
              <w:jc w:val="center"/>
              <w:rPr>
                <w:rFonts w:ascii="Arial" w:eastAsia="Times New Roman" w:hAnsi="Arial" w:cs="Arial"/>
                <w:color w:val="000000"/>
                <w:sz w:val="18"/>
                <w:szCs w:val="18"/>
              </w:rPr>
            </w:pPr>
            <w:r w:rsidRPr="00BA48F1">
              <w:rPr>
                <w:rFonts w:ascii="Arial" w:eastAsia="Times New Roman" w:hAnsi="Arial" w:cs="Arial"/>
                <w:color w:val="000000"/>
                <w:sz w:val="18"/>
                <w:szCs w:val="18"/>
              </w:rPr>
              <w:t>214</w:t>
            </w:r>
          </w:p>
        </w:tc>
        <w:tc>
          <w:tcPr>
            <w:tcW w:w="1432" w:type="dxa"/>
            <w:tcBorders>
              <w:top w:val="nil"/>
              <w:left w:val="nil"/>
              <w:bottom w:val="single" w:sz="4" w:space="0" w:color="auto"/>
              <w:right w:val="single" w:sz="4" w:space="0" w:color="auto"/>
            </w:tcBorders>
            <w:shd w:val="clear" w:color="auto" w:fill="auto"/>
            <w:noWrap/>
            <w:vAlign w:val="bottom"/>
            <w:hideMark/>
          </w:tcPr>
          <w:p w14:paraId="3247DB5D" w14:textId="77777777" w:rsidR="00BA48F1" w:rsidRPr="00BA48F1" w:rsidRDefault="00BA48F1" w:rsidP="00BA48F1">
            <w:pPr>
              <w:spacing w:after="0" w:line="240" w:lineRule="auto"/>
              <w:jc w:val="center"/>
              <w:rPr>
                <w:rFonts w:ascii="Arial" w:eastAsia="Times New Roman" w:hAnsi="Arial" w:cs="Arial"/>
                <w:color w:val="000000"/>
                <w:sz w:val="18"/>
                <w:szCs w:val="18"/>
              </w:rPr>
            </w:pPr>
            <w:r w:rsidRPr="00BA48F1">
              <w:rPr>
                <w:rFonts w:ascii="Arial" w:eastAsia="Times New Roman" w:hAnsi="Arial" w:cs="Arial"/>
                <w:color w:val="000000"/>
                <w:sz w:val="18"/>
                <w:szCs w:val="18"/>
              </w:rPr>
              <w:t>2.7</w:t>
            </w:r>
          </w:p>
        </w:tc>
        <w:tc>
          <w:tcPr>
            <w:tcW w:w="974" w:type="dxa"/>
            <w:tcBorders>
              <w:top w:val="nil"/>
              <w:left w:val="nil"/>
              <w:bottom w:val="single" w:sz="4" w:space="0" w:color="auto"/>
              <w:right w:val="single" w:sz="4" w:space="0" w:color="auto"/>
            </w:tcBorders>
            <w:shd w:val="clear" w:color="auto" w:fill="auto"/>
            <w:noWrap/>
            <w:vAlign w:val="bottom"/>
            <w:hideMark/>
          </w:tcPr>
          <w:p w14:paraId="09B745BF" w14:textId="77777777" w:rsidR="00BA48F1" w:rsidRPr="00BA48F1" w:rsidRDefault="00BA48F1" w:rsidP="00BA48F1">
            <w:pPr>
              <w:spacing w:after="0" w:line="240" w:lineRule="auto"/>
              <w:jc w:val="center"/>
              <w:rPr>
                <w:rFonts w:ascii="Arial" w:eastAsia="Times New Roman" w:hAnsi="Arial" w:cs="Arial"/>
                <w:color w:val="000000"/>
                <w:sz w:val="18"/>
                <w:szCs w:val="18"/>
              </w:rPr>
            </w:pPr>
            <w:r w:rsidRPr="00BA48F1">
              <w:rPr>
                <w:rFonts w:ascii="Arial" w:eastAsia="Times New Roman" w:hAnsi="Arial" w:cs="Arial"/>
                <w:color w:val="000000"/>
                <w:sz w:val="18"/>
                <w:szCs w:val="18"/>
              </w:rPr>
              <w:t>28%</w:t>
            </w:r>
          </w:p>
        </w:tc>
        <w:tc>
          <w:tcPr>
            <w:tcW w:w="1529" w:type="dxa"/>
            <w:tcBorders>
              <w:top w:val="nil"/>
              <w:left w:val="nil"/>
              <w:bottom w:val="single" w:sz="4" w:space="0" w:color="auto"/>
              <w:right w:val="single" w:sz="4" w:space="0" w:color="auto"/>
            </w:tcBorders>
            <w:shd w:val="clear" w:color="auto" w:fill="auto"/>
            <w:noWrap/>
            <w:vAlign w:val="bottom"/>
            <w:hideMark/>
          </w:tcPr>
          <w:p w14:paraId="56FB6463" w14:textId="77777777" w:rsidR="00BA48F1" w:rsidRPr="00BA48F1" w:rsidRDefault="00BA48F1" w:rsidP="00BA48F1">
            <w:pPr>
              <w:spacing w:after="0" w:line="240" w:lineRule="auto"/>
              <w:jc w:val="center"/>
              <w:rPr>
                <w:rFonts w:ascii="Arial" w:eastAsia="Times New Roman" w:hAnsi="Arial" w:cs="Arial"/>
                <w:color w:val="000000"/>
                <w:sz w:val="18"/>
                <w:szCs w:val="18"/>
              </w:rPr>
            </w:pPr>
            <w:r w:rsidRPr="00BA48F1">
              <w:rPr>
                <w:rFonts w:ascii="Arial" w:eastAsia="Times New Roman" w:hAnsi="Arial" w:cs="Arial"/>
                <w:color w:val="000000"/>
                <w:sz w:val="18"/>
                <w:szCs w:val="18"/>
              </w:rPr>
              <w:t>77%</w:t>
            </w:r>
          </w:p>
        </w:tc>
        <w:tc>
          <w:tcPr>
            <w:tcW w:w="1172" w:type="dxa"/>
            <w:tcBorders>
              <w:top w:val="nil"/>
              <w:left w:val="nil"/>
              <w:bottom w:val="single" w:sz="4" w:space="0" w:color="auto"/>
              <w:right w:val="single" w:sz="4" w:space="0" w:color="auto"/>
            </w:tcBorders>
            <w:shd w:val="clear" w:color="auto" w:fill="auto"/>
            <w:noWrap/>
            <w:vAlign w:val="bottom"/>
            <w:hideMark/>
          </w:tcPr>
          <w:p w14:paraId="0547060E" w14:textId="77777777" w:rsidR="00BA48F1" w:rsidRPr="00BA48F1" w:rsidRDefault="00BA48F1" w:rsidP="00BA48F1">
            <w:pPr>
              <w:spacing w:after="0" w:line="240" w:lineRule="auto"/>
              <w:jc w:val="center"/>
              <w:rPr>
                <w:rFonts w:ascii="Arial" w:eastAsia="Times New Roman" w:hAnsi="Arial" w:cs="Arial"/>
                <w:color w:val="000000"/>
                <w:sz w:val="18"/>
                <w:szCs w:val="18"/>
              </w:rPr>
            </w:pPr>
            <w:r w:rsidRPr="00BA48F1">
              <w:rPr>
                <w:rFonts w:ascii="Arial" w:eastAsia="Times New Roman" w:hAnsi="Arial" w:cs="Arial"/>
                <w:color w:val="000000"/>
                <w:sz w:val="18"/>
                <w:szCs w:val="18"/>
              </w:rPr>
              <w:t>5.0</w:t>
            </w:r>
          </w:p>
        </w:tc>
        <w:tc>
          <w:tcPr>
            <w:tcW w:w="222" w:type="dxa"/>
            <w:vAlign w:val="center"/>
            <w:hideMark/>
          </w:tcPr>
          <w:p w14:paraId="10C003A2" w14:textId="77777777" w:rsidR="00BA48F1" w:rsidRPr="00BA48F1" w:rsidRDefault="00BA48F1" w:rsidP="00BA48F1">
            <w:pPr>
              <w:spacing w:after="0" w:line="240" w:lineRule="auto"/>
              <w:rPr>
                <w:rFonts w:ascii="Times New Roman" w:eastAsia="Times New Roman" w:hAnsi="Times New Roman" w:cs="Times New Roman"/>
                <w:sz w:val="20"/>
                <w:szCs w:val="20"/>
              </w:rPr>
            </w:pPr>
          </w:p>
        </w:tc>
      </w:tr>
      <w:tr w:rsidR="00BA48F1" w:rsidRPr="00BA48F1" w14:paraId="3995720D" w14:textId="77777777" w:rsidTr="003A0791">
        <w:trPr>
          <w:trHeight w:val="300"/>
        </w:trPr>
        <w:tc>
          <w:tcPr>
            <w:tcW w:w="1817" w:type="dxa"/>
            <w:tcBorders>
              <w:top w:val="nil"/>
              <w:left w:val="single" w:sz="4" w:space="0" w:color="auto"/>
              <w:bottom w:val="single" w:sz="4" w:space="0" w:color="auto"/>
              <w:right w:val="single" w:sz="4" w:space="0" w:color="auto"/>
            </w:tcBorders>
            <w:shd w:val="clear" w:color="auto" w:fill="auto"/>
            <w:noWrap/>
            <w:vAlign w:val="bottom"/>
            <w:hideMark/>
          </w:tcPr>
          <w:p w14:paraId="1944A4B6" w14:textId="77777777" w:rsidR="00BA48F1" w:rsidRPr="00BA48F1" w:rsidRDefault="00BA48F1" w:rsidP="00BA48F1">
            <w:pPr>
              <w:spacing w:after="0" w:line="240" w:lineRule="auto"/>
              <w:rPr>
                <w:rFonts w:ascii="Arial" w:eastAsia="Times New Roman" w:hAnsi="Arial" w:cs="Arial"/>
                <w:color w:val="000000"/>
                <w:sz w:val="18"/>
                <w:szCs w:val="18"/>
              </w:rPr>
            </w:pPr>
            <w:r w:rsidRPr="00BA48F1">
              <w:rPr>
                <w:rFonts w:ascii="Arial" w:eastAsia="Times New Roman" w:hAnsi="Arial" w:cs="Arial"/>
                <w:color w:val="000000"/>
                <w:sz w:val="18"/>
                <w:szCs w:val="18"/>
              </w:rPr>
              <w:t>BROCKTON</w:t>
            </w:r>
          </w:p>
        </w:tc>
        <w:tc>
          <w:tcPr>
            <w:tcW w:w="1117" w:type="dxa"/>
            <w:tcBorders>
              <w:top w:val="nil"/>
              <w:left w:val="nil"/>
              <w:bottom w:val="single" w:sz="4" w:space="0" w:color="auto"/>
              <w:right w:val="single" w:sz="4" w:space="0" w:color="auto"/>
            </w:tcBorders>
            <w:shd w:val="clear" w:color="auto" w:fill="auto"/>
            <w:noWrap/>
            <w:vAlign w:val="bottom"/>
            <w:hideMark/>
          </w:tcPr>
          <w:p w14:paraId="796F88F2" w14:textId="77777777" w:rsidR="00BA48F1" w:rsidRPr="00BA48F1" w:rsidRDefault="00BA48F1" w:rsidP="00BA48F1">
            <w:pPr>
              <w:spacing w:after="0" w:line="240" w:lineRule="auto"/>
              <w:jc w:val="center"/>
              <w:rPr>
                <w:rFonts w:ascii="Arial" w:eastAsia="Times New Roman" w:hAnsi="Arial" w:cs="Arial"/>
                <w:color w:val="000000"/>
                <w:sz w:val="18"/>
                <w:szCs w:val="18"/>
              </w:rPr>
            </w:pPr>
            <w:r w:rsidRPr="00BA48F1">
              <w:rPr>
                <w:rFonts w:ascii="Arial" w:eastAsia="Times New Roman" w:hAnsi="Arial" w:cs="Arial"/>
                <w:color w:val="000000"/>
                <w:sz w:val="18"/>
                <w:szCs w:val="18"/>
              </w:rPr>
              <w:t>75%</w:t>
            </w:r>
          </w:p>
        </w:tc>
        <w:tc>
          <w:tcPr>
            <w:tcW w:w="856" w:type="dxa"/>
            <w:tcBorders>
              <w:top w:val="nil"/>
              <w:left w:val="nil"/>
              <w:bottom w:val="single" w:sz="4" w:space="0" w:color="auto"/>
              <w:right w:val="single" w:sz="4" w:space="0" w:color="auto"/>
            </w:tcBorders>
            <w:shd w:val="clear" w:color="auto" w:fill="auto"/>
            <w:noWrap/>
            <w:vAlign w:val="bottom"/>
            <w:hideMark/>
          </w:tcPr>
          <w:p w14:paraId="46E599E9" w14:textId="77777777" w:rsidR="00BA48F1" w:rsidRPr="00BA48F1" w:rsidRDefault="00BA48F1" w:rsidP="00BA48F1">
            <w:pPr>
              <w:spacing w:after="0" w:line="240" w:lineRule="auto"/>
              <w:jc w:val="center"/>
              <w:rPr>
                <w:rFonts w:ascii="Arial" w:eastAsia="Times New Roman" w:hAnsi="Arial" w:cs="Arial"/>
                <w:color w:val="000000"/>
                <w:sz w:val="18"/>
                <w:szCs w:val="18"/>
              </w:rPr>
            </w:pPr>
            <w:r w:rsidRPr="00BA48F1">
              <w:rPr>
                <w:rFonts w:ascii="Arial" w:eastAsia="Times New Roman" w:hAnsi="Arial" w:cs="Arial"/>
                <w:color w:val="000000"/>
                <w:sz w:val="18"/>
                <w:szCs w:val="18"/>
              </w:rPr>
              <w:t>98</w:t>
            </w:r>
          </w:p>
        </w:tc>
        <w:tc>
          <w:tcPr>
            <w:tcW w:w="1432" w:type="dxa"/>
            <w:tcBorders>
              <w:top w:val="nil"/>
              <w:left w:val="nil"/>
              <w:bottom w:val="single" w:sz="4" w:space="0" w:color="auto"/>
              <w:right w:val="single" w:sz="4" w:space="0" w:color="auto"/>
            </w:tcBorders>
            <w:shd w:val="clear" w:color="auto" w:fill="auto"/>
            <w:noWrap/>
            <w:vAlign w:val="bottom"/>
            <w:hideMark/>
          </w:tcPr>
          <w:p w14:paraId="714E4BFE" w14:textId="77777777" w:rsidR="00BA48F1" w:rsidRPr="00BA48F1" w:rsidRDefault="00BA48F1" w:rsidP="00BA48F1">
            <w:pPr>
              <w:spacing w:after="0" w:line="240" w:lineRule="auto"/>
              <w:jc w:val="center"/>
              <w:rPr>
                <w:rFonts w:ascii="Arial" w:eastAsia="Times New Roman" w:hAnsi="Arial" w:cs="Arial"/>
                <w:color w:val="000000"/>
                <w:sz w:val="18"/>
                <w:szCs w:val="18"/>
              </w:rPr>
            </w:pPr>
            <w:r w:rsidRPr="00BA48F1">
              <w:rPr>
                <w:rFonts w:ascii="Arial" w:eastAsia="Times New Roman" w:hAnsi="Arial" w:cs="Arial"/>
                <w:color w:val="000000"/>
                <w:sz w:val="18"/>
                <w:szCs w:val="18"/>
              </w:rPr>
              <w:t>5.5</w:t>
            </w:r>
          </w:p>
        </w:tc>
        <w:tc>
          <w:tcPr>
            <w:tcW w:w="974" w:type="dxa"/>
            <w:tcBorders>
              <w:top w:val="nil"/>
              <w:left w:val="nil"/>
              <w:bottom w:val="single" w:sz="4" w:space="0" w:color="auto"/>
              <w:right w:val="single" w:sz="4" w:space="0" w:color="auto"/>
            </w:tcBorders>
            <w:shd w:val="clear" w:color="auto" w:fill="auto"/>
            <w:noWrap/>
            <w:vAlign w:val="bottom"/>
            <w:hideMark/>
          </w:tcPr>
          <w:p w14:paraId="63C652FF" w14:textId="77777777" w:rsidR="00BA48F1" w:rsidRPr="00BA48F1" w:rsidRDefault="00BA48F1" w:rsidP="00BA48F1">
            <w:pPr>
              <w:spacing w:after="0" w:line="240" w:lineRule="auto"/>
              <w:jc w:val="center"/>
              <w:rPr>
                <w:rFonts w:ascii="Arial" w:eastAsia="Times New Roman" w:hAnsi="Arial" w:cs="Arial"/>
                <w:color w:val="000000"/>
                <w:sz w:val="18"/>
                <w:szCs w:val="18"/>
              </w:rPr>
            </w:pPr>
            <w:r w:rsidRPr="00BA48F1">
              <w:rPr>
                <w:rFonts w:ascii="Arial" w:eastAsia="Times New Roman" w:hAnsi="Arial" w:cs="Arial"/>
                <w:color w:val="000000"/>
                <w:sz w:val="18"/>
                <w:szCs w:val="18"/>
              </w:rPr>
              <w:t>30%</w:t>
            </w:r>
          </w:p>
        </w:tc>
        <w:tc>
          <w:tcPr>
            <w:tcW w:w="1529" w:type="dxa"/>
            <w:tcBorders>
              <w:top w:val="nil"/>
              <w:left w:val="nil"/>
              <w:bottom w:val="single" w:sz="4" w:space="0" w:color="auto"/>
              <w:right w:val="single" w:sz="4" w:space="0" w:color="auto"/>
            </w:tcBorders>
            <w:shd w:val="clear" w:color="auto" w:fill="auto"/>
            <w:noWrap/>
            <w:vAlign w:val="bottom"/>
            <w:hideMark/>
          </w:tcPr>
          <w:p w14:paraId="4A6AE710" w14:textId="77777777" w:rsidR="00BA48F1" w:rsidRPr="00BA48F1" w:rsidRDefault="00BA48F1" w:rsidP="00BA48F1">
            <w:pPr>
              <w:spacing w:after="0" w:line="240" w:lineRule="auto"/>
              <w:jc w:val="center"/>
              <w:rPr>
                <w:rFonts w:ascii="Arial" w:eastAsia="Times New Roman" w:hAnsi="Arial" w:cs="Arial"/>
                <w:color w:val="000000"/>
                <w:sz w:val="18"/>
                <w:szCs w:val="18"/>
              </w:rPr>
            </w:pPr>
            <w:r w:rsidRPr="00BA48F1">
              <w:rPr>
                <w:rFonts w:ascii="Arial" w:eastAsia="Times New Roman" w:hAnsi="Arial" w:cs="Arial"/>
                <w:color w:val="000000"/>
                <w:sz w:val="18"/>
                <w:szCs w:val="18"/>
              </w:rPr>
              <w:t>82%</w:t>
            </w:r>
          </w:p>
        </w:tc>
        <w:tc>
          <w:tcPr>
            <w:tcW w:w="1172" w:type="dxa"/>
            <w:tcBorders>
              <w:top w:val="nil"/>
              <w:left w:val="nil"/>
              <w:bottom w:val="single" w:sz="4" w:space="0" w:color="auto"/>
              <w:right w:val="single" w:sz="4" w:space="0" w:color="auto"/>
            </w:tcBorders>
            <w:shd w:val="clear" w:color="auto" w:fill="auto"/>
            <w:noWrap/>
            <w:vAlign w:val="bottom"/>
            <w:hideMark/>
          </w:tcPr>
          <w:p w14:paraId="022F3645" w14:textId="77777777" w:rsidR="00BA48F1" w:rsidRPr="00BA48F1" w:rsidRDefault="00BA48F1" w:rsidP="00BA48F1">
            <w:pPr>
              <w:spacing w:after="0" w:line="240" w:lineRule="auto"/>
              <w:jc w:val="center"/>
              <w:rPr>
                <w:rFonts w:ascii="Arial" w:eastAsia="Times New Roman" w:hAnsi="Arial" w:cs="Arial"/>
                <w:color w:val="000000"/>
                <w:sz w:val="18"/>
                <w:szCs w:val="18"/>
              </w:rPr>
            </w:pPr>
            <w:r w:rsidRPr="00BA48F1">
              <w:rPr>
                <w:rFonts w:ascii="Arial" w:eastAsia="Times New Roman" w:hAnsi="Arial" w:cs="Arial"/>
                <w:color w:val="000000"/>
                <w:sz w:val="18"/>
                <w:szCs w:val="18"/>
              </w:rPr>
              <w:t>11.4</w:t>
            </w:r>
          </w:p>
        </w:tc>
        <w:tc>
          <w:tcPr>
            <w:tcW w:w="222" w:type="dxa"/>
            <w:vAlign w:val="center"/>
            <w:hideMark/>
          </w:tcPr>
          <w:p w14:paraId="6841A64B" w14:textId="77777777" w:rsidR="00BA48F1" w:rsidRPr="00BA48F1" w:rsidRDefault="00BA48F1" w:rsidP="00BA48F1">
            <w:pPr>
              <w:spacing w:after="0" w:line="240" w:lineRule="auto"/>
              <w:rPr>
                <w:rFonts w:ascii="Times New Roman" w:eastAsia="Times New Roman" w:hAnsi="Times New Roman" w:cs="Times New Roman"/>
                <w:sz w:val="20"/>
                <w:szCs w:val="20"/>
              </w:rPr>
            </w:pPr>
          </w:p>
        </w:tc>
      </w:tr>
      <w:tr w:rsidR="00BA48F1" w:rsidRPr="00BA48F1" w14:paraId="0B65AA2D" w14:textId="77777777" w:rsidTr="003A0791">
        <w:trPr>
          <w:trHeight w:val="300"/>
        </w:trPr>
        <w:tc>
          <w:tcPr>
            <w:tcW w:w="1817" w:type="dxa"/>
            <w:tcBorders>
              <w:top w:val="nil"/>
              <w:left w:val="single" w:sz="4" w:space="0" w:color="auto"/>
              <w:bottom w:val="single" w:sz="4" w:space="0" w:color="auto"/>
              <w:right w:val="single" w:sz="4" w:space="0" w:color="auto"/>
            </w:tcBorders>
            <w:shd w:val="clear" w:color="auto" w:fill="auto"/>
            <w:noWrap/>
            <w:vAlign w:val="bottom"/>
            <w:hideMark/>
          </w:tcPr>
          <w:p w14:paraId="35452F4B" w14:textId="77777777" w:rsidR="00BA48F1" w:rsidRPr="00BA48F1" w:rsidRDefault="00BA48F1" w:rsidP="00BA48F1">
            <w:pPr>
              <w:spacing w:after="0" w:line="240" w:lineRule="auto"/>
              <w:rPr>
                <w:rFonts w:ascii="Arial" w:eastAsia="Times New Roman" w:hAnsi="Arial" w:cs="Arial"/>
                <w:color w:val="000000"/>
                <w:sz w:val="18"/>
                <w:szCs w:val="18"/>
              </w:rPr>
            </w:pPr>
            <w:r w:rsidRPr="00BA48F1">
              <w:rPr>
                <w:rFonts w:ascii="Arial" w:eastAsia="Times New Roman" w:hAnsi="Arial" w:cs="Arial"/>
                <w:color w:val="000000"/>
                <w:sz w:val="18"/>
                <w:szCs w:val="18"/>
              </w:rPr>
              <w:t>CHELSEA</w:t>
            </w:r>
          </w:p>
        </w:tc>
        <w:tc>
          <w:tcPr>
            <w:tcW w:w="1117" w:type="dxa"/>
            <w:tcBorders>
              <w:top w:val="nil"/>
              <w:left w:val="nil"/>
              <w:bottom w:val="single" w:sz="4" w:space="0" w:color="auto"/>
              <w:right w:val="single" w:sz="4" w:space="0" w:color="auto"/>
            </w:tcBorders>
            <w:shd w:val="clear" w:color="auto" w:fill="auto"/>
            <w:noWrap/>
            <w:vAlign w:val="bottom"/>
            <w:hideMark/>
          </w:tcPr>
          <w:p w14:paraId="3A343088" w14:textId="77777777" w:rsidR="00BA48F1" w:rsidRPr="00BA48F1" w:rsidRDefault="00BA48F1" w:rsidP="00BA48F1">
            <w:pPr>
              <w:spacing w:after="0" w:line="240" w:lineRule="auto"/>
              <w:jc w:val="center"/>
              <w:rPr>
                <w:rFonts w:ascii="Arial" w:eastAsia="Times New Roman" w:hAnsi="Arial" w:cs="Arial"/>
                <w:color w:val="000000"/>
                <w:sz w:val="18"/>
                <w:szCs w:val="18"/>
              </w:rPr>
            </w:pPr>
            <w:r w:rsidRPr="00BA48F1">
              <w:rPr>
                <w:rFonts w:ascii="Arial" w:eastAsia="Times New Roman" w:hAnsi="Arial" w:cs="Arial"/>
                <w:color w:val="000000"/>
                <w:sz w:val="18"/>
                <w:szCs w:val="18"/>
              </w:rPr>
              <w:t>85%</w:t>
            </w:r>
          </w:p>
        </w:tc>
        <w:tc>
          <w:tcPr>
            <w:tcW w:w="856" w:type="dxa"/>
            <w:tcBorders>
              <w:top w:val="nil"/>
              <w:left w:val="nil"/>
              <w:bottom w:val="single" w:sz="4" w:space="0" w:color="auto"/>
              <w:right w:val="single" w:sz="4" w:space="0" w:color="auto"/>
            </w:tcBorders>
            <w:shd w:val="clear" w:color="auto" w:fill="auto"/>
            <w:noWrap/>
            <w:vAlign w:val="bottom"/>
            <w:hideMark/>
          </w:tcPr>
          <w:p w14:paraId="7F36948A" w14:textId="77777777" w:rsidR="00BA48F1" w:rsidRPr="00BA48F1" w:rsidRDefault="00BA48F1" w:rsidP="00BA48F1">
            <w:pPr>
              <w:spacing w:after="0" w:line="240" w:lineRule="auto"/>
              <w:jc w:val="center"/>
              <w:rPr>
                <w:rFonts w:ascii="Arial" w:eastAsia="Times New Roman" w:hAnsi="Arial" w:cs="Arial"/>
                <w:color w:val="000000"/>
                <w:sz w:val="18"/>
                <w:szCs w:val="18"/>
              </w:rPr>
            </w:pPr>
            <w:r w:rsidRPr="00BA48F1">
              <w:rPr>
                <w:rFonts w:ascii="Arial" w:eastAsia="Times New Roman" w:hAnsi="Arial" w:cs="Arial"/>
                <w:color w:val="000000"/>
                <w:sz w:val="18"/>
                <w:szCs w:val="18"/>
              </w:rPr>
              <w:t>19</w:t>
            </w:r>
          </w:p>
        </w:tc>
        <w:tc>
          <w:tcPr>
            <w:tcW w:w="1432" w:type="dxa"/>
            <w:tcBorders>
              <w:top w:val="nil"/>
              <w:left w:val="nil"/>
              <w:bottom w:val="single" w:sz="4" w:space="0" w:color="auto"/>
              <w:right w:val="single" w:sz="4" w:space="0" w:color="auto"/>
            </w:tcBorders>
            <w:shd w:val="clear" w:color="auto" w:fill="auto"/>
            <w:noWrap/>
            <w:vAlign w:val="bottom"/>
            <w:hideMark/>
          </w:tcPr>
          <w:p w14:paraId="6BED68BE" w14:textId="77777777" w:rsidR="00BA48F1" w:rsidRPr="00BA48F1" w:rsidRDefault="00BA48F1" w:rsidP="00BA48F1">
            <w:pPr>
              <w:spacing w:after="0" w:line="240" w:lineRule="auto"/>
              <w:jc w:val="center"/>
              <w:rPr>
                <w:rFonts w:ascii="Arial" w:eastAsia="Times New Roman" w:hAnsi="Arial" w:cs="Arial"/>
                <w:color w:val="000000"/>
                <w:sz w:val="18"/>
                <w:szCs w:val="18"/>
              </w:rPr>
            </w:pPr>
            <w:r w:rsidRPr="00BA48F1">
              <w:rPr>
                <w:rFonts w:ascii="Arial" w:eastAsia="Times New Roman" w:hAnsi="Arial" w:cs="Arial"/>
                <w:color w:val="000000"/>
                <w:sz w:val="18"/>
                <w:szCs w:val="18"/>
              </w:rPr>
              <w:t>2.2</w:t>
            </w:r>
          </w:p>
        </w:tc>
        <w:tc>
          <w:tcPr>
            <w:tcW w:w="974" w:type="dxa"/>
            <w:tcBorders>
              <w:top w:val="nil"/>
              <w:left w:val="nil"/>
              <w:bottom w:val="single" w:sz="4" w:space="0" w:color="auto"/>
              <w:right w:val="single" w:sz="4" w:space="0" w:color="auto"/>
            </w:tcBorders>
            <w:shd w:val="clear" w:color="auto" w:fill="auto"/>
            <w:noWrap/>
            <w:vAlign w:val="bottom"/>
            <w:hideMark/>
          </w:tcPr>
          <w:p w14:paraId="0DD82F8C" w14:textId="77777777" w:rsidR="00BA48F1" w:rsidRPr="00BA48F1" w:rsidRDefault="00BA48F1" w:rsidP="00BA48F1">
            <w:pPr>
              <w:spacing w:after="0" w:line="240" w:lineRule="auto"/>
              <w:jc w:val="center"/>
              <w:rPr>
                <w:rFonts w:ascii="Arial" w:eastAsia="Times New Roman" w:hAnsi="Arial" w:cs="Arial"/>
                <w:color w:val="000000"/>
                <w:sz w:val="18"/>
                <w:szCs w:val="18"/>
              </w:rPr>
            </w:pPr>
            <w:r w:rsidRPr="00BA48F1">
              <w:rPr>
                <w:rFonts w:ascii="Arial" w:eastAsia="Times New Roman" w:hAnsi="Arial" w:cs="Arial"/>
                <w:color w:val="000000"/>
                <w:sz w:val="18"/>
                <w:szCs w:val="18"/>
              </w:rPr>
              <w:t>39%</w:t>
            </w:r>
          </w:p>
        </w:tc>
        <w:tc>
          <w:tcPr>
            <w:tcW w:w="1529" w:type="dxa"/>
            <w:tcBorders>
              <w:top w:val="nil"/>
              <w:left w:val="nil"/>
              <w:bottom w:val="single" w:sz="4" w:space="0" w:color="auto"/>
              <w:right w:val="single" w:sz="4" w:space="0" w:color="auto"/>
            </w:tcBorders>
            <w:shd w:val="clear" w:color="auto" w:fill="auto"/>
            <w:noWrap/>
            <w:vAlign w:val="bottom"/>
            <w:hideMark/>
          </w:tcPr>
          <w:p w14:paraId="39A4BE57" w14:textId="77777777" w:rsidR="00BA48F1" w:rsidRPr="00BA48F1" w:rsidRDefault="00BA48F1" w:rsidP="00BA48F1">
            <w:pPr>
              <w:spacing w:after="0" w:line="240" w:lineRule="auto"/>
              <w:jc w:val="center"/>
              <w:rPr>
                <w:rFonts w:ascii="Arial" w:eastAsia="Times New Roman" w:hAnsi="Arial" w:cs="Arial"/>
                <w:color w:val="000000"/>
                <w:sz w:val="18"/>
                <w:szCs w:val="18"/>
              </w:rPr>
            </w:pPr>
            <w:r w:rsidRPr="00BA48F1">
              <w:rPr>
                <w:rFonts w:ascii="Arial" w:eastAsia="Times New Roman" w:hAnsi="Arial" w:cs="Arial"/>
                <w:color w:val="000000"/>
                <w:sz w:val="18"/>
                <w:szCs w:val="18"/>
              </w:rPr>
              <w:t>73%</w:t>
            </w:r>
          </w:p>
        </w:tc>
        <w:tc>
          <w:tcPr>
            <w:tcW w:w="1172" w:type="dxa"/>
            <w:tcBorders>
              <w:top w:val="nil"/>
              <w:left w:val="nil"/>
              <w:bottom w:val="single" w:sz="4" w:space="0" w:color="auto"/>
              <w:right w:val="single" w:sz="4" w:space="0" w:color="auto"/>
            </w:tcBorders>
            <w:shd w:val="clear" w:color="auto" w:fill="auto"/>
            <w:noWrap/>
            <w:vAlign w:val="bottom"/>
            <w:hideMark/>
          </w:tcPr>
          <w:p w14:paraId="0026D717" w14:textId="77777777" w:rsidR="00BA48F1" w:rsidRPr="00BA48F1" w:rsidRDefault="00BA48F1" w:rsidP="00BA48F1">
            <w:pPr>
              <w:spacing w:after="0" w:line="240" w:lineRule="auto"/>
              <w:jc w:val="center"/>
              <w:rPr>
                <w:rFonts w:ascii="Arial" w:eastAsia="Times New Roman" w:hAnsi="Arial" w:cs="Arial"/>
                <w:color w:val="000000"/>
                <w:sz w:val="18"/>
                <w:szCs w:val="18"/>
              </w:rPr>
            </w:pPr>
            <w:r w:rsidRPr="00BA48F1">
              <w:rPr>
                <w:rFonts w:ascii="Arial" w:eastAsia="Times New Roman" w:hAnsi="Arial" w:cs="Arial"/>
                <w:color w:val="000000"/>
                <w:sz w:val="18"/>
                <w:szCs w:val="18"/>
              </w:rPr>
              <w:t>5.4</w:t>
            </w:r>
          </w:p>
        </w:tc>
        <w:tc>
          <w:tcPr>
            <w:tcW w:w="222" w:type="dxa"/>
            <w:vAlign w:val="center"/>
            <w:hideMark/>
          </w:tcPr>
          <w:p w14:paraId="6D164BC5" w14:textId="77777777" w:rsidR="00BA48F1" w:rsidRPr="00BA48F1" w:rsidRDefault="00BA48F1" w:rsidP="00BA48F1">
            <w:pPr>
              <w:spacing w:after="0" w:line="240" w:lineRule="auto"/>
              <w:rPr>
                <w:rFonts w:ascii="Times New Roman" w:eastAsia="Times New Roman" w:hAnsi="Times New Roman" w:cs="Times New Roman"/>
                <w:sz w:val="20"/>
                <w:szCs w:val="20"/>
              </w:rPr>
            </w:pPr>
          </w:p>
        </w:tc>
      </w:tr>
      <w:tr w:rsidR="00BA48F1" w:rsidRPr="00BA48F1" w14:paraId="7948010F" w14:textId="77777777" w:rsidTr="003A0791">
        <w:trPr>
          <w:trHeight w:val="300"/>
        </w:trPr>
        <w:tc>
          <w:tcPr>
            <w:tcW w:w="1817" w:type="dxa"/>
            <w:tcBorders>
              <w:top w:val="nil"/>
              <w:left w:val="single" w:sz="4" w:space="0" w:color="auto"/>
              <w:bottom w:val="single" w:sz="4" w:space="0" w:color="auto"/>
              <w:right w:val="single" w:sz="4" w:space="0" w:color="auto"/>
            </w:tcBorders>
            <w:shd w:val="clear" w:color="auto" w:fill="auto"/>
            <w:noWrap/>
            <w:vAlign w:val="bottom"/>
            <w:hideMark/>
          </w:tcPr>
          <w:p w14:paraId="563E2789" w14:textId="77777777" w:rsidR="00BA48F1" w:rsidRPr="00BA48F1" w:rsidRDefault="00BA48F1" w:rsidP="00BA48F1">
            <w:pPr>
              <w:spacing w:after="0" w:line="240" w:lineRule="auto"/>
              <w:rPr>
                <w:rFonts w:ascii="Arial" w:eastAsia="Times New Roman" w:hAnsi="Arial" w:cs="Arial"/>
                <w:color w:val="000000"/>
                <w:sz w:val="18"/>
                <w:szCs w:val="18"/>
              </w:rPr>
            </w:pPr>
            <w:r w:rsidRPr="00BA48F1">
              <w:rPr>
                <w:rFonts w:ascii="Arial" w:eastAsia="Times New Roman" w:hAnsi="Arial" w:cs="Arial"/>
                <w:color w:val="000000"/>
                <w:sz w:val="18"/>
                <w:szCs w:val="18"/>
              </w:rPr>
              <w:t>CHICOPEE</w:t>
            </w:r>
          </w:p>
        </w:tc>
        <w:tc>
          <w:tcPr>
            <w:tcW w:w="1117" w:type="dxa"/>
            <w:tcBorders>
              <w:top w:val="nil"/>
              <w:left w:val="nil"/>
              <w:bottom w:val="single" w:sz="4" w:space="0" w:color="auto"/>
              <w:right w:val="single" w:sz="4" w:space="0" w:color="auto"/>
            </w:tcBorders>
            <w:shd w:val="clear" w:color="auto" w:fill="auto"/>
            <w:noWrap/>
            <w:vAlign w:val="bottom"/>
            <w:hideMark/>
          </w:tcPr>
          <w:p w14:paraId="297F8C89" w14:textId="77777777" w:rsidR="00BA48F1" w:rsidRPr="00BA48F1" w:rsidRDefault="00BA48F1" w:rsidP="00BA48F1">
            <w:pPr>
              <w:spacing w:after="0" w:line="240" w:lineRule="auto"/>
              <w:jc w:val="center"/>
              <w:rPr>
                <w:rFonts w:ascii="Arial" w:eastAsia="Times New Roman" w:hAnsi="Arial" w:cs="Arial"/>
                <w:color w:val="000000"/>
                <w:sz w:val="18"/>
                <w:szCs w:val="18"/>
              </w:rPr>
            </w:pPr>
            <w:r w:rsidRPr="00BA48F1">
              <w:rPr>
                <w:rFonts w:ascii="Arial" w:eastAsia="Times New Roman" w:hAnsi="Arial" w:cs="Arial"/>
                <w:color w:val="000000"/>
                <w:sz w:val="18"/>
                <w:szCs w:val="18"/>
              </w:rPr>
              <w:t>61%</w:t>
            </w:r>
          </w:p>
        </w:tc>
        <w:tc>
          <w:tcPr>
            <w:tcW w:w="856" w:type="dxa"/>
            <w:tcBorders>
              <w:top w:val="nil"/>
              <w:left w:val="nil"/>
              <w:bottom w:val="single" w:sz="4" w:space="0" w:color="auto"/>
              <w:right w:val="single" w:sz="4" w:space="0" w:color="auto"/>
            </w:tcBorders>
            <w:shd w:val="clear" w:color="auto" w:fill="auto"/>
            <w:noWrap/>
            <w:vAlign w:val="bottom"/>
            <w:hideMark/>
          </w:tcPr>
          <w:p w14:paraId="1D3F2E7A" w14:textId="77777777" w:rsidR="00BA48F1" w:rsidRPr="00BA48F1" w:rsidRDefault="00BA48F1" w:rsidP="00BA48F1">
            <w:pPr>
              <w:spacing w:after="0" w:line="240" w:lineRule="auto"/>
              <w:jc w:val="center"/>
              <w:rPr>
                <w:rFonts w:ascii="Arial" w:eastAsia="Times New Roman" w:hAnsi="Arial" w:cs="Arial"/>
                <w:color w:val="000000"/>
                <w:sz w:val="18"/>
                <w:szCs w:val="18"/>
              </w:rPr>
            </w:pPr>
            <w:r w:rsidRPr="00BA48F1">
              <w:rPr>
                <w:rFonts w:ascii="Arial" w:eastAsia="Times New Roman" w:hAnsi="Arial" w:cs="Arial"/>
                <w:color w:val="000000"/>
                <w:sz w:val="18"/>
                <w:szCs w:val="18"/>
              </w:rPr>
              <w:t>18</w:t>
            </w:r>
          </w:p>
        </w:tc>
        <w:tc>
          <w:tcPr>
            <w:tcW w:w="1432" w:type="dxa"/>
            <w:tcBorders>
              <w:top w:val="nil"/>
              <w:left w:val="nil"/>
              <w:bottom w:val="single" w:sz="4" w:space="0" w:color="auto"/>
              <w:right w:val="single" w:sz="4" w:space="0" w:color="auto"/>
            </w:tcBorders>
            <w:shd w:val="clear" w:color="auto" w:fill="auto"/>
            <w:noWrap/>
            <w:vAlign w:val="bottom"/>
            <w:hideMark/>
          </w:tcPr>
          <w:p w14:paraId="1BE6B578" w14:textId="77777777" w:rsidR="00BA48F1" w:rsidRPr="00BA48F1" w:rsidRDefault="00BA48F1" w:rsidP="00BA48F1">
            <w:pPr>
              <w:spacing w:after="0" w:line="240" w:lineRule="auto"/>
              <w:jc w:val="center"/>
              <w:rPr>
                <w:rFonts w:ascii="Arial" w:eastAsia="Times New Roman" w:hAnsi="Arial" w:cs="Arial"/>
                <w:color w:val="000000"/>
                <w:sz w:val="18"/>
                <w:szCs w:val="18"/>
              </w:rPr>
            </w:pPr>
            <w:r w:rsidRPr="00BA48F1">
              <w:rPr>
                <w:rFonts w:ascii="Arial" w:eastAsia="Times New Roman" w:hAnsi="Arial" w:cs="Arial"/>
                <w:color w:val="000000"/>
                <w:sz w:val="18"/>
                <w:szCs w:val="18"/>
              </w:rPr>
              <w:t>2.8</w:t>
            </w:r>
          </w:p>
        </w:tc>
        <w:tc>
          <w:tcPr>
            <w:tcW w:w="974" w:type="dxa"/>
            <w:tcBorders>
              <w:top w:val="nil"/>
              <w:left w:val="nil"/>
              <w:bottom w:val="single" w:sz="4" w:space="0" w:color="auto"/>
              <w:right w:val="single" w:sz="4" w:space="0" w:color="auto"/>
            </w:tcBorders>
            <w:shd w:val="clear" w:color="auto" w:fill="auto"/>
            <w:noWrap/>
            <w:vAlign w:val="bottom"/>
            <w:hideMark/>
          </w:tcPr>
          <w:p w14:paraId="7CCC8A71" w14:textId="77777777" w:rsidR="00BA48F1" w:rsidRPr="00BA48F1" w:rsidRDefault="00BA48F1" w:rsidP="00BA48F1">
            <w:pPr>
              <w:spacing w:after="0" w:line="240" w:lineRule="auto"/>
              <w:jc w:val="center"/>
              <w:rPr>
                <w:rFonts w:ascii="Arial" w:eastAsia="Times New Roman" w:hAnsi="Arial" w:cs="Arial"/>
                <w:color w:val="000000"/>
                <w:sz w:val="18"/>
                <w:szCs w:val="18"/>
              </w:rPr>
            </w:pPr>
            <w:r w:rsidRPr="00BA48F1">
              <w:rPr>
                <w:rFonts w:ascii="Arial" w:eastAsia="Times New Roman" w:hAnsi="Arial" w:cs="Arial"/>
                <w:color w:val="000000"/>
                <w:sz w:val="18"/>
                <w:szCs w:val="18"/>
              </w:rPr>
              <w:t>28%</w:t>
            </w:r>
          </w:p>
        </w:tc>
        <w:tc>
          <w:tcPr>
            <w:tcW w:w="1529" w:type="dxa"/>
            <w:tcBorders>
              <w:top w:val="nil"/>
              <w:left w:val="nil"/>
              <w:bottom w:val="single" w:sz="4" w:space="0" w:color="auto"/>
              <w:right w:val="single" w:sz="4" w:space="0" w:color="auto"/>
            </w:tcBorders>
            <w:shd w:val="clear" w:color="auto" w:fill="auto"/>
            <w:noWrap/>
            <w:vAlign w:val="bottom"/>
            <w:hideMark/>
          </w:tcPr>
          <w:p w14:paraId="4DE806B0" w14:textId="77777777" w:rsidR="00BA48F1" w:rsidRPr="00BA48F1" w:rsidRDefault="00BA48F1" w:rsidP="00BA48F1">
            <w:pPr>
              <w:spacing w:after="0" w:line="240" w:lineRule="auto"/>
              <w:jc w:val="center"/>
              <w:rPr>
                <w:rFonts w:ascii="Arial" w:eastAsia="Times New Roman" w:hAnsi="Arial" w:cs="Arial"/>
                <w:color w:val="000000"/>
                <w:sz w:val="18"/>
                <w:szCs w:val="18"/>
              </w:rPr>
            </w:pPr>
            <w:r w:rsidRPr="00BA48F1">
              <w:rPr>
                <w:rFonts w:ascii="Arial" w:eastAsia="Times New Roman" w:hAnsi="Arial" w:cs="Arial"/>
                <w:color w:val="000000"/>
                <w:sz w:val="18"/>
                <w:szCs w:val="18"/>
              </w:rPr>
              <w:t>81%</w:t>
            </w:r>
          </w:p>
        </w:tc>
        <w:tc>
          <w:tcPr>
            <w:tcW w:w="1172" w:type="dxa"/>
            <w:tcBorders>
              <w:top w:val="nil"/>
              <w:left w:val="nil"/>
              <w:bottom w:val="single" w:sz="4" w:space="0" w:color="auto"/>
              <w:right w:val="single" w:sz="4" w:space="0" w:color="auto"/>
            </w:tcBorders>
            <w:shd w:val="clear" w:color="auto" w:fill="auto"/>
            <w:noWrap/>
            <w:vAlign w:val="bottom"/>
            <w:hideMark/>
          </w:tcPr>
          <w:p w14:paraId="59556EAB" w14:textId="77777777" w:rsidR="00BA48F1" w:rsidRPr="00BA48F1" w:rsidRDefault="00BA48F1" w:rsidP="00BA48F1">
            <w:pPr>
              <w:spacing w:after="0" w:line="240" w:lineRule="auto"/>
              <w:jc w:val="center"/>
              <w:rPr>
                <w:rFonts w:ascii="Arial" w:eastAsia="Times New Roman" w:hAnsi="Arial" w:cs="Arial"/>
                <w:color w:val="000000"/>
                <w:sz w:val="18"/>
                <w:szCs w:val="18"/>
              </w:rPr>
            </w:pPr>
            <w:r w:rsidRPr="00BA48F1">
              <w:rPr>
                <w:rFonts w:ascii="Arial" w:eastAsia="Times New Roman" w:hAnsi="Arial" w:cs="Arial"/>
                <w:color w:val="000000"/>
                <w:sz w:val="18"/>
                <w:szCs w:val="18"/>
              </w:rPr>
              <w:t>5.4</w:t>
            </w:r>
          </w:p>
        </w:tc>
        <w:tc>
          <w:tcPr>
            <w:tcW w:w="222" w:type="dxa"/>
            <w:vAlign w:val="center"/>
            <w:hideMark/>
          </w:tcPr>
          <w:p w14:paraId="3D838311" w14:textId="77777777" w:rsidR="00BA48F1" w:rsidRPr="00BA48F1" w:rsidRDefault="00BA48F1" w:rsidP="00BA48F1">
            <w:pPr>
              <w:spacing w:after="0" w:line="240" w:lineRule="auto"/>
              <w:rPr>
                <w:rFonts w:ascii="Times New Roman" w:eastAsia="Times New Roman" w:hAnsi="Times New Roman" w:cs="Times New Roman"/>
                <w:sz w:val="20"/>
                <w:szCs w:val="20"/>
              </w:rPr>
            </w:pPr>
          </w:p>
        </w:tc>
      </w:tr>
      <w:tr w:rsidR="00BA48F1" w:rsidRPr="00BA48F1" w14:paraId="79795DBB" w14:textId="77777777" w:rsidTr="003A0791">
        <w:trPr>
          <w:trHeight w:val="300"/>
        </w:trPr>
        <w:tc>
          <w:tcPr>
            <w:tcW w:w="1817" w:type="dxa"/>
            <w:tcBorders>
              <w:top w:val="nil"/>
              <w:left w:val="single" w:sz="4" w:space="0" w:color="auto"/>
              <w:bottom w:val="single" w:sz="4" w:space="0" w:color="auto"/>
              <w:right w:val="single" w:sz="4" w:space="0" w:color="auto"/>
            </w:tcBorders>
            <w:shd w:val="clear" w:color="auto" w:fill="auto"/>
            <w:noWrap/>
            <w:vAlign w:val="bottom"/>
            <w:hideMark/>
          </w:tcPr>
          <w:p w14:paraId="5A5D8D24" w14:textId="77777777" w:rsidR="00BA48F1" w:rsidRPr="00BA48F1" w:rsidRDefault="00BA48F1" w:rsidP="00BA48F1">
            <w:pPr>
              <w:spacing w:after="0" w:line="240" w:lineRule="auto"/>
              <w:rPr>
                <w:rFonts w:ascii="Arial" w:eastAsia="Times New Roman" w:hAnsi="Arial" w:cs="Arial"/>
                <w:color w:val="000000"/>
                <w:sz w:val="18"/>
                <w:szCs w:val="18"/>
              </w:rPr>
            </w:pPr>
            <w:r w:rsidRPr="00BA48F1">
              <w:rPr>
                <w:rFonts w:ascii="Arial" w:eastAsia="Times New Roman" w:hAnsi="Arial" w:cs="Arial"/>
                <w:color w:val="000000"/>
                <w:sz w:val="18"/>
                <w:szCs w:val="18"/>
              </w:rPr>
              <w:t>EVERETT</w:t>
            </w:r>
          </w:p>
        </w:tc>
        <w:tc>
          <w:tcPr>
            <w:tcW w:w="1117" w:type="dxa"/>
            <w:tcBorders>
              <w:top w:val="nil"/>
              <w:left w:val="nil"/>
              <w:bottom w:val="single" w:sz="4" w:space="0" w:color="auto"/>
              <w:right w:val="single" w:sz="4" w:space="0" w:color="auto"/>
            </w:tcBorders>
            <w:shd w:val="clear" w:color="auto" w:fill="auto"/>
            <w:noWrap/>
            <w:vAlign w:val="bottom"/>
            <w:hideMark/>
          </w:tcPr>
          <w:p w14:paraId="51FC7F1C" w14:textId="77777777" w:rsidR="00BA48F1" w:rsidRPr="00BA48F1" w:rsidRDefault="00BA48F1" w:rsidP="00BA48F1">
            <w:pPr>
              <w:spacing w:after="0" w:line="240" w:lineRule="auto"/>
              <w:jc w:val="center"/>
              <w:rPr>
                <w:rFonts w:ascii="Arial" w:eastAsia="Times New Roman" w:hAnsi="Arial" w:cs="Arial"/>
                <w:color w:val="000000"/>
                <w:sz w:val="18"/>
                <w:szCs w:val="18"/>
              </w:rPr>
            </w:pPr>
            <w:r w:rsidRPr="00BA48F1">
              <w:rPr>
                <w:rFonts w:ascii="Arial" w:eastAsia="Times New Roman" w:hAnsi="Arial" w:cs="Arial"/>
                <w:color w:val="000000"/>
                <w:sz w:val="18"/>
                <w:szCs w:val="18"/>
              </w:rPr>
              <w:t>72%</w:t>
            </w:r>
          </w:p>
        </w:tc>
        <w:tc>
          <w:tcPr>
            <w:tcW w:w="856" w:type="dxa"/>
            <w:tcBorders>
              <w:top w:val="nil"/>
              <w:left w:val="nil"/>
              <w:bottom w:val="single" w:sz="4" w:space="0" w:color="auto"/>
              <w:right w:val="single" w:sz="4" w:space="0" w:color="auto"/>
            </w:tcBorders>
            <w:shd w:val="clear" w:color="auto" w:fill="auto"/>
            <w:noWrap/>
            <w:vAlign w:val="bottom"/>
            <w:hideMark/>
          </w:tcPr>
          <w:p w14:paraId="5EA537A0" w14:textId="77777777" w:rsidR="00BA48F1" w:rsidRPr="00BA48F1" w:rsidRDefault="00BA48F1" w:rsidP="00BA48F1">
            <w:pPr>
              <w:spacing w:after="0" w:line="240" w:lineRule="auto"/>
              <w:jc w:val="center"/>
              <w:rPr>
                <w:rFonts w:ascii="Arial" w:eastAsia="Times New Roman" w:hAnsi="Arial" w:cs="Arial"/>
                <w:color w:val="000000"/>
                <w:sz w:val="18"/>
                <w:szCs w:val="18"/>
              </w:rPr>
            </w:pPr>
            <w:r w:rsidRPr="00BA48F1">
              <w:rPr>
                <w:rFonts w:ascii="Arial" w:eastAsia="Times New Roman" w:hAnsi="Arial" w:cs="Arial"/>
                <w:color w:val="000000"/>
                <w:sz w:val="18"/>
                <w:szCs w:val="18"/>
              </w:rPr>
              <w:t>27</w:t>
            </w:r>
          </w:p>
        </w:tc>
        <w:tc>
          <w:tcPr>
            <w:tcW w:w="1432" w:type="dxa"/>
            <w:tcBorders>
              <w:top w:val="nil"/>
              <w:left w:val="nil"/>
              <w:bottom w:val="single" w:sz="4" w:space="0" w:color="auto"/>
              <w:right w:val="single" w:sz="4" w:space="0" w:color="auto"/>
            </w:tcBorders>
            <w:shd w:val="clear" w:color="auto" w:fill="auto"/>
            <w:noWrap/>
            <w:vAlign w:val="bottom"/>
            <w:hideMark/>
          </w:tcPr>
          <w:p w14:paraId="0353E8E5" w14:textId="77777777" w:rsidR="00BA48F1" w:rsidRPr="00BA48F1" w:rsidRDefault="00BA48F1" w:rsidP="00BA48F1">
            <w:pPr>
              <w:spacing w:after="0" w:line="240" w:lineRule="auto"/>
              <w:jc w:val="center"/>
              <w:rPr>
                <w:rFonts w:ascii="Arial" w:eastAsia="Times New Roman" w:hAnsi="Arial" w:cs="Arial"/>
                <w:color w:val="000000"/>
                <w:sz w:val="18"/>
                <w:szCs w:val="18"/>
              </w:rPr>
            </w:pPr>
            <w:r w:rsidRPr="00BA48F1">
              <w:rPr>
                <w:rFonts w:ascii="Arial" w:eastAsia="Times New Roman" w:hAnsi="Arial" w:cs="Arial"/>
                <w:color w:val="000000"/>
                <w:sz w:val="18"/>
                <w:szCs w:val="18"/>
              </w:rPr>
              <w:t>3.4</w:t>
            </w:r>
          </w:p>
        </w:tc>
        <w:tc>
          <w:tcPr>
            <w:tcW w:w="974" w:type="dxa"/>
            <w:tcBorders>
              <w:top w:val="nil"/>
              <w:left w:val="nil"/>
              <w:bottom w:val="single" w:sz="4" w:space="0" w:color="auto"/>
              <w:right w:val="single" w:sz="4" w:space="0" w:color="auto"/>
            </w:tcBorders>
            <w:shd w:val="clear" w:color="auto" w:fill="auto"/>
            <w:noWrap/>
            <w:vAlign w:val="bottom"/>
            <w:hideMark/>
          </w:tcPr>
          <w:p w14:paraId="451A3EA8" w14:textId="77777777" w:rsidR="00BA48F1" w:rsidRPr="00BA48F1" w:rsidRDefault="00BA48F1" w:rsidP="00BA48F1">
            <w:pPr>
              <w:spacing w:after="0" w:line="240" w:lineRule="auto"/>
              <w:jc w:val="center"/>
              <w:rPr>
                <w:rFonts w:ascii="Arial" w:eastAsia="Times New Roman" w:hAnsi="Arial" w:cs="Arial"/>
                <w:color w:val="000000"/>
                <w:sz w:val="18"/>
                <w:szCs w:val="18"/>
              </w:rPr>
            </w:pPr>
            <w:r w:rsidRPr="00BA48F1">
              <w:rPr>
                <w:rFonts w:ascii="Arial" w:eastAsia="Times New Roman" w:hAnsi="Arial" w:cs="Arial"/>
                <w:color w:val="000000"/>
                <w:sz w:val="18"/>
                <w:szCs w:val="18"/>
              </w:rPr>
              <w:t>29%</w:t>
            </w:r>
          </w:p>
        </w:tc>
        <w:tc>
          <w:tcPr>
            <w:tcW w:w="1529" w:type="dxa"/>
            <w:tcBorders>
              <w:top w:val="nil"/>
              <w:left w:val="nil"/>
              <w:bottom w:val="single" w:sz="4" w:space="0" w:color="auto"/>
              <w:right w:val="single" w:sz="4" w:space="0" w:color="auto"/>
            </w:tcBorders>
            <w:shd w:val="clear" w:color="auto" w:fill="auto"/>
            <w:noWrap/>
            <w:vAlign w:val="bottom"/>
            <w:hideMark/>
          </w:tcPr>
          <w:p w14:paraId="1AE285FB" w14:textId="77777777" w:rsidR="00BA48F1" w:rsidRPr="00BA48F1" w:rsidRDefault="00BA48F1" w:rsidP="00BA48F1">
            <w:pPr>
              <w:spacing w:after="0" w:line="240" w:lineRule="auto"/>
              <w:jc w:val="center"/>
              <w:rPr>
                <w:rFonts w:ascii="Arial" w:eastAsia="Times New Roman" w:hAnsi="Arial" w:cs="Arial"/>
                <w:color w:val="000000"/>
                <w:sz w:val="18"/>
                <w:szCs w:val="18"/>
              </w:rPr>
            </w:pPr>
            <w:r w:rsidRPr="00BA48F1">
              <w:rPr>
                <w:rFonts w:ascii="Arial" w:eastAsia="Times New Roman" w:hAnsi="Arial" w:cs="Arial"/>
                <w:color w:val="000000"/>
                <w:sz w:val="18"/>
                <w:szCs w:val="18"/>
              </w:rPr>
              <w:t>86%</w:t>
            </w:r>
          </w:p>
        </w:tc>
        <w:tc>
          <w:tcPr>
            <w:tcW w:w="1172" w:type="dxa"/>
            <w:tcBorders>
              <w:top w:val="nil"/>
              <w:left w:val="nil"/>
              <w:bottom w:val="single" w:sz="4" w:space="0" w:color="auto"/>
              <w:right w:val="single" w:sz="4" w:space="0" w:color="auto"/>
            </w:tcBorders>
            <w:shd w:val="clear" w:color="auto" w:fill="auto"/>
            <w:noWrap/>
            <w:vAlign w:val="bottom"/>
            <w:hideMark/>
          </w:tcPr>
          <w:p w14:paraId="7F3ABB95" w14:textId="77777777" w:rsidR="00BA48F1" w:rsidRPr="00BA48F1" w:rsidRDefault="00BA48F1" w:rsidP="00BA48F1">
            <w:pPr>
              <w:spacing w:after="0" w:line="240" w:lineRule="auto"/>
              <w:jc w:val="center"/>
              <w:rPr>
                <w:rFonts w:ascii="Arial" w:eastAsia="Times New Roman" w:hAnsi="Arial" w:cs="Arial"/>
                <w:color w:val="000000"/>
                <w:sz w:val="18"/>
                <w:szCs w:val="18"/>
              </w:rPr>
            </w:pPr>
            <w:r w:rsidRPr="00BA48F1">
              <w:rPr>
                <w:rFonts w:ascii="Arial" w:eastAsia="Times New Roman" w:hAnsi="Arial" w:cs="Arial"/>
                <w:color w:val="000000"/>
                <w:sz w:val="18"/>
                <w:szCs w:val="18"/>
              </w:rPr>
              <w:t>7.2</w:t>
            </w:r>
          </w:p>
        </w:tc>
        <w:tc>
          <w:tcPr>
            <w:tcW w:w="222" w:type="dxa"/>
            <w:vAlign w:val="center"/>
            <w:hideMark/>
          </w:tcPr>
          <w:p w14:paraId="0B3B3553" w14:textId="77777777" w:rsidR="00BA48F1" w:rsidRPr="00BA48F1" w:rsidRDefault="00BA48F1" w:rsidP="00BA48F1">
            <w:pPr>
              <w:spacing w:after="0" w:line="240" w:lineRule="auto"/>
              <w:rPr>
                <w:rFonts w:ascii="Times New Roman" w:eastAsia="Times New Roman" w:hAnsi="Times New Roman" w:cs="Times New Roman"/>
                <w:sz w:val="20"/>
                <w:szCs w:val="20"/>
              </w:rPr>
            </w:pPr>
          </w:p>
        </w:tc>
      </w:tr>
      <w:tr w:rsidR="00BA48F1" w:rsidRPr="00BA48F1" w14:paraId="7ABD7348" w14:textId="77777777" w:rsidTr="003A0791">
        <w:trPr>
          <w:trHeight w:val="300"/>
        </w:trPr>
        <w:tc>
          <w:tcPr>
            <w:tcW w:w="1817" w:type="dxa"/>
            <w:tcBorders>
              <w:top w:val="nil"/>
              <w:left w:val="single" w:sz="4" w:space="0" w:color="auto"/>
              <w:bottom w:val="single" w:sz="4" w:space="0" w:color="auto"/>
              <w:right w:val="single" w:sz="4" w:space="0" w:color="auto"/>
            </w:tcBorders>
            <w:shd w:val="clear" w:color="auto" w:fill="auto"/>
            <w:noWrap/>
            <w:vAlign w:val="bottom"/>
            <w:hideMark/>
          </w:tcPr>
          <w:p w14:paraId="400DD20F" w14:textId="77777777" w:rsidR="00BA48F1" w:rsidRPr="00BA48F1" w:rsidRDefault="00BA48F1" w:rsidP="00BA48F1">
            <w:pPr>
              <w:spacing w:after="0" w:line="240" w:lineRule="auto"/>
              <w:rPr>
                <w:rFonts w:ascii="Arial" w:eastAsia="Times New Roman" w:hAnsi="Arial" w:cs="Arial"/>
                <w:color w:val="000000"/>
                <w:sz w:val="18"/>
                <w:szCs w:val="18"/>
              </w:rPr>
            </w:pPr>
            <w:r w:rsidRPr="00BA48F1">
              <w:rPr>
                <w:rFonts w:ascii="Arial" w:eastAsia="Times New Roman" w:hAnsi="Arial" w:cs="Arial"/>
                <w:color w:val="000000"/>
                <w:sz w:val="18"/>
                <w:szCs w:val="18"/>
              </w:rPr>
              <w:t>FALL RIVER</w:t>
            </w:r>
          </w:p>
        </w:tc>
        <w:tc>
          <w:tcPr>
            <w:tcW w:w="1117" w:type="dxa"/>
            <w:tcBorders>
              <w:top w:val="nil"/>
              <w:left w:val="nil"/>
              <w:bottom w:val="single" w:sz="4" w:space="0" w:color="auto"/>
              <w:right w:val="single" w:sz="4" w:space="0" w:color="auto"/>
            </w:tcBorders>
            <w:shd w:val="clear" w:color="auto" w:fill="auto"/>
            <w:noWrap/>
            <w:vAlign w:val="bottom"/>
            <w:hideMark/>
          </w:tcPr>
          <w:p w14:paraId="6D405E7E" w14:textId="77777777" w:rsidR="00BA48F1" w:rsidRPr="00BA48F1" w:rsidRDefault="00BA48F1" w:rsidP="00BA48F1">
            <w:pPr>
              <w:spacing w:after="0" w:line="240" w:lineRule="auto"/>
              <w:jc w:val="center"/>
              <w:rPr>
                <w:rFonts w:ascii="Arial" w:eastAsia="Times New Roman" w:hAnsi="Arial" w:cs="Arial"/>
                <w:color w:val="000000"/>
                <w:sz w:val="18"/>
                <w:szCs w:val="18"/>
              </w:rPr>
            </w:pPr>
            <w:r w:rsidRPr="00BA48F1">
              <w:rPr>
                <w:rFonts w:ascii="Arial" w:eastAsia="Times New Roman" w:hAnsi="Arial" w:cs="Arial"/>
                <w:color w:val="000000"/>
                <w:sz w:val="18"/>
                <w:szCs w:val="18"/>
              </w:rPr>
              <w:t>74%</w:t>
            </w:r>
          </w:p>
        </w:tc>
        <w:tc>
          <w:tcPr>
            <w:tcW w:w="856" w:type="dxa"/>
            <w:tcBorders>
              <w:top w:val="nil"/>
              <w:left w:val="nil"/>
              <w:bottom w:val="single" w:sz="4" w:space="0" w:color="auto"/>
              <w:right w:val="single" w:sz="4" w:space="0" w:color="auto"/>
            </w:tcBorders>
            <w:shd w:val="clear" w:color="auto" w:fill="auto"/>
            <w:noWrap/>
            <w:vAlign w:val="bottom"/>
            <w:hideMark/>
          </w:tcPr>
          <w:p w14:paraId="5975E7D5" w14:textId="77777777" w:rsidR="00BA48F1" w:rsidRPr="00BA48F1" w:rsidRDefault="00BA48F1" w:rsidP="00BA48F1">
            <w:pPr>
              <w:spacing w:after="0" w:line="240" w:lineRule="auto"/>
              <w:jc w:val="center"/>
              <w:rPr>
                <w:rFonts w:ascii="Arial" w:eastAsia="Times New Roman" w:hAnsi="Arial" w:cs="Arial"/>
                <w:color w:val="000000"/>
                <w:sz w:val="18"/>
                <w:szCs w:val="18"/>
              </w:rPr>
            </w:pPr>
            <w:r w:rsidRPr="00BA48F1">
              <w:rPr>
                <w:rFonts w:ascii="Arial" w:eastAsia="Times New Roman" w:hAnsi="Arial" w:cs="Arial"/>
                <w:color w:val="000000"/>
                <w:sz w:val="18"/>
                <w:szCs w:val="18"/>
              </w:rPr>
              <w:t>53</w:t>
            </w:r>
          </w:p>
        </w:tc>
        <w:tc>
          <w:tcPr>
            <w:tcW w:w="1432" w:type="dxa"/>
            <w:tcBorders>
              <w:top w:val="nil"/>
              <w:left w:val="nil"/>
              <w:bottom w:val="single" w:sz="4" w:space="0" w:color="auto"/>
              <w:right w:val="single" w:sz="4" w:space="0" w:color="auto"/>
            </w:tcBorders>
            <w:shd w:val="clear" w:color="auto" w:fill="auto"/>
            <w:noWrap/>
            <w:vAlign w:val="bottom"/>
            <w:hideMark/>
          </w:tcPr>
          <w:p w14:paraId="1B4BAB20" w14:textId="77777777" w:rsidR="00BA48F1" w:rsidRPr="00BA48F1" w:rsidRDefault="00BA48F1" w:rsidP="00BA48F1">
            <w:pPr>
              <w:spacing w:after="0" w:line="240" w:lineRule="auto"/>
              <w:jc w:val="center"/>
              <w:rPr>
                <w:rFonts w:ascii="Arial" w:eastAsia="Times New Roman" w:hAnsi="Arial" w:cs="Arial"/>
                <w:color w:val="000000"/>
                <w:sz w:val="18"/>
                <w:szCs w:val="18"/>
              </w:rPr>
            </w:pPr>
            <w:r w:rsidRPr="00BA48F1">
              <w:rPr>
                <w:rFonts w:ascii="Arial" w:eastAsia="Times New Roman" w:hAnsi="Arial" w:cs="Arial"/>
                <w:color w:val="000000"/>
                <w:sz w:val="18"/>
                <w:szCs w:val="18"/>
              </w:rPr>
              <w:t>4.1</w:t>
            </w:r>
          </w:p>
        </w:tc>
        <w:tc>
          <w:tcPr>
            <w:tcW w:w="974" w:type="dxa"/>
            <w:tcBorders>
              <w:top w:val="nil"/>
              <w:left w:val="nil"/>
              <w:bottom w:val="single" w:sz="4" w:space="0" w:color="auto"/>
              <w:right w:val="single" w:sz="4" w:space="0" w:color="auto"/>
            </w:tcBorders>
            <w:shd w:val="clear" w:color="auto" w:fill="auto"/>
            <w:noWrap/>
            <w:vAlign w:val="bottom"/>
            <w:hideMark/>
          </w:tcPr>
          <w:p w14:paraId="40F0AECF" w14:textId="77777777" w:rsidR="00BA48F1" w:rsidRPr="00BA48F1" w:rsidRDefault="00BA48F1" w:rsidP="00BA48F1">
            <w:pPr>
              <w:spacing w:after="0" w:line="240" w:lineRule="auto"/>
              <w:jc w:val="center"/>
              <w:rPr>
                <w:rFonts w:ascii="Arial" w:eastAsia="Times New Roman" w:hAnsi="Arial" w:cs="Arial"/>
                <w:color w:val="000000"/>
                <w:sz w:val="18"/>
                <w:szCs w:val="18"/>
              </w:rPr>
            </w:pPr>
            <w:r w:rsidRPr="00BA48F1">
              <w:rPr>
                <w:rFonts w:ascii="Arial" w:eastAsia="Times New Roman" w:hAnsi="Arial" w:cs="Arial"/>
                <w:color w:val="000000"/>
                <w:sz w:val="18"/>
                <w:szCs w:val="18"/>
              </w:rPr>
              <w:t>39%</w:t>
            </w:r>
          </w:p>
        </w:tc>
        <w:tc>
          <w:tcPr>
            <w:tcW w:w="1529" w:type="dxa"/>
            <w:tcBorders>
              <w:top w:val="nil"/>
              <w:left w:val="nil"/>
              <w:bottom w:val="single" w:sz="4" w:space="0" w:color="auto"/>
              <w:right w:val="single" w:sz="4" w:space="0" w:color="auto"/>
            </w:tcBorders>
            <w:shd w:val="clear" w:color="auto" w:fill="auto"/>
            <w:noWrap/>
            <w:vAlign w:val="bottom"/>
            <w:hideMark/>
          </w:tcPr>
          <w:p w14:paraId="6C6F2046" w14:textId="77777777" w:rsidR="00BA48F1" w:rsidRPr="00BA48F1" w:rsidRDefault="00BA48F1" w:rsidP="00BA48F1">
            <w:pPr>
              <w:spacing w:after="0" w:line="240" w:lineRule="auto"/>
              <w:jc w:val="center"/>
              <w:rPr>
                <w:rFonts w:ascii="Arial" w:eastAsia="Times New Roman" w:hAnsi="Arial" w:cs="Arial"/>
                <w:color w:val="000000"/>
                <w:sz w:val="18"/>
                <w:szCs w:val="18"/>
              </w:rPr>
            </w:pPr>
            <w:r w:rsidRPr="00BA48F1">
              <w:rPr>
                <w:rFonts w:ascii="Arial" w:eastAsia="Times New Roman" w:hAnsi="Arial" w:cs="Arial"/>
                <w:color w:val="000000"/>
                <w:sz w:val="18"/>
                <w:szCs w:val="18"/>
              </w:rPr>
              <w:t>82%</w:t>
            </w:r>
          </w:p>
        </w:tc>
        <w:tc>
          <w:tcPr>
            <w:tcW w:w="1172" w:type="dxa"/>
            <w:tcBorders>
              <w:top w:val="nil"/>
              <w:left w:val="nil"/>
              <w:bottom w:val="single" w:sz="4" w:space="0" w:color="auto"/>
              <w:right w:val="single" w:sz="4" w:space="0" w:color="auto"/>
            </w:tcBorders>
            <w:shd w:val="clear" w:color="auto" w:fill="auto"/>
            <w:noWrap/>
            <w:vAlign w:val="bottom"/>
            <w:hideMark/>
          </w:tcPr>
          <w:p w14:paraId="7E361EE7" w14:textId="77777777" w:rsidR="00BA48F1" w:rsidRPr="00BA48F1" w:rsidRDefault="00BA48F1" w:rsidP="00BA48F1">
            <w:pPr>
              <w:spacing w:after="0" w:line="240" w:lineRule="auto"/>
              <w:jc w:val="center"/>
              <w:rPr>
                <w:rFonts w:ascii="Arial" w:eastAsia="Times New Roman" w:hAnsi="Arial" w:cs="Arial"/>
                <w:color w:val="000000"/>
                <w:sz w:val="18"/>
                <w:szCs w:val="18"/>
              </w:rPr>
            </w:pPr>
            <w:r w:rsidRPr="00BA48F1">
              <w:rPr>
                <w:rFonts w:ascii="Arial" w:eastAsia="Times New Roman" w:hAnsi="Arial" w:cs="Arial"/>
                <w:color w:val="000000"/>
                <w:sz w:val="18"/>
                <w:szCs w:val="18"/>
              </w:rPr>
              <w:t>11.1</w:t>
            </w:r>
          </w:p>
        </w:tc>
        <w:tc>
          <w:tcPr>
            <w:tcW w:w="222" w:type="dxa"/>
            <w:vAlign w:val="center"/>
            <w:hideMark/>
          </w:tcPr>
          <w:p w14:paraId="7D4C7F52" w14:textId="77777777" w:rsidR="00BA48F1" w:rsidRPr="00BA48F1" w:rsidRDefault="00BA48F1" w:rsidP="00BA48F1">
            <w:pPr>
              <w:spacing w:after="0" w:line="240" w:lineRule="auto"/>
              <w:rPr>
                <w:rFonts w:ascii="Times New Roman" w:eastAsia="Times New Roman" w:hAnsi="Times New Roman" w:cs="Times New Roman"/>
                <w:sz w:val="20"/>
                <w:szCs w:val="20"/>
              </w:rPr>
            </w:pPr>
          </w:p>
        </w:tc>
      </w:tr>
      <w:tr w:rsidR="00BA48F1" w:rsidRPr="00BA48F1" w14:paraId="3EE9DEB9" w14:textId="77777777" w:rsidTr="003A0791">
        <w:trPr>
          <w:trHeight w:val="300"/>
        </w:trPr>
        <w:tc>
          <w:tcPr>
            <w:tcW w:w="1817" w:type="dxa"/>
            <w:tcBorders>
              <w:top w:val="nil"/>
              <w:left w:val="single" w:sz="4" w:space="0" w:color="auto"/>
              <w:bottom w:val="single" w:sz="4" w:space="0" w:color="auto"/>
              <w:right w:val="single" w:sz="4" w:space="0" w:color="auto"/>
            </w:tcBorders>
            <w:shd w:val="clear" w:color="auto" w:fill="auto"/>
            <w:noWrap/>
            <w:vAlign w:val="bottom"/>
            <w:hideMark/>
          </w:tcPr>
          <w:p w14:paraId="50FC9328" w14:textId="77777777" w:rsidR="00BA48F1" w:rsidRPr="00BA48F1" w:rsidRDefault="00BA48F1" w:rsidP="00BA48F1">
            <w:pPr>
              <w:spacing w:after="0" w:line="240" w:lineRule="auto"/>
              <w:rPr>
                <w:rFonts w:ascii="Arial" w:eastAsia="Times New Roman" w:hAnsi="Arial" w:cs="Arial"/>
                <w:color w:val="000000"/>
                <w:sz w:val="18"/>
                <w:szCs w:val="18"/>
              </w:rPr>
            </w:pPr>
            <w:r w:rsidRPr="00BA48F1">
              <w:rPr>
                <w:rFonts w:ascii="Arial" w:eastAsia="Times New Roman" w:hAnsi="Arial" w:cs="Arial"/>
                <w:color w:val="000000"/>
                <w:sz w:val="18"/>
                <w:szCs w:val="18"/>
              </w:rPr>
              <w:t>FITCHBURG</w:t>
            </w:r>
          </w:p>
        </w:tc>
        <w:tc>
          <w:tcPr>
            <w:tcW w:w="1117" w:type="dxa"/>
            <w:tcBorders>
              <w:top w:val="nil"/>
              <w:left w:val="nil"/>
              <w:bottom w:val="single" w:sz="4" w:space="0" w:color="auto"/>
              <w:right w:val="single" w:sz="4" w:space="0" w:color="auto"/>
            </w:tcBorders>
            <w:shd w:val="clear" w:color="auto" w:fill="auto"/>
            <w:noWrap/>
            <w:vAlign w:val="bottom"/>
            <w:hideMark/>
          </w:tcPr>
          <w:p w14:paraId="04A64512" w14:textId="77777777" w:rsidR="00BA48F1" w:rsidRPr="00BA48F1" w:rsidRDefault="00BA48F1" w:rsidP="00BA48F1">
            <w:pPr>
              <w:spacing w:after="0" w:line="240" w:lineRule="auto"/>
              <w:jc w:val="center"/>
              <w:rPr>
                <w:rFonts w:ascii="Arial" w:eastAsia="Times New Roman" w:hAnsi="Arial" w:cs="Arial"/>
                <w:color w:val="000000"/>
                <w:sz w:val="18"/>
                <w:szCs w:val="18"/>
              </w:rPr>
            </w:pPr>
            <w:r w:rsidRPr="00BA48F1">
              <w:rPr>
                <w:rFonts w:ascii="Arial" w:eastAsia="Times New Roman" w:hAnsi="Arial" w:cs="Arial"/>
                <w:color w:val="000000"/>
                <w:sz w:val="18"/>
                <w:szCs w:val="18"/>
              </w:rPr>
              <w:t>62%</w:t>
            </w:r>
          </w:p>
        </w:tc>
        <w:tc>
          <w:tcPr>
            <w:tcW w:w="856" w:type="dxa"/>
            <w:tcBorders>
              <w:top w:val="nil"/>
              <w:left w:val="nil"/>
              <w:bottom w:val="single" w:sz="4" w:space="0" w:color="auto"/>
              <w:right w:val="single" w:sz="4" w:space="0" w:color="auto"/>
            </w:tcBorders>
            <w:shd w:val="clear" w:color="auto" w:fill="auto"/>
            <w:noWrap/>
            <w:vAlign w:val="bottom"/>
            <w:hideMark/>
          </w:tcPr>
          <w:p w14:paraId="79B4675A" w14:textId="77777777" w:rsidR="00BA48F1" w:rsidRPr="00BA48F1" w:rsidRDefault="00BA48F1" w:rsidP="00BA48F1">
            <w:pPr>
              <w:spacing w:after="0" w:line="240" w:lineRule="auto"/>
              <w:jc w:val="center"/>
              <w:rPr>
                <w:rFonts w:ascii="Arial" w:eastAsia="Times New Roman" w:hAnsi="Arial" w:cs="Arial"/>
                <w:color w:val="000000"/>
                <w:sz w:val="18"/>
                <w:szCs w:val="18"/>
              </w:rPr>
            </w:pPr>
            <w:r w:rsidRPr="00BA48F1">
              <w:rPr>
                <w:rFonts w:ascii="Arial" w:eastAsia="Times New Roman" w:hAnsi="Arial" w:cs="Arial"/>
                <w:color w:val="000000"/>
                <w:sz w:val="18"/>
                <w:szCs w:val="18"/>
              </w:rPr>
              <w:t>16</w:t>
            </w:r>
          </w:p>
        </w:tc>
        <w:tc>
          <w:tcPr>
            <w:tcW w:w="1432" w:type="dxa"/>
            <w:tcBorders>
              <w:top w:val="nil"/>
              <w:left w:val="nil"/>
              <w:bottom w:val="single" w:sz="4" w:space="0" w:color="auto"/>
              <w:right w:val="single" w:sz="4" w:space="0" w:color="auto"/>
            </w:tcBorders>
            <w:shd w:val="clear" w:color="auto" w:fill="auto"/>
            <w:noWrap/>
            <w:vAlign w:val="bottom"/>
            <w:hideMark/>
          </w:tcPr>
          <w:p w14:paraId="18EDE128" w14:textId="77777777" w:rsidR="00BA48F1" w:rsidRPr="00BA48F1" w:rsidRDefault="00BA48F1" w:rsidP="00BA48F1">
            <w:pPr>
              <w:spacing w:after="0" w:line="240" w:lineRule="auto"/>
              <w:jc w:val="center"/>
              <w:rPr>
                <w:rFonts w:ascii="Arial" w:eastAsia="Times New Roman" w:hAnsi="Arial" w:cs="Arial"/>
                <w:color w:val="000000"/>
                <w:sz w:val="18"/>
                <w:szCs w:val="18"/>
              </w:rPr>
            </w:pPr>
            <w:r w:rsidRPr="00BA48F1">
              <w:rPr>
                <w:rFonts w:ascii="Arial" w:eastAsia="Times New Roman" w:hAnsi="Arial" w:cs="Arial"/>
                <w:color w:val="000000"/>
                <w:sz w:val="18"/>
                <w:szCs w:val="18"/>
              </w:rPr>
              <w:t>2.8</w:t>
            </w:r>
          </w:p>
        </w:tc>
        <w:tc>
          <w:tcPr>
            <w:tcW w:w="974" w:type="dxa"/>
            <w:tcBorders>
              <w:top w:val="nil"/>
              <w:left w:val="nil"/>
              <w:bottom w:val="single" w:sz="4" w:space="0" w:color="auto"/>
              <w:right w:val="single" w:sz="4" w:space="0" w:color="auto"/>
            </w:tcBorders>
            <w:shd w:val="clear" w:color="auto" w:fill="auto"/>
            <w:noWrap/>
            <w:vAlign w:val="bottom"/>
            <w:hideMark/>
          </w:tcPr>
          <w:p w14:paraId="78E37FF0" w14:textId="77777777" w:rsidR="00BA48F1" w:rsidRPr="00BA48F1" w:rsidRDefault="00BA48F1" w:rsidP="00BA48F1">
            <w:pPr>
              <w:spacing w:after="0" w:line="240" w:lineRule="auto"/>
              <w:jc w:val="center"/>
              <w:rPr>
                <w:rFonts w:ascii="Arial" w:eastAsia="Times New Roman" w:hAnsi="Arial" w:cs="Arial"/>
                <w:color w:val="000000"/>
                <w:sz w:val="18"/>
                <w:szCs w:val="18"/>
              </w:rPr>
            </w:pPr>
            <w:r w:rsidRPr="00BA48F1">
              <w:rPr>
                <w:rFonts w:ascii="Arial" w:eastAsia="Times New Roman" w:hAnsi="Arial" w:cs="Arial"/>
                <w:color w:val="000000"/>
                <w:sz w:val="18"/>
                <w:szCs w:val="18"/>
              </w:rPr>
              <w:t>28%</w:t>
            </w:r>
          </w:p>
        </w:tc>
        <w:tc>
          <w:tcPr>
            <w:tcW w:w="1529" w:type="dxa"/>
            <w:tcBorders>
              <w:top w:val="nil"/>
              <w:left w:val="nil"/>
              <w:bottom w:val="single" w:sz="4" w:space="0" w:color="auto"/>
              <w:right w:val="single" w:sz="4" w:space="0" w:color="auto"/>
            </w:tcBorders>
            <w:shd w:val="clear" w:color="auto" w:fill="auto"/>
            <w:noWrap/>
            <w:vAlign w:val="bottom"/>
            <w:hideMark/>
          </w:tcPr>
          <w:p w14:paraId="4AB0142C" w14:textId="77777777" w:rsidR="00BA48F1" w:rsidRPr="00BA48F1" w:rsidRDefault="00BA48F1" w:rsidP="00BA48F1">
            <w:pPr>
              <w:spacing w:after="0" w:line="240" w:lineRule="auto"/>
              <w:jc w:val="center"/>
              <w:rPr>
                <w:rFonts w:ascii="Arial" w:eastAsia="Times New Roman" w:hAnsi="Arial" w:cs="Arial"/>
                <w:color w:val="000000"/>
                <w:sz w:val="18"/>
                <w:szCs w:val="18"/>
              </w:rPr>
            </w:pPr>
            <w:r w:rsidRPr="00BA48F1">
              <w:rPr>
                <w:rFonts w:ascii="Arial" w:eastAsia="Times New Roman" w:hAnsi="Arial" w:cs="Arial"/>
                <w:color w:val="000000"/>
                <w:sz w:val="18"/>
                <w:szCs w:val="18"/>
              </w:rPr>
              <w:t>77%</w:t>
            </w:r>
          </w:p>
        </w:tc>
        <w:tc>
          <w:tcPr>
            <w:tcW w:w="1172" w:type="dxa"/>
            <w:tcBorders>
              <w:top w:val="nil"/>
              <w:left w:val="nil"/>
              <w:bottom w:val="single" w:sz="4" w:space="0" w:color="auto"/>
              <w:right w:val="single" w:sz="4" w:space="0" w:color="auto"/>
            </w:tcBorders>
            <w:shd w:val="clear" w:color="auto" w:fill="auto"/>
            <w:noWrap/>
            <w:vAlign w:val="bottom"/>
            <w:hideMark/>
          </w:tcPr>
          <w:p w14:paraId="6002AABB" w14:textId="77777777" w:rsidR="00BA48F1" w:rsidRPr="00BA48F1" w:rsidRDefault="00BA48F1" w:rsidP="00BA48F1">
            <w:pPr>
              <w:spacing w:after="0" w:line="240" w:lineRule="auto"/>
              <w:jc w:val="center"/>
              <w:rPr>
                <w:rFonts w:ascii="Arial" w:eastAsia="Times New Roman" w:hAnsi="Arial" w:cs="Arial"/>
                <w:color w:val="000000"/>
                <w:sz w:val="18"/>
                <w:szCs w:val="18"/>
              </w:rPr>
            </w:pPr>
            <w:r w:rsidRPr="00BA48F1">
              <w:rPr>
                <w:rFonts w:ascii="Arial" w:eastAsia="Times New Roman" w:hAnsi="Arial" w:cs="Arial"/>
                <w:color w:val="000000"/>
                <w:sz w:val="18"/>
                <w:szCs w:val="18"/>
              </w:rPr>
              <w:t>5.2</w:t>
            </w:r>
          </w:p>
        </w:tc>
        <w:tc>
          <w:tcPr>
            <w:tcW w:w="222" w:type="dxa"/>
            <w:vAlign w:val="center"/>
            <w:hideMark/>
          </w:tcPr>
          <w:p w14:paraId="615CC476" w14:textId="77777777" w:rsidR="00BA48F1" w:rsidRPr="00BA48F1" w:rsidRDefault="00BA48F1" w:rsidP="00BA48F1">
            <w:pPr>
              <w:spacing w:after="0" w:line="240" w:lineRule="auto"/>
              <w:rPr>
                <w:rFonts w:ascii="Times New Roman" w:eastAsia="Times New Roman" w:hAnsi="Times New Roman" w:cs="Times New Roman"/>
                <w:sz w:val="20"/>
                <w:szCs w:val="20"/>
              </w:rPr>
            </w:pPr>
          </w:p>
        </w:tc>
      </w:tr>
      <w:tr w:rsidR="00BA48F1" w:rsidRPr="00BA48F1" w14:paraId="369E90E4" w14:textId="77777777" w:rsidTr="003A0791">
        <w:trPr>
          <w:trHeight w:val="300"/>
        </w:trPr>
        <w:tc>
          <w:tcPr>
            <w:tcW w:w="1817" w:type="dxa"/>
            <w:tcBorders>
              <w:top w:val="nil"/>
              <w:left w:val="single" w:sz="4" w:space="0" w:color="auto"/>
              <w:bottom w:val="single" w:sz="4" w:space="0" w:color="auto"/>
              <w:right w:val="single" w:sz="4" w:space="0" w:color="auto"/>
            </w:tcBorders>
            <w:shd w:val="clear" w:color="auto" w:fill="auto"/>
            <w:noWrap/>
            <w:vAlign w:val="bottom"/>
            <w:hideMark/>
          </w:tcPr>
          <w:p w14:paraId="2D1242B7" w14:textId="77777777" w:rsidR="00BA48F1" w:rsidRPr="00BA48F1" w:rsidRDefault="00BA48F1" w:rsidP="00BA48F1">
            <w:pPr>
              <w:spacing w:after="0" w:line="240" w:lineRule="auto"/>
              <w:rPr>
                <w:rFonts w:ascii="Arial" w:eastAsia="Times New Roman" w:hAnsi="Arial" w:cs="Arial"/>
                <w:color w:val="000000"/>
                <w:sz w:val="18"/>
                <w:szCs w:val="18"/>
              </w:rPr>
            </w:pPr>
            <w:r w:rsidRPr="00BA48F1">
              <w:rPr>
                <w:rFonts w:ascii="Arial" w:eastAsia="Times New Roman" w:hAnsi="Arial" w:cs="Arial"/>
                <w:color w:val="000000"/>
                <w:sz w:val="18"/>
                <w:szCs w:val="18"/>
              </w:rPr>
              <w:t>HOLYOKE</w:t>
            </w:r>
          </w:p>
        </w:tc>
        <w:tc>
          <w:tcPr>
            <w:tcW w:w="1117" w:type="dxa"/>
            <w:tcBorders>
              <w:top w:val="nil"/>
              <w:left w:val="nil"/>
              <w:bottom w:val="single" w:sz="4" w:space="0" w:color="auto"/>
              <w:right w:val="single" w:sz="4" w:space="0" w:color="auto"/>
            </w:tcBorders>
            <w:shd w:val="clear" w:color="auto" w:fill="auto"/>
            <w:noWrap/>
            <w:vAlign w:val="bottom"/>
            <w:hideMark/>
          </w:tcPr>
          <w:p w14:paraId="30962259" w14:textId="77777777" w:rsidR="00BA48F1" w:rsidRPr="00BA48F1" w:rsidRDefault="00BA48F1" w:rsidP="00BA48F1">
            <w:pPr>
              <w:spacing w:after="0" w:line="240" w:lineRule="auto"/>
              <w:jc w:val="center"/>
              <w:rPr>
                <w:rFonts w:ascii="Arial" w:eastAsia="Times New Roman" w:hAnsi="Arial" w:cs="Arial"/>
                <w:color w:val="000000"/>
                <w:sz w:val="18"/>
                <w:szCs w:val="18"/>
              </w:rPr>
            </w:pPr>
            <w:r w:rsidRPr="00BA48F1">
              <w:rPr>
                <w:rFonts w:ascii="Arial" w:eastAsia="Times New Roman" w:hAnsi="Arial" w:cs="Arial"/>
                <w:color w:val="000000"/>
                <w:sz w:val="18"/>
                <w:szCs w:val="18"/>
              </w:rPr>
              <w:t>66%</w:t>
            </w:r>
          </w:p>
        </w:tc>
        <w:tc>
          <w:tcPr>
            <w:tcW w:w="856" w:type="dxa"/>
            <w:tcBorders>
              <w:top w:val="nil"/>
              <w:left w:val="nil"/>
              <w:bottom w:val="single" w:sz="4" w:space="0" w:color="auto"/>
              <w:right w:val="single" w:sz="4" w:space="0" w:color="auto"/>
            </w:tcBorders>
            <w:shd w:val="clear" w:color="auto" w:fill="auto"/>
            <w:noWrap/>
            <w:vAlign w:val="bottom"/>
            <w:hideMark/>
          </w:tcPr>
          <w:p w14:paraId="0AB08F32" w14:textId="77777777" w:rsidR="00BA48F1" w:rsidRPr="00BA48F1" w:rsidRDefault="00BA48F1" w:rsidP="00BA48F1">
            <w:pPr>
              <w:spacing w:after="0" w:line="240" w:lineRule="auto"/>
              <w:jc w:val="center"/>
              <w:rPr>
                <w:rFonts w:ascii="Arial" w:eastAsia="Times New Roman" w:hAnsi="Arial" w:cs="Arial"/>
                <w:color w:val="000000"/>
                <w:sz w:val="18"/>
                <w:szCs w:val="18"/>
              </w:rPr>
            </w:pPr>
            <w:r w:rsidRPr="00BA48F1">
              <w:rPr>
                <w:rFonts w:ascii="Arial" w:eastAsia="Times New Roman" w:hAnsi="Arial" w:cs="Arial"/>
                <w:color w:val="000000"/>
                <w:sz w:val="18"/>
                <w:szCs w:val="18"/>
              </w:rPr>
              <w:t>27</w:t>
            </w:r>
          </w:p>
        </w:tc>
        <w:tc>
          <w:tcPr>
            <w:tcW w:w="1432" w:type="dxa"/>
            <w:tcBorders>
              <w:top w:val="nil"/>
              <w:left w:val="nil"/>
              <w:bottom w:val="single" w:sz="4" w:space="0" w:color="auto"/>
              <w:right w:val="single" w:sz="4" w:space="0" w:color="auto"/>
            </w:tcBorders>
            <w:shd w:val="clear" w:color="auto" w:fill="auto"/>
            <w:noWrap/>
            <w:vAlign w:val="bottom"/>
            <w:hideMark/>
          </w:tcPr>
          <w:p w14:paraId="327222FE" w14:textId="77777777" w:rsidR="00BA48F1" w:rsidRPr="00BA48F1" w:rsidRDefault="00BA48F1" w:rsidP="00BA48F1">
            <w:pPr>
              <w:spacing w:after="0" w:line="240" w:lineRule="auto"/>
              <w:jc w:val="center"/>
              <w:rPr>
                <w:rFonts w:ascii="Arial" w:eastAsia="Times New Roman" w:hAnsi="Arial" w:cs="Arial"/>
                <w:color w:val="000000"/>
                <w:sz w:val="18"/>
                <w:szCs w:val="18"/>
              </w:rPr>
            </w:pPr>
            <w:r w:rsidRPr="00BA48F1">
              <w:rPr>
                <w:rFonts w:ascii="Arial" w:eastAsia="Times New Roman" w:hAnsi="Arial" w:cs="Arial"/>
                <w:color w:val="000000"/>
                <w:sz w:val="18"/>
                <w:szCs w:val="18"/>
              </w:rPr>
              <w:t>4.3</w:t>
            </w:r>
          </w:p>
        </w:tc>
        <w:tc>
          <w:tcPr>
            <w:tcW w:w="974" w:type="dxa"/>
            <w:tcBorders>
              <w:top w:val="nil"/>
              <w:left w:val="nil"/>
              <w:bottom w:val="single" w:sz="4" w:space="0" w:color="auto"/>
              <w:right w:val="single" w:sz="4" w:space="0" w:color="auto"/>
            </w:tcBorders>
            <w:shd w:val="clear" w:color="auto" w:fill="auto"/>
            <w:noWrap/>
            <w:vAlign w:val="bottom"/>
            <w:hideMark/>
          </w:tcPr>
          <w:p w14:paraId="5FB53C18" w14:textId="77777777" w:rsidR="00BA48F1" w:rsidRPr="00BA48F1" w:rsidRDefault="00BA48F1" w:rsidP="00BA48F1">
            <w:pPr>
              <w:spacing w:after="0" w:line="240" w:lineRule="auto"/>
              <w:jc w:val="center"/>
              <w:rPr>
                <w:rFonts w:ascii="Arial" w:eastAsia="Times New Roman" w:hAnsi="Arial" w:cs="Arial"/>
                <w:color w:val="000000"/>
                <w:sz w:val="18"/>
                <w:szCs w:val="18"/>
              </w:rPr>
            </w:pPr>
            <w:r w:rsidRPr="00BA48F1">
              <w:rPr>
                <w:rFonts w:ascii="Arial" w:eastAsia="Times New Roman" w:hAnsi="Arial" w:cs="Arial"/>
                <w:color w:val="000000"/>
                <w:sz w:val="18"/>
                <w:szCs w:val="18"/>
              </w:rPr>
              <w:t>44%</w:t>
            </w:r>
          </w:p>
        </w:tc>
        <w:tc>
          <w:tcPr>
            <w:tcW w:w="1529" w:type="dxa"/>
            <w:tcBorders>
              <w:top w:val="nil"/>
              <w:left w:val="nil"/>
              <w:bottom w:val="single" w:sz="4" w:space="0" w:color="auto"/>
              <w:right w:val="single" w:sz="4" w:space="0" w:color="auto"/>
            </w:tcBorders>
            <w:shd w:val="clear" w:color="auto" w:fill="auto"/>
            <w:noWrap/>
            <w:vAlign w:val="bottom"/>
            <w:hideMark/>
          </w:tcPr>
          <w:p w14:paraId="46CF4C0B" w14:textId="77777777" w:rsidR="00BA48F1" w:rsidRPr="00BA48F1" w:rsidRDefault="00BA48F1" w:rsidP="00BA48F1">
            <w:pPr>
              <w:spacing w:after="0" w:line="240" w:lineRule="auto"/>
              <w:jc w:val="center"/>
              <w:rPr>
                <w:rFonts w:ascii="Arial" w:eastAsia="Times New Roman" w:hAnsi="Arial" w:cs="Arial"/>
                <w:color w:val="000000"/>
                <w:sz w:val="18"/>
                <w:szCs w:val="18"/>
              </w:rPr>
            </w:pPr>
            <w:r w:rsidRPr="00BA48F1">
              <w:rPr>
                <w:rFonts w:ascii="Arial" w:eastAsia="Times New Roman" w:hAnsi="Arial" w:cs="Arial"/>
                <w:color w:val="000000"/>
                <w:sz w:val="18"/>
                <w:szCs w:val="18"/>
              </w:rPr>
              <w:t>81%</w:t>
            </w:r>
          </w:p>
        </w:tc>
        <w:tc>
          <w:tcPr>
            <w:tcW w:w="1172" w:type="dxa"/>
            <w:tcBorders>
              <w:top w:val="nil"/>
              <w:left w:val="nil"/>
              <w:bottom w:val="single" w:sz="4" w:space="0" w:color="auto"/>
              <w:right w:val="single" w:sz="4" w:space="0" w:color="auto"/>
            </w:tcBorders>
            <w:shd w:val="clear" w:color="auto" w:fill="auto"/>
            <w:noWrap/>
            <w:vAlign w:val="bottom"/>
            <w:hideMark/>
          </w:tcPr>
          <w:p w14:paraId="19A52E58" w14:textId="77777777" w:rsidR="00BA48F1" w:rsidRPr="00BA48F1" w:rsidRDefault="00BA48F1" w:rsidP="00BA48F1">
            <w:pPr>
              <w:spacing w:after="0" w:line="240" w:lineRule="auto"/>
              <w:jc w:val="center"/>
              <w:rPr>
                <w:rFonts w:ascii="Arial" w:eastAsia="Times New Roman" w:hAnsi="Arial" w:cs="Arial"/>
                <w:color w:val="000000"/>
                <w:sz w:val="18"/>
                <w:szCs w:val="18"/>
              </w:rPr>
            </w:pPr>
            <w:r w:rsidRPr="00BA48F1">
              <w:rPr>
                <w:rFonts w:ascii="Arial" w:eastAsia="Times New Roman" w:hAnsi="Arial" w:cs="Arial"/>
                <w:color w:val="000000"/>
                <w:sz w:val="18"/>
                <w:szCs w:val="18"/>
              </w:rPr>
              <w:t>13.3</w:t>
            </w:r>
          </w:p>
        </w:tc>
        <w:tc>
          <w:tcPr>
            <w:tcW w:w="222" w:type="dxa"/>
            <w:vAlign w:val="center"/>
            <w:hideMark/>
          </w:tcPr>
          <w:p w14:paraId="70EFB278" w14:textId="77777777" w:rsidR="00BA48F1" w:rsidRPr="00BA48F1" w:rsidRDefault="00BA48F1" w:rsidP="00BA48F1">
            <w:pPr>
              <w:spacing w:after="0" w:line="240" w:lineRule="auto"/>
              <w:rPr>
                <w:rFonts w:ascii="Times New Roman" w:eastAsia="Times New Roman" w:hAnsi="Times New Roman" w:cs="Times New Roman"/>
                <w:sz w:val="20"/>
                <w:szCs w:val="20"/>
              </w:rPr>
            </w:pPr>
          </w:p>
        </w:tc>
      </w:tr>
      <w:tr w:rsidR="00BA48F1" w:rsidRPr="00BA48F1" w14:paraId="5FAC9FA3" w14:textId="77777777" w:rsidTr="003A0791">
        <w:trPr>
          <w:trHeight w:val="300"/>
        </w:trPr>
        <w:tc>
          <w:tcPr>
            <w:tcW w:w="1817" w:type="dxa"/>
            <w:tcBorders>
              <w:top w:val="nil"/>
              <w:left w:val="single" w:sz="4" w:space="0" w:color="auto"/>
              <w:bottom w:val="single" w:sz="4" w:space="0" w:color="auto"/>
              <w:right w:val="single" w:sz="4" w:space="0" w:color="auto"/>
            </w:tcBorders>
            <w:shd w:val="clear" w:color="auto" w:fill="auto"/>
            <w:noWrap/>
            <w:vAlign w:val="bottom"/>
            <w:hideMark/>
          </w:tcPr>
          <w:p w14:paraId="7C2958DC" w14:textId="77777777" w:rsidR="00BA48F1" w:rsidRPr="00BA48F1" w:rsidRDefault="00BA48F1" w:rsidP="00BA48F1">
            <w:pPr>
              <w:spacing w:after="0" w:line="240" w:lineRule="auto"/>
              <w:rPr>
                <w:rFonts w:ascii="Arial" w:eastAsia="Times New Roman" w:hAnsi="Arial" w:cs="Arial"/>
                <w:color w:val="000000"/>
                <w:sz w:val="18"/>
                <w:szCs w:val="18"/>
              </w:rPr>
            </w:pPr>
            <w:r w:rsidRPr="00BA48F1">
              <w:rPr>
                <w:rFonts w:ascii="Arial" w:eastAsia="Times New Roman" w:hAnsi="Arial" w:cs="Arial"/>
                <w:color w:val="000000"/>
                <w:sz w:val="18"/>
                <w:szCs w:val="18"/>
              </w:rPr>
              <w:t>LAWRENCE</w:t>
            </w:r>
          </w:p>
        </w:tc>
        <w:tc>
          <w:tcPr>
            <w:tcW w:w="1117" w:type="dxa"/>
            <w:tcBorders>
              <w:top w:val="nil"/>
              <w:left w:val="nil"/>
              <w:bottom w:val="single" w:sz="4" w:space="0" w:color="auto"/>
              <w:right w:val="single" w:sz="4" w:space="0" w:color="auto"/>
            </w:tcBorders>
            <w:shd w:val="clear" w:color="auto" w:fill="auto"/>
            <w:noWrap/>
            <w:vAlign w:val="bottom"/>
            <w:hideMark/>
          </w:tcPr>
          <w:p w14:paraId="5942EE8D" w14:textId="77777777" w:rsidR="00BA48F1" w:rsidRPr="00BA48F1" w:rsidRDefault="00BA48F1" w:rsidP="00BA48F1">
            <w:pPr>
              <w:spacing w:after="0" w:line="240" w:lineRule="auto"/>
              <w:jc w:val="center"/>
              <w:rPr>
                <w:rFonts w:ascii="Arial" w:eastAsia="Times New Roman" w:hAnsi="Arial" w:cs="Arial"/>
                <w:color w:val="000000"/>
                <w:sz w:val="18"/>
                <w:szCs w:val="18"/>
              </w:rPr>
            </w:pPr>
            <w:r w:rsidRPr="00BA48F1">
              <w:rPr>
                <w:rFonts w:ascii="Arial" w:eastAsia="Times New Roman" w:hAnsi="Arial" w:cs="Arial"/>
                <w:color w:val="000000"/>
                <w:sz w:val="18"/>
                <w:szCs w:val="18"/>
              </w:rPr>
              <w:t>69%</w:t>
            </w:r>
          </w:p>
        </w:tc>
        <w:tc>
          <w:tcPr>
            <w:tcW w:w="856" w:type="dxa"/>
            <w:tcBorders>
              <w:top w:val="nil"/>
              <w:left w:val="nil"/>
              <w:bottom w:val="single" w:sz="4" w:space="0" w:color="auto"/>
              <w:right w:val="single" w:sz="4" w:space="0" w:color="auto"/>
            </w:tcBorders>
            <w:shd w:val="clear" w:color="auto" w:fill="auto"/>
            <w:noWrap/>
            <w:vAlign w:val="bottom"/>
            <w:hideMark/>
          </w:tcPr>
          <w:p w14:paraId="77C67029" w14:textId="77777777" w:rsidR="00BA48F1" w:rsidRPr="00BA48F1" w:rsidRDefault="00BA48F1" w:rsidP="00BA48F1">
            <w:pPr>
              <w:spacing w:after="0" w:line="240" w:lineRule="auto"/>
              <w:jc w:val="center"/>
              <w:rPr>
                <w:rFonts w:ascii="Arial" w:eastAsia="Times New Roman" w:hAnsi="Arial" w:cs="Arial"/>
                <w:color w:val="000000"/>
                <w:sz w:val="18"/>
                <w:szCs w:val="18"/>
              </w:rPr>
            </w:pPr>
            <w:r w:rsidRPr="00BA48F1">
              <w:rPr>
                <w:rFonts w:ascii="Arial" w:eastAsia="Times New Roman" w:hAnsi="Arial" w:cs="Arial"/>
                <w:color w:val="000000"/>
                <w:sz w:val="18"/>
                <w:szCs w:val="18"/>
              </w:rPr>
              <w:t>53</w:t>
            </w:r>
          </w:p>
        </w:tc>
        <w:tc>
          <w:tcPr>
            <w:tcW w:w="1432" w:type="dxa"/>
            <w:tcBorders>
              <w:top w:val="nil"/>
              <w:left w:val="nil"/>
              <w:bottom w:val="single" w:sz="4" w:space="0" w:color="auto"/>
              <w:right w:val="single" w:sz="4" w:space="0" w:color="auto"/>
            </w:tcBorders>
            <w:shd w:val="clear" w:color="auto" w:fill="auto"/>
            <w:noWrap/>
            <w:vAlign w:val="bottom"/>
            <w:hideMark/>
          </w:tcPr>
          <w:p w14:paraId="12C9C60A" w14:textId="77777777" w:rsidR="00BA48F1" w:rsidRPr="00BA48F1" w:rsidRDefault="00BA48F1" w:rsidP="00BA48F1">
            <w:pPr>
              <w:spacing w:after="0" w:line="240" w:lineRule="auto"/>
              <w:jc w:val="center"/>
              <w:rPr>
                <w:rFonts w:ascii="Arial" w:eastAsia="Times New Roman" w:hAnsi="Arial" w:cs="Arial"/>
                <w:color w:val="000000"/>
                <w:sz w:val="18"/>
                <w:szCs w:val="18"/>
              </w:rPr>
            </w:pPr>
            <w:r w:rsidRPr="00BA48F1">
              <w:rPr>
                <w:rFonts w:ascii="Arial" w:eastAsia="Times New Roman" w:hAnsi="Arial" w:cs="Arial"/>
                <w:color w:val="000000"/>
                <w:sz w:val="18"/>
                <w:szCs w:val="18"/>
              </w:rPr>
              <w:t>3.3</w:t>
            </w:r>
          </w:p>
        </w:tc>
        <w:tc>
          <w:tcPr>
            <w:tcW w:w="974" w:type="dxa"/>
            <w:tcBorders>
              <w:top w:val="nil"/>
              <w:left w:val="nil"/>
              <w:bottom w:val="single" w:sz="4" w:space="0" w:color="auto"/>
              <w:right w:val="single" w:sz="4" w:space="0" w:color="auto"/>
            </w:tcBorders>
            <w:shd w:val="clear" w:color="auto" w:fill="auto"/>
            <w:noWrap/>
            <w:vAlign w:val="bottom"/>
            <w:hideMark/>
          </w:tcPr>
          <w:p w14:paraId="61BF2BE6" w14:textId="77777777" w:rsidR="00BA48F1" w:rsidRPr="00BA48F1" w:rsidRDefault="00BA48F1" w:rsidP="00BA48F1">
            <w:pPr>
              <w:spacing w:after="0" w:line="240" w:lineRule="auto"/>
              <w:jc w:val="center"/>
              <w:rPr>
                <w:rFonts w:ascii="Arial" w:eastAsia="Times New Roman" w:hAnsi="Arial" w:cs="Arial"/>
                <w:color w:val="000000"/>
                <w:sz w:val="18"/>
                <w:szCs w:val="18"/>
              </w:rPr>
            </w:pPr>
            <w:r w:rsidRPr="00BA48F1">
              <w:rPr>
                <w:rFonts w:ascii="Arial" w:eastAsia="Times New Roman" w:hAnsi="Arial" w:cs="Arial"/>
                <w:color w:val="000000"/>
                <w:sz w:val="18"/>
                <w:szCs w:val="18"/>
              </w:rPr>
              <w:t>45%</w:t>
            </w:r>
          </w:p>
        </w:tc>
        <w:tc>
          <w:tcPr>
            <w:tcW w:w="1529" w:type="dxa"/>
            <w:tcBorders>
              <w:top w:val="nil"/>
              <w:left w:val="nil"/>
              <w:bottom w:val="single" w:sz="4" w:space="0" w:color="auto"/>
              <w:right w:val="single" w:sz="4" w:space="0" w:color="auto"/>
            </w:tcBorders>
            <w:shd w:val="clear" w:color="auto" w:fill="auto"/>
            <w:noWrap/>
            <w:vAlign w:val="bottom"/>
            <w:hideMark/>
          </w:tcPr>
          <w:p w14:paraId="7E03EE38" w14:textId="77777777" w:rsidR="00BA48F1" w:rsidRPr="00BA48F1" w:rsidRDefault="00BA48F1" w:rsidP="00BA48F1">
            <w:pPr>
              <w:spacing w:after="0" w:line="240" w:lineRule="auto"/>
              <w:jc w:val="center"/>
              <w:rPr>
                <w:rFonts w:ascii="Arial" w:eastAsia="Times New Roman" w:hAnsi="Arial" w:cs="Arial"/>
                <w:color w:val="000000"/>
                <w:sz w:val="18"/>
                <w:szCs w:val="18"/>
              </w:rPr>
            </w:pPr>
            <w:r w:rsidRPr="00BA48F1">
              <w:rPr>
                <w:rFonts w:ascii="Arial" w:eastAsia="Times New Roman" w:hAnsi="Arial" w:cs="Arial"/>
                <w:color w:val="000000"/>
                <w:sz w:val="18"/>
                <w:szCs w:val="18"/>
              </w:rPr>
              <w:t>81%</w:t>
            </w:r>
          </w:p>
        </w:tc>
        <w:tc>
          <w:tcPr>
            <w:tcW w:w="1172" w:type="dxa"/>
            <w:tcBorders>
              <w:top w:val="nil"/>
              <w:left w:val="nil"/>
              <w:bottom w:val="single" w:sz="4" w:space="0" w:color="auto"/>
              <w:right w:val="single" w:sz="4" w:space="0" w:color="auto"/>
            </w:tcBorders>
            <w:shd w:val="clear" w:color="auto" w:fill="auto"/>
            <w:noWrap/>
            <w:vAlign w:val="bottom"/>
            <w:hideMark/>
          </w:tcPr>
          <w:p w14:paraId="77D6C81C" w14:textId="77777777" w:rsidR="00BA48F1" w:rsidRPr="00BA48F1" w:rsidRDefault="00BA48F1" w:rsidP="00BA48F1">
            <w:pPr>
              <w:spacing w:after="0" w:line="240" w:lineRule="auto"/>
              <w:jc w:val="center"/>
              <w:rPr>
                <w:rFonts w:ascii="Arial" w:eastAsia="Times New Roman" w:hAnsi="Arial" w:cs="Arial"/>
                <w:color w:val="000000"/>
                <w:sz w:val="18"/>
                <w:szCs w:val="18"/>
              </w:rPr>
            </w:pPr>
            <w:r w:rsidRPr="00BA48F1">
              <w:rPr>
                <w:rFonts w:ascii="Arial" w:eastAsia="Times New Roman" w:hAnsi="Arial" w:cs="Arial"/>
                <w:color w:val="000000"/>
                <w:sz w:val="18"/>
                <w:szCs w:val="18"/>
              </w:rPr>
              <w:t>10.2</w:t>
            </w:r>
          </w:p>
        </w:tc>
        <w:tc>
          <w:tcPr>
            <w:tcW w:w="222" w:type="dxa"/>
            <w:vAlign w:val="center"/>
            <w:hideMark/>
          </w:tcPr>
          <w:p w14:paraId="05C7DE6D" w14:textId="77777777" w:rsidR="00BA48F1" w:rsidRPr="00BA48F1" w:rsidRDefault="00BA48F1" w:rsidP="00BA48F1">
            <w:pPr>
              <w:spacing w:after="0" w:line="240" w:lineRule="auto"/>
              <w:rPr>
                <w:rFonts w:ascii="Times New Roman" w:eastAsia="Times New Roman" w:hAnsi="Times New Roman" w:cs="Times New Roman"/>
                <w:sz w:val="20"/>
                <w:szCs w:val="20"/>
              </w:rPr>
            </w:pPr>
          </w:p>
        </w:tc>
      </w:tr>
      <w:tr w:rsidR="00BA48F1" w:rsidRPr="00BA48F1" w14:paraId="1CAA4F2D" w14:textId="77777777" w:rsidTr="003A0791">
        <w:trPr>
          <w:trHeight w:val="300"/>
        </w:trPr>
        <w:tc>
          <w:tcPr>
            <w:tcW w:w="1817" w:type="dxa"/>
            <w:tcBorders>
              <w:top w:val="nil"/>
              <w:left w:val="single" w:sz="4" w:space="0" w:color="auto"/>
              <w:bottom w:val="single" w:sz="4" w:space="0" w:color="auto"/>
              <w:right w:val="single" w:sz="4" w:space="0" w:color="auto"/>
            </w:tcBorders>
            <w:shd w:val="clear" w:color="auto" w:fill="auto"/>
            <w:noWrap/>
            <w:vAlign w:val="bottom"/>
            <w:hideMark/>
          </w:tcPr>
          <w:p w14:paraId="7C751836" w14:textId="77777777" w:rsidR="00BA48F1" w:rsidRPr="00BA48F1" w:rsidRDefault="00BA48F1" w:rsidP="00BA48F1">
            <w:pPr>
              <w:spacing w:after="0" w:line="240" w:lineRule="auto"/>
              <w:rPr>
                <w:rFonts w:ascii="Arial" w:eastAsia="Times New Roman" w:hAnsi="Arial" w:cs="Arial"/>
                <w:color w:val="000000"/>
                <w:sz w:val="18"/>
                <w:szCs w:val="18"/>
              </w:rPr>
            </w:pPr>
            <w:r w:rsidRPr="00BA48F1">
              <w:rPr>
                <w:rFonts w:ascii="Arial" w:eastAsia="Times New Roman" w:hAnsi="Arial" w:cs="Arial"/>
                <w:color w:val="000000"/>
                <w:sz w:val="18"/>
                <w:szCs w:val="18"/>
              </w:rPr>
              <w:t>LOWELL</w:t>
            </w:r>
          </w:p>
        </w:tc>
        <w:tc>
          <w:tcPr>
            <w:tcW w:w="1117" w:type="dxa"/>
            <w:tcBorders>
              <w:top w:val="nil"/>
              <w:left w:val="nil"/>
              <w:bottom w:val="single" w:sz="4" w:space="0" w:color="auto"/>
              <w:right w:val="single" w:sz="4" w:space="0" w:color="auto"/>
            </w:tcBorders>
            <w:shd w:val="clear" w:color="auto" w:fill="auto"/>
            <w:noWrap/>
            <w:vAlign w:val="bottom"/>
            <w:hideMark/>
          </w:tcPr>
          <w:p w14:paraId="332ED451" w14:textId="77777777" w:rsidR="00BA48F1" w:rsidRPr="00BA48F1" w:rsidRDefault="00BA48F1" w:rsidP="00BA48F1">
            <w:pPr>
              <w:spacing w:after="0" w:line="240" w:lineRule="auto"/>
              <w:jc w:val="center"/>
              <w:rPr>
                <w:rFonts w:ascii="Arial" w:eastAsia="Times New Roman" w:hAnsi="Arial" w:cs="Arial"/>
                <w:color w:val="000000"/>
                <w:sz w:val="18"/>
                <w:szCs w:val="18"/>
              </w:rPr>
            </w:pPr>
            <w:r w:rsidRPr="00BA48F1">
              <w:rPr>
                <w:rFonts w:ascii="Arial" w:eastAsia="Times New Roman" w:hAnsi="Arial" w:cs="Arial"/>
                <w:color w:val="000000"/>
                <w:sz w:val="18"/>
                <w:szCs w:val="18"/>
              </w:rPr>
              <w:t>66%</w:t>
            </w:r>
          </w:p>
        </w:tc>
        <w:tc>
          <w:tcPr>
            <w:tcW w:w="856" w:type="dxa"/>
            <w:tcBorders>
              <w:top w:val="nil"/>
              <w:left w:val="nil"/>
              <w:bottom w:val="single" w:sz="4" w:space="0" w:color="auto"/>
              <w:right w:val="single" w:sz="4" w:space="0" w:color="auto"/>
            </w:tcBorders>
            <w:shd w:val="clear" w:color="auto" w:fill="auto"/>
            <w:noWrap/>
            <w:vAlign w:val="bottom"/>
            <w:hideMark/>
          </w:tcPr>
          <w:p w14:paraId="2693F547" w14:textId="77777777" w:rsidR="00BA48F1" w:rsidRPr="00BA48F1" w:rsidRDefault="00BA48F1" w:rsidP="00BA48F1">
            <w:pPr>
              <w:spacing w:after="0" w:line="240" w:lineRule="auto"/>
              <w:jc w:val="center"/>
              <w:rPr>
                <w:rFonts w:ascii="Arial" w:eastAsia="Times New Roman" w:hAnsi="Arial" w:cs="Arial"/>
                <w:color w:val="000000"/>
                <w:sz w:val="18"/>
                <w:szCs w:val="18"/>
              </w:rPr>
            </w:pPr>
            <w:r w:rsidRPr="00BA48F1">
              <w:rPr>
                <w:rFonts w:ascii="Arial" w:eastAsia="Times New Roman" w:hAnsi="Arial" w:cs="Arial"/>
                <w:color w:val="000000"/>
                <w:sz w:val="18"/>
                <w:szCs w:val="18"/>
              </w:rPr>
              <w:t>83</w:t>
            </w:r>
          </w:p>
        </w:tc>
        <w:tc>
          <w:tcPr>
            <w:tcW w:w="1432" w:type="dxa"/>
            <w:tcBorders>
              <w:top w:val="nil"/>
              <w:left w:val="nil"/>
              <w:bottom w:val="single" w:sz="4" w:space="0" w:color="auto"/>
              <w:right w:val="single" w:sz="4" w:space="0" w:color="auto"/>
            </w:tcBorders>
            <w:shd w:val="clear" w:color="auto" w:fill="auto"/>
            <w:noWrap/>
            <w:vAlign w:val="bottom"/>
            <w:hideMark/>
          </w:tcPr>
          <w:p w14:paraId="15357412" w14:textId="77777777" w:rsidR="00BA48F1" w:rsidRPr="00BA48F1" w:rsidRDefault="00BA48F1" w:rsidP="00BA48F1">
            <w:pPr>
              <w:spacing w:after="0" w:line="240" w:lineRule="auto"/>
              <w:jc w:val="center"/>
              <w:rPr>
                <w:rFonts w:ascii="Arial" w:eastAsia="Times New Roman" w:hAnsi="Arial" w:cs="Arial"/>
                <w:color w:val="000000"/>
                <w:sz w:val="18"/>
                <w:szCs w:val="18"/>
              </w:rPr>
            </w:pPr>
            <w:r w:rsidRPr="00BA48F1">
              <w:rPr>
                <w:rFonts w:ascii="Arial" w:eastAsia="Times New Roman" w:hAnsi="Arial" w:cs="Arial"/>
                <w:color w:val="000000"/>
                <w:sz w:val="18"/>
                <w:szCs w:val="18"/>
              </w:rPr>
              <w:t>4.7</w:t>
            </w:r>
          </w:p>
        </w:tc>
        <w:tc>
          <w:tcPr>
            <w:tcW w:w="974" w:type="dxa"/>
            <w:tcBorders>
              <w:top w:val="nil"/>
              <w:left w:val="nil"/>
              <w:bottom w:val="single" w:sz="4" w:space="0" w:color="auto"/>
              <w:right w:val="single" w:sz="4" w:space="0" w:color="auto"/>
            </w:tcBorders>
            <w:shd w:val="clear" w:color="auto" w:fill="auto"/>
            <w:noWrap/>
            <w:vAlign w:val="bottom"/>
            <w:hideMark/>
          </w:tcPr>
          <w:p w14:paraId="3EB290C2" w14:textId="77777777" w:rsidR="00BA48F1" w:rsidRPr="00BA48F1" w:rsidRDefault="00BA48F1" w:rsidP="00BA48F1">
            <w:pPr>
              <w:spacing w:after="0" w:line="240" w:lineRule="auto"/>
              <w:jc w:val="center"/>
              <w:rPr>
                <w:rFonts w:ascii="Arial" w:eastAsia="Times New Roman" w:hAnsi="Arial" w:cs="Arial"/>
                <w:color w:val="000000"/>
                <w:sz w:val="18"/>
                <w:szCs w:val="18"/>
              </w:rPr>
            </w:pPr>
            <w:r w:rsidRPr="00BA48F1">
              <w:rPr>
                <w:rFonts w:ascii="Arial" w:eastAsia="Times New Roman" w:hAnsi="Arial" w:cs="Arial"/>
                <w:color w:val="000000"/>
                <w:sz w:val="18"/>
                <w:szCs w:val="18"/>
              </w:rPr>
              <w:t>31%</w:t>
            </w:r>
          </w:p>
        </w:tc>
        <w:tc>
          <w:tcPr>
            <w:tcW w:w="1529" w:type="dxa"/>
            <w:tcBorders>
              <w:top w:val="nil"/>
              <w:left w:val="nil"/>
              <w:bottom w:val="single" w:sz="4" w:space="0" w:color="auto"/>
              <w:right w:val="single" w:sz="4" w:space="0" w:color="auto"/>
            </w:tcBorders>
            <w:shd w:val="clear" w:color="auto" w:fill="auto"/>
            <w:noWrap/>
            <w:vAlign w:val="bottom"/>
            <w:hideMark/>
          </w:tcPr>
          <w:p w14:paraId="6368417C" w14:textId="77777777" w:rsidR="00BA48F1" w:rsidRPr="00BA48F1" w:rsidRDefault="00BA48F1" w:rsidP="00BA48F1">
            <w:pPr>
              <w:spacing w:after="0" w:line="240" w:lineRule="auto"/>
              <w:jc w:val="center"/>
              <w:rPr>
                <w:rFonts w:ascii="Arial" w:eastAsia="Times New Roman" w:hAnsi="Arial" w:cs="Arial"/>
                <w:color w:val="000000"/>
                <w:sz w:val="18"/>
                <w:szCs w:val="18"/>
              </w:rPr>
            </w:pPr>
            <w:r w:rsidRPr="00BA48F1">
              <w:rPr>
                <w:rFonts w:ascii="Arial" w:eastAsia="Times New Roman" w:hAnsi="Arial" w:cs="Arial"/>
                <w:color w:val="000000"/>
                <w:sz w:val="18"/>
                <w:szCs w:val="18"/>
              </w:rPr>
              <w:t>63%</w:t>
            </w:r>
          </w:p>
        </w:tc>
        <w:tc>
          <w:tcPr>
            <w:tcW w:w="1172" w:type="dxa"/>
            <w:tcBorders>
              <w:top w:val="nil"/>
              <w:left w:val="nil"/>
              <w:bottom w:val="single" w:sz="4" w:space="0" w:color="auto"/>
              <w:right w:val="single" w:sz="4" w:space="0" w:color="auto"/>
            </w:tcBorders>
            <w:shd w:val="clear" w:color="auto" w:fill="auto"/>
            <w:noWrap/>
            <w:vAlign w:val="bottom"/>
            <w:hideMark/>
          </w:tcPr>
          <w:p w14:paraId="31A5182D" w14:textId="77777777" w:rsidR="00BA48F1" w:rsidRPr="00BA48F1" w:rsidRDefault="00BA48F1" w:rsidP="00BA48F1">
            <w:pPr>
              <w:spacing w:after="0" w:line="240" w:lineRule="auto"/>
              <w:jc w:val="center"/>
              <w:rPr>
                <w:rFonts w:ascii="Arial" w:eastAsia="Times New Roman" w:hAnsi="Arial" w:cs="Arial"/>
                <w:color w:val="000000"/>
                <w:sz w:val="18"/>
                <w:szCs w:val="18"/>
              </w:rPr>
            </w:pPr>
            <w:r w:rsidRPr="00BA48F1">
              <w:rPr>
                <w:rFonts w:ascii="Arial" w:eastAsia="Times New Roman" w:hAnsi="Arial" w:cs="Arial"/>
                <w:color w:val="000000"/>
                <w:sz w:val="18"/>
                <w:szCs w:val="18"/>
              </w:rPr>
              <w:t>7.9</w:t>
            </w:r>
          </w:p>
        </w:tc>
        <w:tc>
          <w:tcPr>
            <w:tcW w:w="222" w:type="dxa"/>
            <w:vAlign w:val="center"/>
            <w:hideMark/>
          </w:tcPr>
          <w:p w14:paraId="259D3FEE" w14:textId="77777777" w:rsidR="00BA48F1" w:rsidRPr="00BA48F1" w:rsidRDefault="00BA48F1" w:rsidP="00BA48F1">
            <w:pPr>
              <w:spacing w:after="0" w:line="240" w:lineRule="auto"/>
              <w:rPr>
                <w:rFonts w:ascii="Times New Roman" w:eastAsia="Times New Roman" w:hAnsi="Times New Roman" w:cs="Times New Roman"/>
                <w:sz w:val="20"/>
                <w:szCs w:val="20"/>
              </w:rPr>
            </w:pPr>
          </w:p>
        </w:tc>
      </w:tr>
      <w:tr w:rsidR="00BA48F1" w:rsidRPr="00BA48F1" w14:paraId="4F404C31" w14:textId="77777777" w:rsidTr="003A0791">
        <w:trPr>
          <w:trHeight w:val="300"/>
        </w:trPr>
        <w:tc>
          <w:tcPr>
            <w:tcW w:w="1817" w:type="dxa"/>
            <w:tcBorders>
              <w:top w:val="nil"/>
              <w:left w:val="single" w:sz="4" w:space="0" w:color="auto"/>
              <w:bottom w:val="single" w:sz="4" w:space="0" w:color="auto"/>
              <w:right w:val="single" w:sz="4" w:space="0" w:color="auto"/>
            </w:tcBorders>
            <w:shd w:val="clear" w:color="auto" w:fill="auto"/>
            <w:noWrap/>
            <w:vAlign w:val="bottom"/>
            <w:hideMark/>
          </w:tcPr>
          <w:p w14:paraId="4CAC3049" w14:textId="77777777" w:rsidR="00BA48F1" w:rsidRPr="00BA48F1" w:rsidRDefault="00BA48F1" w:rsidP="00BA48F1">
            <w:pPr>
              <w:spacing w:after="0" w:line="240" w:lineRule="auto"/>
              <w:rPr>
                <w:rFonts w:ascii="Arial" w:eastAsia="Times New Roman" w:hAnsi="Arial" w:cs="Arial"/>
                <w:color w:val="000000"/>
                <w:sz w:val="18"/>
                <w:szCs w:val="18"/>
              </w:rPr>
            </w:pPr>
            <w:r w:rsidRPr="00BA48F1">
              <w:rPr>
                <w:rFonts w:ascii="Arial" w:eastAsia="Times New Roman" w:hAnsi="Arial" w:cs="Arial"/>
                <w:color w:val="000000"/>
                <w:sz w:val="18"/>
                <w:szCs w:val="18"/>
              </w:rPr>
              <w:t>LYNN</w:t>
            </w:r>
          </w:p>
        </w:tc>
        <w:tc>
          <w:tcPr>
            <w:tcW w:w="1117" w:type="dxa"/>
            <w:tcBorders>
              <w:top w:val="nil"/>
              <w:left w:val="nil"/>
              <w:bottom w:val="single" w:sz="4" w:space="0" w:color="auto"/>
              <w:right w:val="single" w:sz="4" w:space="0" w:color="auto"/>
            </w:tcBorders>
            <w:shd w:val="clear" w:color="auto" w:fill="auto"/>
            <w:noWrap/>
            <w:vAlign w:val="bottom"/>
            <w:hideMark/>
          </w:tcPr>
          <w:p w14:paraId="04C5508B" w14:textId="77777777" w:rsidR="00BA48F1" w:rsidRPr="00BA48F1" w:rsidRDefault="00BA48F1" w:rsidP="00BA48F1">
            <w:pPr>
              <w:spacing w:after="0" w:line="240" w:lineRule="auto"/>
              <w:jc w:val="center"/>
              <w:rPr>
                <w:rFonts w:ascii="Arial" w:eastAsia="Times New Roman" w:hAnsi="Arial" w:cs="Arial"/>
                <w:color w:val="000000"/>
                <w:sz w:val="18"/>
                <w:szCs w:val="18"/>
              </w:rPr>
            </w:pPr>
            <w:r w:rsidRPr="00BA48F1">
              <w:rPr>
                <w:rFonts w:ascii="Arial" w:eastAsia="Times New Roman" w:hAnsi="Arial" w:cs="Arial"/>
                <w:color w:val="000000"/>
                <w:sz w:val="18"/>
                <w:szCs w:val="18"/>
              </w:rPr>
              <w:t>77%</w:t>
            </w:r>
          </w:p>
        </w:tc>
        <w:tc>
          <w:tcPr>
            <w:tcW w:w="856" w:type="dxa"/>
            <w:tcBorders>
              <w:top w:val="nil"/>
              <w:left w:val="nil"/>
              <w:bottom w:val="single" w:sz="4" w:space="0" w:color="auto"/>
              <w:right w:val="single" w:sz="4" w:space="0" w:color="auto"/>
            </w:tcBorders>
            <w:shd w:val="clear" w:color="auto" w:fill="auto"/>
            <w:noWrap/>
            <w:vAlign w:val="bottom"/>
            <w:hideMark/>
          </w:tcPr>
          <w:p w14:paraId="20AF86D1" w14:textId="77777777" w:rsidR="00BA48F1" w:rsidRPr="00BA48F1" w:rsidRDefault="00BA48F1" w:rsidP="00BA48F1">
            <w:pPr>
              <w:spacing w:after="0" w:line="240" w:lineRule="auto"/>
              <w:jc w:val="center"/>
              <w:rPr>
                <w:rFonts w:ascii="Arial" w:eastAsia="Times New Roman" w:hAnsi="Arial" w:cs="Arial"/>
                <w:color w:val="000000"/>
                <w:sz w:val="18"/>
                <w:szCs w:val="18"/>
              </w:rPr>
            </w:pPr>
            <w:r w:rsidRPr="00BA48F1">
              <w:rPr>
                <w:rFonts w:ascii="Arial" w:eastAsia="Times New Roman" w:hAnsi="Arial" w:cs="Arial"/>
                <w:color w:val="000000"/>
                <w:sz w:val="18"/>
                <w:szCs w:val="18"/>
              </w:rPr>
              <w:t>89</w:t>
            </w:r>
          </w:p>
        </w:tc>
        <w:tc>
          <w:tcPr>
            <w:tcW w:w="1432" w:type="dxa"/>
            <w:tcBorders>
              <w:top w:val="nil"/>
              <w:left w:val="nil"/>
              <w:bottom w:val="single" w:sz="4" w:space="0" w:color="auto"/>
              <w:right w:val="single" w:sz="4" w:space="0" w:color="auto"/>
            </w:tcBorders>
            <w:shd w:val="clear" w:color="auto" w:fill="auto"/>
            <w:noWrap/>
            <w:vAlign w:val="bottom"/>
            <w:hideMark/>
          </w:tcPr>
          <w:p w14:paraId="08D3BAC0" w14:textId="77777777" w:rsidR="00BA48F1" w:rsidRPr="00BA48F1" w:rsidRDefault="00BA48F1" w:rsidP="00BA48F1">
            <w:pPr>
              <w:spacing w:after="0" w:line="240" w:lineRule="auto"/>
              <w:jc w:val="center"/>
              <w:rPr>
                <w:rFonts w:ascii="Arial" w:eastAsia="Times New Roman" w:hAnsi="Arial" w:cs="Arial"/>
                <w:color w:val="000000"/>
                <w:sz w:val="18"/>
                <w:szCs w:val="18"/>
              </w:rPr>
            </w:pPr>
            <w:r w:rsidRPr="00BA48F1">
              <w:rPr>
                <w:rFonts w:ascii="Arial" w:eastAsia="Times New Roman" w:hAnsi="Arial" w:cs="Arial"/>
                <w:color w:val="000000"/>
                <w:sz w:val="18"/>
                <w:szCs w:val="18"/>
              </w:rPr>
              <w:t>4.7</w:t>
            </w:r>
          </w:p>
        </w:tc>
        <w:tc>
          <w:tcPr>
            <w:tcW w:w="974" w:type="dxa"/>
            <w:tcBorders>
              <w:top w:val="nil"/>
              <w:left w:val="nil"/>
              <w:bottom w:val="single" w:sz="4" w:space="0" w:color="auto"/>
              <w:right w:val="single" w:sz="4" w:space="0" w:color="auto"/>
            </w:tcBorders>
            <w:shd w:val="clear" w:color="auto" w:fill="auto"/>
            <w:noWrap/>
            <w:vAlign w:val="bottom"/>
            <w:hideMark/>
          </w:tcPr>
          <w:p w14:paraId="3DAFFB6B" w14:textId="77777777" w:rsidR="00BA48F1" w:rsidRPr="00BA48F1" w:rsidRDefault="00BA48F1" w:rsidP="00BA48F1">
            <w:pPr>
              <w:spacing w:after="0" w:line="240" w:lineRule="auto"/>
              <w:jc w:val="center"/>
              <w:rPr>
                <w:rFonts w:ascii="Arial" w:eastAsia="Times New Roman" w:hAnsi="Arial" w:cs="Arial"/>
                <w:color w:val="000000"/>
                <w:sz w:val="18"/>
                <w:szCs w:val="18"/>
              </w:rPr>
            </w:pPr>
            <w:r w:rsidRPr="00BA48F1">
              <w:rPr>
                <w:rFonts w:ascii="Arial" w:eastAsia="Times New Roman" w:hAnsi="Arial" w:cs="Arial"/>
                <w:color w:val="000000"/>
                <w:sz w:val="18"/>
                <w:szCs w:val="18"/>
              </w:rPr>
              <w:t>33%</w:t>
            </w:r>
          </w:p>
        </w:tc>
        <w:tc>
          <w:tcPr>
            <w:tcW w:w="1529" w:type="dxa"/>
            <w:tcBorders>
              <w:top w:val="nil"/>
              <w:left w:val="nil"/>
              <w:bottom w:val="single" w:sz="4" w:space="0" w:color="auto"/>
              <w:right w:val="single" w:sz="4" w:space="0" w:color="auto"/>
            </w:tcBorders>
            <w:shd w:val="clear" w:color="auto" w:fill="auto"/>
            <w:noWrap/>
            <w:vAlign w:val="bottom"/>
            <w:hideMark/>
          </w:tcPr>
          <w:p w14:paraId="234CFD08" w14:textId="77777777" w:rsidR="00BA48F1" w:rsidRPr="00BA48F1" w:rsidRDefault="00BA48F1" w:rsidP="00BA48F1">
            <w:pPr>
              <w:spacing w:after="0" w:line="240" w:lineRule="auto"/>
              <w:jc w:val="center"/>
              <w:rPr>
                <w:rFonts w:ascii="Arial" w:eastAsia="Times New Roman" w:hAnsi="Arial" w:cs="Arial"/>
                <w:color w:val="000000"/>
                <w:sz w:val="18"/>
                <w:szCs w:val="18"/>
              </w:rPr>
            </w:pPr>
            <w:r w:rsidRPr="00BA48F1">
              <w:rPr>
                <w:rFonts w:ascii="Arial" w:eastAsia="Times New Roman" w:hAnsi="Arial" w:cs="Arial"/>
                <w:color w:val="000000"/>
                <w:sz w:val="18"/>
                <w:szCs w:val="18"/>
              </w:rPr>
              <w:t>66%</w:t>
            </w:r>
          </w:p>
        </w:tc>
        <w:tc>
          <w:tcPr>
            <w:tcW w:w="1172" w:type="dxa"/>
            <w:tcBorders>
              <w:top w:val="nil"/>
              <w:left w:val="nil"/>
              <w:bottom w:val="single" w:sz="4" w:space="0" w:color="auto"/>
              <w:right w:val="single" w:sz="4" w:space="0" w:color="auto"/>
            </w:tcBorders>
            <w:shd w:val="clear" w:color="auto" w:fill="auto"/>
            <w:noWrap/>
            <w:vAlign w:val="bottom"/>
            <w:hideMark/>
          </w:tcPr>
          <w:p w14:paraId="5B93E87B" w14:textId="77777777" w:rsidR="00BA48F1" w:rsidRPr="00BA48F1" w:rsidRDefault="00BA48F1" w:rsidP="00BA48F1">
            <w:pPr>
              <w:spacing w:after="0" w:line="240" w:lineRule="auto"/>
              <w:jc w:val="center"/>
              <w:rPr>
                <w:rFonts w:ascii="Arial" w:eastAsia="Times New Roman" w:hAnsi="Arial" w:cs="Arial"/>
                <w:color w:val="000000"/>
                <w:sz w:val="18"/>
                <w:szCs w:val="18"/>
              </w:rPr>
            </w:pPr>
            <w:r w:rsidRPr="00BA48F1">
              <w:rPr>
                <w:rFonts w:ascii="Arial" w:eastAsia="Times New Roman" w:hAnsi="Arial" w:cs="Arial"/>
                <w:color w:val="000000"/>
                <w:sz w:val="18"/>
                <w:szCs w:val="18"/>
              </w:rPr>
              <w:t>8.7</w:t>
            </w:r>
          </w:p>
        </w:tc>
        <w:tc>
          <w:tcPr>
            <w:tcW w:w="222" w:type="dxa"/>
            <w:vAlign w:val="center"/>
            <w:hideMark/>
          </w:tcPr>
          <w:p w14:paraId="544AA8F3" w14:textId="77777777" w:rsidR="00BA48F1" w:rsidRPr="00BA48F1" w:rsidRDefault="00BA48F1" w:rsidP="00BA48F1">
            <w:pPr>
              <w:spacing w:after="0" w:line="240" w:lineRule="auto"/>
              <w:rPr>
                <w:rFonts w:ascii="Times New Roman" w:eastAsia="Times New Roman" w:hAnsi="Times New Roman" w:cs="Times New Roman"/>
                <w:sz w:val="20"/>
                <w:szCs w:val="20"/>
              </w:rPr>
            </w:pPr>
          </w:p>
        </w:tc>
      </w:tr>
      <w:tr w:rsidR="00BA48F1" w:rsidRPr="00BA48F1" w14:paraId="31849C1C" w14:textId="77777777" w:rsidTr="003A0791">
        <w:trPr>
          <w:trHeight w:val="300"/>
        </w:trPr>
        <w:tc>
          <w:tcPr>
            <w:tcW w:w="1817" w:type="dxa"/>
            <w:tcBorders>
              <w:top w:val="nil"/>
              <w:left w:val="single" w:sz="4" w:space="0" w:color="auto"/>
              <w:bottom w:val="single" w:sz="4" w:space="0" w:color="auto"/>
              <w:right w:val="single" w:sz="4" w:space="0" w:color="auto"/>
            </w:tcBorders>
            <w:shd w:val="clear" w:color="auto" w:fill="auto"/>
            <w:noWrap/>
            <w:vAlign w:val="bottom"/>
            <w:hideMark/>
          </w:tcPr>
          <w:p w14:paraId="70B7CC70" w14:textId="77777777" w:rsidR="00BA48F1" w:rsidRPr="00BA48F1" w:rsidRDefault="00BA48F1" w:rsidP="00BA48F1">
            <w:pPr>
              <w:spacing w:after="0" w:line="240" w:lineRule="auto"/>
              <w:rPr>
                <w:rFonts w:ascii="Arial" w:eastAsia="Times New Roman" w:hAnsi="Arial" w:cs="Arial"/>
                <w:color w:val="000000"/>
                <w:sz w:val="18"/>
                <w:szCs w:val="18"/>
              </w:rPr>
            </w:pPr>
            <w:r w:rsidRPr="00BA48F1">
              <w:rPr>
                <w:rFonts w:ascii="Arial" w:eastAsia="Times New Roman" w:hAnsi="Arial" w:cs="Arial"/>
                <w:color w:val="000000"/>
                <w:sz w:val="18"/>
                <w:szCs w:val="18"/>
              </w:rPr>
              <w:t>MALDEN</w:t>
            </w:r>
          </w:p>
        </w:tc>
        <w:tc>
          <w:tcPr>
            <w:tcW w:w="1117" w:type="dxa"/>
            <w:tcBorders>
              <w:top w:val="nil"/>
              <w:left w:val="nil"/>
              <w:bottom w:val="single" w:sz="4" w:space="0" w:color="auto"/>
              <w:right w:val="single" w:sz="4" w:space="0" w:color="auto"/>
            </w:tcBorders>
            <w:shd w:val="clear" w:color="auto" w:fill="auto"/>
            <w:noWrap/>
            <w:vAlign w:val="bottom"/>
            <w:hideMark/>
          </w:tcPr>
          <w:p w14:paraId="562AE051" w14:textId="77777777" w:rsidR="00BA48F1" w:rsidRPr="00BA48F1" w:rsidRDefault="00BA48F1" w:rsidP="00BA48F1">
            <w:pPr>
              <w:spacing w:after="0" w:line="240" w:lineRule="auto"/>
              <w:jc w:val="center"/>
              <w:rPr>
                <w:rFonts w:ascii="Arial" w:eastAsia="Times New Roman" w:hAnsi="Arial" w:cs="Arial"/>
                <w:color w:val="000000"/>
                <w:sz w:val="18"/>
                <w:szCs w:val="18"/>
              </w:rPr>
            </w:pPr>
            <w:r w:rsidRPr="00BA48F1">
              <w:rPr>
                <w:rFonts w:ascii="Arial" w:eastAsia="Times New Roman" w:hAnsi="Arial" w:cs="Arial"/>
                <w:color w:val="000000"/>
                <w:sz w:val="18"/>
                <w:szCs w:val="18"/>
              </w:rPr>
              <w:t>72%</w:t>
            </w:r>
          </w:p>
        </w:tc>
        <w:tc>
          <w:tcPr>
            <w:tcW w:w="856" w:type="dxa"/>
            <w:tcBorders>
              <w:top w:val="nil"/>
              <w:left w:val="nil"/>
              <w:bottom w:val="single" w:sz="4" w:space="0" w:color="auto"/>
              <w:right w:val="single" w:sz="4" w:space="0" w:color="auto"/>
            </w:tcBorders>
            <w:shd w:val="clear" w:color="auto" w:fill="auto"/>
            <w:noWrap/>
            <w:vAlign w:val="bottom"/>
            <w:hideMark/>
          </w:tcPr>
          <w:p w14:paraId="45EC788A" w14:textId="77777777" w:rsidR="00BA48F1" w:rsidRPr="00BA48F1" w:rsidRDefault="00BA48F1" w:rsidP="00BA48F1">
            <w:pPr>
              <w:spacing w:after="0" w:line="240" w:lineRule="auto"/>
              <w:jc w:val="center"/>
              <w:rPr>
                <w:rFonts w:ascii="Arial" w:eastAsia="Times New Roman" w:hAnsi="Arial" w:cs="Arial"/>
                <w:color w:val="000000"/>
                <w:sz w:val="18"/>
                <w:szCs w:val="18"/>
              </w:rPr>
            </w:pPr>
            <w:r w:rsidRPr="00BA48F1">
              <w:rPr>
                <w:rFonts w:ascii="Arial" w:eastAsia="Times New Roman" w:hAnsi="Arial" w:cs="Arial"/>
                <w:color w:val="000000"/>
                <w:sz w:val="18"/>
                <w:szCs w:val="18"/>
              </w:rPr>
              <w:t>34</w:t>
            </w:r>
          </w:p>
        </w:tc>
        <w:tc>
          <w:tcPr>
            <w:tcW w:w="1432" w:type="dxa"/>
            <w:tcBorders>
              <w:top w:val="nil"/>
              <w:left w:val="nil"/>
              <w:bottom w:val="single" w:sz="4" w:space="0" w:color="auto"/>
              <w:right w:val="single" w:sz="4" w:space="0" w:color="auto"/>
            </w:tcBorders>
            <w:shd w:val="clear" w:color="auto" w:fill="auto"/>
            <w:noWrap/>
            <w:vAlign w:val="bottom"/>
            <w:hideMark/>
          </w:tcPr>
          <w:p w14:paraId="1BD91C4E" w14:textId="77777777" w:rsidR="00BA48F1" w:rsidRPr="00BA48F1" w:rsidRDefault="00BA48F1" w:rsidP="00BA48F1">
            <w:pPr>
              <w:spacing w:after="0" w:line="240" w:lineRule="auto"/>
              <w:jc w:val="center"/>
              <w:rPr>
                <w:rFonts w:ascii="Arial" w:eastAsia="Times New Roman" w:hAnsi="Arial" w:cs="Arial"/>
                <w:color w:val="000000"/>
                <w:sz w:val="18"/>
                <w:szCs w:val="18"/>
              </w:rPr>
            </w:pPr>
            <w:r w:rsidRPr="00BA48F1">
              <w:rPr>
                <w:rFonts w:ascii="Arial" w:eastAsia="Times New Roman" w:hAnsi="Arial" w:cs="Arial"/>
                <w:color w:val="000000"/>
                <w:sz w:val="18"/>
                <w:szCs w:val="18"/>
              </w:rPr>
              <w:t>3.5</w:t>
            </w:r>
          </w:p>
        </w:tc>
        <w:tc>
          <w:tcPr>
            <w:tcW w:w="974" w:type="dxa"/>
            <w:tcBorders>
              <w:top w:val="nil"/>
              <w:left w:val="nil"/>
              <w:bottom w:val="single" w:sz="4" w:space="0" w:color="auto"/>
              <w:right w:val="single" w:sz="4" w:space="0" w:color="auto"/>
            </w:tcBorders>
            <w:shd w:val="clear" w:color="auto" w:fill="auto"/>
            <w:noWrap/>
            <w:vAlign w:val="bottom"/>
            <w:hideMark/>
          </w:tcPr>
          <w:p w14:paraId="731F8B77" w14:textId="77777777" w:rsidR="00BA48F1" w:rsidRPr="00BA48F1" w:rsidRDefault="00BA48F1" w:rsidP="00BA48F1">
            <w:pPr>
              <w:spacing w:after="0" w:line="240" w:lineRule="auto"/>
              <w:jc w:val="center"/>
              <w:rPr>
                <w:rFonts w:ascii="Arial" w:eastAsia="Times New Roman" w:hAnsi="Arial" w:cs="Arial"/>
                <w:color w:val="000000"/>
                <w:sz w:val="18"/>
                <w:szCs w:val="18"/>
              </w:rPr>
            </w:pPr>
            <w:r w:rsidRPr="00BA48F1">
              <w:rPr>
                <w:rFonts w:ascii="Arial" w:eastAsia="Times New Roman" w:hAnsi="Arial" w:cs="Arial"/>
                <w:color w:val="000000"/>
                <w:sz w:val="18"/>
                <w:szCs w:val="18"/>
              </w:rPr>
              <w:t>28%</w:t>
            </w:r>
          </w:p>
        </w:tc>
        <w:tc>
          <w:tcPr>
            <w:tcW w:w="1529" w:type="dxa"/>
            <w:tcBorders>
              <w:top w:val="nil"/>
              <w:left w:val="nil"/>
              <w:bottom w:val="single" w:sz="4" w:space="0" w:color="auto"/>
              <w:right w:val="single" w:sz="4" w:space="0" w:color="auto"/>
            </w:tcBorders>
            <w:shd w:val="clear" w:color="auto" w:fill="auto"/>
            <w:noWrap/>
            <w:vAlign w:val="bottom"/>
            <w:hideMark/>
          </w:tcPr>
          <w:p w14:paraId="1C3637BD" w14:textId="77777777" w:rsidR="00BA48F1" w:rsidRPr="00BA48F1" w:rsidRDefault="00BA48F1" w:rsidP="00BA48F1">
            <w:pPr>
              <w:spacing w:after="0" w:line="240" w:lineRule="auto"/>
              <w:jc w:val="center"/>
              <w:rPr>
                <w:rFonts w:ascii="Arial" w:eastAsia="Times New Roman" w:hAnsi="Arial" w:cs="Arial"/>
                <w:color w:val="000000"/>
                <w:sz w:val="18"/>
                <w:szCs w:val="18"/>
              </w:rPr>
            </w:pPr>
            <w:r w:rsidRPr="00BA48F1">
              <w:rPr>
                <w:rFonts w:ascii="Arial" w:eastAsia="Times New Roman" w:hAnsi="Arial" w:cs="Arial"/>
                <w:color w:val="000000"/>
                <w:sz w:val="18"/>
                <w:szCs w:val="18"/>
              </w:rPr>
              <w:t>82%</w:t>
            </w:r>
          </w:p>
        </w:tc>
        <w:tc>
          <w:tcPr>
            <w:tcW w:w="1172" w:type="dxa"/>
            <w:tcBorders>
              <w:top w:val="nil"/>
              <w:left w:val="nil"/>
              <w:bottom w:val="single" w:sz="4" w:space="0" w:color="auto"/>
              <w:right w:val="single" w:sz="4" w:space="0" w:color="auto"/>
            </w:tcBorders>
            <w:shd w:val="clear" w:color="auto" w:fill="auto"/>
            <w:noWrap/>
            <w:vAlign w:val="bottom"/>
            <w:hideMark/>
          </w:tcPr>
          <w:p w14:paraId="67050987" w14:textId="77777777" w:rsidR="00BA48F1" w:rsidRPr="00BA48F1" w:rsidRDefault="00BA48F1" w:rsidP="00BA48F1">
            <w:pPr>
              <w:spacing w:after="0" w:line="240" w:lineRule="auto"/>
              <w:jc w:val="center"/>
              <w:rPr>
                <w:rFonts w:ascii="Arial" w:eastAsia="Times New Roman" w:hAnsi="Arial" w:cs="Arial"/>
                <w:color w:val="000000"/>
                <w:sz w:val="18"/>
                <w:szCs w:val="18"/>
              </w:rPr>
            </w:pPr>
            <w:r w:rsidRPr="00BA48F1">
              <w:rPr>
                <w:rFonts w:ascii="Arial" w:eastAsia="Times New Roman" w:hAnsi="Arial" w:cs="Arial"/>
                <w:color w:val="000000"/>
                <w:sz w:val="18"/>
                <w:szCs w:val="18"/>
              </w:rPr>
              <w:t>6.8</w:t>
            </w:r>
          </w:p>
        </w:tc>
        <w:tc>
          <w:tcPr>
            <w:tcW w:w="222" w:type="dxa"/>
            <w:vAlign w:val="center"/>
            <w:hideMark/>
          </w:tcPr>
          <w:p w14:paraId="474B5EE7" w14:textId="77777777" w:rsidR="00BA48F1" w:rsidRPr="00BA48F1" w:rsidRDefault="00BA48F1" w:rsidP="00BA48F1">
            <w:pPr>
              <w:spacing w:after="0" w:line="240" w:lineRule="auto"/>
              <w:rPr>
                <w:rFonts w:ascii="Times New Roman" w:eastAsia="Times New Roman" w:hAnsi="Times New Roman" w:cs="Times New Roman"/>
                <w:sz w:val="20"/>
                <w:szCs w:val="20"/>
              </w:rPr>
            </w:pPr>
          </w:p>
        </w:tc>
      </w:tr>
      <w:tr w:rsidR="00BA48F1" w:rsidRPr="00BA48F1" w14:paraId="4F7CF9F1" w14:textId="77777777" w:rsidTr="003A0791">
        <w:trPr>
          <w:trHeight w:val="300"/>
        </w:trPr>
        <w:tc>
          <w:tcPr>
            <w:tcW w:w="1817" w:type="dxa"/>
            <w:tcBorders>
              <w:top w:val="nil"/>
              <w:left w:val="single" w:sz="4" w:space="0" w:color="auto"/>
              <w:bottom w:val="single" w:sz="4" w:space="0" w:color="auto"/>
              <w:right w:val="single" w:sz="4" w:space="0" w:color="auto"/>
            </w:tcBorders>
            <w:shd w:val="clear" w:color="auto" w:fill="auto"/>
            <w:noWrap/>
            <w:vAlign w:val="bottom"/>
            <w:hideMark/>
          </w:tcPr>
          <w:p w14:paraId="4765AFFE" w14:textId="77777777" w:rsidR="00BA48F1" w:rsidRPr="00BA48F1" w:rsidRDefault="00BA48F1" w:rsidP="00BA48F1">
            <w:pPr>
              <w:spacing w:after="0" w:line="240" w:lineRule="auto"/>
              <w:rPr>
                <w:rFonts w:ascii="Arial" w:eastAsia="Times New Roman" w:hAnsi="Arial" w:cs="Arial"/>
                <w:color w:val="000000"/>
                <w:sz w:val="18"/>
                <w:szCs w:val="18"/>
              </w:rPr>
            </w:pPr>
            <w:r w:rsidRPr="00BA48F1">
              <w:rPr>
                <w:rFonts w:ascii="Arial" w:eastAsia="Times New Roman" w:hAnsi="Arial" w:cs="Arial"/>
                <w:color w:val="000000"/>
                <w:sz w:val="18"/>
                <w:szCs w:val="18"/>
              </w:rPr>
              <w:t>NEW BEDFORD</w:t>
            </w:r>
          </w:p>
        </w:tc>
        <w:tc>
          <w:tcPr>
            <w:tcW w:w="1117" w:type="dxa"/>
            <w:tcBorders>
              <w:top w:val="nil"/>
              <w:left w:val="nil"/>
              <w:bottom w:val="single" w:sz="4" w:space="0" w:color="auto"/>
              <w:right w:val="single" w:sz="4" w:space="0" w:color="auto"/>
            </w:tcBorders>
            <w:shd w:val="clear" w:color="auto" w:fill="auto"/>
            <w:noWrap/>
            <w:vAlign w:val="bottom"/>
            <w:hideMark/>
          </w:tcPr>
          <w:p w14:paraId="231D8A9A" w14:textId="77777777" w:rsidR="00BA48F1" w:rsidRPr="00BA48F1" w:rsidRDefault="00BA48F1" w:rsidP="00BA48F1">
            <w:pPr>
              <w:spacing w:after="0" w:line="240" w:lineRule="auto"/>
              <w:jc w:val="center"/>
              <w:rPr>
                <w:rFonts w:ascii="Arial" w:eastAsia="Times New Roman" w:hAnsi="Arial" w:cs="Arial"/>
                <w:color w:val="000000"/>
                <w:sz w:val="18"/>
                <w:szCs w:val="18"/>
              </w:rPr>
            </w:pPr>
            <w:r w:rsidRPr="00BA48F1">
              <w:rPr>
                <w:rFonts w:ascii="Arial" w:eastAsia="Times New Roman" w:hAnsi="Arial" w:cs="Arial"/>
                <w:color w:val="000000"/>
                <w:sz w:val="18"/>
                <w:szCs w:val="18"/>
              </w:rPr>
              <w:t>79%</w:t>
            </w:r>
          </w:p>
        </w:tc>
        <w:tc>
          <w:tcPr>
            <w:tcW w:w="856" w:type="dxa"/>
            <w:tcBorders>
              <w:top w:val="nil"/>
              <w:left w:val="nil"/>
              <w:bottom w:val="single" w:sz="4" w:space="0" w:color="auto"/>
              <w:right w:val="single" w:sz="4" w:space="0" w:color="auto"/>
            </w:tcBorders>
            <w:shd w:val="clear" w:color="auto" w:fill="auto"/>
            <w:noWrap/>
            <w:vAlign w:val="bottom"/>
            <w:hideMark/>
          </w:tcPr>
          <w:p w14:paraId="3F5AFBEE" w14:textId="77777777" w:rsidR="00BA48F1" w:rsidRPr="00BA48F1" w:rsidRDefault="00BA48F1" w:rsidP="00BA48F1">
            <w:pPr>
              <w:spacing w:after="0" w:line="240" w:lineRule="auto"/>
              <w:jc w:val="center"/>
              <w:rPr>
                <w:rFonts w:ascii="Arial" w:eastAsia="Times New Roman" w:hAnsi="Arial" w:cs="Arial"/>
                <w:color w:val="000000"/>
                <w:sz w:val="18"/>
                <w:szCs w:val="18"/>
              </w:rPr>
            </w:pPr>
            <w:r w:rsidRPr="00BA48F1">
              <w:rPr>
                <w:rFonts w:ascii="Arial" w:eastAsia="Times New Roman" w:hAnsi="Arial" w:cs="Arial"/>
                <w:color w:val="000000"/>
                <w:sz w:val="18"/>
                <w:szCs w:val="18"/>
              </w:rPr>
              <w:t>117</w:t>
            </w:r>
          </w:p>
        </w:tc>
        <w:tc>
          <w:tcPr>
            <w:tcW w:w="1432" w:type="dxa"/>
            <w:tcBorders>
              <w:top w:val="nil"/>
              <w:left w:val="nil"/>
              <w:bottom w:val="single" w:sz="4" w:space="0" w:color="auto"/>
              <w:right w:val="single" w:sz="4" w:space="0" w:color="auto"/>
            </w:tcBorders>
            <w:shd w:val="clear" w:color="auto" w:fill="auto"/>
            <w:noWrap/>
            <w:vAlign w:val="bottom"/>
            <w:hideMark/>
          </w:tcPr>
          <w:p w14:paraId="207FA5F7" w14:textId="77777777" w:rsidR="00BA48F1" w:rsidRPr="00BA48F1" w:rsidRDefault="00BA48F1" w:rsidP="00BA48F1">
            <w:pPr>
              <w:spacing w:after="0" w:line="240" w:lineRule="auto"/>
              <w:jc w:val="center"/>
              <w:rPr>
                <w:rFonts w:ascii="Arial" w:eastAsia="Times New Roman" w:hAnsi="Arial" w:cs="Arial"/>
                <w:color w:val="000000"/>
                <w:sz w:val="18"/>
                <w:szCs w:val="18"/>
              </w:rPr>
            </w:pPr>
            <w:r w:rsidRPr="00BA48F1">
              <w:rPr>
                <w:rFonts w:ascii="Arial" w:eastAsia="Times New Roman" w:hAnsi="Arial" w:cs="Arial"/>
                <w:color w:val="000000"/>
                <w:sz w:val="18"/>
                <w:szCs w:val="18"/>
              </w:rPr>
              <w:t>6.8</w:t>
            </w:r>
          </w:p>
        </w:tc>
        <w:tc>
          <w:tcPr>
            <w:tcW w:w="974" w:type="dxa"/>
            <w:tcBorders>
              <w:top w:val="nil"/>
              <w:left w:val="nil"/>
              <w:bottom w:val="single" w:sz="4" w:space="0" w:color="auto"/>
              <w:right w:val="single" w:sz="4" w:space="0" w:color="auto"/>
            </w:tcBorders>
            <w:shd w:val="clear" w:color="auto" w:fill="auto"/>
            <w:noWrap/>
            <w:vAlign w:val="bottom"/>
            <w:hideMark/>
          </w:tcPr>
          <w:p w14:paraId="5C0EB9AA" w14:textId="77777777" w:rsidR="00BA48F1" w:rsidRPr="00BA48F1" w:rsidRDefault="00BA48F1" w:rsidP="00BA48F1">
            <w:pPr>
              <w:spacing w:after="0" w:line="240" w:lineRule="auto"/>
              <w:jc w:val="center"/>
              <w:rPr>
                <w:rFonts w:ascii="Arial" w:eastAsia="Times New Roman" w:hAnsi="Arial" w:cs="Arial"/>
                <w:color w:val="000000"/>
                <w:sz w:val="18"/>
                <w:szCs w:val="18"/>
              </w:rPr>
            </w:pPr>
            <w:r w:rsidRPr="00BA48F1">
              <w:rPr>
                <w:rFonts w:ascii="Arial" w:eastAsia="Times New Roman" w:hAnsi="Arial" w:cs="Arial"/>
                <w:color w:val="000000"/>
                <w:sz w:val="18"/>
                <w:szCs w:val="18"/>
              </w:rPr>
              <w:t>36%</w:t>
            </w:r>
          </w:p>
        </w:tc>
        <w:tc>
          <w:tcPr>
            <w:tcW w:w="1529" w:type="dxa"/>
            <w:tcBorders>
              <w:top w:val="nil"/>
              <w:left w:val="nil"/>
              <w:bottom w:val="single" w:sz="4" w:space="0" w:color="auto"/>
              <w:right w:val="single" w:sz="4" w:space="0" w:color="auto"/>
            </w:tcBorders>
            <w:shd w:val="clear" w:color="auto" w:fill="auto"/>
            <w:noWrap/>
            <w:vAlign w:val="bottom"/>
            <w:hideMark/>
          </w:tcPr>
          <w:p w14:paraId="3BF58CCB" w14:textId="77777777" w:rsidR="00BA48F1" w:rsidRPr="00BA48F1" w:rsidRDefault="00BA48F1" w:rsidP="00BA48F1">
            <w:pPr>
              <w:spacing w:after="0" w:line="240" w:lineRule="auto"/>
              <w:jc w:val="center"/>
              <w:rPr>
                <w:rFonts w:ascii="Arial" w:eastAsia="Times New Roman" w:hAnsi="Arial" w:cs="Arial"/>
                <w:color w:val="000000"/>
                <w:sz w:val="18"/>
                <w:szCs w:val="18"/>
              </w:rPr>
            </w:pPr>
            <w:r w:rsidRPr="00BA48F1">
              <w:rPr>
                <w:rFonts w:ascii="Arial" w:eastAsia="Times New Roman" w:hAnsi="Arial" w:cs="Arial"/>
                <w:color w:val="000000"/>
                <w:sz w:val="18"/>
                <w:szCs w:val="18"/>
              </w:rPr>
              <w:t>46%</w:t>
            </w:r>
          </w:p>
        </w:tc>
        <w:tc>
          <w:tcPr>
            <w:tcW w:w="1172" w:type="dxa"/>
            <w:tcBorders>
              <w:top w:val="nil"/>
              <w:left w:val="nil"/>
              <w:bottom w:val="single" w:sz="4" w:space="0" w:color="auto"/>
              <w:right w:val="single" w:sz="4" w:space="0" w:color="auto"/>
            </w:tcBorders>
            <w:shd w:val="clear" w:color="auto" w:fill="auto"/>
            <w:noWrap/>
            <w:vAlign w:val="bottom"/>
            <w:hideMark/>
          </w:tcPr>
          <w:p w14:paraId="56272003" w14:textId="77777777" w:rsidR="00BA48F1" w:rsidRPr="00BA48F1" w:rsidRDefault="00BA48F1" w:rsidP="00BA48F1">
            <w:pPr>
              <w:spacing w:after="0" w:line="240" w:lineRule="auto"/>
              <w:jc w:val="center"/>
              <w:rPr>
                <w:rFonts w:ascii="Arial" w:eastAsia="Times New Roman" w:hAnsi="Arial" w:cs="Arial"/>
                <w:color w:val="000000"/>
                <w:sz w:val="18"/>
                <w:szCs w:val="18"/>
              </w:rPr>
            </w:pPr>
            <w:r w:rsidRPr="00BA48F1">
              <w:rPr>
                <w:rFonts w:ascii="Arial" w:eastAsia="Times New Roman" w:hAnsi="Arial" w:cs="Arial"/>
                <w:color w:val="000000"/>
                <w:sz w:val="18"/>
                <w:szCs w:val="18"/>
              </w:rPr>
              <w:t>9.5</w:t>
            </w:r>
          </w:p>
        </w:tc>
        <w:tc>
          <w:tcPr>
            <w:tcW w:w="222" w:type="dxa"/>
            <w:vAlign w:val="center"/>
            <w:hideMark/>
          </w:tcPr>
          <w:p w14:paraId="3603EBE1" w14:textId="77777777" w:rsidR="00BA48F1" w:rsidRPr="00BA48F1" w:rsidRDefault="00BA48F1" w:rsidP="00BA48F1">
            <w:pPr>
              <w:spacing w:after="0" w:line="240" w:lineRule="auto"/>
              <w:rPr>
                <w:rFonts w:ascii="Times New Roman" w:eastAsia="Times New Roman" w:hAnsi="Times New Roman" w:cs="Times New Roman"/>
                <w:sz w:val="20"/>
                <w:szCs w:val="20"/>
              </w:rPr>
            </w:pPr>
          </w:p>
        </w:tc>
      </w:tr>
      <w:tr w:rsidR="00BA48F1" w:rsidRPr="00BA48F1" w14:paraId="68A9643C" w14:textId="77777777" w:rsidTr="003A0791">
        <w:trPr>
          <w:trHeight w:val="300"/>
        </w:trPr>
        <w:tc>
          <w:tcPr>
            <w:tcW w:w="1817" w:type="dxa"/>
            <w:tcBorders>
              <w:top w:val="nil"/>
              <w:left w:val="single" w:sz="4" w:space="0" w:color="auto"/>
              <w:bottom w:val="single" w:sz="4" w:space="0" w:color="auto"/>
              <w:right w:val="single" w:sz="4" w:space="0" w:color="auto"/>
            </w:tcBorders>
            <w:shd w:val="clear" w:color="auto" w:fill="auto"/>
            <w:noWrap/>
            <w:vAlign w:val="bottom"/>
            <w:hideMark/>
          </w:tcPr>
          <w:p w14:paraId="088D7F47" w14:textId="77777777" w:rsidR="00BA48F1" w:rsidRPr="00BA48F1" w:rsidRDefault="00BA48F1" w:rsidP="00BA48F1">
            <w:pPr>
              <w:spacing w:after="0" w:line="240" w:lineRule="auto"/>
              <w:rPr>
                <w:rFonts w:ascii="Arial" w:eastAsia="Times New Roman" w:hAnsi="Arial" w:cs="Arial"/>
                <w:color w:val="000000"/>
                <w:sz w:val="18"/>
                <w:szCs w:val="18"/>
              </w:rPr>
            </w:pPr>
            <w:r w:rsidRPr="00BA48F1">
              <w:rPr>
                <w:rFonts w:ascii="Arial" w:eastAsia="Times New Roman" w:hAnsi="Arial" w:cs="Arial"/>
                <w:color w:val="000000"/>
                <w:sz w:val="18"/>
                <w:szCs w:val="18"/>
              </w:rPr>
              <w:t>PITTSFIELD</w:t>
            </w:r>
          </w:p>
        </w:tc>
        <w:tc>
          <w:tcPr>
            <w:tcW w:w="1117" w:type="dxa"/>
            <w:tcBorders>
              <w:top w:val="nil"/>
              <w:left w:val="nil"/>
              <w:bottom w:val="single" w:sz="4" w:space="0" w:color="auto"/>
              <w:right w:val="single" w:sz="4" w:space="0" w:color="auto"/>
            </w:tcBorders>
            <w:shd w:val="clear" w:color="auto" w:fill="auto"/>
            <w:noWrap/>
            <w:vAlign w:val="bottom"/>
            <w:hideMark/>
          </w:tcPr>
          <w:p w14:paraId="37586969" w14:textId="77777777" w:rsidR="00BA48F1" w:rsidRPr="00BA48F1" w:rsidRDefault="00BA48F1" w:rsidP="00BA48F1">
            <w:pPr>
              <w:spacing w:after="0" w:line="240" w:lineRule="auto"/>
              <w:jc w:val="center"/>
              <w:rPr>
                <w:rFonts w:ascii="Arial" w:eastAsia="Times New Roman" w:hAnsi="Arial" w:cs="Arial"/>
                <w:color w:val="000000"/>
                <w:sz w:val="18"/>
                <w:szCs w:val="18"/>
              </w:rPr>
            </w:pPr>
            <w:r w:rsidRPr="00BA48F1">
              <w:rPr>
                <w:rFonts w:ascii="Arial" w:eastAsia="Times New Roman" w:hAnsi="Arial" w:cs="Arial"/>
                <w:color w:val="000000"/>
                <w:sz w:val="18"/>
                <w:szCs w:val="18"/>
              </w:rPr>
              <w:t>72%</w:t>
            </w:r>
          </w:p>
        </w:tc>
        <w:tc>
          <w:tcPr>
            <w:tcW w:w="856" w:type="dxa"/>
            <w:tcBorders>
              <w:top w:val="nil"/>
              <w:left w:val="nil"/>
              <w:bottom w:val="single" w:sz="4" w:space="0" w:color="auto"/>
              <w:right w:val="single" w:sz="4" w:space="0" w:color="auto"/>
            </w:tcBorders>
            <w:shd w:val="clear" w:color="auto" w:fill="auto"/>
            <w:noWrap/>
            <w:vAlign w:val="bottom"/>
            <w:hideMark/>
          </w:tcPr>
          <w:p w14:paraId="55D0B7D6" w14:textId="77777777" w:rsidR="00BA48F1" w:rsidRPr="00BA48F1" w:rsidRDefault="00BA48F1" w:rsidP="00BA48F1">
            <w:pPr>
              <w:spacing w:after="0" w:line="240" w:lineRule="auto"/>
              <w:jc w:val="center"/>
              <w:rPr>
                <w:rFonts w:ascii="Arial" w:eastAsia="Times New Roman" w:hAnsi="Arial" w:cs="Arial"/>
                <w:color w:val="000000"/>
                <w:sz w:val="18"/>
                <w:szCs w:val="18"/>
              </w:rPr>
            </w:pPr>
            <w:r w:rsidRPr="00BA48F1">
              <w:rPr>
                <w:rFonts w:ascii="Arial" w:eastAsia="Times New Roman" w:hAnsi="Arial" w:cs="Arial"/>
                <w:color w:val="000000"/>
                <w:sz w:val="18"/>
                <w:szCs w:val="18"/>
              </w:rPr>
              <w:t>23</w:t>
            </w:r>
          </w:p>
        </w:tc>
        <w:tc>
          <w:tcPr>
            <w:tcW w:w="1432" w:type="dxa"/>
            <w:tcBorders>
              <w:top w:val="nil"/>
              <w:left w:val="nil"/>
              <w:bottom w:val="single" w:sz="4" w:space="0" w:color="auto"/>
              <w:right w:val="single" w:sz="4" w:space="0" w:color="auto"/>
            </w:tcBorders>
            <w:shd w:val="clear" w:color="auto" w:fill="auto"/>
            <w:noWrap/>
            <w:vAlign w:val="bottom"/>
            <w:hideMark/>
          </w:tcPr>
          <w:p w14:paraId="43296CA7" w14:textId="77777777" w:rsidR="00BA48F1" w:rsidRPr="00BA48F1" w:rsidRDefault="00BA48F1" w:rsidP="00BA48F1">
            <w:pPr>
              <w:spacing w:after="0" w:line="240" w:lineRule="auto"/>
              <w:jc w:val="center"/>
              <w:rPr>
                <w:rFonts w:ascii="Arial" w:eastAsia="Times New Roman" w:hAnsi="Arial" w:cs="Arial"/>
                <w:color w:val="000000"/>
                <w:sz w:val="18"/>
                <w:szCs w:val="18"/>
              </w:rPr>
            </w:pPr>
            <w:r w:rsidRPr="00BA48F1">
              <w:rPr>
                <w:rFonts w:ascii="Arial" w:eastAsia="Times New Roman" w:hAnsi="Arial" w:cs="Arial"/>
                <w:color w:val="000000"/>
                <w:sz w:val="18"/>
                <w:szCs w:val="18"/>
              </w:rPr>
              <w:t>4.1</w:t>
            </w:r>
          </w:p>
        </w:tc>
        <w:tc>
          <w:tcPr>
            <w:tcW w:w="974" w:type="dxa"/>
            <w:tcBorders>
              <w:top w:val="nil"/>
              <w:left w:val="nil"/>
              <w:bottom w:val="single" w:sz="4" w:space="0" w:color="auto"/>
              <w:right w:val="single" w:sz="4" w:space="0" w:color="auto"/>
            </w:tcBorders>
            <w:shd w:val="clear" w:color="auto" w:fill="auto"/>
            <w:noWrap/>
            <w:vAlign w:val="bottom"/>
            <w:hideMark/>
          </w:tcPr>
          <w:p w14:paraId="273A0954" w14:textId="77777777" w:rsidR="00BA48F1" w:rsidRPr="00BA48F1" w:rsidRDefault="00BA48F1" w:rsidP="00BA48F1">
            <w:pPr>
              <w:spacing w:after="0" w:line="240" w:lineRule="auto"/>
              <w:jc w:val="center"/>
              <w:rPr>
                <w:rFonts w:ascii="Arial" w:eastAsia="Times New Roman" w:hAnsi="Arial" w:cs="Arial"/>
                <w:color w:val="000000"/>
                <w:sz w:val="18"/>
                <w:szCs w:val="18"/>
              </w:rPr>
            </w:pPr>
            <w:r w:rsidRPr="00BA48F1">
              <w:rPr>
                <w:rFonts w:ascii="Arial" w:eastAsia="Times New Roman" w:hAnsi="Arial" w:cs="Arial"/>
                <w:color w:val="000000"/>
                <w:sz w:val="18"/>
                <w:szCs w:val="18"/>
              </w:rPr>
              <w:t>27%</w:t>
            </w:r>
          </w:p>
        </w:tc>
        <w:tc>
          <w:tcPr>
            <w:tcW w:w="1529" w:type="dxa"/>
            <w:tcBorders>
              <w:top w:val="nil"/>
              <w:left w:val="nil"/>
              <w:bottom w:val="single" w:sz="4" w:space="0" w:color="auto"/>
              <w:right w:val="single" w:sz="4" w:space="0" w:color="auto"/>
            </w:tcBorders>
            <w:shd w:val="clear" w:color="auto" w:fill="auto"/>
            <w:noWrap/>
            <w:vAlign w:val="bottom"/>
            <w:hideMark/>
          </w:tcPr>
          <w:p w14:paraId="78849A01" w14:textId="77777777" w:rsidR="00BA48F1" w:rsidRPr="00BA48F1" w:rsidRDefault="00BA48F1" w:rsidP="00BA48F1">
            <w:pPr>
              <w:spacing w:after="0" w:line="240" w:lineRule="auto"/>
              <w:jc w:val="center"/>
              <w:rPr>
                <w:rFonts w:ascii="Arial" w:eastAsia="Times New Roman" w:hAnsi="Arial" w:cs="Arial"/>
                <w:color w:val="000000"/>
                <w:sz w:val="18"/>
                <w:szCs w:val="18"/>
              </w:rPr>
            </w:pPr>
            <w:r w:rsidRPr="00BA48F1">
              <w:rPr>
                <w:rFonts w:ascii="Arial" w:eastAsia="Times New Roman" w:hAnsi="Arial" w:cs="Arial"/>
                <w:color w:val="000000"/>
                <w:sz w:val="18"/>
                <w:szCs w:val="18"/>
              </w:rPr>
              <w:t>59%</w:t>
            </w:r>
          </w:p>
        </w:tc>
        <w:tc>
          <w:tcPr>
            <w:tcW w:w="1172" w:type="dxa"/>
            <w:tcBorders>
              <w:top w:val="nil"/>
              <w:left w:val="nil"/>
              <w:bottom w:val="single" w:sz="4" w:space="0" w:color="auto"/>
              <w:right w:val="single" w:sz="4" w:space="0" w:color="auto"/>
            </w:tcBorders>
            <w:shd w:val="clear" w:color="auto" w:fill="auto"/>
            <w:noWrap/>
            <w:vAlign w:val="bottom"/>
            <w:hideMark/>
          </w:tcPr>
          <w:p w14:paraId="121504F0" w14:textId="77777777" w:rsidR="00BA48F1" w:rsidRPr="00BA48F1" w:rsidRDefault="00BA48F1" w:rsidP="00BA48F1">
            <w:pPr>
              <w:spacing w:after="0" w:line="240" w:lineRule="auto"/>
              <w:jc w:val="center"/>
              <w:rPr>
                <w:rFonts w:ascii="Arial" w:eastAsia="Times New Roman" w:hAnsi="Arial" w:cs="Arial"/>
                <w:color w:val="000000"/>
                <w:sz w:val="18"/>
                <w:szCs w:val="18"/>
              </w:rPr>
            </w:pPr>
            <w:r w:rsidRPr="00BA48F1">
              <w:rPr>
                <w:rFonts w:ascii="Arial" w:eastAsia="Times New Roman" w:hAnsi="Arial" w:cs="Arial"/>
                <w:color w:val="000000"/>
                <w:sz w:val="18"/>
                <w:szCs w:val="18"/>
              </w:rPr>
              <w:t>5.4</w:t>
            </w:r>
          </w:p>
        </w:tc>
        <w:tc>
          <w:tcPr>
            <w:tcW w:w="222" w:type="dxa"/>
            <w:vAlign w:val="center"/>
            <w:hideMark/>
          </w:tcPr>
          <w:p w14:paraId="4B6B264E" w14:textId="77777777" w:rsidR="00BA48F1" w:rsidRPr="00BA48F1" w:rsidRDefault="00BA48F1" w:rsidP="00BA48F1">
            <w:pPr>
              <w:spacing w:after="0" w:line="240" w:lineRule="auto"/>
              <w:rPr>
                <w:rFonts w:ascii="Times New Roman" w:eastAsia="Times New Roman" w:hAnsi="Times New Roman" w:cs="Times New Roman"/>
                <w:sz w:val="20"/>
                <w:szCs w:val="20"/>
              </w:rPr>
            </w:pPr>
          </w:p>
        </w:tc>
      </w:tr>
      <w:tr w:rsidR="00BA48F1" w:rsidRPr="00BA48F1" w14:paraId="56862B7C" w14:textId="77777777" w:rsidTr="003A0791">
        <w:trPr>
          <w:trHeight w:val="300"/>
        </w:trPr>
        <w:tc>
          <w:tcPr>
            <w:tcW w:w="1817" w:type="dxa"/>
            <w:tcBorders>
              <w:top w:val="nil"/>
              <w:left w:val="single" w:sz="4" w:space="0" w:color="auto"/>
              <w:bottom w:val="single" w:sz="4" w:space="0" w:color="auto"/>
              <w:right w:val="single" w:sz="4" w:space="0" w:color="auto"/>
            </w:tcBorders>
            <w:shd w:val="clear" w:color="auto" w:fill="auto"/>
            <w:noWrap/>
            <w:vAlign w:val="bottom"/>
            <w:hideMark/>
          </w:tcPr>
          <w:p w14:paraId="45775333" w14:textId="77777777" w:rsidR="00BA48F1" w:rsidRPr="00BA48F1" w:rsidRDefault="00BA48F1" w:rsidP="00BA48F1">
            <w:pPr>
              <w:spacing w:after="0" w:line="240" w:lineRule="auto"/>
              <w:rPr>
                <w:rFonts w:ascii="Arial" w:eastAsia="Times New Roman" w:hAnsi="Arial" w:cs="Arial"/>
                <w:color w:val="000000"/>
                <w:sz w:val="18"/>
                <w:szCs w:val="18"/>
              </w:rPr>
            </w:pPr>
            <w:r w:rsidRPr="00BA48F1">
              <w:rPr>
                <w:rFonts w:ascii="Arial" w:eastAsia="Times New Roman" w:hAnsi="Arial" w:cs="Arial"/>
                <w:color w:val="000000"/>
                <w:sz w:val="18"/>
                <w:szCs w:val="18"/>
              </w:rPr>
              <w:t>SPRINGFIELD</w:t>
            </w:r>
          </w:p>
        </w:tc>
        <w:tc>
          <w:tcPr>
            <w:tcW w:w="1117" w:type="dxa"/>
            <w:tcBorders>
              <w:top w:val="nil"/>
              <w:left w:val="nil"/>
              <w:bottom w:val="single" w:sz="4" w:space="0" w:color="auto"/>
              <w:right w:val="single" w:sz="4" w:space="0" w:color="auto"/>
            </w:tcBorders>
            <w:shd w:val="clear" w:color="auto" w:fill="auto"/>
            <w:noWrap/>
            <w:vAlign w:val="bottom"/>
            <w:hideMark/>
          </w:tcPr>
          <w:p w14:paraId="0DBF999B" w14:textId="77777777" w:rsidR="00BA48F1" w:rsidRPr="00BA48F1" w:rsidRDefault="00BA48F1" w:rsidP="00BA48F1">
            <w:pPr>
              <w:spacing w:after="0" w:line="240" w:lineRule="auto"/>
              <w:jc w:val="center"/>
              <w:rPr>
                <w:rFonts w:ascii="Arial" w:eastAsia="Times New Roman" w:hAnsi="Arial" w:cs="Arial"/>
                <w:color w:val="000000"/>
                <w:sz w:val="18"/>
                <w:szCs w:val="18"/>
              </w:rPr>
            </w:pPr>
            <w:r w:rsidRPr="00BA48F1">
              <w:rPr>
                <w:rFonts w:ascii="Arial" w:eastAsia="Times New Roman" w:hAnsi="Arial" w:cs="Arial"/>
                <w:color w:val="000000"/>
                <w:sz w:val="18"/>
                <w:szCs w:val="18"/>
              </w:rPr>
              <w:t>73%</w:t>
            </w:r>
          </w:p>
        </w:tc>
        <w:tc>
          <w:tcPr>
            <w:tcW w:w="856" w:type="dxa"/>
            <w:tcBorders>
              <w:top w:val="nil"/>
              <w:left w:val="nil"/>
              <w:bottom w:val="single" w:sz="4" w:space="0" w:color="auto"/>
              <w:right w:val="single" w:sz="4" w:space="0" w:color="auto"/>
            </w:tcBorders>
            <w:shd w:val="clear" w:color="auto" w:fill="auto"/>
            <w:noWrap/>
            <w:vAlign w:val="bottom"/>
            <w:hideMark/>
          </w:tcPr>
          <w:p w14:paraId="0A748D21" w14:textId="77777777" w:rsidR="00BA48F1" w:rsidRPr="00BA48F1" w:rsidRDefault="00BA48F1" w:rsidP="00BA48F1">
            <w:pPr>
              <w:spacing w:after="0" w:line="240" w:lineRule="auto"/>
              <w:jc w:val="center"/>
              <w:rPr>
                <w:rFonts w:ascii="Arial" w:eastAsia="Times New Roman" w:hAnsi="Arial" w:cs="Arial"/>
                <w:color w:val="000000"/>
                <w:sz w:val="18"/>
                <w:szCs w:val="18"/>
              </w:rPr>
            </w:pPr>
            <w:r w:rsidRPr="00BA48F1">
              <w:rPr>
                <w:rFonts w:ascii="Arial" w:eastAsia="Times New Roman" w:hAnsi="Arial" w:cs="Arial"/>
                <w:color w:val="000000"/>
                <w:sz w:val="18"/>
                <w:szCs w:val="18"/>
              </w:rPr>
              <w:t>106</w:t>
            </w:r>
          </w:p>
        </w:tc>
        <w:tc>
          <w:tcPr>
            <w:tcW w:w="1432" w:type="dxa"/>
            <w:tcBorders>
              <w:top w:val="nil"/>
              <w:left w:val="nil"/>
              <w:bottom w:val="single" w:sz="4" w:space="0" w:color="auto"/>
              <w:right w:val="single" w:sz="4" w:space="0" w:color="auto"/>
            </w:tcBorders>
            <w:shd w:val="clear" w:color="auto" w:fill="auto"/>
            <w:noWrap/>
            <w:vAlign w:val="bottom"/>
            <w:hideMark/>
          </w:tcPr>
          <w:p w14:paraId="3456D8D8" w14:textId="77777777" w:rsidR="00BA48F1" w:rsidRPr="00BA48F1" w:rsidRDefault="00BA48F1" w:rsidP="00BA48F1">
            <w:pPr>
              <w:spacing w:after="0" w:line="240" w:lineRule="auto"/>
              <w:jc w:val="center"/>
              <w:rPr>
                <w:rFonts w:ascii="Arial" w:eastAsia="Times New Roman" w:hAnsi="Arial" w:cs="Arial"/>
                <w:color w:val="000000"/>
                <w:sz w:val="18"/>
                <w:szCs w:val="18"/>
              </w:rPr>
            </w:pPr>
            <w:r w:rsidRPr="00BA48F1">
              <w:rPr>
                <w:rFonts w:ascii="Arial" w:eastAsia="Times New Roman" w:hAnsi="Arial" w:cs="Arial"/>
                <w:color w:val="000000"/>
                <w:sz w:val="18"/>
                <w:szCs w:val="18"/>
              </w:rPr>
              <w:t>4.5</w:t>
            </w:r>
          </w:p>
        </w:tc>
        <w:tc>
          <w:tcPr>
            <w:tcW w:w="974" w:type="dxa"/>
            <w:tcBorders>
              <w:top w:val="nil"/>
              <w:left w:val="nil"/>
              <w:bottom w:val="single" w:sz="4" w:space="0" w:color="auto"/>
              <w:right w:val="single" w:sz="4" w:space="0" w:color="auto"/>
            </w:tcBorders>
            <w:shd w:val="clear" w:color="auto" w:fill="auto"/>
            <w:noWrap/>
            <w:vAlign w:val="bottom"/>
            <w:hideMark/>
          </w:tcPr>
          <w:p w14:paraId="02C9B69B" w14:textId="77777777" w:rsidR="00BA48F1" w:rsidRPr="00BA48F1" w:rsidRDefault="00BA48F1" w:rsidP="00BA48F1">
            <w:pPr>
              <w:spacing w:after="0" w:line="240" w:lineRule="auto"/>
              <w:jc w:val="center"/>
              <w:rPr>
                <w:rFonts w:ascii="Arial" w:eastAsia="Times New Roman" w:hAnsi="Arial" w:cs="Arial"/>
                <w:color w:val="000000"/>
                <w:sz w:val="18"/>
                <w:szCs w:val="18"/>
              </w:rPr>
            </w:pPr>
            <w:r w:rsidRPr="00BA48F1">
              <w:rPr>
                <w:rFonts w:ascii="Arial" w:eastAsia="Times New Roman" w:hAnsi="Arial" w:cs="Arial"/>
                <w:color w:val="000000"/>
                <w:sz w:val="18"/>
                <w:szCs w:val="18"/>
              </w:rPr>
              <w:t>46%</w:t>
            </w:r>
          </w:p>
        </w:tc>
        <w:tc>
          <w:tcPr>
            <w:tcW w:w="1529" w:type="dxa"/>
            <w:tcBorders>
              <w:top w:val="nil"/>
              <w:left w:val="nil"/>
              <w:bottom w:val="single" w:sz="4" w:space="0" w:color="auto"/>
              <w:right w:val="single" w:sz="4" w:space="0" w:color="auto"/>
            </w:tcBorders>
            <w:shd w:val="clear" w:color="auto" w:fill="auto"/>
            <w:noWrap/>
            <w:vAlign w:val="bottom"/>
            <w:hideMark/>
          </w:tcPr>
          <w:p w14:paraId="0F6F0D83" w14:textId="77777777" w:rsidR="00BA48F1" w:rsidRPr="00BA48F1" w:rsidRDefault="00BA48F1" w:rsidP="00BA48F1">
            <w:pPr>
              <w:spacing w:after="0" w:line="240" w:lineRule="auto"/>
              <w:jc w:val="center"/>
              <w:rPr>
                <w:rFonts w:ascii="Arial" w:eastAsia="Times New Roman" w:hAnsi="Arial" w:cs="Arial"/>
                <w:color w:val="000000"/>
                <w:sz w:val="18"/>
                <w:szCs w:val="18"/>
              </w:rPr>
            </w:pPr>
            <w:r w:rsidRPr="00BA48F1">
              <w:rPr>
                <w:rFonts w:ascii="Arial" w:eastAsia="Times New Roman" w:hAnsi="Arial" w:cs="Arial"/>
                <w:color w:val="000000"/>
                <w:sz w:val="18"/>
                <w:szCs w:val="18"/>
              </w:rPr>
              <w:t>73%</w:t>
            </w:r>
          </w:p>
        </w:tc>
        <w:tc>
          <w:tcPr>
            <w:tcW w:w="1172" w:type="dxa"/>
            <w:tcBorders>
              <w:top w:val="nil"/>
              <w:left w:val="nil"/>
              <w:bottom w:val="single" w:sz="4" w:space="0" w:color="auto"/>
              <w:right w:val="single" w:sz="4" w:space="0" w:color="auto"/>
            </w:tcBorders>
            <w:shd w:val="clear" w:color="auto" w:fill="auto"/>
            <w:noWrap/>
            <w:vAlign w:val="bottom"/>
            <w:hideMark/>
          </w:tcPr>
          <w:p w14:paraId="32660CB8" w14:textId="77777777" w:rsidR="00BA48F1" w:rsidRPr="00BA48F1" w:rsidRDefault="00BA48F1" w:rsidP="00BA48F1">
            <w:pPr>
              <w:spacing w:after="0" w:line="240" w:lineRule="auto"/>
              <w:jc w:val="center"/>
              <w:rPr>
                <w:rFonts w:ascii="Arial" w:eastAsia="Times New Roman" w:hAnsi="Arial" w:cs="Arial"/>
                <w:color w:val="000000"/>
                <w:sz w:val="18"/>
                <w:szCs w:val="18"/>
              </w:rPr>
            </w:pPr>
            <w:r w:rsidRPr="00BA48F1">
              <w:rPr>
                <w:rFonts w:ascii="Arial" w:eastAsia="Times New Roman" w:hAnsi="Arial" w:cs="Arial"/>
                <w:color w:val="000000"/>
                <w:sz w:val="18"/>
                <w:szCs w:val="18"/>
              </w:rPr>
              <w:t>12.7</w:t>
            </w:r>
          </w:p>
        </w:tc>
        <w:tc>
          <w:tcPr>
            <w:tcW w:w="222" w:type="dxa"/>
            <w:vAlign w:val="center"/>
            <w:hideMark/>
          </w:tcPr>
          <w:p w14:paraId="1002CD2F" w14:textId="77777777" w:rsidR="00BA48F1" w:rsidRPr="00BA48F1" w:rsidRDefault="00BA48F1" w:rsidP="00BA48F1">
            <w:pPr>
              <w:spacing w:after="0" w:line="240" w:lineRule="auto"/>
              <w:rPr>
                <w:rFonts w:ascii="Times New Roman" w:eastAsia="Times New Roman" w:hAnsi="Times New Roman" w:cs="Times New Roman"/>
                <w:sz w:val="20"/>
                <w:szCs w:val="20"/>
              </w:rPr>
            </w:pPr>
          </w:p>
        </w:tc>
      </w:tr>
      <w:tr w:rsidR="00BA48F1" w:rsidRPr="00BA48F1" w14:paraId="033973DB" w14:textId="77777777" w:rsidTr="003A0791">
        <w:trPr>
          <w:trHeight w:val="300"/>
        </w:trPr>
        <w:tc>
          <w:tcPr>
            <w:tcW w:w="1817" w:type="dxa"/>
            <w:tcBorders>
              <w:top w:val="nil"/>
              <w:left w:val="single" w:sz="4" w:space="0" w:color="auto"/>
              <w:bottom w:val="single" w:sz="4" w:space="0" w:color="auto"/>
              <w:right w:val="single" w:sz="4" w:space="0" w:color="auto"/>
            </w:tcBorders>
            <w:shd w:val="clear" w:color="auto" w:fill="auto"/>
            <w:noWrap/>
            <w:vAlign w:val="bottom"/>
            <w:hideMark/>
          </w:tcPr>
          <w:p w14:paraId="743F22B7" w14:textId="77777777" w:rsidR="00BA48F1" w:rsidRPr="00BA48F1" w:rsidRDefault="00BA48F1" w:rsidP="00BA48F1">
            <w:pPr>
              <w:spacing w:after="0" w:line="240" w:lineRule="auto"/>
              <w:rPr>
                <w:rFonts w:ascii="Arial" w:eastAsia="Times New Roman" w:hAnsi="Arial" w:cs="Arial"/>
                <w:color w:val="000000"/>
                <w:sz w:val="18"/>
                <w:szCs w:val="18"/>
              </w:rPr>
            </w:pPr>
            <w:r w:rsidRPr="00BA48F1">
              <w:rPr>
                <w:rFonts w:ascii="Arial" w:eastAsia="Times New Roman" w:hAnsi="Arial" w:cs="Arial"/>
                <w:color w:val="000000"/>
                <w:sz w:val="18"/>
                <w:szCs w:val="18"/>
              </w:rPr>
              <w:t>WESTFIELD</w:t>
            </w:r>
          </w:p>
        </w:tc>
        <w:tc>
          <w:tcPr>
            <w:tcW w:w="1117" w:type="dxa"/>
            <w:tcBorders>
              <w:top w:val="nil"/>
              <w:left w:val="nil"/>
              <w:bottom w:val="single" w:sz="4" w:space="0" w:color="auto"/>
              <w:right w:val="single" w:sz="4" w:space="0" w:color="auto"/>
            </w:tcBorders>
            <w:shd w:val="clear" w:color="auto" w:fill="auto"/>
            <w:noWrap/>
            <w:vAlign w:val="bottom"/>
            <w:hideMark/>
          </w:tcPr>
          <w:p w14:paraId="3523AB2F" w14:textId="77777777" w:rsidR="00BA48F1" w:rsidRPr="00BA48F1" w:rsidRDefault="00BA48F1" w:rsidP="00BA48F1">
            <w:pPr>
              <w:spacing w:after="0" w:line="240" w:lineRule="auto"/>
              <w:jc w:val="center"/>
              <w:rPr>
                <w:rFonts w:ascii="Arial" w:eastAsia="Times New Roman" w:hAnsi="Arial" w:cs="Arial"/>
                <w:color w:val="000000"/>
                <w:sz w:val="18"/>
                <w:szCs w:val="18"/>
              </w:rPr>
            </w:pPr>
            <w:r w:rsidRPr="00BA48F1">
              <w:rPr>
                <w:rFonts w:ascii="Arial" w:eastAsia="Times New Roman" w:hAnsi="Arial" w:cs="Arial"/>
                <w:color w:val="000000"/>
                <w:sz w:val="18"/>
                <w:szCs w:val="18"/>
              </w:rPr>
              <w:t>58%</w:t>
            </w:r>
          </w:p>
        </w:tc>
        <w:tc>
          <w:tcPr>
            <w:tcW w:w="856" w:type="dxa"/>
            <w:tcBorders>
              <w:top w:val="nil"/>
              <w:left w:val="nil"/>
              <w:bottom w:val="single" w:sz="4" w:space="0" w:color="auto"/>
              <w:right w:val="single" w:sz="4" w:space="0" w:color="auto"/>
            </w:tcBorders>
            <w:shd w:val="clear" w:color="auto" w:fill="auto"/>
            <w:noWrap/>
            <w:vAlign w:val="bottom"/>
            <w:hideMark/>
          </w:tcPr>
          <w:p w14:paraId="346B08B6" w14:textId="77777777" w:rsidR="00BA48F1" w:rsidRPr="00BA48F1" w:rsidRDefault="00BA48F1" w:rsidP="00BA48F1">
            <w:pPr>
              <w:spacing w:after="0" w:line="240" w:lineRule="auto"/>
              <w:jc w:val="center"/>
              <w:rPr>
                <w:rFonts w:ascii="Arial" w:eastAsia="Times New Roman" w:hAnsi="Arial" w:cs="Arial"/>
                <w:color w:val="000000"/>
                <w:sz w:val="18"/>
                <w:szCs w:val="18"/>
              </w:rPr>
            </w:pPr>
            <w:r w:rsidRPr="00BA48F1">
              <w:rPr>
                <w:rFonts w:ascii="Arial" w:eastAsia="Times New Roman" w:hAnsi="Arial" w:cs="Arial"/>
                <w:color w:val="000000"/>
                <w:sz w:val="18"/>
                <w:szCs w:val="18"/>
              </w:rPr>
              <w:t>21</w:t>
            </w:r>
          </w:p>
        </w:tc>
        <w:tc>
          <w:tcPr>
            <w:tcW w:w="1432" w:type="dxa"/>
            <w:tcBorders>
              <w:top w:val="nil"/>
              <w:left w:val="nil"/>
              <w:bottom w:val="single" w:sz="4" w:space="0" w:color="auto"/>
              <w:right w:val="single" w:sz="4" w:space="0" w:color="auto"/>
            </w:tcBorders>
            <w:shd w:val="clear" w:color="auto" w:fill="auto"/>
            <w:noWrap/>
            <w:vAlign w:val="bottom"/>
            <w:hideMark/>
          </w:tcPr>
          <w:p w14:paraId="0939F168" w14:textId="77777777" w:rsidR="00BA48F1" w:rsidRPr="00BA48F1" w:rsidRDefault="00BA48F1" w:rsidP="00BA48F1">
            <w:pPr>
              <w:spacing w:after="0" w:line="240" w:lineRule="auto"/>
              <w:jc w:val="center"/>
              <w:rPr>
                <w:rFonts w:ascii="Arial" w:eastAsia="Times New Roman" w:hAnsi="Arial" w:cs="Arial"/>
                <w:color w:val="000000"/>
                <w:sz w:val="18"/>
                <w:szCs w:val="18"/>
              </w:rPr>
            </w:pPr>
            <w:r w:rsidRPr="00BA48F1">
              <w:rPr>
                <w:rFonts w:ascii="Arial" w:eastAsia="Times New Roman" w:hAnsi="Arial" w:cs="Arial"/>
                <w:color w:val="000000"/>
                <w:sz w:val="18"/>
                <w:szCs w:val="18"/>
              </w:rPr>
              <w:t>5.1</w:t>
            </w:r>
          </w:p>
        </w:tc>
        <w:tc>
          <w:tcPr>
            <w:tcW w:w="974" w:type="dxa"/>
            <w:tcBorders>
              <w:top w:val="nil"/>
              <w:left w:val="nil"/>
              <w:bottom w:val="single" w:sz="4" w:space="0" w:color="auto"/>
              <w:right w:val="single" w:sz="4" w:space="0" w:color="auto"/>
            </w:tcBorders>
            <w:shd w:val="clear" w:color="auto" w:fill="auto"/>
            <w:noWrap/>
            <w:vAlign w:val="bottom"/>
            <w:hideMark/>
          </w:tcPr>
          <w:p w14:paraId="0EEEDA9B" w14:textId="77777777" w:rsidR="00BA48F1" w:rsidRPr="00BA48F1" w:rsidRDefault="00BA48F1" w:rsidP="00BA48F1">
            <w:pPr>
              <w:spacing w:after="0" w:line="240" w:lineRule="auto"/>
              <w:jc w:val="center"/>
              <w:rPr>
                <w:rFonts w:ascii="Arial" w:eastAsia="Times New Roman" w:hAnsi="Arial" w:cs="Arial"/>
                <w:color w:val="000000"/>
                <w:sz w:val="18"/>
                <w:szCs w:val="18"/>
              </w:rPr>
            </w:pPr>
            <w:r w:rsidRPr="00BA48F1">
              <w:rPr>
                <w:rFonts w:ascii="Arial" w:eastAsia="Times New Roman" w:hAnsi="Arial" w:cs="Arial"/>
                <w:color w:val="000000"/>
                <w:sz w:val="18"/>
                <w:szCs w:val="18"/>
              </w:rPr>
              <w:t>19%</w:t>
            </w:r>
          </w:p>
        </w:tc>
        <w:tc>
          <w:tcPr>
            <w:tcW w:w="1529" w:type="dxa"/>
            <w:tcBorders>
              <w:top w:val="nil"/>
              <w:left w:val="nil"/>
              <w:bottom w:val="single" w:sz="4" w:space="0" w:color="auto"/>
              <w:right w:val="single" w:sz="4" w:space="0" w:color="auto"/>
            </w:tcBorders>
            <w:shd w:val="clear" w:color="auto" w:fill="auto"/>
            <w:noWrap/>
            <w:vAlign w:val="bottom"/>
            <w:hideMark/>
          </w:tcPr>
          <w:p w14:paraId="7C452C25" w14:textId="77777777" w:rsidR="00BA48F1" w:rsidRPr="00BA48F1" w:rsidRDefault="00BA48F1" w:rsidP="00BA48F1">
            <w:pPr>
              <w:spacing w:after="0" w:line="240" w:lineRule="auto"/>
              <w:jc w:val="center"/>
              <w:rPr>
                <w:rFonts w:ascii="Arial" w:eastAsia="Times New Roman" w:hAnsi="Arial" w:cs="Arial"/>
                <w:color w:val="000000"/>
                <w:sz w:val="18"/>
                <w:szCs w:val="18"/>
              </w:rPr>
            </w:pPr>
            <w:r w:rsidRPr="00BA48F1">
              <w:rPr>
                <w:rFonts w:ascii="Arial" w:eastAsia="Times New Roman" w:hAnsi="Arial" w:cs="Arial"/>
                <w:color w:val="000000"/>
                <w:sz w:val="18"/>
                <w:szCs w:val="18"/>
              </w:rPr>
              <w:t>69%</w:t>
            </w:r>
          </w:p>
        </w:tc>
        <w:tc>
          <w:tcPr>
            <w:tcW w:w="1172" w:type="dxa"/>
            <w:tcBorders>
              <w:top w:val="nil"/>
              <w:left w:val="nil"/>
              <w:bottom w:val="single" w:sz="4" w:space="0" w:color="auto"/>
              <w:right w:val="single" w:sz="4" w:space="0" w:color="auto"/>
            </w:tcBorders>
            <w:shd w:val="clear" w:color="auto" w:fill="auto"/>
            <w:noWrap/>
            <w:vAlign w:val="bottom"/>
            <w:hideMark/>
          </w:tcPr>
          <w:p w14:paraId="04BB7E5B" w14:textId="77777777" w:rsidR="00BA48F1" w:rsidRPr="00BA48F1" w:rsidRDefault="00BA48F1" w:rsidP="00BA48F1">
            <w:pPr>
              <w:spacing w:after="0" w:line="240" w:lineRule="auto"/>
              <w:jc w:val="center"/>
              <w:rPr>
                <w:rFonts w:ascii="Arial" w:eastAsia="Times New Roman" w:hAnsi="Arial" w:cs="Arial"/>
                <w:color w:val="000000"/>
                <w:sz w:val="18"/>
                <w:szCs w:val="18"/>
              </w:rPr>
            </w:pPr>
            <w:r w:rsidRPr="00BA48F1">
              <w:rPr>
                <w:rFonts w:ascii="Arial" w:eastAsia="Times New Roman" w:hAnsi="Arial" w:cs="Arial"/>
                <w:color w:val="000000"/>
                <w:sz w:val="18"/>
                <w:szCs w:val="18"/>
              </w:rPr>
              <w:t>5.6</w:t>
            </w:r>
          </w:p>
        </w:tc>
        <w:tc>
          <w:tcPr>
            <w:tcW w:w="222" w:type="dxa"/>
            <w:vAlign w:val="center"/>
            <w:hideMark/>
          </w:tcPr>
          <w:p w14:paraId="27EB26BA" w14:textId="77777777" w:rsidR="00BA48F1" w:rsidRPr="00BA48F1" w:rsidRDefault="00BA48F1" w:rsidP="00BA48F1">
            <w:pPr>
              <w:spacing w:after="0" w:line="240" w:lineRule="auto"/>
              <w:rPr>
                <w:rFonts w:ascii="Times New Roman" w:eastAsia="Times New Roman" w:hAnsi="Times New Roman" w:cs="Times New Roman"/>
                <w:sz w:val="20"/>
                <w:szCs w:val="20"/>
              </w:rPr>
            </w:pPr>
          </w:p>
        </w:tc>
      </w:tr>
      <w:tr w:rsidR="00BA48F1" w:rsidRPr="00BA48F1" w14:paraId="3AFA7658" w14:textId="77777777" w:rsidTr="003A0791">
        <w:trPr>
          <w:trHeight w:val="300"/>
        </w:trPr>
        <w:tc>
          <w:tcPr>
            <w:tcW w:w="1817" w:type="dxa"/>
            <w:tcBorders>
              <w:top w:val="nil"/>
              <w:left w:val="single" w:sz="4" w:space="0" w:color="auto"/>
              <w:bottom w:val="single" w:sz="4" w:space="0" w:color="auto"/>
              <w:right w:val="single" w:sz="4" w:space="0" w:color="auto"/>
            </w:tcBorders>
            <w:shd w:val="clear" w:color="auto" w:fill="auto"/>
            <w:noWrap/>
            <w:vAlign w:val="bottom"/>
            <w:hideMark/>
          </w:tcPr>
          <w:p w14:paraId="4E1E5A92" w14:textId="77777777" w:rsidR="00BA48F1" w:rsidRPr="00BA48F1" w:rsidRDefault="00BA48F1" w:rsidP="00BA48F1">
            <w:pPr>
              <w:spacing w:after="0" w:line="240" w:lineRule="auto"/>
              <w:rPr>
                <w:rFonts w:ascii="Arial" w:eastAsia="Times New Roman" w:hAnsi="Arial" w:cs="Arial"/>
                <w:color w:val="000000"/>
                <w:sz w:val="18"/>
                <w:szCs w:val="18"/>
              </w:rPr>
            </w:pPr>
            <w:r w:rsidRPr="00BA48F1">
              <w:rPr>
                <w:rFonts w:ascii="Arial" w:eastAsia="Times New Roman" w:hAnsi="Arial" w:cs="Arial"/>
                <w:color w:val="000000"/>
                <w:sz w:val="18"/>
                <w:szCs w:val="18"/>
              </w:rPr>
              <w:t>WORCESTER</w:t>
            </w:r>
          </w:p>
        </w:tc>
        <w:tc>
          <w:tcPr>
            <w:tcW w:w="1117" w:type="dxa"/>
            <w:tcBorders>
              <w:top w:val="nil"/>
              <w:left w:val="nil"/>
              <w:bottom w:val="single" w:sz="4" w:space="0" w:color="auto"/>
              <w:right w:val="single" w:sz="4" w:space="0" w:color="auto"/>
            </w:tcBorders>
            <w:shd w:val="clear" w:color="auto" w:fill="auto"/>
            <w:noWrap/>
            <w:vAlign w:val="bottom"/>
            <w:hideMark/>
          </w:tcPr>
          <w:p w14:paraId="7D856DDA" w14:textId="77777777" w:rsidR="00BA48F1" w:rsidRPr="00BA48F1" w:rsidRDefault="00BA48F1" w:rsidP="00BA48F1">
            <w:pPr>
              <w:spacing w:after="0" w:line="240" w:lineRule="auto"/>
              <w:jc w:val="center"/>
              <w:rPr>
                <w:rFonts w:ascii="Arial" w:eastAsia="Times New Roman" w:hAnsi="Arial" w:cs="Arial"/>
                <w:color w:val="000000"/>
                <w:sz w:val="18"/>
                <w:szCs w:val="18"/>
              </w:rPr>
            </w:pPr>
            <w:r w:rsidRPr="00BA48F1">
              <w:rPr>
                <w:rFonts w:ascii="Arial" w:eastAsia="Times New Roman" w:hAnsi="Arial" w:cs="Arial"/>
                <w:color w:val="000000"/>
                <w:sz w:val="18"/>
                <w:szCs w:val="18"/>
              </w:rPr>
              <w:t>73%</w:t>
            </w:r>
          </w:p>
        </w:tc>
        <w:tc>
          <w:tcPr>
            <w:tcW w:w="856" w:type="dxa"/>
            <w:tcBorders>
              <w:top w:val="nil"/>
              <w:left w:val="nil"/>
              <w:bottom w:val="single" w:sz="4" w:space="0" w:color="auto"/>
              <w:right w:val="single" w:sz="4" w:space="0" w:color="auto"/>
            </w:tcBorders>
            <w:shd w:val="clear" w:color="auto" w:fill="auto"/>
            <w:noWrap/>
            <w:vAlign w:val="bottom"/>
            <w:hideMark/>
          </w:tcPr>
          <w:p w14:paraId="02D43ABC" w14:textId="77777777" w:rsidR="00BA48F1" w:rsidRPr="00BA48F1" w:rsidRDefault="00BA48F1" w:rsidP="00BA48F1">
            <w:pPr>
              <w:spacing w:after="0" w:line="240" w:lineRule="auto"/>
              <w:jc w:val="center"/>
              <w:rPr>
                <w:rFonts w:ascii="Arial" w:eastAsia="Times New Roman" w:hAnsi="Arial" w:cs="Arial"/>
                <w:color w:val="000000"/>
                <w:sz w:val="18"/>
                <w:szCs w:val="18"/>
              </w:rPr>
            </w:pPr>
            <w:r w:rsidRPr="00BA48F1">
              <w:rPr>
                <w:rFonts w:ascii="Arial" w:eastAsia="Times New Roman" w:hAnsi="Arial" w:cs="Arial"/>
                <w:color w:val="000000"/>
                <w:sz w:val="18"/>
                <w:szCs w:val="18"/>
              </w:rPr>
              <w:t>93</w:t>
            </w:r>
          </w:p>
        </w:tc>
        <w:tc>
          <w:tcPr>
            <w:tcW w:w="1432" w:type="dxa"/>
            <w:tcBorders>
              <w:top w:val="nil"/>
              <w:left w:val="nil"/>
              <w:bottom w:val="single" w:sz="4" w:space="0" w:color="auto"/>
              <w:right w:val="single" w:sz="4" w:space="0" w:color="auto"/>
            </w:tcBorders>
            <w:shd w:val="clear" w:color="auto" w:fill="auto"/>
            <w:noWrap/>
            <w:vAlign w:val="bottom"/>
            <w:hideMark/>
          </w:tcPr>
          <w:p w14:paraId="22DDFF90" w14:textId="77777777" w:rsidR="00BA48F1" w:rsidRPr="00BA48F1" w:rsidRDefault="00BA48F1" w:rsidP="00BA48F1">
            <w:pPr>
              <w:spacing w:after="0" w:line="240" w:lineRule="auto"/>
              <w:jc w:val="center"/>
              <w:rPr>
                <w:rFonts w:ascii="Arial" w:eastAsia="Times New Roman" w:hAnsi="Arial" w:cs="Arial"/>
                <w:color w:val="000000"/>
                <w:sz w:val="18"/>
                <w:szCs w:val="18"/>
              </w:rPr>
            </w:pPr>
            <w:r w:rsidRPr="00BA48F1">
              <w:rPr>
                <w:rFonts w:ascii="Arial" w:eastAsia="Times New Roman" w:hAnsi="Arial" w:cs="Arial"/>
                <w:color w:val="000000"/>
                <w:sz w:val="18"/>
                <w:szCs w:val="18"/>
              </w:rPr>
              <w:t>3.5</w:t>
            </w:r>
          </w:p>
        </w:tc>
        <w:tc>
          <w:tcPr>
            <w:tcW w:w="974" w:type="dxa"/>
            <w:tcBorders>
              <w:top w:val="nil"/>
              <w:left w:val="nil"/>
              <w:bottom w:val="single" w:sz="4" w:space="0" w:color="auto"/>
              <w:right w:val="single" w:sz="4" w:space="0" w:color="auto"/>
            </w:tcBorders>
            <w:shd w:val="clear" w:color="auto" w:fill="auto"/>
            <w:noWrap/>
            <w:vAlign w:val="bottom"/>
            <w:hideMark/>
          </w:tcPr>
          <w:p w14:paraId="39A1F2CF" w14:textId="77777777" w:rsidR="00BA48F1" w:rsidRPr="00BA48F1" w:rsidRDefault="00BA48F1" w:rsidP="00BA48F1">
            <w:pPr>
              <w:spacing w:after="0" w:line="240" w:lineRule="auto"/>
              <w:jc w:val="center"/>
              <w:rPr>
                <w:rFonts w:ascii="Arial" w:eastAsia="Times New Roman" w:hAnsi="Arial" w:cs="Arial"/>
                <w:color w:val="000000"/>
                <w:sz w:val="18"/>
                <w:szCs w:val="18"/>
              </w:rPr>
            </w:pPr>
            <w:r w:rsidRPr="00BA48F1">
              <w:rPr>
                <w:rFonts w:ascii="Arial" w:eastAsia="Times New Roman" w:hAnsi="Arial" w:cs="Arial"/>
                <w:color w:val="000000"/>
                <w:sz w:val="18"/>
                <w:szCs w:val="18"/>
              </w:rPr>
              <w:t>34%</w:t>
            </w:r>
          </w:p>
        </w:tc>
        <w:tc>
          <w:tcPr>
            <w:tcW w:w="1529" w:type="dxa"/>
            <w:tcBorders>
              <w:top w:val="nil"/>
              <w:left w:val="nil"/>
              <w:bottom w:val="single" w:sz="4" w:space="0" w:color="auto"/>
              <w:right w:val="single" w:sz="4" w:space="0" w:color="auto"/>
            </w:tcBorders>
            <w:shd w:val="clear" w:color="auto" w:fill="auto"/>
            <w:noWrap/>
            <w:vAlign w:val="bottom"/>
            <w:hideMark/>
          </w:tcPr>
          <w:p w14:paraId="14ECC239" w14:textId="77777777" w:rsidR="00BA48F1" w:rsidRPr="00BA48F1" w:rsidRDefault="00BA48F1" w:rsidP="00BA48F1">
            <w:pPr>
              <w:spacing w:after="0" w:line="240" w:lineRule="auto"/>
              <w:jc w:val="center"/>
              <w:rPr>
                <w:rFonts w:ascii="Arial" w:eastAsia="Times New Roman" w:hAnsi="Arial" w:cs="Arial"/>
                <w:color w:val="000000"/>
                <w:sz w:val="18"/>
                <w:szCs w:val="18"/>
              </w:rPr>
            </w:pPr>
            <w:r w:rsidRPr="00BA48F1">
              <w:rPr>
                <w:rFonts w:ascii="Arial" w:eastAsia="Times New Roman" w:hAnsi="Arial" w:cs="Arial"/>
                <w:color w:val="000000"/>
                <w:sz w:val="18"/>
                <w:szCs w:val="18"/>
              </w:rPr>
              <w:t>78%</w:t>
            </w:r>
          </w:p>
        </w:tc>
        <w:tc>
          <w:tcPr>
            <w:tcW w:w="1172" w:type="dxa"/>
            <w:tcBorders>
              <w:top w:val="nil"/>
              <w:left w:val="nil"/>
              <w:bottom w:val="single" w:sz="4" w:space="0" w:color="auto"/>
              <w:right w:val="single" w:sz="4" w:space="0" w:color="auto"/>
            </w:tcBorders>
            <w:shd w:val="clear" w:color="auto" w:fill="auto"/>
            <w:noWrap/>
            <w:vAlign w:val="bottom"/>
            <w:hideMark/>
          </w:tcPr>
          <w:p w14:paraId="59E3C212" w14:textId="77777777" w:rsidR="00BA48F1" w:rsidRPr="00BA48F1" w:rsidRDefault="00BA48F1" w:rsidP="00BA48F1">
            <w:pPr>
              <w:spacing w:after="0" w:line="240" w:lineRule="auto"/>
              <w:jc w:val="center"/>
              <w:rPr>
                <w:rFonts w:ascii="Arial" w:eastAsia="Times New Roman" w:hAnsi="Arial" w:cs="Arial"/>
                <w:color w:val="000000"/>
                <w:sz w:val="18"/>
                <w:szCs w:val="18"/>
              </w:rPr>
            </w:pPr>
            <w:r w:rsidRPr="00BA48F1">
              <w:rPr>
                <w:rFonts w:ascii="Arial" w:eastAsia="Times New Roman" w:hAnsi="Arial" w:cs="Arial"/>
                <w:color w:val="000000"/>
                <w:sz w:val="18"/>
                <w:szCs w:val="18"/>
              </w:rPr>
              <w:t>7.8</w:t>
            </w:r>
          </w:p>
        </w:tc>
        <w:tc>
          <w:tcPr>
            <w:tcW w:w="222" w:type="dxa"/>
            <w:vAlign w:val="center"/>
            <w:hideMark/>
          </w:tcPr>
          <w:p w14:paraId="119923AE" w14:textId="77777777" w:rsidR="00BA48F1" w:rsidRPr="00BA48F1" w:rsidRDefault="00BA48F1" w:rsidP="00BA48F1">
            <w:pPr>
              <w:spacing w:after="0" w:line="240" w:lineRule="auto"/>
              <w:rPr>
                <w:rFonts w:ascii="Times New Roman" w:eastAsia="Times New Roman" w:hAnsi="Times New Roman" w:cs="Times New Roman"/>
                <w:sz w:val="20"/>
                <w:szCs w:val="20"/>
              </w:rPr>
            </w:pPr>
          </w:p>
        </w:tc>
      </w:tr>
      <w:tr w:rsidR="00BA48F1" w:rsidRPr="00BA48F1" w14:paraId="5579ED06" w14:textId="77777777" w:rsidTr="003A0791">
        <w:trPr>
          <w:trHeight w:val="255"/>
        </w:trPr>
        <w:tc>
          <w:tcPr>
            <w:tcW w:w="1817" w:type="dxa"/>
            <w:tcBorders>
              <w:top w:val="nil"/>
              <w:left w:val="nil"/>
              <w:bottom w:val="nil"/>
              <w:right w:val="nil"/>
            </w:tcBorders>
            <w:shd w:val="clear" w:color="auto" w:fill="auto"/>
            <w:noWrap/>
            <w:vAlign w:val="bottom"/>
            <w:hideMark/>
          </w:tcPr>
          <w:p w14:paraId="359AE749" w14:textId="77777777" w:rsidR="00BA48F1" w:rsidRPr="00BA48F1" w:rsidRDefault="00BA48F1" w:rsidP="00BA48F1">
            <w:pPr>
              <w:spacing w:after="0" w:line="240" w:lineRule="auto"/>
              <w:jc w:val="center"/>
              <w:rPr>
                <w:rFonts w:ascii="Arial" w:eastAsia="Times New Roman" w:hAnsi="Arial" w:cs="Arial"/>
                <w:color w:val="000000"/>
                <w:sz w:val="18"/>
                <w:szCs w:val="18"/>
              </w:rPr>
            </w:pPr>
          </w:p>
        </w:tc>
        <w:tc>
          <w:tcPr>
            <w:tcW w:w="1117" w:type="dxa"/>
            <w:tcBorders>
              <w:top w:val="nil"/>
              <w:left w:val="nil"/>
              <w:bottom w:val="nil"/>
              <w:right w:val="nil"/>
            </w:tcBorders>
            <w:shd w:val="clear" w:color="auto" w:fill="auto"/>
            <w:noWrap/>
            <w:vAlign w:val="bottom"/>
            <w:hideMark/>
          </w:tcPr>
          <w:p w14:paraId="12A7A2C8" w14:textId="77777777" w:rsidR="00BA48F1" w:rsidRPr="00BA48F1" w:rsidRDefault="00BA48F1" w:rsidP="00BA48F1">
            <w:pPr>
              <w:spacing w:after="0" w:line="240" w:lineRule="auto"/>
              <w:rPr>
                <w:rFonts w:ascii="Times New Roman" w:eastAsia="Times New Roman" w:hAnsi="Times New Roman" w:cs="Times New Roman"/>
                <w:sz w:val="20"/>
                <w:szCs w:val="20"/>
              </w:rPr>
            </w:pPr>
          </w:p>
        </w:tc>
        <w:tc>
          <w:tcPr>
            <w:tcW w:w="856" w:type="dxa"/>
            <w:tcBorders>
              <w:top w:val="nil"/>
              <w:left w:val="nil"/>
              <w:bottom w:val="nil"/>
              <w:right w:val="nil"/>
            </w:tcBorders>
            <w:shd w:val="clear" w:color="auto" w:fill="auto"/>
            <w:noWrap/>
            <w:vAlign w:val="bottom"/>
            <w:hideMark/>
          </w:tcPr>
          <w:p w14:paraId="441C7C2B" w14:textId="77777777" w:rsidR="00BA48F1" w:rsidRPr="00BA48F1" w:rsidRDefault="00BA48F1" w:rsidP="00BA48F1">
            <w:pPr>
              <w:spacing w:after="0" w:line="240" w:lineRule="auto"/>
              <w:rPr>
                <w:rFonts w:ascii="Times New Roman" w:eastAsia="Times New Roman" w:hAnsi="Times New Roman" w:cs="Times New Roman"/>
                <w:sz w:val="20"/>
                <w:szCs w:val="20"/>
              </w:rPr>
            </w:pPr>
          </w:p>
        </w:tc>
        <w:tc>
          <w:tcPr>
            <w:tcW w:w="1432" w:type="dxa"/>
            <w:tcBorders>
              <w:top w:val="nil"/>
              <w:left w:val="nil"/>
              <w:bottom w:val="nil"/>
              <w:right w:val="nil"/>
            </w:tcBorders>
            <w:shd w:val="clear" w:color="auto" w:fill="auto"/>
            <w:noWrap/>
            <w:vAlign w:val="bottom"/>
            <w:hideMark/>
          </w:tcPr>
          <w:p w14:paraId="13D4493A" w14:textId="77777777" w:rsidR="00BA48F1" w:rsidRPr="00BA48F1" w:rsidRDefault="00BA48F1" w:rsidP="00BA48F1">
            <w:pPr>
              <w:spacing w:after="0" w:line="240" w:lineRule="auto"/>
              <w:rPr>
                <w:rFonts w:ascii="Times New Roman" w:eastAsia="Times New Roman" w:hAnsi="Times New Roman" w:cs="Times New Roman"/>
                <w:sz w:val="20"/>
                <w:szCs w:val="20"/>
              </w:rPr>
            </w:pPr>
          </w:p>
        </w:tc>
        <w:tc>
          <w:tcPr>
            <w:tcW w:w="974" w:type="dxa"/>
            <w:tcBorders>
              <w:top w:val="nil"/>
              <w:left w:val="nil"/>
              <w:bottom w:val="nil"/>
              <w:right w:val="nil"/>
            </w:tcBorders>
            <w:shd w:val="clear" w:color="auto" w:fill="auto"/>
            <w:noWrap/>
            <w:vAlign w:val="bottom"/>
            <w:hideMark/>
          </w:tcPr>
          <w:p w14:paraId="5209F41C" w14:textId="77777777" w:rsidR="00BA48F1" w:rsidRPr="00BA48F1" w:rsidRDefault="00BA48F1" w:rsidP="00BA48F1">
            <w:pPr>
              <w:spacing w:after="0" w:line="240" w:lineRule="auto"/>
              <w:rPr>
                <w:rFonts w:ascii="Times New Roman" w:eastAsia="Times New Roman" w:hAnsi="Times New Roman" w:cs="Times New Roman"/>
                <w:sz w:val="20"/>
                <w:szCs w:val="20"/>
              </w:rPr>
            </w:pPr>
          </w:p>
        </w:tc>
        <w:tc>
          <w:tcPr>
            <w:tcW w:w="1529" w:type="dxa"/>
            <w:tcBorders>
              <w:top w:val="nil"/>
              <w:left w:val="nil"/>
              <w:bottom w:val="nil"/>
              <w:right w:val="nil"/>
            </w:tcBorders>
            <w:shd w:val="clear" w:color="auto" w:fill="auto"/>
            <w:noWrap/>
            <w:vAlign w:val="bottom"/>
            <w:hideMark/>
          </w:tcPr>
          <w:p w14:paraId="62E6BF4B" w14:textId="77777777" w:rsidR="00BA48F1" w:rsidRPr="00BA48F1" w:rsidRDefault="00BA48F1" w:rsidP="00BA48F1">
            <w:pPr>
              <w:spacing w:after="0" w:line="240" w:lineRule="auto"/>
              <w:rPr>
                <w:rFonts w:ascii="Times New Roman" w:eastAsia="Times New Roman" w:hAnsi="Times New Roman" w:cs="Times New Roman"/>
                <w:sz w:val="20"/>
                <w:szCs w:val="20"/>
              </w:rPr>
            </w:pPr>
          </w:p>
        </w:tc>
        <w:tc>
          <w:tcPr>
            <w:tcW w:w="1172" w:type="dxa"/>
            <w:tcBorders>
              <w:top w:val="nil"/>
              <w:left w:val="nil"/>
              <w:bottom w:val="nil"/>
              <w:right w:val="nil"/>
            </w:tcBorders>
            <w:shd w:val="clear" w:color="auto" w:fill="auto"/>
            <w:noWrap/>
            <w:vAlign w:val="bottom"/>
            <w:hideMark/>
          </w:tcPr>
          <w:p w14:paraId="49459A61" w14:textId="77777777" w:rsidR="00BA48F1" w:rsidRPr="00BA48F1" w:rsidRDefault="00BA48F1" w:rsidP="00BA48F1">
            <w:pPr>
              <w:spacing w:after="0" w:line="240" w:lineRule="auto"/>
              <w:rPr>
                <w:rFonts w:ascii="Times New Roman" w:eastAsia="Times New Roman" w:hAnsi="Times New Roman" w:cs="Times New Roman"/>
                <w:sz w:val="20"/>
                <w:szCs w:val="20"/>
              </w:rPr>
            </w:pPr>
          </w:p>
        </w:tc>
        <w:tc>
          <w:tcPr>
            <w:tcW w:w="222" w:type="dxa"/>
            <w:vAlign w:val="center"/>
            <w:hideMark/>
          </w:tcPr>
          <w:p w14:paraId="0E4057EE" w14:textId="77777777" w:rsidR="00BA48F1" w:rsidRPr="00BA48F1" w:rsidRDefault="00BA48F1" w:rsidP="00BA48F1">
            <w:pPr>
              <w:spacing w:after="0" w:line="240" w:lineRule="auto"/>
              <w:rPr>
                <w:rFonts w:ascii="Times New Roman" w:eastAsia="Times New Roman" w:hAnsi="Times New Roman" w:cs="Times New Roman"/>
                <w:sz w:val="20"/>
                <w:szCs w:val="20"/>
              </w:rPr>
            </w:pPr>
          </w:p>
        </w:tc>
      </w:tr>
      <w:tr w:rsidR="00BA48F1" w:rsidRPr="00BA48F1" w14:paraId="2FADA52E" w14:textId="77777777" w:rsidTr="003A0791">
        <w:trPr>
          <w:trHeight w:val="255"/>
        </w:trPr>
        <w:tc>
          <w:tcPr>
            <w:tcW w:w="18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86D56C" w14:textId="77777777" w:rsidR="00BA48F1" w:rsidRPr="00BA48F1" w:rsidRDefault="00BA48F1" w:rsidP="00BA48F1">
            <w:pPr>
              <w:spacing w:after="0" w:line="240" w:lineRule="auto"/>
              <w:rPr>
                <w:rFonts w:ascii="Arial" w:eastAsia="Times New Roman" w:hAnsi="Arial" w:cs="Arial"/>
                <w:color w:val="000000"/>
                <w:sz w:val="18"/>
                <w:szCs w:val="18"/>
              </w:rPr>
            </w:pPr>
            <w:r w:rsidRPr="00BA48F1">
              <w:rPr>
                <w:rFonts w:ascii="Arial" w:eastAsia="Times New Roman" w:hAnsi="Arial" w:cs="Arial"/>
                <w:color w:val="000000"/>
                <w:sz w:val="18"/>
                <w:szCs w:val="18"/>
              </w:rPr>
              <w:t>ALL HIGH-RISK</w:t>
            </w:r>
          </w:p>
        </w:tc>
        <w:tc>
          <w:tcPr>
            <w:tcW w:w="1117" w:type="dxa"/>
            <w:tcBorders>
              <w:top w:val="single" w:sz="4" w:space="0" w:color="auto"/>
              <w:left w:val="nil"/>
              <w:bottom w:val="single" w:sz="4" w:space="0" w:color="auto"/>
              <w:right w:val="single" w:sz="4" w:space="0" w:color="auto"/>
            </w:tcBorders>
            <w:shd w:val="clear" w:color="auto" w:fill="auto"/>
            <w:noWrap/>
            <w:vAlign w:val="bottom"/>
            <w:hideMark/>
          </w:tcPr>
          <w:p w14:paraId="6CB66CB2" w14:textId="77777777" w:rsidR="00BA48F1" w:rsidRPr="00BA48F1" w:rsidRDefault="00BA48F1" w:rsidP="00BA48F1">
            <w:pPr>
              <w:spacing w:after="0" w:line="240" w:lineRule="auto"/>
              <w:jc w:val="center"/>
              <w:rPr>
                <w:rFonts w:ascii="Arial" w:eastAsia="Times New Roman" w:hAnsi="Arial" w:cs="Arial"/>
                <w:color w:val="000000"/>
                <w:sz w:val="18"/>
                <w:szCs w:val="18"/>
              </w:rPr>
            </w:pPr>
            <w:r w:rsidRPr="00BA48F1">
              <w:rPr>
                <w:rFonts w:ascii="Arial" w:eastAsia="Times New Roman" w:hAnsi="Arial" w:cs="Arial"/>
                <w:color w:val="000000"/>
                <w:sz w:val="18"/>
                <w:szCs w:val="18"/>
              </w:rPr>
              <w:t>72%</w:t>
            </w:r>
          </w:p>
        </w:tc>
        <w:tc>
          <w:tcPr>
            <w:tcW w:w="856" w:type="dxa"/>
            <w:tcBorders>
              <w:top w:val="single" w:sz="4" w:space="0" w:color="auto"/>
              <w:left w:val="nil"/>
              <w:bottom w:val="single" w:sz="4" w:space="0" w:color="auto"/>
              <w:right w:val="single" w:sz="4" w:space="0" w:color="auto"/>
            </w:tcBorders>
            <w:shd w:val="clear" w:color="auto" w:fill="auto"/>
            <w:noWrap/>
            <w:vAlign w:val="bottom"/>
            <w:hideMark/>
          </w:tcPr>
          <w:p w14:paraId="2D74C80D" w14:textId="77777777" w:rsidR="00BA48F1" w:rsidRPr="00BA48F1" w:rsidRDefault="00BA48F1" w:rsidP="00BA48F1">
            <w:pPr>
              <w:spacing w:after="0" w:line="240" w:lineRule="auto"/>
              <w:jc w:val="center"/>
              <w:rPr>
                <w:rFonts w:ascii="Arial" w:eastAsia="Times New Roman" w:hAnsi="Arial" w:cs="Arial"/>
                <w:color w:val="000000"/>
                <w:sz w:val="18"/>
                <w:szCs w:val="18"/>
              </w:rPr>
            </w:pPr>
            <w:r w:rsidRPr="00BA48F1">
              <w:rPr>
                <w:rFonts w:ascii="Arial" w:eastAsia="Times New Roman" w:hAnsi="Arial" w:cs="Arial"/>
                <w:color w:val="000000"/>
                <w:sz w:val="18"/>
                <w:szCs w:val="18"/>
              </w:rPr>
              <w:t>1,091</w:t>
            </w:r>
          </w:p>
        </w:tc>
        <w:tc>
          <w:tcPr>
            <w:tcW w:w="1432" w:type="dxa"/>
            <w:tcBorders>
              <w:top w:val="single" w:sz="4" w:space="0" w:color="auto"/>
              <w:left w:val="nil"/>
              <w:bottom w:val="single" w:sz="4" w:space="0" w:color="auto"/>
              <w:right w:val="single" w:sz="4" w:space="0" w:color="auto"/>
            </w:tcBorders>
            <w:shd w:val="clear" w:color="auto" w:fill="auto"/>
            <w:noWrap/>
            <w:vAlign w:val="bottom"/>
            <w:hideMark/>
          </w:tcPr>
          <w:p w14:paraId="742B5709" w14:textId="77777777" w:rsidR="00BA48F1" w:rsidRPr="00BA48F1" w:rsidRDefault="00BA48F1" w:rsidP="00BA48F1">
            <w:pPr>
              <w:spacing w:after="0" w:line="240" w:lineRule="auto"/>
              <w:jc w:val="center"/>
              <w:rPr>
                <w:rFonts w:ascii="Arial" w:eastAsia="Times New Roman" w:hAnsi="Arial" w:cs="Arial"/>
                <w:color w:val="000000"/>
                <w:sz w:val="18"/>
                <w:szCs w:val="18"/>
              </w:rPr>
            </w:pPr>
            <w:r w:rsidRPr="00BA48F1">
              <w:rPr>
                <w:rFonts w:ascii="Arial" w:eastAsia="Times New Roman" w:hAnsi="Arial" w:cs="Arial"/>
                <w:color w:val="000000"/>
                <w:sz w:val="18"/>
                <w:szCs w:val="18"/>
              </w:rPr>
              <w:t>3.8</w:t>
            </w:r>
          </w:p>
        </w:tc>
        <w:tc>
          <w:tcPr>
            <w:tcW w:w="974" w:type="dxa"/>
            <w:tcBorders>
              <w:top w:val="single" w:sz="4" w:space="0" w:color="auto"/>
              <w:left w:val="nil"/>
              <w:bottom w:val="single" w:sz="4" w:space="0" w:color="auto"/>
              <w:right w:val="single" w:sz="4" w:space="0" w:color="auto"/>
            </w:tcBorders>
            <w:shd w:val="clear" w:color="auto" w:fill="auto"/>
            <w:noWrap/>
            <w:vAlign w:val="bottom"/>
            <w:hideMark/>
          </w:tcPr>
          <w:p w14:paraId="3DB6FCF0" w14:textId="77777777" w:rsidR="00BA48F1" w:rsidRPr="00BA48F1" w:rsidRDefault="00BA48F1" w:rsidP="00BA48F1">
            <w:pPr>
              <w:spacing w:after="0" w:line="240" w:lineRule="auto"/>
              <w:jc w:val="center"/>
              <w:rPr>
                <w:rFonts w:ascii="Arial" w:eastAsia="Times New Roman" w:hAnsi="Arial" w:cs="Arial"/>
                <w:color w:val="000000"/>
                <w:sz w:val="18"/>
                <w:szCs w:val="18"/>
              </w:rPr>
            </w:pPr>
            <w:r w:rsidRPr="00BA48F1">
              <w:rPr>
                <w:rFonts w:ascii="Arial" w:eastAsia="Times New Roman" w:hAnsi="Arial" w:cs="Arial"/>
                <w:color w:val="000000"/>
                <w:sz w:val="18"/>
                <w:szCs w:val="18"/>
              </w:rPr>
              <w:t>33%</w:t>
            </w:r>
          </w:p>
        </w:tc>
        <w:tc>
          <w:tcPr>
            <w:tcW w:w="1529" w:type="dxa"/>
            <w:tcBorders>
              <w:top w:val="single" w:sz="4" w:space="0" w:color="auto"/>
              <w:left w:val="nil"/>
              <w:bottom w:val="single" w:sz="4" w:space="0" w:color="auto"/>
              <w:right w:val="single" w:sz="4" w:space="0" w:color="auto"/>
            </w:tcBorders>
            <w:shd w:val="clear" w:color="auto" w:fill="auto"/>
            <w:noWrap/>
            <w:vAlign w:val="bottom"/>
            <w:hideMark/>
          </w:tcPr>
          <w:p w14:paraId="30126904" w14:textId="77777777" w:rsidR="00BA48F1" w:rsidRPr="00BA48F1" w:rsidRDefault="00BA48F1" w:rsidP="00BA48F1">
            <w:pPr>
              <w:spacing w:after="0" w:line="240" w:lineRule="auto"/>
              <w:jc w:val="center"/>
              <w:rPr>
                <w:rFonts w:ascii="Arial" w:eastAsia="Times New Roman" w:hAnsi="Arial" w:cs="Arial"/>
                <w:color w:val="000000"/>
                <w:sz w:val="18"/>
                <w:szCs w:val="18"/>
              </w:rPr>
            </w:pPr>
            <w:r w:rsidRPr="00BA48F1">
              <w:rPr>
                <w:rFonts w:ascii="Arial" w:eastAsia="Times New Roman" w:hAnsi="Arial" w:cs="Arial"/>
                <w:color w:val="000000"/>
                <w:sz w:val="18"/>
                <w:szCs w:val="18"/>
              </w:rPr>
              <w:t>78%</w:t>
            </w:r>
          </w:p>
        </w:tc>
        <w:tc>
          <w:tcPr>
            <w:tcW w:w="1172" w:type="dxa"/>
            <w:tcBorders>
              <w:top w:val="single" w:sz="4" w:space="0" w:color="auto"/>
              <w:left w:val="nil"/>
              <w:bottom w:val="single" w:sz="4" w:space="0" w:color="auto"/>
              <w:right w:val="single" w:sz="4" w:space="0" w:color="auto"/>
            </w:tcBorders>
            <w:shd w:val="clear" w:color="auto" w:fill="auto"/>
            <w:noWrap/>
            <w:vAlign w:val="bottom"/>
            <w:hideMark/>
          </w:tcPr>
          <w:p w14:paraId="4D539286" w14:textId="77777777" w:rsidR="00BA48F1" w:rsidRPr="00BA48F1" w:rsidRDefault="00BA48F1" w:rsidP="00BA48F1">
            <w:pPr>
              <w:spacing w:after="0" w:line="240" w:lineRule="auto"/>
              <w:jc w:val="center"/>
              <w:rPr>
                <w:rFonts w:ascii="Arial" w:eastAsia="Times New Roman" w:hAnsi="Arial" w:cs="Arial"/>
                <w:color w:val="000000"/>
                <w:sz w:val="18"/>
                <w:szCs w:val="18"/>
              </w:rPr>
            </w:pPr>
            <w:r w:rsidRPr="00BA48F1">
              <w:rPr>
                <w:rFonts w:ascii="Arial" w:eastAsia="Times New Roman" w:hAnsi="Arial" w:cs="Arial"/>
                <w:color w:val="000000"/>
                <w:sz w:val="18"/>
                <w:szCs w:val="18"/>
              </w:rPr>
              <w:t>8.3</w:t>
            </w:r>
          </w:p>
        </w:tc>
        <w:tc>
          <w:tcPr>
            <w:tcW w:w="222" w:type="dxa"/>
            <w:vAlign w:val="center"/>
            <w:hideMark/>
          </w:tcPr>
          <w:p w14:paraId="1A28F0E1" w14:textId="77777777" w:rsidR="00BA48F1" w:rsidRPr="00BA48F1" w:rsidRDefault="00BA48F1" w:rsidP="00BA48F1">
            <w:pPr>
              <w:spacing w:after="0" w:line="240" w:lineRule="auto"/>
              <w:rPr>
                <w:rFonts w:ascii="Times New Roman" w:eastAsia="Times New Roman" w:hAnsi="Times New Roman" w:cs="Times New Roman"/>
                <w:sz w:val="20"/>
                <w:szCs w:val="20"/>
              </w:rPr>
            </w:pPr>
          </w:p>
        </w:tc>
      </w:tr>
      <w:tr w:rsidR="00BA48F1" w:rsidRPr="00BA48F1" w14:paraId="3D4AFE32" w14:textId="77777777" w:rsidTr="003A0791">
        <w:trPr>
          <w:trHeight w:val="255"/>
        </w:trPr>
        <w:tc>
          <w:tcPr>
            <w:tcW w:w="1817" w:type="dxa"/>
            <w:tcBorders>
              <w:top w:val="nil"/>
              <w:left w:val="single" w:sz="4" w:space="0" w:color="auto"/>
              <w:bottom w:val="single" w:sz="4" w:space="0" w:color="auto"/>
              <w:right w:val="single" w:sz="4" w:space="0" w:color="auto"/>
            </w:tcBorders>
            <w:shd w:val="clear" w:color="auto" w:fill="auto"/>
            <w:noWrap/>
            <w:vAlign w:val="bottom"/>
            <w:hideMark/>
          </w:tcPr>
          <w:p w14:paraId="33A6AD74" w14:textId="77777777" w:rsidR="00BA48F1" w:rsidRPr="00BA48F1" w:rsidRDefault="00BA48F1" w:rsidP="00BA48F1">
            <w:pPr>
              <w:spacing w:after="0" w:line="240" w:lineRule="auto"/>
              <w:rPr>
                <w:rFonts w:ascii="Arial" w:eastAsia="Times New Roman" w:hAnsi="Arial" w:cs="Arial"/>
                <w:color w:val="000000"/>
                <w:sz w:val="18"/>
                <w:szCs w:val="18"/>
              </w:rPr>
            </w:pPr>
            <w:r w:rsidRPr="00BA48F1">
              <w:rPr>
                <w:rFonts w:ascii="Arial" w:eastAsia="Times New Roman" w:hAnsi="Arial" w:cs="Arial"/>
                <w:color w:val="000000"/>
                <w:sz w:val="18"/>
                <w:szCs w:val="18"/>
              </w:rPr>
              <w:t>MASSACHUSETTS</w:t>
            </w:r>
          </w:p>
        </w:tc>
        <w:tc>
          <w:tcPr>
            <w:tcW w:w="1117" w:type="dxa"/>
            <w:tcBorders>
              <w:top w:val="nil"/>
              <w:left w:val="nil"/>
              <w:bottom w:val="single" w:sz="4" w:space="0" w:color="auto"/>
              <w:right w:val="single" w:sz="4" w:space="0" w:color="auto"/>
            </w:tcBorders>
            <w:shd w:val="clear" w:color="auto" w:fill="auto"/>
            <w:noWrap/>
            <w:vAlign w:val="bottom"/>
            <w:hideMark/>
          </w:tcPr>
          <w:p w14:paraId="1C590985" w14:textId="77777777" w:rsidR="00BA48F1" w:rsidRPr="00BA48F1" w:rsidRDefault="00BA48F1" w:rsidP="00BA48F1">
            <w:pPr>
              <w:spacing w:after="0" w:line="240" w:lineRule="auto"/>
              <w:jc w:val="center"/>
              <w:rPr>
                <w:rFonts w:ascii="Arial" w:eastAsia="Times New Roman" w:hAnsi="Arial" w:cs="Arial"/>
                <w:color w:val="000000"/>
                <w:sz w:val="18"/>
                <w:szCs w:val="18"/>
              </w:rPr>
            </w:pPr>
            <w:r w:rsidRPr="00BA48F1">
              <w:rPr>
                <w:rFonts w:ascii="Arial" w:eastAsia="Times New Roman" w:hAnsi="Arial" w:cs="Arial"/>
                <w:color w:val="000000"/>
                <w:sz w:val="18"/>
                <w:szCs w:val="18"/>
              </w:rPr>
              <w:t>70%</w:t>
            </w:r>
          </w:p>
        </w:tc>
        <w:tc>
          <w:tcPr>
            <w:tcW w:w="856" w:type="dxa"/>
            <w:tcBorders>
              <w:top w:val="nil"/>
              <w:left w:val="nil"/>
              <w:bottom w:val="single" w:sz="4" w:space="0" w:color="auto"/>
              <w:right w:val="single" w:sz="4" w:space="0" w:color="auto"/>
            </w:tcBorders>
            <w:shd w:val="clear" w:color="auto" w:fill="auto"/>
            <w:noWrap/>
            <w:vAlign w:val="bottom"/>
            <w:hideMark/>
          </w:tcPr>
          <w:p w14:paraId="1ECEE6A5" w14:textId="77777777" w:rsidR="00BA48F1" w:rsidRPr="00BA48F1" w:rsidRDefault="00BA48F1" w:rsidP="00BA48F1">
            <w:pPr>
              <w:spacing w:after="0" w:line="240" w:lineRule="auto"/>
              <w:jc w:val="center"/>
              <w:rPr>
                <w:rFonts w:ascii="Arial" w:eastAsia="Times New Roman" w:hAnsi="Arial" w:cs="Arial"/>
                <w:color w:val="000000"/>
                <w:sz w:val="18"/>
                <w:szCs w:val="18"/>
              </w:rPr>
            </w:pPr>
            <w:r w:rsidRPr="00BA48F1">
              <w:rPr>
                <w:rFonts w:ascii="Arial" w:eastAsia="Times New Roman" w:hAnsi="Arial" w:cs="Arial"/>
                <w:color w:val="000000"/>
                <w:sz w:val="18"/>
                <w:szCs w:val="18"/>
              </w:rPr>
              <w:t>2,014</w:t>
            </w:r>
          </w:p>
        </w:tc>
        <w:tc>
          <w:tcPr>
            <w:tcW w:w="1432" w:type="dxa"/>
            <w:tcBorders>
              <w:top w:val="nil"/>
              <w:left w:val="nil"/>
              <w:bottom w:val="single" w:sz="4" w:space="0" w:color="auto"/>
              <w:right w:val="single" w:sz="4" w:space="0" w:color="auto"/>
            </w:tcBorders>
            <w:shd w:val="clear" w:color="auto" w:fill="auto"/>
            <w:noWrap/>
            <w:vAlign w:val="bottom"/>
            <w:hideMark/>
          </w:tcPr>
          <w:p w14:paraId="02730BAE" w14:textId="77777777" w:rsidR="00BA48F1" w:rsidRPr="00BA48F1" w:rsidRDefault="00BA48F1" w:rsidP="00BA48F1">
            <w:pPr>
              <w:spacing w:after="0" w:line="240" w:lineRule="auto"/>
              <w:jc w:val="center"/>
              <w:rPr>
                <w:rFonts w:ascii="Arial" w:eastAsia="Times New Roman" w:hAnsi="Arial" w:cs="Arial"/>
                <w:color w:val="000000"/>
                <w:sz w:val="18"/>
                <w:szCs w:val="18"/>
              </w:rPr>
            </w:pPr>
            <w:r w:rsidRPr="00BA48F1">
              <w:rPr>
                <w:rFonts w:ascii="Arial" w:eastAsia="Times New Roman" w:hAnsi="Arial" w:cs="Arial"/>
                <w:color w:val="000000"/>
                <w:sz w:val="18"/>
                <w:szCs w:val="18"/>
              </w:rPr>
              <w:t>2.4</w:t>
            </w:r>
          </w:p>
        </w:tc>
        <w:tc>
          <w:tcPr>
            <w:tcW w:w="974" w:type="dxa"/>
            <w:tcBorders>
              <w:top w:val="nil"/>
              <w:left w:val="nil"/>
              <w:bottom w:val="single" w:sz="4" w:space="0" w:color="auto"/>
              <w:right w:val="single" w:sz="4" w:space="0" w:color="auto"/>
            </w:tcBorders>
            <w:shd w:val="clear" w:color="auto" w:fill="auto"/>
            <w:noWrap/>
            <w:vAlign w:val="bottom"/>
            <w:hideMark/>
          </w:tcPr>
          <w:p w14:paraId="1293CD7B" w14:textId="77777777" w:rsidR="00BA48F1" w:rsidRPr="00BA48F1" w:rsidRDefault="00BA48F1" w:rsidP="00BA48F1">
            <w:pPr>
              <w:spacing w:after="0" w:line="240" w:lineRule="auto"/>
              <w:jc w:val="center"/>
              <w:rPr>
                <w:rFonts w:ascii="Arial" w:eastAsia="Times New Roman" w:hAnsi="Arial" w:cs="Arial"/>
                <w:color w:val="000000"/>
                <w:sz w:val="18"/>
                <w:szCs w:val="18"/>
              </w:rPr>
            </w:pPr>
            <w:r w:rsidRPr="00BA48F1">
              <w:rPr>
                <w:rFonts w:ascii="Arial" w:eastAsia="Times New Roman" w:hAnsi="Arial" w:cs="Arial"/>
                <w:color w:val="000000"/>
                <w:sz w:val="18"/>
                <w:szCs w:val="18"/>
              </w:rPr>
              <w:t>17%</w:t>
            </w:r>
          </w:p>
        </w:tc>
        <w:tc>
          <w:tcPr>
            <w:tcW w:w="1529" w:type="dxa"/>
            <w:tcBorders>
              <w:top w:val="nil"/>
              <w:left w:val="nil"/>
              <w:bottom w:val="single" w:sz="4" w:space="0" w:color="auto"/>
              <w:right w:val="single" w:sz="4" w:space="0" w:color="auto"/>
            </w:tcBorders>
            <w:shd w:val="clear" w:color="auto" w:fill="auto"/>
            <w:noWrap/>
            <w:vAlign w:val="bottom"/>
            <w:hideMark/>
          </w:tcPr>
          <w:p w14:paraId="4B3EB529" w14:textId="77777777" w:rsidR="00BA48F1" w:rsidRPr="00BA48F1" w:rsidRDefault="00BA48F1" w:rsidP="00BA48F1">
            <w:pPr>
              <w:spacing w:after="0" w:line="240" w:lineRule="auto"/>
              <w:jc w:val="center"/>
              <w:rPr>
                <w:rFonts w:ascii="Arial" w:eastAsia="Times New Roman" w:hAnsi="Arial" w:cs="Arial"/>
                <w:color w:val="000000"/>
                <w:sz w:val="18"/>
                <w:szCs w:val="18"/>
              </w:rPr>
            </w:pPr>
            <w:r w:rsidRPr="00BA48F1">
              <w:rPr>
                <w:rFonts w:ascii="Arial" w:eastAsia="Times New Roman" w:hAnsi="Arial" w:cs="Arial"/>
                <w:color w:val="000000"/>
                <w:sz w:val="18"/>
                <w:szCs w:val="18"/>
              </w:rPr>
              <w:t>69%</w:t>
            </w:r>
          </w:p>
        </w:tc>
        <w:tc>
          <w:tcPr>
            <w:tcW w:w="1172" w:type="dxa"/>
            <w:tcBorders>
              <w:top w:val="nil"/>
              <w:left w:val="nil"/>
              <w:bottom w:val="single" w:sz="4" w:space="0" w:color="auto"/>
              <w:right w:val="single" w:sz="4" w:space="0" w:color="auto"/>
            </w:tcBorders>
            <w:shd w:val="clear" w:color="auto" w:fill="auto"/>
            <w:noWrap/>
            <w:vAlign w:val="bottom"/>
            <w:hideMark/>
          </w:tcPr>
          <w:p w14:paraId="3FB8CFB2" w14:textId="77777777" w:rsidR="00BA48F1" w:rsidRPr="00BA48F1" w:rsidRDefault="00BA48F1" w:rsidP="00BA48F1">
            <w:pPr>
              <w:spacing w:after="0" w:line="240" w:lineRule="auto"/>
              <w:jc w:val="center"/>
              <w:rPr>
                <w:rFonts w:ascii="Arial" w:eastAsia="Times New Roman" w:hAnsi="Arial" w:cs="Arial"/>
                <w:color w:val="000000"/>
                <w:sz w:val="18"/>
                <w:szCs w:val="18"/>
              </w:rPr>
            </w:pPr>
            <w:r w:rsidRPr="00BA48F1">
              <w:rPr>
                <w:rFonts w:ascii="Arial" w:eastAsia="Times New Roman" w:hAnsi="Arial" w:cs="Arial"/>
                <w:color w:val="000000"/>
                <w:sz w:val="18"/>
                <w:szCs w:val="18"/>
              </w:rPr>
              <w:t>2.4</w:t>
            </w:r>
          </w:p>
        </w:tc>
        <w:tc>
          <w:tcPr>
            <w:tcW w:w="222" w:type="dxa"/>
            <w:vAlign w:val="center"/>
            <w:hideMark/>
          </w:tcPr>
          <w:p w14:paraId="3004A56C" w14:textId="77777777" w:rsidR="00BA48F1" w:rsidRPr="00BA48F1" w:rsidRDefault="00BA48F1" w:rsidP="00BA48F1">
            <w:pPr>
              <w:spacing w:after="0" w:line="240" w:lineRule="auto"/>
              <w:rPr>
                <w:rFonts w:ascii="Times New Roman" w:eastAsia="Times New Roman" w:hAnsi="Times New Roman" w:cs="Times New Roman"/>
                <w:sz w:val="20"/>
                <w:szCs w:val="20"/>
              </w:rPr>
            </w:pPr>
          </w:p>
        </w:tc>
      </w:tr>
      <w:tr w:rsidR="00BA48F1" w:rsidRPr="00BA48F1" w14:paraId="326A289A" w14:textId="77777777" w:rsidTr="003A0791">
        <w:trPr>
          <w:trHeight w:val="255"/>
        </w:trPr>
        <w:tc>
          <w:tcPr>
            <w:tcW w:w="1817" w:type="dxa"/>
            <w:tcBorders>
              <w:top w:val="nil"/>
              <w:left w:val="nil"/>
              <w:bottom w:val="nil"/>
              <w:right w:val="nil"/>
            </w:tcBorders>
            <w:shd w:val="clear" w:color="auto" w:fill="auto"/>
            <w:noWrap/>
            <w:vAlign w:val="bottom"/>
            <w:hideMark/>
          </w:tcPr>
          <w:p w14:paraId="01069577" w14:textId="77777777" w:rsidR="00BA48F1" w:rsidRPr="00BA48F1" w:rsidRDefault="00BA48F1" w:rsidP="00BA48F1">
            <w:pPr>
              <w:spacing w:after="0" w:line="240" w:lineRule="auto"/>
              <w:jc w:val="center"/>
              <w:rPr>
                <w:rFonts w:ascii="Arial" w:eastAsia="Times New Roman" w:hAnsi="Arial" w:cs="Arial"/>
                <w:color w:val="000000"/>
                <w:sz w:val="18"/>
                <w:szCs w:val="18"/>
              </w:rPr>
            </w:pPr>
          </w:p>
        </w:tc>
        <w:tc>
          <w:tcPr>
            <w:tcW w:w="1117" w:type="dxa"/>
            <w:tcBorders>
              <w:top w:val="nil"/>
              <w:left w:val="nil"/>
              <w:bottom w:val="nil"/>
              <w:right w:val="nil"/>
            </w:tcBorders>
            <w:shd w:val="clear" w:color="auto" w:fill="auto"/>
            <w:noWrap/>
            <w:vAlign w:val="bottom"/>
            <w:hideMark/>
          </w:tcPr>
          <w:p w14:paraId="74A0ACC6" w14:textId="77777777" w:rsidR="00BA48F1" w:rsidRPr="00BA48F1" w:rsidRDefault="00BA48F1" w:rsidP="00BA48F1">
            <w:pPr>
              <w:spacing w:after="0" w:line="240" w:lineRule="auto"/>
              <w:rPr>
                <w:rFonts w:ascii="Times New Roman" w:eastAsia="Times New Roman" w:hAnsi="Times New Roman" w:cs="Times New Roman"/>
                <w:sz w:val="20"/>
                <w:szCs w:val="20"/>
              </w:rPr>
            </w:pPr>
          </w:p>
        </w:tc>
        <w:tc>
          <w:tcPr>
            <w:tcW w:w="856" w:type="dxa"/>
            <w:tcBorders>
              <w:top w:val="nil"/>
              <w:left w:val="nil"/>
              <w:bottom w:val="nil"/>
              <w:right w:val="nil"/>
            </w:tcBorders>
            <w:shd w:val="clear" w:color="auto" w:fill="auto"/>
            <w:noWrap/>
            <w:vAlign w:val="bottom"/>
            <w:hideMark/>
          </w:tcPr>
          <w:p w14:paraId="53113120" w14:textId="77777777" w:rsidR="00BA48F1" w:rsidRPr="00BA48F1" w:rsidRDefault="00BA48F1" w:rsidP="00BA48F1">
            <w:pPr>
              <w:spacing w:after="0" w:line="240" w:lineRule="auto"/>
              <w:rPr>
                <w:rFonts w:ascii="Times New Roman" w:eastAsia="Times New Roman" w:hAnsi="Times New Roman" w:cs="Times New Roman"/>
                <w:sz w:val="20"/>
                <w:szCs w:val="20"/>
              </w:rPr>
            </w:pPr>
          </w:p>
        </w:tc>
        <w:tc>
          <w:tcPr>
            <w:tcW w:w="1432" w:type="dxa"/>
            <w:tcBorders>
              <w:top w:val="nil"/>
              <w:left w:val="nil"/>
              <w:bottom w:val="nil"/>
              <w:right w:val="nil"/>
            </w:tcBorders>
            <w:shd w:val="clear" w:color="auto" w:fill="auto"/>
            <w:noWrap/>
            <w:vAlign w:val="bottom"/>
            <w:hideMark/>
          </w:tcPr>
          <w:p w14:paraId="55966E1E" w14:textId="77777777" w:rsidR="00BA48F1" w:rsidRPr="00BA48F1" w:rsidRDefault="00BA48F1" w:rsidP="00BA48F1">
            <w:pPr>
              <w:spacing w:after="0" w:line="240" w:lineRule="auto"/>
              <w:rPr>
                <w:rFonts w:ascii="Times New Roman" w:eastAsia="Times New Roman" w:hAnsi="Times New Roman" w:cs="Times New Roman"/>
                <w:sz w:val="20"/>
                <w:szCs w:val="20"/>
              </w:rPr>
            </w:pPr>
          </w:p>
        </w:tc>
        <w:tc>
          <w:tcPr>
            <w:tcW w:w="974" w:type="dxa"/>
            <w:tcBorders>
              <w:top w:val="nil"/>
              <w:left w:val="nil"/>
              <w:bottom w:val="nil"/>
              <w:right w:val="nil"/>
            </w:tcBorders>
            <w:shd w:val="clear" w:color="auto" w:fill="auto"/>
            <w:noWrap/>
            <w:vAlign w:val="bottom"/>
            <w:hideMark/>
          </w:tcPr>
          <w:p w14:paraId="070B5868" w14:textId="77777777" w:rsidR="00BA48F1" w:rsidRPr="00BA48F1" w:rsidRDefault="00BA48F1" w:rsidP="00BA48F1">
            <w:pPr>
              <w:spacing w:after="0" w:line="240" w:lineRule="auto"/>
              <w:rPr>
                <w:rFonts w:ascii="Times New Roman" w:eastAsia="Times New Roman" w:hAnsi="Times New Roman" w:cs="Times New Roman"/>
                <w:sz w:val="20"/>
                <w:szCs w:val="20"/>
              </w:rPr>
            </w:pPr>
          </w:p>
        </w:tc>
        <w:tc>
          <w:tcPr>
            <w:tcW w:w="1529" w:type="dxa"/>
            <w:tcBorders>
              <w:top w:val="nil"/>
              <w:left w:val="nil"/>
              <w:bottom w:val="nil"/>
              <w:right w:val="nil"/>
            </w:tcBorders>
            <w:shd w:val="clear" w:color="auto" w:fill="auto"/>
            <w:noWrap/>
            <w:vAlign w:val="bottom"/>
            <w:hideMark/>
          </w:tcPr>
          <w:p w14:paraId="594B49A6" w14:textId="77777777" w:rsidR="00BA48F1" w:rsidRPr="00BA48F1" w:rsidRDefault="00BA48F1" w:rsidP="00BA48F1">
            <w:pPr>
              <w:spacing w:after="0" w:line="240" w:lineRule="auto"/>
              <w:rPr>
                <w:rFonts w:ascii="Times New Roman" w:eastAsia="Times New Roman" w:hAnsi="Times New Roman" w:cs="Times New Roman"/>
                <w:sz w:val="20"/>
                <w:szCs w:val="20"/>
              </w:rPr>
            </w:pPr>
          </w:p>
        </w:tc>
        <w:tc>
          <w:tcPr>
            <w:tcW w:w="1172" w:type="dxa"/>
            <w:tcBorders>
              <w:top w:val="nil"/>
              <w:left w:val="nil"/>
              <w:bottom w:val="nil"/>
              <w:right w:val="nil"/>
            </w:tcBorders>
            <w:shd w:val="clear" w:color="auto" w:fill="auto"/>
            <w:noWrap/>
            <w:vAlign w:val="bottom"/>
            <w:hideMark/>
          </w:tcPr>
          <w:p w14:paraId="3855442A" w14:textId="77777777" w:rsidR="00BA48F1" w:rsidRPr="00BA48F1" w:rsidRDefault="00BA48F1" w:rsidP="00BA48F1">
            <w:pPr>
              <w:spacing w:after="0" w:line="240" w:lineRule="auto"/>
              <w:rPr>
                <w:rFonts w:ascii="Times New Roman" w:eastAsia="Times New Roman" w:hAnsi="Times New Roman" w:cs="Times New Roman"/>
                <w:sz w:val="20"/>
                <w:szCs w:val="20"/>
              </w:rPr>
            </w:pPr>
          </w:p>
        </w:tc>
        <w:tc>
          <w:tcPr>
            <w:tcW w:w="222" w:type="dxa"/>
            <w:vAlign w:val="center"/>
            <w:hideMark/>
          </w:tcPr>
          <w:p w14:paraId="3A24D773" w14:textId="77777777" w:rsidR="00BA48F1" w:rsidRPr="00BA48F1" w:rsidRDefault="00BA48F1" w:rsidP="00BA48F1">
            <w:pPr>
              <w:spacing w:after="0" w:line="240" w:lineRule="auto"/>
              <w:rPr>
                <w:rFonts w:ascii="Times New Roman" w:eastAsia="Times New Roman" w:hAnsi="Times New Roman" w:cs="Times New Roman"/>
                <w:sz w:val="20"/>
                <w:szCs w:val="20"/>
              </w:rPr>
            </w:pPr>
          </w:p>
        </w:tc>
      </w:tr>
      <w:tr w:rsidR="00BA48F1" w:rsidRPr="00BA48F1" w14:paraId="08D42534" w14:textId="77777777" w:rsidTr="003A0791">
        <w:trPr>
          <w:trHeight w:val="255"/>
        </w:trPr>
        <w:tc>
          <w:tcPr>
            <w:tcW w:w="1817" w:type="dxa"/>
            <w:tcBorders>
              <w:top w:val="nil"/>
              <w:left w:val="nil"/>
              <w:bottom w:val="nil"/>
              <w:right w:val="nil"/>
            </w:tcBorders>
            <w:shd w:val="clear" w:color="auto" w:fill="auto"/>
            <w:noWrap/>
            <w:vAlign w:val="bottom"/>
            <w:hideMark/>
          </w:tcPr>
          <w:p w14:paraId="2DA45CE9" w14:textId="77777777" w:rsidR="00BA48F1" w:rsidRPr="00BA48F1" w:rsidRDefault="00BA48F1" w:rsidP="00BA48F1">
            <w:pPr>
              <w:spacing w:after="0" w:line="240" w:lineRule="auto"/>
              <w:rPr>
                <w:rFonts w:ascii="Arial" w:eastAsia="Times New Roman" w:hAnsi="Arial" w:cs="Arial"/>
                <w:color w:val="000000"/>
                <w:sz w:val="18"/>
                <w:szCs w:val="18"/>
              </w:rPr>
            </w:pPr>
            <w:r w:rsidRPr="00BA48F1">
              <w:rPr>
                <w:rFonts w:ascii="Arial" w:eastAsia="Times New Roman" w:hAnsi="Arial" w:cs="Arial"/>
                <w:color w:val="000000"/>
                <w:sz w:val="18"/>
                <w:szCs w:val="18"/>
              </w:rPr>
              <w:t>Comments:</w:t>
            </w:r>
          </w:p>
        </w:tc>
        <w:tc>
          <w:tcPr>
            <w:tcW w:w="1117" w:type="dxa"/>
            <w:tcBorders>
              <w:top w:val="nil"/>
              <w:left w:val="nil"/>
              <w:bottom w:val="nil"/>
              <w:right w:val="nil"/>
            </w:tcBorders>
            <w:shd w:val="clear" w:color="auto" w:fill="auto"/>
            <w:noWrap/>
            <w:vAlign w:val="bottom"/>
            <w:hideMark/>
          </w:tcPr>
          <w:p w14:paraId="158D1CA1" w14:textId="77777777" w:rsidR="00BA48F1" w:rsidRPr="00BA48F1" w:rsidRDefault="00BA48F1" w:rsidP="00BA48F1">
            <w:pPr>
              <w:spacing w:after="0" w:line="240" w:lineRule="auto"/>
              <w:rPr>
                <w:rFonts w:ascii="Arial" w:eastAsia="Times New Roman" w:hAnsi="Arial" w:cs="Arial"/>
                <w:color w:val="000000"/>
                <w:sz w:val="18"/>
                <w:szCs w:val="18"/>
              </w:rPr>
            </w:pPr>
          </w:p>
        </w:tc>
        <w:tc>
          <w:tcPr>
            <w:tcW w:w="856" w:type="dxa"/>
            <w:tcBorders>
              <w:top w:val="nil"/>
              <w:left w:val="nil"/>
              <w:bottom w:val="nil"/>
              <w:right w:val="nil"/>
            </w:tcBorders>
            <w:shd w:val="clear" w:color="auto" w:fill="auto"/>
            <w:noWrap/>
            <w:vAlign w:val="bottom"/>
            <w:hideMark/>
          </w:tcPr>
          <w:p w14:paraId="619018FD" w14:textId="77777777" w:rsidR="00BA48F1" w:rsidRPr="00BA48F1" w:rsidRDefault="00BA48F1" w:rsidP="00BA48F1">
            <w:pPr>
              <w:spacing w:after="0" w:line="240" w:lineRule="auto"/>
              <w:rPr>
                <w:rFonts w:ascii="Times New Roman" w:eastAsia="Times New Roman" w:hAnsi="Times New Roman" w:cs="Times New Roman"/>
                <w:sz w:val="20"/>
                <w:szCs w:val="20"/>
              </w:rPr>
            </w:pPr>
          </w:p>
        </w:tc>
        <w:tc>
          <w:tcPr>
            <w:tcW w:w="1432" w:type="dxa"/>
            <w:tcBorders>
              <w:top w:val="nil"/>
              <w:left w:val="nil"/>
              <w:bottom w:val="nil"/>
              <w:right w:val="nil"/>
            </w:tcBorders>
            <w:shd w:val="clear" w:color="auto" w:fill="auto"/>
            <w:noWrap/>
            <w:vAlign w:val="bottom"/>
            <w:hideMark/>
          </w:tcPr>
          <w:p w14:paraId="701B8D34" w14:textId="77777777" w:rsidR="00BA48F1" w:rsidRPr="00BA48F1" w:rsidRDefault="00BA48F1" w:rsidP="00BA48F1">
            <w:pPr>
              <w:spacing w:after="0" w:line="240" w:lineRule="auto"/>
              <w:rPr>
                <w:rFonts w:ascii="Times New Roman" w:eastAsia="Times New Roman" w:hAnsi="Times New Roman" w:cs="Times New Roman"/>
                <w:sz w:val="20"/>
                <w:szCs w:val="20"/>
              </w:rPr>
            </w:pPr>
          </w:p>
        </w:tc>
        <w:tc>
          <w:tcPr>
            <w:tcW w:w="974" w:type="dxa"/>
            <w:tcBorders>
              <w:top w:val="nil"/>
              <w:left w:val="nil"/>
              <w:bottom w:val="nil"/>
              <w:right w:val="nil"/>
            </w:tcBorders>
            <w:shd w:val="clear" w:color="auto" w:fill="auto"/>
            <w:noWrap/>
            <w:vAlign w:val="bottom"/>
            <w:hideMark/>
          </w:tcPr>
          <w:p w14:paraId="6C050849" w14:textId="77777777" w:rsidR="00BA48F1" w:rsidRPr="00BA48F1" w:rsidRDefault="00BA48F1" w:rsidP="00BA48F1">
            <w:pPr>
              <w:spacing w:after="0" w:line="240" w:lineRule="auto"/>
              <w:rPr>
                <w:rFonts w:ascii="Times New Roman" w:eastAsia="Times New Roman" w:hAnsi="Times New Roman" w:cs="Times New Roman"/>
                <w:sz w:val="20"/>
                <w:szCs w:val="20"/>
              </w:rPr>
            </w:pPr>
          </w:p>
        </w:tc>
        <w:tc>
          <w:tcPr>
            <w:tcW w:w="1529" w:type="dxa"/>
            <w:tcBorders>
              <w:top w:val="nil"/>
              <w:left w:val="nil"/>
              <w:bottom w:val="nil"/>
              <w:right w:val="nil"/>
            </w:tcBorders>
            <w:shd w:val="clear" w:color="auto" w:fill="auto"/>
            <w:noWrap/>
            <w:vAlign w:val="bottom"/>
            <w:hideMark/>
          </w:tcPr>
          <w:p w14:paraId="181BD73A" w14:textId="77777777" w:rsidR="00BA48F1" w:rsidRPr="00BA48F1" w:rsidRDefault="00BA48F1" w:rsidP="00BA48F1">
            <w:pPr>
              <w:spacing w:after="0" w:line="240" w:lineRule="auto"/>
              <w:rPr>
                <w:rFonts w:ascii="Times New Roman" w:eastAsia="Times New Roman" w:hAnsi="Times New Roman" w:cs="Times New Roman"/>
                <w:sz w:val="20"/>
                <w:szCs w:val="20"/>
              </w:rPr>
            </w:pPr>
          </w:p>
        </w:tc>
        <w:tc>
          <w:tcPr>
            <w:tcW w:w="1172" w:type="dxa"/>
            <w:tcBorders>
              <w:top w:val="nil"/>
              <w:left w:val="nil"/>
              <w:bottom w:val="nil"/>
              <w:right w:val="nil"/>
            </w:tcBorders>
            <w:shd w:val="clear" w:color="auto" w:fill="auto"/>
            <w:noWrap/>
            <w:vAlign w:val="bottom"/>
            <w:hideMark/>
          </w:tcPr>
          <w:p w14:paraId="7F1C8589" w14:textId="77777777" w:rsidR="00BA48F1" w:rsidRPr="00BA48F1" w:rsidRDefault="00BA48F1" w:rsidP="00BA48F1">
            <w:pPr>
              <w:spacing w:after="0" w:line="240" w:lineRule="auto"/>
              <w:rPr>
                <w:rFonts w:ascii="Times New Roman" w:eastAsia="Times New Roman" w:hAnsi="Times New Roman" w:cs="Times New Roman"/>
                <w:sz w:val="20"/>
                <w:szCs w:val="20"/>
              </w:rPr>
            </w:pPr>
          </w:p>
        </w:tc>
        <w:tc>
          <w:tcPr>
            <w:tcW w:w="222" w:type="dxa"/>
            <w:vAlign w:val="center"/>
            <w:hideMark/>
          </w:tcPr>
          <w:p w14:paraId="043BE530" w14:textId="77777777" w:rsidR="00BA48F1" w:rsidRPr="00BA48F1" w:rsidRDefault="00BA48F1" w:rsidP="00BA48F1">
            <w:pPr>
              <w:spacing w:after="0" w:line="240" w:lineRule="auto"/>
              <w:rPr>
                <w:rFonts w:ascii="Times New Roman" w:eastAsia="Times New Roman" w:hAnsi="Times New Roman" w:cs="Times New Roman"/>
                <w:sz w:val="20"/>
                <w:szCs w:val="20"/>
              </w:rPr>
            </w:pPr>
          </w:p>
        </w:tc>
      </w:tr>
      <w:tr w:rsidR="00BA48F1" w:rsidRPr="00BA48F1" w14:paraId="5C1E6289" w14:textId="77777777" w:rsidTr="003A0791">
        <w:trPr>
          <w:trHeight w:val="255"/>
        </w:trPr>
        <w:tc>
          <w:tcPr>
            <w:tcW w:w="8897" w:type="dxa"/>
            <w:gridSpan w:val="7"/>
            <w:vMerge w:val="restart"/>
            <w:tcBorders>
              <w:top w:val="nil"/>
              <w:left w:val="nil"/>
              <w:bottom w:val="nil"/>
              <w:right w:val="nil"/>
            </w:tcBorders>
            <w:shd w:val="clear" w:color="auto" w:fill="auto"/>
            <w:hideMark/>
          </w:tcPr>
          <w:p w14:paraId="4DA3E94C" w14:textId="77777777" w:rsidR="00BA48F1" w:rsidRPr="00BA48F1" w:rsidRDefault="00BA48F1" w:rsidP="00BA48F1">
            <w:pPr>
              <w:spacing w:after="0" w:line="240" w:lineRule="auto"/>
              <w:rPr>
                <w:rFonts w:ascii="Arial" w:eastAsia="Times New Roman" w:hAnsi="Arial" w:cs="Arial"/>
                <w:color w:val="000000"/>
                <w:sz w:val="20"/>
                <w:szCs w:val="20"/>
              </w:rPr>
            </w:pPr>
            <w:r w:rsidRPr="00BA48F1">
              <w:rPr>
                <w:rFonts w:ascii="Arial" w:eastAsia="Times New Roman" w:hAnsi="Arial" w:cs="Arial"/>
                <w:color w:val="000000"/>
                <w:sz w:val="20"/>
                <w:szCs w:val="20"/>
              </w:rPr>
              <w:t>The percent screened and number of newly identified cases with confirmed blood lead levels ≥ 10 µg/dL (children 9 to 47 months) have been identified for this 5-year period.</w:t>
            </w:r>
          </w:p>
        </w:tc>
        <w:tc>
          <w:tcPr>
            <w:tcW w:w="222" w:type="dxa"/>
            <w:vAlign w:val="center"/>
            <w:hideMark/>
          </w:tcPr>
          <w:p w14:paraId="2439E54C" w14:textId="77777777" w:rsidR="00BA48F1" w:rsidRPr="00BA48F1" w:rsidRDefault="00BA48F1" w:rsidP="00BA48F1">
            <w:pPr>
              <w:spacing w:after="0" w:line="240" w:lineRule="auto"/>
              <w:rPr>
                <w:rFonts w:ascii="Times New Roman" w:eastAsia="Times New Roman" w:hAnsi="Times New Roman" w:cs="Times New Roman"/>
                <w:sz w:val="20"/>
                <w:szCs w:val="20"/>
              </w:rPr>
            </w:pPr>
          </w:p>
        </w:tc>
      </w:tr>
      <w:tr w:rsidR="00BA48F1" w:rsidRPr="00BA48F1" w14:paraId="49726B9B" w14:textId="77777777" w:rsidTr="003A0791">
        <w:trPr>
          <w:trHeight w:val="255"/>
        </w:trPr>
        <w:tc>
          <w:tcPr>
            <w:tcW w:w="8897" w:type="dxa"/>
            <w:gridSpan w:val="7"/>
            <w:vMerge/>
            <w:tcBorders>
              <w:top w:val="nil"/>
              <w:left w:val="nil"/>
              <w:bottom w:val="nil"/>
              <w:right w:val="nil"/>
            </w:tcBorders>
            <w:vAlign w:val="center"/>
            <w:hideMark/>
          </w:tcPr>
          <w:p w14:paraId="14B6F804" w14:textId="77777777" w:rsidR="00BA48F1" w:rsidRPr="00BA48F1" w:rsidRDefault="00BA48F1" w:rsidP="00BA48F1">
            <w:pPr>
              <w:spacing w:after="0" w:line="240" w:lineRule="auto"/>
              <w:rPr>
                <w:rFonts w:ascii="Arial" w:eastAsia="Times New Roman" w:hAnsi="Arial" w:cs="Arial"/>
                <w:color w:val="000000"/>
                <w:sz w:val="20"/>
                <w:szCs w:val="20"/>
              </w:rPr>
            </w:pPr>
          </w:p>
        </w:tc>
        <w:tc>
          <w:tcPr>
            <w:tcW w:w="222" w:type="dxa"/>
            <w:tcBorders>
              <w:top w:val="nil"/>
              <w:left w:val="nil"/>
              <w:bottom w:val="nil"/>
              <w:right w:val="nil"/>
            </w:tcBorders>
            <w:shd w:val="clear" w:color="auto" w:fill="auto"/>
            <w:noWrap/>
            <w:vAlign w:val="bottom"/>
            <w:hideMark/>
          </w:tcPr>
          <w:p w14:paraId="4A55678D" w14:textId="77777777" w:rsidR="00BA48F1" w:rsidRPr="00BA48F1" w:rsidRDefault="00BA48F1" w:rsidP="00BA48F1">
            <w:pPr>
              <w:spacing w:after="0" w:line="240" w:lineRule="auto"/>
              <w:rPr>
                <w:rFonts w:ascii="Arial" w:eastAsia="Times New Roman" w:hAnsi="Arial" w:cs="Arial"/>
                <w:color w:val="000000"/>
                <w:sz w:val="20"/>
                <w:szCs w:val="20"/>
              </w:rPr>
            </w:pPr>
          </w:p>
        </w:tc>
      </w:tr>
      <w:tr w:rsidR="00BA48F1" w:rsidRPr="00BA48F1" w14:paraId="5A6D9D09" w14:textId="77777777" w:rsidTr="003A0791">
        <w:trPr>
          <w:trHeight w:val="255"/>
        </w:trPr>
        <w:tc>
          <w:tcPr>
            <w:tcW w:w="1817" w:type="dxa"/>
            <w:tcBorders>
              <w:top w:val="nil"/>
              <w:left w:val="nil"/>
              <w:bottom w:val="nil"/>
              <w:right w:val="nil"/>
            </w:tcBorders>
            <w:shd w:val="clear" w:color="auto" w:fill="auto"/>
            <w:noWrap/>
            <w:vAlign w:val="bottom"/>
            <w:hideMark/>
          </w:tcPr>
          <w:p w14:paraId="4596FBEA" w14:textId="77777777" w:rsidR="00BA48F1" w:rsidRPr="00BA48F1" w:rsidRDefault="00BA48F1" w:rsidP="00BA48F1">
            <w:pPr>
              <w:spacing w:after="0" w:line="240" w:lineRule="auto"/>
              <w:rPr>
                <w:rFonts w:ascii="Times New Roman" w:eastAsia="Times New Roman" w:hAnsi="Times New Roman" w:cs="Times New Roman"/>
                <w:sz w:val="20"/>
                <w:szCs w:val="20"/>
              </w:rPr>
            </w:pPr>
          </w:p>
        </w:tc>
        <w:tc>
          <w:tcPr>
            <w:tcW w:w="1117" w:type="dxa"/>
            <w:tcBorders>
              <w:top w:val="nil"/>
              <w:left w:val="nil"/>
              <w:bottom w:val="nil"/>
              <w:right w:val="nil"/>
            </w:tcBorders>
            <w:shd w:val="clear" w:color="auto" w:fill="auto"/>
            <w:noWrap/>
            <w:vAlign w:val="bottom"/>
            <w:hideMark/>
          </w:tcPr>
          <w:p w14:paraId="4C4B1B58" w14:textId="77777777" w:rsidR="00BA48F1" w:rsidRPr="00BA48F1" w:rsidRDefault="00BA48F1" w:rsidP="00BA48F1">
            <w:pPr>
              <w:spacing w:after="0" w:line="240" w:lineRule="auto"/>
              <w:rPr>
                <w:rFonts w:ascii="Times New Roman" w:eastAsia="Times New Roman" w:hAnsi="Times New Roman" w:cs="Times New Roman"/>
                <w:sz w:val="20"/>
                <w:szCs w:val="20"/>
              </w:rPr>
            </w:pPr>
          </w:p>
        </w:tc>
        <w:tc>
          <w:tcPr>
            <w:tcW w:w="856" w:type="dxa"/>
            <w:tcBorders>
              <w:top w:val="nil"/>
              <w:left w:val="nil"/>
              <w:bottom w:val="nil"/>
              <w:right w:val="nil"/>
            </w:tcBorders>
            <w:shd w:val="clear" w:color="auto" w:fill="auto"/>
            <w:noWrap/>
            <w:vAlign w:val="bottom"/>
            <w:hideMark/>
          </w:tcPr>
          <w:p w14:paraId="7864E8EA" w14:textId="77777777" w:rsidR="00BA48F1" w:rsidRPr="00BA48F1" w:rsidRDefault="00BA48F1" w:rsidP="00BA48F1">
            <w:pPr>
              <w:spacing w:after="0" w:line="240" w:lineRule="auto"/>
              <w:rPr>
                <w:rFonts w:ascii="Times New Roman" w:eastAsia="Times New Roman" w:hAnsi="Times New Roman" w:cs="Times New Roman"/>
                <w:sz w:val="20"/>
                <w:szCs w:val="20"/>
              </w:rPr>
            </w:pPr>
          </w:p>
        </w:tc>
        <w:tc>
          <w:tcPr>
            <w:tcW w:w="1432" w:type="dxa"/>
            <w:tcBorders>
              <w:top w:val="nil"/>
              <w:left w:val="nil"/>
              <w:bottom w:val="nil"/>
              <w:right w:val="nil"/>
            </w:tcBorders>
            <w:shd w:val="clear" w:color="auto" w:fill="auto"/>
            <w:noWrap/>
            <w:vAlign w:val="bottom"/>
            <w:hideMark/>
          </w:tcPr>
          <w:p w14:paraId="52485311" w14:textId="77777777" w:rsidR="00BA48F1" w:rsidRPr="00BA48F1" w:rsidRDefault="00BA48F1" w:rsidP="00BA48F1">
            <w:pPr>
              <w:spacing w:after="0" w:line="240" w:lineRule="auto"/>
              <w:rPr>
                <w:rFonts w:ascii="Times New Roman" w:eastAsia="Times New Roman" w:hAnsi="Times New Roman" w:cs="Times New Roman"/>
                <w:sz w:val="20"/>
                <w:szCs w:val="20"/>
              </w:rPr>
            </w:pPr>
          </w:p>
        </w:tc>
        <w:tc>
          <w:tcPr>
            <w:tcW w:w="974" w:type="dxa"/>
            <w:tcBorders>
              <w:top w:val="nil"/>
              <w:left w:val="nil"/>
              <w:bottom w:val="nil"/>
              <w:right w:val="nil"/>
            </w:tcBorders>
            <w:shd w:val="clear" w:color="auto" w:fill="auto"/>
            <w:noWrap/>
            <w:vAlign w:val="bottom"/>
            <w:hideMark/>
          </w:tcPr>
          <w:p w14:paraId="3BA788F8" w14:textId="77777777" w:rsidR="00BA48F1" w:rsidRPr="00BA48F1" w:rsidRDefault="00BA48F1" w:rsidP="00BA48F1">
            <w:pPr>
              <w:spacing w:after="0" w:line="240" w:lineRule="auto"/>
              <w:rPr>
                <w:rFonts w:ascii="Times New Roman" w:eastAsia="Times New Roman" w:hAnsi="Times New Roman" w:cs="Times New Roman"/>
                <w:sz w:val="20"/>
                <w:szCs w:val="20"/>
              </w:rPr>
            </w:pPr>
          </w:p>
        </w:tc>
        <w:tc>
          <w:tcPr>
            <w:tcW w:w="1529" w:type="dxa"/>
            <w:tcBorders>
              <w:top w:val="nil"/>
              <w:left w:val="nil"/>
              <w:bottom w:val="nil"/>
              <w:right w:val="nil"/>
            </w:tcBorders>
            <w:shd w:val="clear" w:color="auto" w:fill="auto"/>
            <w:noWrap/>
            <w:vAlign w:val="bottom"/>
            <w:hideMark/>
          </w:tcPr>
          <w:p w14:paraId="253E6B1C" w14:textId="77777777" w:rsidR="00BA48F1" w:rsidRPr="00BA48F1" w:rsidRDefault="00BA48F1" w:rsidP="00BA48F1">
            <w:pPr>
              <w:spacing w:after="0" w:line="240" w:lineRule="auto"/>
              <w:rPr>
                <w:rFonts w:ascii="Times New Roman" w:eastAsia="Times New Roman" w:hAnsi="Times New Roman" w:cs="Times New Roman"/>
                <w:sz w:val="20"/>
                <w:szCs w:val="20"/>
              </w:rPr>
            </w:pPr>
          </w:p>
        </w:tc>
        <w:tc>
          <w:tcPr>
            <w:tcW w:w="1172" w:type="dxa"/>
            <w:tcBorders>
              <w:top w:val="nil"/>
              <w:left w:val="nil"/>
              <w:bottom w:val="nil"/>
              <w:right w:val="nil"/>
            </w:tcBorders>
            <w:shd w:val="clear" w:color="auto" w:fill="auto"/>
            <w:noWrap/>
            <w:vAlign w:val="bottom"/>
            <w:hideMark/>
          </w:tcPr>
          <w:p w14:paraId="669FE2EB" w14:textId="77777777" w:rsidR="00BA48F1" w:rsidRPr="00BA48F1" w:rsidRDefault="00BA48F1" w:rsidP="00BA48F1">
            <w:pPr>
              <w:spacing w:after="0" w:line="240" w:lineRule="auto"/>
              <w:rPr>
                <w:rFonts w:ascii="Times New Roman" w:eastAsia="Times New Roman" w:hAnsi="Times New Roman" w:cs="Times New Roman"/>
                <w:sz w:val="20"/>
                <w:szCs w:val="20"/>
              </w:rPr>
            </w:pPr>
          </w:p>
        </w:tc>
        <w:tc>
          <w:tcPr>
            <w:tcW w:w="222" w:type="dxa"/>
            <w:vAlign w:val="center"/>
            <w:hideMark/>
          </w:tcPr>
          <w:p w14:paraId="1ED131BB" w14:textId="77777777" w:rsidR="00BA48F1" w:rsidRPr="00BA48F1" w:rsidRDefault="00BA48F1" w:rsidP="00BA48F1">
            <w:pPr>
              <w:spacing w:after="0" w:line="240" w:lineRule="auto"/>
              <w:rPr>
                <w:rFonts w:ascii="Times New Roman" w:eastAsia="Times New Roman" w:hAnsi="Times New Roman" w:cs="Times New Roman"/>
                <w:sz w:val="20"/>
                <w:szCs w:val="20"/>
              </w:rPr>
            </w:pPr>
          </w:p>
        </w:tc>
      </w:tr>
      <w:tr w:rsidR="00BA48F1" w:rsidRPr="00BA48F1" w14:paraId="43E480E3" w14:textId="77777777" w:rsidTr="003A0791">
        <w:trPr>
          <w:trHeight w:val="255"/>
        </w:trPr>
        <w:tc>
          <w:tcPr>
            <w:tcW w:w="8897" w:type="dxa"/>
            <w:gridSpan w:val="7"/>
            <w:vMerge w:val="restart"/>
            <w:tcBorders>
              <w:top w:val="nil"/>
              <w:left w:val="nil"/>
              <w:bottom w:val="nil"/>
              <w:right w:val="nil"/>
            </w:tcBorders>
            <w:shd w:val="clear" w:color="auto" w:fill="auto"/>
            <w:hideMark/>
          </w:tcPr>
          <w:p w14:paraId="3A2E54C3" w14:textId="77777777" w:rsidR="00BA48F1" w:rsidRPr="00BA48F1" w:rsidRDefault="00BA48F1" w:rsidP="00BA48F1">
            <w:pPr>
              <w:spacing w:after="0" w:line="240" w:lineRule="auto"/>
              <w:rPr>
                <w:rFonts w:ascii="Arial" w:eastAsia="Times New Roman" w:hAnsi="Arial" w:cs="Arial"/>
                <w:color w:val="000000"/>
                <w:sz w:val="20"/>
                <w:szCs w:val="20"/>
              </w:rPr>
            </w:pPr>
            <w:r w:rsidRPr="00BA48F1">
              <w:rPr>
                <w:rFonts w:ascii="Arial" w:eastAsia="Times New Roman" w:hAnsi="Arial" w:cs="Arial"/>
                <w:color w:val="000000"/>
                <w:sz w:val="20"/>
                <w:szCs w:val="20"/>
              </w:rPr>
              <w:t xml:space="preserve">Communities with at least 15 cases and a </w:t>
            </w:r>
            <w:proofErr w:type="gramStart"/>
            <w:r w:rsidRPr="00BA48F1">
              <w:rPr>
                <w:rFonts w:ascii="Arial" w:eastAsia="Times New Roman" w:hAnsi="Arial" w:cs="Arial"/>
                <w:color w:val="000000"/>
                <w:sz w:val="20"/>
                <w:szCs w:val="20"/>
              </w:rPr>
              <w:t>High Risk</w:t>
            </w:r>
            <w:proofErr w:type="gramEnd"/>
            <w:r w:rsidRPr="00BA48F1">
              <w:rPr>
                <w:rFonts w:ascii="Arial" w:eastAsia="Times New Roman" w:hAnsi="Arial" w:cs="Arial"/>
                <w:color w:val="000000"/>
                <w:sz w:val="20"/>
                <w:szCs w:val="20"/>
              </w:rPr>
              <w:t xml:space="preserve"> Score statistically significantly higher than the state High Risk Score for this 5-year period have been included. </w:t>
            </w:r>
          </w:p>
        </w:tc>
        <w:tc>
          <w:tcPr>
            <w:tcW w:w="222" w:type="dxa"/>
            <w:vAlign w:val="center"/>
            <w:hideMark/>
          </w:tcPr>
          <w:p w14:paraId="1E76854C" w14:textId="77777777" w:rsidR="00BA48F1" w:rsidRPr="00BA48F1" w:rsidRDefault="00BA48F1" w:rsidP="00BA48F1">
            <w:pPr>
              <w:spacing w:after="0" w:line="240" w:lineRule="auto"/>
              <w:rPr>
                <w:rFonts w:ascii="Times New Roman" w:eastAsia="Times New Roman" w:hAnsi="Times New Roman" w:cs="Times New Roman"/>
                <w:sz w:val="20"/>
                <w:szCs w:val="20"/>
              </w:rPr>
            </w:pPr>
          </w:p>
        </w:tc>
      </w:tr>
      <w:tr w:rsidR="00BA48F1" w:rsidRPr="00BA48F1" w14:paraId="30C22726" w14:textId="77777777" w:rsidTr="003A0791">
        <w:trPr>
          <w:trHeight w:val="255"/>
        </w:trPr>
        <w:tc>
          <w:tcPr>
            <w:tcW w:w="8897" w:type="dxa"/>
            <w:gridSpan w:val="7"/>
            <w:vMerge/>
            <w:tcBorders>
              <w:top w:val="nil"/>
              <w:left w:val="nil"/>
              <w:bottom w:val="nil"/>
              <w:right w:val="nil"/>
            </w:tcBorders>
            <w:vAlign w:val="center"/>
            <w:hideMark/>
          </w:tcPr>
          <w:p w14:paraId="30315ADC" w14:textId="77777777" w:rsidR="00BA48F1" w:rsidRPr="00BA48F1" w:rsidRDefault="00BA48F1" w:rsidP="00BA48F1">
            <w:pPr>
              <w:spacing w:after="0" w:line="240" w:lineRule="auto"/>
              <w:rPr>
                <w:rFonts w:ascii="Arial" w:eastAsia="Times New Roman" w:hAnsi="Arial" w:cs="Arial"/>
                <w:color w:val="000000"/>
                <w:sz w:val="20"/>
                <w:szCs w:val="20"/>
              </w:rPr>
            </w:pPr>
          </w:p>
        </w:tc>
        <w:tc>
          <w:tcPr>
            <w:tcW w:w="222" w:type="dxa"/>
            <w:tcBorders>
              <w:top w:val="nil"/>
              <w:left w:val="nil"/>
              <w:bottom w:val="nil"/>
              <w:right w:val="nil"/>
            </w:tcBorders>
            <w:shd w:val="clear" w:color="auto" w:fill="auto"/>
            <w:noWrap/>
            <w:vAlign w:val="bottom"/>
            <w:hideMark/>
          </w:tcPr>
          <w:p w14:paraId="70776DF4" w14:textId="77777777" w:rsidR="00BA48F1" w:rsidRPr="00BA48F1" w:rsidRDefault="00BA48F1" w:rsidP="00BA48F1">
            <w:pPr>
              <w:spacing w:after="0" w:line="240" w:lineRule="auto"/>
              <w:rPr>
                <w:rFonts w:ascii="Arial" w:eastAsia="Times New Roman" w:hAnsi="Arial" w:cs="Arial"/>
                <w:color w:val="000000"/>
                <w:sz w:val="20"/>
                <w:szCs w:val="20"/>
              </w:rPr>
            </w:pPr>
          </w:p>
        </w:tc>
      </w:tr>
      <w:tr w:rsidR="00BA48F1" w:rsidRPr="00BA48F1" w14:paraId="198127D5" w14:textId="77777777" w:rsidTr="003A0791">
        <w:trPr>
          <w:trHeight w:val="255"/>
        </w:trPr>
        <w:tc>
          <w:tcPr>
            <w:tcW w:w="1817" w:type="dxa"/>
            <w:tcBorders>
              <w:top w:val="nil"/>
              <w:left w:val="nil"/>
              <w:bottom w:val="nil"/>
              <w:right w:val="nil"/>
            </w:tcBorders>
            <w:shd w:val="clear" w:color="auto" w:fill="auto"/>
            <w:noWrap/>
            <w:vAlign w:val="bottom"/>
            <w:hideMark/>
          </w:tcPr>
          <w:p w14:paraId="236499E0" w14:textId="77777777" w:rsidR="00BA48F1" w:rsidRPr="00BA48F1" w:rsidRDefault="00BA48F1" w:rsidP="00BA48F1">
            <w:pPr>
              <w:spacing w:after="0" w:line="240" w:lineRule="auto"/>
              <w:rPr>
                <w:rFonts w:ascii="Times New Roman" w:eastAsia="Times New Roman" w:hAnsi="Times New Roman" w:cs="Times New Roman"/>
                <w:sz w:val="20"/>
                <w:szCs w:val="20"/>
              </w:rPr>
            </w:pPr>
          </w:p>
        </w:tc>
        <w:tc>
          <w:tcPr>
            <w:tcW w:w="1117" w:type="dxa"/>
            <w:tcBorders>
              <w:top w:val="nil"/>
              <w:left w:val="nil"/>
              <w:bottom w:val="nil"/>
              <w:right w:val="nil"/>
            </w:tcBorders>
            <w:shd w:val="clear" w:color="auto" w:fill="auto"/>
            <w:noWrap/>
            <w:vAlign w:val="bottom"/>
            <w:hideMark/>
          </w:tcPr>
          <w:p w14:paraId="656FDB46" w14:textId="77777777" w:rsidR="00BA48F1" w:rsidRPr="00BA48F1" w:rsidRDefault="00BA48F1" w:rsidP="00BA48F1">
            <w:pPr>
              <w:spacing w:after="0" w:line="240" w:lineRule="auto"/>
              <w:rPr>
                <w:rFonts w:ascii="Times New Roman" w:eastAsia="Times New Roman" w:hAnsi="Times New Roman" w:cs="Times New Roman"/>
                <w:sz w:val="20"/>
                <w:szCs w:val="20"/>
              </w:rPr>
            </w:pPr>
          </w:p>
        </w:tc>
        <w:tc>
          <w:tcPr>
            <w:tcW w:w="856" w:type="dxa"/>
            <w:tcBorders>
              <w:top w:val="nil"/>
              <w:left w:val="nil"/>
              <w:bottom w:val="nil"/>
              <w:right w:val="nil"/>
            </w:tcBorders>
            <w:shd w:val="clear" w:color="auto" w:fill="auto"/>
            <w:noWrap/>
            <w:vAlign w:val="bottom"/>
            <w:hideMark/>
          </w:tcPr>
          <w:p w14:paraId="0F3BEF6A" w14:textId="77777777" w:rsidR="00BA48F1" w:rsidRPr="00BA48F1" w:rsidRDefault="00BA48F1" w:rsidP="00BA48F1">
            <w:pPr>
              <w:spacing w:after="0" w:line="240" w:lineRule="auto"/>
              <w:rPr>
                <w:rFonts w:ascii="Times New Roman" w:eastAsia="Times New Roman" w:hAnsi="Times New Roman" w:cs="Times New Roman"/>
                <w:sz w:val="20"/>
                <w:szCs w:val="20"/>
              </w:rPr>
            </w:pPr>
          </w:p>
        </w:tc>
        <w:tc>
          <w:tcPr>
            <w:tcW w:w="1432" w:type="dxa"/>
            <w:tcBorders>
              <w:top w:val="nil"/>
              <w:left w:val="nil"/>
              <w:bottom w:val="nil"/>
              <w:right w:val="nil"/>
            </w:tcBorders>
            <w:shd w:val="clear" w:color="auto" w:fill="auto"/>
            <w:noWrap/>
            <w:vAlign w:val="bottom"/>
            <w:hideMark/>
          </w:tcPr>
          <w:p w14:paraId="095C66F7" w14:textId="77777777" w:rsidR="00BA48F1" w:rsidRPr="00BA48F1" w:rsidRDefault="00BA48F1" w:rsidP="00BA48F1">
            <w:pPr>
              <w:spacing w:after="0" w:line="240" w:lineRule="auto"/>
              <w:rPr>
                <w:rFonts w:ascii="Times New Roman" w:eastAsia="Times New Roman" w:hAnsi="Times New Roman" w:cs="Times New Roman"/>
                <w:sz w:val="20"/>
                <w:szCs w:val="20"/>
              </w:rPr>
            </w:pPr>
          </w:p>
        </w:tc>
        <w:tc>
          <w:tcPr>
            <w:tcW w:w="974" w:type="dxa"/>
            <w:tcBorders>
              <w:top w:val="nil"/>
              <w:left w:val="nil"/>
              <w:bottom w:val="nil"/>
              <w:right w:val="nil"/>
            </w:tcBorders>
            <w:shd w:val="clear" w:color="auto" w:fill="auto"/>
            <w:noWrap/>
            <w:vAlign w:val="bottom"/>
            <w:hideMark/>
          </w:tcPr>
          <w:p w14:paraId="38E6C0B6" w14:textId="77777777" w:rsidR="00BA48F1" w:rsidRPr="00BA48F1" w:rsidRDefault="00BA48F1" w:rsidP="00BA48F1">
            <w:pPr>
              <w:spacing w:after="0" w:line="240" w:lineRule="auto"/>
              <w:rPr>
                <w:rFonts w:ascii="Times New Roman" w:eastAsia="Times New Roman" w:hAnsi="Times New Roman" w:cs="Times New Roman"/>
                <w:sz w:val="20"/>
                <w:szCs w:val="20"/>
              </w:rPr>
            </w:pPr>
          </w:p>
        </w:tc>
        <w:tc>
          <w:tcPr>
            <w:tcW w:w="1529" w:type="dxa"/>
            <w:tcBorders>
              <w:top w:val="nil"/>
              <w:left w:val="nil"/>
              <w:bottom w:val="nil"/>
              <w:right w:val="nil"/>
            </w:tcBorders>
            <w:shd w:val="clear" w:color="auto" w:fill="auto"/>
            <w:noWrap/>
            <w:vAlign w:val="bottom"/>
            <w:hideMark/>
          </w:tcPr>
          <w:p w14:paraId="077BDBB0" w14:textId="77777777" w:rsidR="00BA48F1" w:rsidRPr="00BA48F1" w:rsidRDefault="00BA48F1" w:rsidP="00BA48F1">
            <w:pPr>
              <w:spacing w:after="0" w:line="240" w:lineRule="auto"/>
              <w:rPr>
                <w:rFonts w:ascii="Times New Roman" w:eastAsia="Times New Roman" w:hAnsi="Times New Roman" w:cs="Times New Roman"/>
                <w:sz w:val="20"/>
                <w:szCs w:val="20"/>
              </w:rPr>
            </w:pPr>
          </w:p>
        </w:tc>
        <w:tc>
          <w:tcPr>
            <w:tcW w:w="1172" w:type="dxa"/>
            <w:tcBorders>
              <w:top w:val="nil"/>
              <w:left w:val="nil"/>
              <w:bottom w:val="nil"/>
              <w:right w:val="nil"/>
            </w:tcBorders>
            <w:shd w:val="clear" w:color="auto" w:fill="auto"/>
            <w:noWrap/>
            <w:vAlign w:val="bottom"/>
            <w:hideMark/>
          </w:tcPr>
          <w:p w14:paraId="35A7B30C" w14:textId="77777777" w:rsidR="00BA48F1" w:rsidRPr="00BA48F1" w:rsidRDefault="00BA48F1" w:rsidP="00BA48F1">
            <w:pPr>
              <w:spacing w:after="0" w:line="240" w:lineRule="auto"/>
              <w:rPr>
                <w:rFonts w:ascii="Times New Roman" w:eastAsia="Times New Roman" w:hAnsi="Times New Roman" w:cs="Times New Roman"/>
                <w:sz w:val="20"/>
                <w:szCs w:val="20"/>
              </w:rPr>
            </w:pPr>
          </w:p>
        </w:tc>
        <w:tc>
          <w:tcPr>
            <w:tcW w:w="222" w:type="dxa"/>
            <w:vAlign w:val="center"/>
            <w:hideMark/>
          </w:tcPr>
          <w:p w14:paraId="7D8CB177" w14:textId="77777777" w:rsidR="00BA48F1" w:rsidRPr="00BA48F1" w:rsidRDefault="00BA48F1" w:rsidP="00BA48F1">
            <w:pPr>
              <w:spacing w:after="0" w:line="240" w:lineRule="auto"/>
              <w:rPr>
                <w:rFonts w:ascii="Times New Roman" w:eastAsia="Times New Roman" w:hAnsi="Times New Roman" w:cs="Times New Roman"/>
                <w:sz w:val="20"/>
                <w:szCs w:val="20"/>
              </w:rPr>
            </w:pPr>
          </w:p>
        </w:tc>
      </w:tr>
      <w:tr w:rsidR="00BA48F1" w:rsidRPr="00BA48F1" w14:paraId="01D174E8" w14:textId="77777777" w:rsidTr="003A0791">
        <w:trPr>
          <w:trHeight w:val="255"/>
        </w:trPr>
        <w:tc>
          <w:tcPr>
            <w:tcW w:w="1817" w:type="dxa"/>
            <w:tcBorders>
              <w:top w:val="nil"/>
              <w:left w:val="nil"/>
              <w:bottom w:val="nil"/>
              <w:right w:val="nil"/>
            </w:tcBorders>
            <w:shd w:val="clear" w:color="auto" w:fill="auto"/>
            <w:noWrap/>
            <w:vAlign w:val="bottom"/>
            <w:hideMark/>
          </w:tcPr>
          <w:p w14:paraId="0AE1C4C3" w14:textId="77777777" w:rsidR="00BA48F1" w:rsidRPr="00BA48F1" w:rsidRDefault="00BA48F1" w:rsidP="00BA48F1">
            <w:pPr>
              <w:spacing w:after="0" w:line="240" w:lineRule="auto"/>
              <w:rPr>
                <w:rFonts w:ascii="Arial" w:eastAsia="Times New Roman" w:hAnsi="Arial" w:cs="Arial"/>
                <w:color w:val="000000"/>
                <w:sz w:val="20"/>
                <w:szCs w:val="20"/>
              </w:rPr>
            </w:pPr>
            <w:r w:rsidRPr="00BA48F1">
              <w:rPr>
                <w:rFonts w:ascii="Arial" w:eastAsia="Times New Roman" w:hAnsi="Arial" w:cs="Arial"/>
                <w:color w:val="000000"/>
                <w:sz w:val="20"/>
                <w:szCs w:val="20"/>
              </w:rPr>
              <w:t>Footnotes:</w:t>
            </w:r>
          </w:p>
        </w:tc>
        <w:tc>
          <w:tcPr>
            <w:tcW w:w="1117" w:type="dxa"/>
            <w:tcBorders>
              <w:top w:val="nil"/>
              <w:left w:val="nil"/>
              <w:bottom w:val="nil"/>
              <w:right w:val="nil"/>
            </w:tcBorders>
            <w:shd w:val="clear" w:color="auto" w:fill="auto"/>
            <w:noWrap/>
            <w:vAlign w:val="bottom"/>
            <w:hideMark/>
          </w:tcPr>
          <w:p w14:paraId="12463107" w14:textId="77777777" w:rsidR="00BA48F1" w:rsidRPr="00BA48F1" w:rsidRDefault="00BA48F1" w:rsidP="00BA48F1">
            <w:pPr>
              <w:spacing w:after="0" w:line="240" w:lineRule="auto"/>
              <w:rPr>
                <w:rFonts w:ascii="Arial" w:eastAsia="Times New Roman" w:hAnsi="Arial" w:cs="Arial"/>
                <w:color w:val="000000"/>
                <w:sz w:val="20"/>
                <w:szCs w:val="20"/>
              </w:rPr>
            </w:pPr>
          </w:p>
        </w:tc>
        <w:tc>
          <w:tcPr>
            <w:tcW w:w="856" w:type="dxa"/>
            <w:tcBorders>
              <w:top w:val="nil"/>
              <w:left w:val="nil"/>
              <w:bottom w:val="nil"/>
              <w:right w:val="nil"/>
            </w:tcBorders>
            <w:shd w:val="clear" w:color="auto" w:fill="auto"/>
            <w:noWrap/>
            <w:vAlign w:val="bottom"/>
            <w:hideMark/>
          </w:tcPr>
          <w:p w14:paraId="29D39842" w14:textId="77777777" w:rsidR="00BA48F1" w:rsidRPr="00BA48F1" w:rsidRDefault="00BA48F1" w:rsidP="00BA48F1">
            <w:pPr>
              <w:spacing w:after="0" w:line="240" w:lineRule="auto"/>
              <w:rPr>
                <w:rFonts w:ascii="Times New Roman" w:eastAsia="Times New Roman" w:hAnsi="Times New Roman" w:cs="Times New Roman"/>
                <w:sz w:val="20"/>
                <w:szCs w:val="20"/>
              </w:rPr>
            </w:pPr>
          </w:p>
        </w:tc>
        <w:tc>
          <w:tcPr>
            <w:tcW w:w="1432" w:type="dxa"/>
            <w:tcBorders>
              <w:top w:val="nil"/>
              <w:left w:val="nil"/>
              <w:bottom w:val="nil"/>
              <w:right w:val="nil"/>
            </w:tcBorders>
            <w:shd w:val="clear" w:color="auto" w:fill="auto"/>
            <w:noWrap/>
            <w:vAlign w:val="bottom"/>
            <w:hideMark/>
          </w:tcPr>
          <w:p w14:paraId="3584F717" w14:textId="77777777" w:rsidR="00BA48F1" w:rsidRPr="00BA48F1" w:rsidRDefault="00BA48F1" w:rsidP="00BA48F1">
            <w:pPr>
              <w:spacing w:after="0" w:line="240" w:lineRule="auto"/>
              <w:rPr>
                <w:rFonts w:ascii="Times New Roman" w:eastAsia="Times New Roman" w:hAnsi="Times New Roman" w:cs="Times New Roman"/>
                <w:sz w:val="20"/>
                <w:szCs w:val="20"/>
              </w:rPr>
            </w:pPr>
          </w:p>
        </w:tc>
        <w:tc>
          <w:tcPr>
            <w:tcW w:w="974" w:type="dxa"/>
            <w:tcBorders>
              <w:top w:val="nil"/>
              <w:left w:val="nil"/>
              <w:bottom w:val="nil"/>
              <w:right w:val="nil"/>
            </w:tcBorders>
            <w:shd w:val="clear" w:color="auto" w:fill="auto"/>
            <w:noWrap/>
            <w:vAlign w:val="bottom"/>
            <w:hideMark/>
          </w:tcPr>
          <w:p w14:paraId="49080266" w14:textId="77777777" w:rsidR="00BA48F1" w:rsidRPr="00BA48F1" w:rsidRDefault="00BA48F1" w:rsidP="00BA48F1">
            <w:pPr>
              <w:spacing w:after="0" w:line="240" w:lineRule="auto"/>
              <w:rPr>
                <w:rFonts w:ascii="Times New Roman" w:eastAsia="Times New Roman" w:hAnsi="Times New Roman" w:cs="Times New Roman"/>
                <w:sz w:val="20"/>
                <w:szCs w:val="20"/>
              </w:rPr>
            </w:pPr>
          </w:p>
        </w:tc>
        <w:tc>
          <w:tcPr>
            <w:tcW w:w="1529" w:type="dxa"/>
            <w:tcBorders>
              <w:top w:val="nil"/>
              <w:left w:val="nil"/>
              <w:bottom w:val="nil"/>
              <w:right w:val="nil"/>
            </w:tcBorders>
            <w:shd w:val="clear" w:color="auto" w:fill="auto"/>
            <w:noWrap/>
            <w:vAlign w:val="bottom"/>
            <w:hideMark/>
          </w:tcPr>
          <w:p w14:paraId="5350E31D" w14:textId="77777777" w:rsidR="00BA48F1" w:rsidRPr="00BA48F1" w:rsidRDefault="00BA48F1" w:rsidP="00BA48F1">
            <w:pPr>
              <w:spacing w:after="0" w:line="240" w:lineRule="auto"/>
              <w:rPr>
                <w:rFonts w:ascii="Times New Roman" w:eastAsia="Times New Roman" w:hAnsi="Times New Roman" w:cs="Times New Roman"/>
                <w:sz w:val="20"/>
                <w:szCs w:val="20"/>
              </w:rPr>
            </w:pPr>
          </w:p>
        </w:tc>
        <w:tc>
          <w:tcPr>
            <w:tcW w:w="1172" w:type="dxa"/>
            <w:tcBorders>
              <w:top w:val="nil"/>
              <w:left w:val="nil"/>
              <w:bottom w:val="nil"/>
              <w:right w:val="nil"/>
            </w:tcBorders>
            <w:shd w:val="clear" w:color="auto" w:fill="auto"/>
            <w:noWrap/>
            <w:vAlign w:val="bottom"/>
            <w:hideMark/>
          </w:tcPr>
          <w:p w14:paraId="6125A421" w14:textId="77777777" w:rsidR="00BA48F1" w:rsidRPr="00BA48F1" w:rsidRDefault="00BA48F1" w:rsidP="00BA48F1">
            <w:pPr>
              <w:spacing w:after="0" w:line="240" w:lineRule="auto"/>
              <w:rPr>
                <w:rFonts w:ascii="Times New Roman" w:eastAsia="Times New Roman" w:hAnsi="Times New Roman" w:cs="Times New Roman"/>
                <w:sz w:val="20"/>
                <w:szCs w:val="20"/>
              </w:rPr>
            </w:pPr>
          </w:p>
        </w:tc>
        <w:tc>
          <w:tcPr>
            <w:tcW w:w="222" w:type="dxa"/>
            <w:vAlign w:val="center"/>
            <w:hideMark/>
          </w:tcPr>
          <w:p w14:paraId="7C166299" w14:textId="77777777" w:rsidR="00BA48F1" w:rsidRPr="00BA48F1" w:rsidRDefault="00BA48F1" w:rsidP="00BA48F1">
            <w:pPr>
              <w:spacing w:after="0" w:line="240" w:lineRule="auto"/>
              <w:rPr>
                <w:rFonts w:ascii="Times New Roman" w:eastAsia="Times New Roman" w:hAnsi="Times New Roman" w:cs="Times New Roman"/>
                <w:sz w:val="20"/>
                <w:szCs w:val="20"/>
              </w:rPr>
            </w:pPr>
          </w:p>
        </w:tc>
      </w:tr>
      <w:tr w:rsidR="00BA48F1" w:rsidRPr="00BA48F1" w14:paraId="172C7853" w14:textId="77777777" w:rsidTr="003A0791">
        <w:trPr>
          <w:trHeight w:val="870"/>
        </w:trPr>
        <w:tc>
          <w:tcPr>
            <w:tcW w:w="8897" w:type="dxa"/>
            <w:gridSpan w:val="7"/>
            <w:tcBorders>
              <w:top w:val="nil"/>
              <w:left w:val="nil"/>
              <w:bottom w:val="nil"/>
              <w:right w:val="nil"/>
            </w:tcBorders>
            <w:shd w:val="clear" w:color="auto" w:fill="auto"/>
            <w:hideMark/>
          </w:tcPr>
          <w:p w14:paraId="5B7E9C5B" w14:textId="77777777" w:rsidR="00BA48F1" w:rsidRPr="00BA48F1" w:rsidRDefault="00BA48F1" w:rsidP="00BA48F1">
            <w:pPr>
              <w:spacing w:after="0" w:line="240" w:lineRule="auto"/>
              <w:rPr>
                <w:rFonts w:ascii="Arial" w:eastAsia="Times New Roman" w:hAnsi="Arial" w:cs="Arial"/>
                <w:color w:val="000000"/>
                <w:sz w:val="20"/>
                <w:szCs w:val="20"/>
              </w:rPr>
            </w:pPr>
            <w:r w:rsidRPr="00BA48F1">
              <w:rPr>
                <w:rFonts w:ascii="Arial" w:eastAsia="Times New Roman" w:hAnsi="Arial" w:cs="Arial"/>
                <w:color w:val="000000"/>
                <w:sz w:val="20"/>
                <w:szCs w:val="20"/>
                <w:vertAlign w:val="superscript"/>
              </w:rPr>
              <w:t>1</w:t>
            </w:r>
            <w:r w:rsidRPr="00BA48F1">
              <w:rPr>
                <w:rFonts w:ascii="Arial" w:eastAsia="Times New Roman" w:hAnsi="Arial" w:cs="Arial"/>
                <w:color w:val="000000"/>
                <w:sz w:val="20"/>
                <w:szCs w:val="20"/>
              </w:rPr>
              <w:t>Number and rate of incident cases ≥10 µg/dL per</w:t>
            </w:r>
            <w:r w:rsidRPr="00BA48F1">
              <w:rPr>
                <w:rFonts w:ascii="Calibri" w:eastAsia="Times New Roman" w:hAnsi="Calibri" w:cs="Calibri"/>
                <w:color w:val="000000"/>
                <w:sz w:val="20"/>
                <w:szCs w:val="20"/>
              </w:rPr>
              <w:t xml:space="preserve"> </w:t>
            </w:r>
            <w:r w:rsidRPr="00BA48F1">
              <w:rPr>
                <w:rFonts w:ascii="Arial" w:eastAsia="Times New Roman" w:hAnsi="Arial" w:cs="Arial"/>
                <w:color w:val="000000"/>
                <w:sz w:val="20"/>
                <w:szCs w:val="20"/>
              </w:rPr>
              <w:t xml:space="preserve">1,000 children (9 to 47 months) screened during this 5-year period. An incident case is only counted once over the course of the 5-year time-period. MA CLPPP defines lead poisoning as a confirmed blood lead </w:t>
            </w:r>
            <w:proofErr w:type="gramStart"/>
            <w:r w:rsidRPr="00BA48F1">
              <w:rPr>
                <w:rFonts w:ascii="Arial" w:eastAsia="Times New Roman" w:hAnsi="Arial" w:cs="Arial"/>
                <w:color w:val="000000"/>
                <w:sz w:val="20"/>
                <w:szCs w:val="20"/>
              </w:rPr>
              <w:t>level  ≥</w:t>
            </w:r>
            <w:proofErr w:type="gramEnd"/>
            <w:r w:rsidRPr="00BA48F1">
              <w:rPr>
                <w:rFonts w:ascii="Arial" w:eastAsia="Times New Roman" w:hAnsi="Arial" w:cs="Arial"/>
                <w:color w:val="000000"/>
                <w:sz w:val="20"/>
                <w:szCs w:val="20"/>
              </w:rPr>
              <w:t>10 µg/dL.</w:t>
            </w:r>
          </w:p>
        </w:tc>
        <w:tc>
          <w:tcPr>
            <w:tcW w:w="222" w:type="dxa"/>
            <w:vAlign w:val="center"/>
            <w:hideMark/>
          </w:tcPr>
          <w:p w14:paraId="2341321E" w14:textId="77777777" w:rsidR="00BA48F1" w:rsidRPr="00BA48F1" w:rsidRDefault="00BA48F1" w:rsidP="00BA48F1">
            <w:pPr>
              <w:spacing w:after="0" w:line="240" w:lineRule="auto"/>
              <w:rPr>
                <w:rFonts w:ascii="Times New Roman" w:eastAsia="Times New Roman" w:hAnsi="Times New Roman" w:cs="Times New Roman"/>
                <w:sz w:val="20"/>
                <w:szCs w:val="20"/>
              </w:rPr>
            </w:pPr>
          </w:p>
        </w:tc>
      </w:tr>
      <w:tr w:rsidR="00BA48F1" w:rsidRPr="00BA48F1" w14:paraId="6386E51B" w14:textId="77777777" w:rsidTr="003A0791">
        <w:trPr>
          <w:trHeight w:val="540"/>
        </w:trPr>
        <w:tc>
          <w:tcPr>
            <w:tcW w:w="8897" w:type="dxa"/>
            <w:gridSpan w:val="7"/>
            <w:tcBorders>
              <w:top w:val="nil"/>
              <w:left w:val="nil"/>
              <w:bottom w:val="nil"/>
              <w:right w:val="nil"/>
            </w:tcBorders>
            <w:shd w:val="clear" w:color="auto" w:fill="auto"/>
            <w:hideMark/>
          </w:tcPr>
          <w:p w14:paraId="2010D050" w14:textId="77777777" w:rsidR="00BA48F1" w:rsidRPr="00BA48F1" w:rsidRDefault="00BA48F1" w:rsidP="00BA48F1">
            <w:pPr>
              <w:spacing w:after="0" w:line="240" w:lineRule="auto"/>
              <w:rPr>
                <w:rFonts w:ascii="Arial" w:eastAsia="Times New Roman" w:hAnsi="Arial" w:cs="Arial"/>
                <w:color w:val="000000"/>
                <w:sz w:val="20"/>
                <w:szCs w:val="20"/>
              </w:rPr>
            </w:pPr>
            <w:r w:rsidRPr="00BA48F1">
              <w:rPr>
                <w:rFonts w:ascii="Arial" w:eastAsia="Times New Roman" w:hAnsi="Arial" w:cs="Arial"/>
                <w:color w:val="000000"/>
                <w:sz w:val="20"/>
                <w:szCs w:val="20"/>
                <w:vertAlign w:val="superscript"/>
              </w:rPr>
              <w:t>2</w:t>
            </w:r>
            <w:r w:rsidRPr="00BA48F1">
              <w:rPr>
                <w:rFonts w:ascii="Arial" w:eastAsia="Times New Roman" w:hAnsi="Arial" w:cs="Arial"/>
                <w:color w:val="000000"/>
                <w:sz w:val="20"/>
                <w:szCs w:val="20"/>
              </w:rPr>
              <w:t>Percentage of families with a poverty to income ratio below 2.00 (</w:t>
            </w:r>
            <w:proofErr w:type="gramStart"/>
            <w:r w:rsidRPr="00BA48F1">
              <w:rPr>
                <w:rFonts w:ascii="Arial" w:eastAsia="Times New Roman" w:hAnsi="Arial" w:cs="Arial"/>
                <w:color w:val="000000"/>
                <w:sz w:val="20"/>
                <w:szCs w:val="20"/>
              </w:rPr>
              <w:t>i.e.</w:t>
            </w:r>
            <w:proofErr w:type="gramEnd"/>
            <w:r w:rsidRPr="00BA48F1">
              <w:rPr>
                <w:rFonts w:ascii="Arial" w:eastAsia="Times New Roman" w:hAnsi="Arial" w:cs="Arial"/>
                <w:color w:val="000000"/>
                <w:sz w:val="20"/>
                <w:szCs w:val="20"/>
              </w:rPr>
              <w:t xml:space="preserve"> &lt; 200% of the poverty threshold).</w:t>
            </w:r>
          </w:p>
        </w:tc>
        <w:tc>
          <w:tcPr>
            <w:tcW w:w="222" w:type="dxa"/>
            <w:vAlign w:val="center"/>
            <w:hideMark/>
          </w:tcPr>
          <w:p w14:paraId="40143D77" w14:textId="77777777" w:rsidR="00BA48F1" w:rsidRPr="00BA48F1" w:rsidRDefault="00BA48F1" w:rsidP="00BA48F1">
            <w:pPr>
              <w:spacing w:after="0" w:line="240" w:lineRule="auto"/>
              <w:rPr>
                <w:rFonts w:ascii="Times New Roman" w:eastAsia="Times New Roman" w:hAnsi="Times New Roman" w:cs="Times New Roman"/>
                <w:sz w:val="20"/>
                <w:szCs w:val="20"/>
              </w:rPr>
            </w:pPr>
          </w:p>
        </w:tc>
      </w:tr>
      <w:tr w:rsidR="00BA48F1" w:rsidRPr="00BA48F1" w14:paraId="4D52073C" w14:textId="77777777" w:rsidTr="003A0791">
        <w:trPr>
          <w:trHeight w:val="855"/>
        </w:trPr>
        <w:tc>
          <w:tcPr>
            <w:tcW w:w="8897" w:type="dxa"/>
            <w:gridSpan w:val="7"/>
            <w:tcBorders>
              <w:top w:val="nil"/>
              <w:left w:val="nil"/>
              <w:bottom w:val="nil"/>
              <w:right w:val="nil"/>
            </w:tcBorders>
            <w:shd w:val="clear" w:color="auto" w:fill="auto"/>
            <w:hideMark/>
          </w:tcPr>
          <w:p w14:paraId="491025B5" w14:textId="77777777" w:rsidR="00BA48F1" w:rsidRPr="00BA48F1" w:rsidRDefault="00BA48F1" w:rsidP="00BA48F1">
            <w:pPr>
              <w:spacing w:after="0" w:line="240" w:lineRule="auto"/>
              <w:rPr>
                <w:rFonts w:ascii="Arial" w:eastAsia="Times New Roman" w:hAnsi="Arial" w:cs="Arial"/>
                <w:color w:val="000000"/>
                <w:sz w:val="20"/>
                <w:szCs w:val="20"/>
              </w:rPr>
            </w:pPr>
            <w:r w:rsidRPr="00BA48F1">
              <w:rPr>
                <w:rFonts w:ascii="Arial" w:eastAsia="Times New Roman" w:hAnsi="Arial" w:cs="Arial"/>
                <w:color w:val="000000"/>
                <w:sz w:val="20"/>
                <w:szCs w:val="20"/>
                <w:vertAlign w:val="superscript"/>
              </w:rPr>
              <w:t>3</w:t>
            </w:r>
            <w:r w:rsidRPr="00BA48F1">
              <w:rPr>
                <w:rFonts w:ascii="Arial" w:eastAsia="Times New Roman" w:hAnsi="Arial" w:cs="Arial"/>
                <w:color w:val="000000"/>
                <w:sz w:val="20"/>
                <w:szCs w:val="20"/>
              </w:rPr>
              <w:t>Percentage of housing units built prior to 1978 as estimated by the American Community Survey. In 1977 the Consumer Product Safety Commission banned lead-containing paint (16 C.F.R. 1303). Housing units built prior to this date may contain dangerous levels of lead in paint.</w:t>
            </w:r>
          </w:p>
        </w:tc>
        <w:tc>
          <w:tcPr>
            <w:tcW w:w="222" w:type="dxa"/>
            <w:vAlign w:val="center"/>
            <w:hideMark/>
          </w:tcPr>
          <w:p w14:paraId="0B8375FC" w14:textId="77777777" w:rsidR="00BA48F1" w:rsidRPr="00BA48F1" w:rsidRDefault="00BA48F1" w:rsidP="00BA48F1">
            <w:pPr>
              <w:spacing w:after="0" w:line="240" w:lineRule="auto"/>
              <w:rPr>
                <w:rFonts w:ascii="Times New Roman" w:eastAsia="Times New Roman" w:hAnsi="Times New Roman" w:cs="Times New Roman"/>
                <w:sz w:val="20"/>
                <w:szCs w:val="20"/>
              </w:rPr>
            </w:pPr>
          </w:p>
        </w:tc>
      </w:tr>
      <w:tr w:rsidR="00BA48F1" w:rsidRPr="00BA48F1" w14:paraId="35015CE1" w14:textId="77777777" w:rsidTr="003A0791">
        <w:trPr>
          <w:trHeight w:val="255"/>
        </w:trPr>
        <w:tc>
          <w:tcPr>
            <w:tcW w:w="8897" w:type="dxa"/>
            <w:gridSpan w:val="7"/>
            <w:vMerge w:val="restart"/>
            <w:tcBorders>
              <w:top w:val="nil"/>
              <w:left w:val="nil"/>
              <w:bottom w:val="nil"/>
              <w:right w:val="nil"/>
            </w:tcBorders>
            <w:shd w:val="clear" w:color="auto" w:fill="auto"/>
            <w:hideMark/>
          </w:tcPr>
          <w:p w14:paraId="56A67BBA" w14:textId="77777777" w:rsidR="00BA48F1" w:rsidRDefault="00BA48F1" w:rsidP="00BA48F1">
            <w:pPr>
              <w:spacing w:after="0" w:line="240" w:lineRule="auto"/>
              <w:rPr>
                <w:rFonts w:ascii="Arial" w:eastAsia="Times New Roman" w:hAnsi="Arial" w:cs="Arial"/>
                <w:color w:val="000000"/>
                <w:sz w:val="20"/>
                <w:szCs w:val="20"/>
              </w:rPr>
            </w:pPr>
            <w:r w:rsidRPr="00BA48F1">
              <w:rPr>
                <w:rFonts w:ascii="Arial" w:eastAsia="Times New Roman" w:hAnsi="Arial" w:cs="Arial"/>
                <w:color w:val="000000"/>
                <w:sz w:val="20"/>
                <w:szCs w:val="20"/>
                <w:vertAlign w:val="superscript"/>
              </w:rPr>
              <w:t>4</w:t>
            </w:r>
            <w:r w:rsidRPr="00BA48F1">
              <w:rPr>
                <w:rFonts w:ascii="Arial" w:eastAsia="Times New Roman" w:hAnsi="Arial" w:cs="Arial"/>
                <w:color w:val="000000"/>
                <w:sz w:val="20"/>
                <w:szCs w:val="20"/>
              </w:rPr>
              <w:t>(5-Year Incidence Rate by community) * (% PIR below 2 by community / % PIR below 2 MA) * (% pre-1978 by community / % pre-1978 MA)</w:t>
            </w:r>
          </w:p>
          <w:p w14:paraId="5EEC5599" w14:textId="215BB7CA" w:rsidR="003A0791" w:rsidRPr="00BA48F1" w:rsidRDefault="003A0791" w:rsidP="00BA48F1">
            <w:pPr>
              <w:spacing w:after="0" w:line="240" w:lineRule="auto"/>
              <w:rPr>
                <w:rFonts w:ascii="Arial" w:eastAsia="Times New Roman" w:hAnsi="Arial" w:cs="Arial"/>
                <w:color w:val="000000"/>
                <w:sz w:val="20"/>
                <w:szCs w:val="20"/>
              </w:rPr>
            </w:pPr>
          </w:p>
        </w:tc>
        <w:tc>
          <w:tcPr>
            <w:tcW w:w="222" w:type="dxa"/>
            <w:vAlign w:val="center"/>
            <w:hideMark/>
          </w:tcPr>
          <w:p w14:paraId="2B9CAF64" w14:textId="77777777" w:rsidR="00BA48F1" w:rsidRPr="00BA48F1" w:rsidRDefault="00BA48F1" w:rsidP="00BA48F1">
            <w:pPr>
              <w:spacing w:after="0" w:line="240" w:lineRule="auto"/>
              <w:rPr>
                <w:rFonts w:ascii="Times New Roman" w:eastAsia="Times New Roman" w:hAnsi="Times New Roman" w:cs="Times New Roman"/>
                <w:sz w:val="20"/>
                <w:szCs w:val="20"/>
              </w:rPr>
            </w:pPr>
          </w:p>
        </w:tc>
      </w:tr>
      <w:tr w:rsidR="00BA48F1" w:rsidRPr="00BA48F1" w14:paraId="0EEB8031" w14:textId="77777777" w:rsidTr="003A0791">
        <w:trPr>
          <w:trHeight w:val="315"/>
        </w:trPr>
        <w:tc>
          <w:tcPr>
            <w:tcW w:w="8897" w:type="dxa"/>
            <w:gridSpan w:val="7"/>
            <w:vMerge/>
            <w:tcBorders>
              <w:top w:val="nil"/>
              <w:left w:val="nil"/>
              <w:bottom w:val="nil"/>
              <w:right w:val="nil"/>
            </w:tcBorders>
            <w:vAlign w:val="center"/>
            <w:hideMark/>
          </w:tcPr>
          <w:p w14:paraId="1054FD81" w14:textId="77777777" w:rsidR="00BA48F1" w:rsidRPr="00BA48F1" w:rsidRDefault="00BA48F1" w:rsidP="00BA48F1">
            <w:pPr>
              <w:spacing w:after="0" w:line="240" w:lineRule="auto"/>
              <w:rPr>
                <w:rFonts w:ascii="Arial" w:eastAsia="Times New Roman" w:hAnsi="Arial" w:cs="Arial"/>
                <w:color w:val="000000"/>
                <w:sz w:val="20"/>
                <w:szCs w:val="20"/>
              </w:rPr>
            </w:pPr>
          </w:p>
        </w:tc>
        <w:tc>
          <w:tcPr>
            <w:tcW w:w="222" w:type="dxa"/>
            <w:tcBorders>
              <w:top w:val="nil"/>
              <w:left w:val="nil"/>
              <w:bottom w:val="nil"/>
              <w:right w:val="nil"/>
            </w:tcBorders>
            <w:shd w:val="clear" w:color="auto" w:fill="auto"/>
            <w:noWrap/>
            <w:vAlign w:val="bottom"/>
            <w:hideMark/>
          </w:tcPr>
          <w:p w14:paraId="278E0892" w14:textId="77777777" w:rsidR="00BA48F1" w:rsidRPr="00BA48F1" w:rsidRDefault="00BA48F1" w:rsidP="00BA48F1">
            <w:pPr>
              <w:spacing w:after="0" w:line="240" w:lineRule="auto"/>
              <w:rPr>
                <w:rFonts w:ascii="Arial" w:eastAsia="Times New Roman" w:hAnsi="Arial" w:cs="Arial"/>
                <w:color w:val="000000"/>
                <w:sz w:val="20"/>
                <w:szCs w:val="20"/>
              </w:rPr>
            </w:pPr>
          </w:p>
        </w:tc>
      </w:tr>
    </w:tbl>
    <w:p w14:paraId="48A4C447" w14:textId="77777777" w:rsidR="00BA48F1" w:rsidRDefault="00BA48F1" w:rsidP="008468D8">
      <w:pPr>
        <w:rPr>
          <w:rFonts w:ascii="Arial" w:hAnsi="Arial" w:cs="Arial"/>
          <w:b/>
          <w:bCs/>
        </w:rPr>
      </w:pPr>
    </w:p>
    <w:p w14:paraId="6AD0CF65" w14:textId="77777777" w:rsidR="003A0791" w:rsidRDefault="003A0791" w:rsidP="008468D8">
      <w:pPr>
        <w:rPr>
          <w:rFonts w:ascii="Arial" w:hAnsi="Arial" w:cs="Arial"/>
          <w:b/>
          <w:bCs/>
        </w:rPr>
        <w:sectPr w:rsidR="003A0791" w:rsidSect="003A0791">
          <w:pgSz w:w="12240" w:h="15840"/>
          <w:pgMar w:top="720" w:right="720" w:bottom="720" w:left="720" w:header="720" w:footer="720" w:gutter="0"/>
          <w:cols w:space="720"/>
          <w:docGrid w:linePitch="360"/>
        </w:sectPr>
      </w:pPr>
    </w:p>
    <w:tbl>
      <w:tblPr>
        <w:tblW w:w="0" w:type="auto"/>
        <w:tblLook w:val="04A0" w:firstRow="1" w:lastRow="0" w:firstColumn="1" w:lastColumn="0" w:noHBand="0" w:noVBand="1"/>
      </w:tblPr>
      <w:tblGrid>
        <w:gridCol w:w="2314"/>
        <w:gridCol w:w="1345"/>
        <w:gridCol w:w="1208"/>
        <w:gridCol w:w="1235"/>
        <w:gridCol w:w="805"/>
        <w:gridCol w:w="776"/>
        <w:gridCol w:w="614"/>
        <w:gridCol w:w="585"/>
        <w:gridCol w:w="519"/>
        <w:gridCol w:w="545"/>
        <w:gridCol w:w="439"/>
        <w:gridCol w:w="639"/>
        <w:gridCol w:w="608"/>
        <w:gridCol w:w="580"/>
        <w:gridCol w:w="543"/>
        <w:gridCol w:w="613"/>
        <w:gridCol w:w="1032"/>
      </w:tblGrid>
      <w:tr w:rsidR="00BA48F1" w:rsidRPr="00BA48F1" w14:paraId="6B315BF0" w14:textId="77777777" w:rsidTr="0067156B">
        <w:trPr>
          <w:trHeight w:val="255"/>
        </w:trPr>
        <w:tc>
          <w:tcPr>
            <w:tcW w:w="0" w:type="auto"/>
            <w:gridSpan w:val="17"/>
            <w:tcBorders>
              <w:top w:val="nil"/>
              <w:left w:val="nil"/>
              <w:bottom w:val="nil"/>
              <w:right w:val="nil"/>
            </w:tcBorders>
            <w:shd w:val="clear" w:color="auto" w:fill="auto"/>
            <w:noWrap/>
            <w:vAlign w:val="bottom"/>
            <w:hideMark/>
          </w:tcPr>
          <w:p w14:paraId="4E8F515E" w14:textId="4A886161" w:rsidR="00BA48F1" w:rsidRPr="00BA48F1" w:rsidRDefault="00BA48F1" w:rsidP="005E6FB1">
            <w:pPr>
              <w:spacing w:after="0" w:line="240" w:lineRule="auto"/>
              <w:jc w:val="center"/>
              <w:rPr>
                <w:rFonts w:ascii="Arial" w:eastAsia="Times New Roman" w:hAnsi="Arial" w:cs="Arial"/>
                <w:b/>
                <w:bCs/>
                <w:color w:val="000000"/>
                <w:sz w:val="20"/>
                <w:szCs w:val="20"/>
              </w:rPr>
            </w:pPr>
            <w:r w:rsidRPr="00BA48F1">
              <w:rPr>
                <w:rFonts w:ascii="Arial" w:eastAsia="Times New Roman" w:hAnsi="Arial" w:cs="Arial"/>
                <w:b/>
                <w:bCs/>
                <w:color w:val="000000"/>
                <w:sz w:val="20"/>
                <w:szCs w:val="20"/>
              </w:rPr>
              <w:lastRenderedPageBreak/>
              <w:t>Appendix II: Screening and Prevalence of Childhood Blood Lead Levels for Children 9 months to less than 4 years of age by Community</w:t>
            </w:r>
          </w:p>
        </w:tc>
      </w:tr>
      <w:tr w:rsidR="00BA48F1" w:rsidRPr="00BA48F1" w14:paraId="781C8B4C" w14:textId="77777777" w:rsidTr="0067156B">
        <w:trPr>
          <w:trHeight w:val="255"/>
        </w:trPr>
        <w:tc>
          <w:tcPr>
            <w:tcW w:w="0" w:type="auto"/>
            <w:tcBorders>
              <w:top w:val="nil"/>
              <w:left w:val="nil"/>
              <w:bottom w:val="nil"/>
              <w:right w:val="nil"/>
            </w:tcBorders>
            <w:shd w:val="clear" w:color="auto" w:fill="auto"/>
            <w:noWrap/>
            <w:vAlign w:val="bottom"/>
            <w:hideMark/>
          </w:tcPr>
          <w:p w14:paraId="5FA0E964" w14:textId="77777777" w:rsidR="00BA48F1" w:rsidRPr="00BA48F1" w:rsidRDefault="00BA48F1" w:rsidP="005E6FB1">
            <w:pPr>
              <w:spacing w:after="0" w:line="240" w:lineRule="auto"/>
              <w:jc w:val="center"/>
              <w:rPr>
                <w:rFonts w:ascii="Arial" w:eastAsia="Times New Roman" w:hAnsi="Arial" w:cs="Arial"/>
                <w:b/>
                <w:bCs/>
                <w:color w:val="000000"/>
                <w:sz w:val="20"/>
                <w:szCs w:val="20"/>
              </w:rPr>
            </w:pPr>
          </w:p>
        </w:tc>
        <w:tc>
          <w:tcPr>
            <w:tcW w:w="0" w:type="auto"/>
            <w:tcBorders>
              <w:top w:val="nil"/>
              <w:left w:val="nil"/>
              <w:bottom w:val="nil"/>
              <w:right w:val="nil"/>
            </w:tcBorders>
            <w:shd w:val="clear" w:color="auto" w:fill="auto"/>
            <w:noWrap/>
            <w:vAlign w:val="bottom"/>
            <w:hideMark/>
          </w:tcPr>
          <w:p w14:paraId="3B268E0D" w14:textId="77777777" w:rsidR="00BA48F1" w:rsidRPr="00BA48F1" w:rsidRDefault="00BA48F1" w:rsidP="005E6FB1">
            <w:pPr>
              <w:spacing w:after="0" w:line="240" w:lineRule="auto"/>
              <w:jc w:val="center"/>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14:paraId="512451B4" w14:textId="77777777" w:rsidR="00BA48F1" w:rsidRPr="00BA48F1" w:rsidRDefault="00BA48F1" w:rsidP="005E6FB1">
            <w:pPr>
              <w:spacing w:after="0" w:line="240" w:lineRule="auto"/>
              <w:jc w:val="center"/>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14:paraId="795F3D14" w14:textId="77777777" w:rsidR="00BA48F1" w:rsidRPr="00BA48F1" w:rsidRDefault="00BA48F1" w:rsidP="005E6FB1">
            <w:pPr>
              <w:spacing w:after="0" w:line="240" w:lineRule="auto"/>
              <w:jc w:val="center"/>
              <w:rPr>
                <w:rFonts w:ascii="Times New Roman" w:eastAsia="Times New Roman" w:hAnsi="Times New Roman" w:cs="Times New Roman"/>
                <w:sz w:val="20"/>
                <w:szCs w:val="20"/>
              </w:rPr>
            </w:pPr>
          </w:p>
        </w:tc>
        <w:tc>
          <w:tcPr>
            <w:tcW w:w="0" w:type="auto"/>
            <w:gridSpan w:val="9"/>
            <w:tcBorders>
              <w:top w:val="nil"/>
              <w:left w:val="nil"/>
              <w:bottom w:val="single" w:sz="4" w:space="0" w:color="auto"/>
              <w:right w:val="nil"/>
            </w:tcBorders>
            <w:shd w:val="clear" w:color="auto" w:fill="auto"/>
            <w:noWrap/>
            <w:vAlign w:val="bottom"/>
            <w:hideMark/>
          </w:tcPr>
          <w:p w14:paraId="55B72E89" w14:textId="77777777" w:rsidR="00BA48F1" w:rsidRPr="00BA48F1" w:rsidRDefault="00BA48F1" w:rsidP="005E6FB1">
            <w:pPr>
              <w:spacing w:after="0" w:line="240" w:lineRule="auto"/>
              <w:rPr>
                <w:rFonts w:ascii="Arial" w:eastAsia="Times New Roman" w:hAnsi="Arial" w:cs="Arial"/>
                <w:b/>
                <w:bCs/>
                <w:color w:val="000000"/>
                <w:sz w:val="20"/>
                <w:szCs w:val="20"/>
              </w:rPr>
            </w:pPr>
            <w:r w:rsidRPr="00BA48F1">
              <w:rPr>
                <w:rFonts w:ascii="Arial" w:eastAsia="Times New Roman" w:hAnsi="Arial" w:cs="Arial"/>
                <w:b/>
                <w:bCs/>
                <w:color w:val="000000"/>
                <w:sz w:val="20"/>
                <w:szCs w:val="20"/>
              </w:rPr>
              <w:t>Calendar Year 2020</w:t>
            </w:r>
          </w:p>
        </w:tc>
        <w:tc>
          <w:tcPr>
            <w:tcW w:w="0" w:type="auto"/>
            <w:tcBorders>
              <w:top w:val="nil"/>
              <w:left w:val="nil"/>
              <w:bottom w:val="nil"/>
              <w:right w:val="nil"/>
            </w:tcBorders>
            <w:shd w:val="clear" w:color="auto" w:fill="auto"/>
            <w:noWrap/>
            <w:vAlign w:val="bottom"/>
            <w:hideMark/>
          </w:tcPr>
          <w:p w14:paraId="6F812ACA" w14:textId="77777777" w:rsidR="00BA48F1" w:rsidRPr="00BA48F1" w:rsidRDefault="00BA48F1" w:rsidP="00BA48F1">
            <w:pPr>
              <w:spacing w:after="0" w:line="240" w:lineRule="auto"/>
              <w:jc w:val="center"/>
              <w:rPr>
                <w:rFonts w:ascii="Arial" w:eastAsia="Times New Roman" w:hAnsi="Arial" w:cs="Arial"/>
                <w:b/>
                <w:bCs/>
                <w:color w:val="000000"/>
                <w:sz w:val="20"/>
                <w:szCs w:val="20"/>
              </w:rPr>
            </w:pPr>
          </w:p>
        </w:tc>
        <w:tc>
          <w:tcPr>
            <w:tcW w:w="0" w:type="auto"/>
            <w:tcBorders>
              <w:top w:val="nil"/>
              <w:left w:val="nil"/>
              <w:bottom w:val="nil"/>
              <w:right w:val="nil"/>
            </w:tcBorders>
            <w:shd w:val="clear" w:color="auto" w:fill="auto"/>
            <w:noWrap/>
            <w:vAlign w:val="bottom"/>
            <w:hideMark/>
          </w:tcPr>
          <w:p w14:paraId="49536C3C" w14:textId="77777777" w:rsidR="00BA48F1" w:rsidRPr="00BA48F1" w:rsidRDefault="00BA48F1" w:rsidP="00BA48F1">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14:paraId="206C2685" w14:textId="77777777" w:rsidR="00BA48F1" w:rsidRPr="00BA48F1" w:rsidRDefault="00BA48F1" w:rsidP="00BA48F1">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14:paraId="700E854B" w14:textId="77777777" w:rsidR="00BA48F1" w:rsidRPr="00BA48F1" w:rsidRDefault="00BA48F1" w:rsidP="00BA48F1">
            <w:pPr>
              <w:spacing w:after="0" w:line="240" w:lineRule="auto"/>
              <w:rPr>
                <w:rFonts w:ascii="Times New Roman" w:eastAsia="Times New Roman" w:hAnsi="Times New Roman" w:cs="Times New Roman"/>
                <w:sz w:val="20"/>
                <w:szCs w:val="20"/>
              </w:rPr>
            </w:pPr>
          </w:p>
        </w:tc>
      </w:tr>
      <w:tr w:rsidR="00BA48F1" w:rsidRPr="00BA48F1" w14:paraId="5546F1BC" w14:textId="77777777" w:rsidTr="0067156B">
        <w:trPr>
          <w:trHeight w:val="285"/>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18E8F4" w14:textId="77777777" w:rsidR="00BA48F1" w:rsidRPr="00BA48F1" w:rsidRDefault="00BA48F1" w:rsidP="00BA48F1">
            <w:pPr>
              <w:spacing w:after="0" w:line="240" w:lineRule="auto"/>
              <w:jc w:val="center"/>
              <w:rPr>
                <w:rFonts w:ascii="Arial" w:eastAsia="Times New Roman" w:hAnsi="Arial" w:cs="Arial"/>
                <w:color w:val="000000"/>
                <w:sz w:val="20"/>
                <w:szCs w:val="20"/>
              </w:rPr>
            </w:pPr>
            <w:r w:rsidRPr="00BA48F1">
              <w:rPr>
                <w:rFonts w:ascii="Arial" w:eastAsia="Times New Roman" w:hAnsi="Arial" w:cs="Arial"/>
                <w:color w:val="000000"/>
                <w:sz w:val="20"/>
                <w:szCs w:val="20"/>
              </w:rPr>
              <w:t>Community</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28ADCCB5" w14:textId="77777777" w:rsidR="00BA48F1" w:rsidRPr="00BA48F1" w:rsidRDefault="00BA48F1" w:rsidP="00BA48F1">
            <w:pPr>
              <w:spacing w:after="0" w:line="240" w:lineRule="auto"/>
              <w:jc w:val="center"/>
              <w:rPr>
                <w:rFonts w:ascii="Arial" w:eastAsia="Times New Roman" w:hAnsi="Arial" w:cs="Arial"/>
                <w:color w:val="000000"/>
                <w:sz w:val="20"/>
                <w:szCs w:val="20"/>
              </w:rPr>
            </w:pPr>
            <w:r w:rsidRPr="00BA48F1">
              <w:rPr>
                <w:rFonts w:ascii="Arial" w:eastAsia="Times New Roman" w:hAnsi="Arial" w:cs="Arial"/>
                <w:color w:val="000000"/>
                <w:sz w:val="20"/>
                <w:szCs w:val="20"/>
              </w:rPr>
              <w:t>Population 9-47 mo</w:t>
            </w:r>
            <w:r w:rsidRPr="00BA48F1">
              <w:rPr>
                <w:rFonts w:ascii="Arial" w:eastAsia="Times New Roman" w:hAnsi="Arial" w:cs="Arial"/>
                <w:color w:val="000000"/>
                <w:sz w:val="20"/>
                <w:szCs w:val="20"/>
                <w:vertAlign w:val="superscript"/>
              </w:rPr>
              <w:t>1</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2E92FD2B" w14:textId="77777777" w:rsidR="00BA48F1" w:rsidRPr="00BA48F1" w:rsidRDefault="00BA48F1" w:rsidP="00BA48F1">
            <w:pPr>
              <w:spacing w:after="0" w:line="240" w:lineRule="auto"/>
              <w:jc w:val="center"/>
              <w:rPr>
                <w:rFonts w:ascii="Arial" w:eastAsia="Times New Roman" w:hAnsi="Arial" w:cs="Arial"/>
                <w:color w:val="000000"/>
                <w:sz w:val="20"/>
                <w:szCs w:val="20"/>
              </w:rPr>
            </w:pPr>
            <w:r w:rsidRPr="00BA48F1">
              <w:rPr>
                <w:rFonts w:ascii="Arial" w:eastAsia="Times New Roman" w:hAnsi="Arial" w:cs="Arial"/>
                <w:color w:val="000000"/>
                <w:sz w:val="20"/>
                <w:szCs w:val="20"/>
              </w:rPr>
              <w:t>Total Screened</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5807240D" w14:textId="77777777" w:rsidR="00BA48F1" w:rsidRPr="00BA48F1" w:rsidRDefault="00BA48F1" w:rsidP="00BA48F1">
            <w:pPr>
              <w:spacing w:after="0" w:line="240" w:lineRule="auto"/>
              <w:jc w:val="center"/>
              <w:rPr>
                <w:rFonts w:ascii="Arial" w:eastAsia="Times New Roman" w:hAnsi="Arial" w:cs="Arial"/>
                <w:color w:val="000000"/>
                <w:sz w:val="20"/>
                <w:szCs w:val="20"/>
              </w:rPr>
            </w:pPr>
            <w:r w:rsidRPr="00BA48F1">
              <w:rPr>
                <w:rFonts w:ascii="Arial" w:eastAsia="Times New Roman" w:hAnsi="Arial" w:cs="Arial"/>
                <w:color w:val="000000"/>
                <w:sz w:val="20"/>
                <w:szCs w:val="20"/>
              </w:rPr>
              <w:t>Percent Screened</w:t>
            </w:r>
          </w:p>
        </w:tc>
        <w:tc>
          <w:tcPr>
            <w:tcW w:w="0" w:type="auto"/>
            <w:gridSpan w:val="8"/>
            <w:tcBorders>
              <w:top w:val="single" w:sz="4" w:space="0" w:color="auto"/>
              <w:left w:val="nil"/>
              <w:bottom w:val="single" w:sz="4" w:space="0" w:color="auto"/>
              <w:right w:val="single" w:sz="4" w:space="0" w:color="auto"/>
            </w:tcBorders>
            <w:shd w:val="clear" w:color="auto" w:fill="auto"/>
            <w:noWrap/>
            <w:hideMark/>
          </w:tcPr>
          <w:p w14:paraId="24FEE0DD" w14:textId="77777777" w:rsidR="00BA48F1" w:rsidRPr="00BA48F1" w:rsidRDefault="00BA48F1" w:rsidP="00BA48F1">
            <w:pPr>
              <w:spacing w:after="0" w:line="240" w:lineRule="auto"/>
              <w:jc w:val="center"/>
              <w:rPr>
                <w:rFonts w:ascii="Arial" w:eastAsia="Times New Roman" w:hAnsi="Arial" w:cs="Arial"/>
                <w:color w:val="000000"/>
                <w:sz w:val="20"/>
                <w:szCs w:val="20"/>
              </w:rPr>
            </w:pPr>
            <w:r w:rsidRPr="00BA48F1">
              <w:rPr>
                <w:rFonts w:ascii="Arial" w:eastAsia="Times New Roman" w:hAnsi="Arial" w:cs="Arial"/>
                <w:color w:val="000000"/>
                <w:sz w:val="20"/>
                <w:szCs w:val="20"/>
              </w:rPr>
              <w:t>Blood Lead Levels (</w:t>
            </w:r>
            <w:r w:rsidRPr="00BA48F1">
              <w:rPr>
                <w:rFonts w:ascii="Calibri" w:eastAsia="Times New Roman" w:hAnsi="Calibri" w:cs="Calibri"/>
                <w:color w:val="000000"/>
                <w:sz w:val="20"/>
                <w:szCs w:val="20"/>
              </w:rPr>
              <w:t>µ</w:t>
            </w:r>
            <w:r w:rsidRPr="00BA48F1">
              <w:rPr>
                <w:rFonts w:ascii="Arial" w:eastAsia="Times New Roman" w:hAnsi="Arial" w:cs="Arial"/>
                <w:color w:val="000000"/>
                <w:sz w:val="20"/>
                <w:szCs w:val="20"/>
              </w:rPr>
              <w:t>g/dL)</w:t>
            </w:r>
            <w:r w:rsidRPr="00BA48F1">
              <w:rPr>
                <w:rFonts w:ascii="Arial" w:eastAsia="Times New Roman" w:hAnsi="Arial" w:cs="Arial"/>
                <w:color w:val="000000"/>
                <w:sz w:val="20"/>
                <w:szCs w:val="20"/>
                <w:vertAlign w:val="superscript"/>
              </w:rPr>
              <w:t>2</w:t>
            </w:r>
          </w:p>
        </w:tc>
        <w:tc>
          <w:tcPr>
            <w:tcW w:w="0" w:type="auto"/>
            <w:gridSpan w:val="2"/>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61054577" w14:textId="77777777" w:rsidR="00BA48F1" w:rsidRPr="00BA48F1" w:rsidRDefault="00BA48F1" w:rsidP="00BA48F1">
            <w:pPr>
              <w:spacing w:after="0" w:line="240" w:lineRule="auto"/>
              <w:jc w:val="center"/>
              <w:rPr>
                <w:rFonts w:ascii="Arial" w:eastAsia="Times New Roman" w:hAnsi="Arial" w:cs="Arial"/>
                <w:color w:val="000000"/>
                <w:sz w:val="20"/>
                <w:szCs w:val="20"/>
              </w:rPr>
            </w:pPr>
            <w:r w:rsidRPr="00BA48F1">
              <w:rPr>
                <w:rFonts w:ascii="Arial" w:eastAsia="Times New Roman" w:hAnsi="Arial" w:cs="Arial"/>
                <w:color w:val="000000"/>
                <w:sz w:val="20"/>
                <w:szCs w:val="20"/>
              </w:rPr>
              <w:t>Estimated Confirmed ≥5</w:t>
            </w:r>
            <w:r w:rsidRPr="00BA48F1">
              <w:rPr>
                <w:rFonts w:ascii="Arial" w:eastAsia="Times New Roman" w:hAnsi="Arial" w:cs="Arial"/>
                <w:color w:val="000000"/>
                <w:sz w:val="20"/>
                <w:szCs w:val="20"/>
                <w:vertAlign w:val="superscript"/>
              </w:rPr>
              <w:t>3</w:t>
            </w:r>
          </w:p>
        </w:tc>
        <w:tc>
          <w:tcPr>
            <w:tcW w:w="0" w:type="auto"/>
            <w:gridSpan w:val="2"/>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2246D580" w14:textId="77777777" w:rsidR="00BA48F1" w:rsidRPr="00BA48F1" w:rsidRDefault="00BA48F1" w:rsidP="00BA48F1">
            <w:pPr>
              <w:spacing w:after="0" w:line="240" w:lineRule="auto"/>
              <w:jc w:val="center"/>
              <w:rPr>
                <w:rFonts w:ascii="Arial" w:eastAsia="Times New Roman" w:hAnsi="Arial" w:cs="Arial"/>
                <w:color w:val="000000"/>
                <w:sz w:val="20"/>
                <w:szCs w:val="20"/>
              </w:rPr>
            </w:pPr>
            <w:r w:rsidRPr="00BA48F1">
              <w:rPr>
                <w:rFonts w:ascii="Arial" w:eastAsia="Times New Roman" w:hAnsi="Arial" w:cs="Arial"/>
                <w:color w:val="000000"/>
                <w:sz w:val="20"/>
                <w:szCs w:val="20"/>
              </w:rPr>
              <w:t>Confirmed ≥10</w:t>
            </w:r>
            <w:r w:rsidRPr="00BA48F1">
              <w:rPr>
                <w:rFonts w:ascii="Arial" w:eastAsia="Times New Roman" w:hAnsi="Arial" w:cs="Arial"/>
                <w:color w:val="000000"/>
                <w:sz w:val="20"/>
                <w:szCs w:val="20"/>
                <w:vertAlign w:val="superscript"/>
              </w:rPr>
              <w:t>4</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12795F3A" w14:textId="77777777" w:rsidR="00BA48F1" w:rsidRPr="00BA48F1" w:rsidRDefault="00BA48F1" w:rsidP="00BA48F1">
            <w:pPr>
              <w:spacing w:after="0" w:line="240" w:lineRule="auto"/>
              <w:jc w:val="center"/>
              <w:rPr>
                <w:rFonts w:ascii="Arial" w:eastAsia="Times New Roman" w:hAnsi="Arial" w:cs="Arial"/>
                <w:color w:val="000000"/>
                <w:sz w:val="20"/>
                <w:szCs w:val="20"/>
              </w:rPr>
            </w:pPr>
            <w:r w:rsidRPr="00BA48F1">
              <w:rPr>
                <w:rFonts w:ascii="Arial" w:eastAsia="Times New Roman" w:hAnsi="Arial" w:cs="Arial"/>
                <w:color w:val="000000"/>
                <w:sz w:val="20"/>
                <w:szCs w:val="20"/>
              </w:rPr>
              <w:t>Percent Pre-1978 Housing Units</w:t>
            </w:r>
            <w:r w:rsidRPr="00BA48F1">
              <w:rPr>
                <w:rFonts w:ascii="Arial" w:eastAsia="Times New Roman" w:hAnsi="Arial" w:cs="Arial"/>
                <w:color w:val="000000"/>
                <w:sz w:val="20"/>
                <w:szCs w:val="20"/>
                <w:vertAlign w:val="superscript"/>
              </w:rPr>
              <w:t>5</w:t>
            </w:r>
          </w:p>
        </w:tc>
      </w:tr>
      <w:tr w:rsidR="00BA48F1" w:rsidRPr="00BA48F1" w14:paraId="35E0FB0B" w14:textId="77777777" w:rsidTr="0067156B">
        <w:trPr>
          <w:trHeight w:val="25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DB4A5F2" w14:textId="77777777" w:rsidR="00BA48F1" w:rsidRPr="00BA48F1" w:rsidRDefault="00BA48F1" w:rsidP="00BA48F1">
            <w:pPr>
              <w:spacing w:after="0" w:line="240" w:lineRule="auto"/>
              <w:rPr>
                <w:rFonts w:ascii="Arial" w:eastAsia="Times New Roman" w:hAnsi="Arial" w:cs="Arial"/>
                <w:color w:val="000000"/>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64EF6ED" w14:textId="77777777" w:rsidR="00BA48F1" w:rsidRPr="00BA48F1" w:rsidRDefault="00BA48F1" w:rsidP="00BA48F1">
            <w:pPr>
              <w:spacing w:after="0" w:line="240" w:lineRule="auto"/>
              <w:rPr>
                <w:rFonts w:ascii="Arial" w:eastAsia="Times New Roman" w:hAnsi="Arial" w:cs="Arial"/>
                <w:color w:val="000000"/>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E63BCEA" w14:textId="77777777" w:rsidR="00BA48F1" w:rsidRPr="00BA48F1" w:rsidRDefault="00BA48F1" w:rsidP="00BA48F1">
            <w:pPr>
              <w:spacing w:after="0" w:line="240" w:lineRule="auto"/>
              <w:rPr>
                <w:rFonts w:ascii="Arial" w:eastAsia="Times New Roman" w:hAnsi="Arial" w:cs="Arial"/>
                <w:color w:val="000000"/>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353162E" w14:textId="77777777" w:rsidR="00BA48F1" w:rsidRPr="00BA48F1" w:rsidRDefault="00BA48F1" w:rsidP="00BA48F1">
            <w:pPr>
              <w:spacing w:after="0" w:line="240" w:lineRule="auto"/>
              <w:rPr>
                <w:rFonts w:ascii="Arial" w:eastAsia="Times New Roman" w:hAnsi="Arial" w:cs="Arial"/>
                <w:color w:val="000000"/>
                <w:sz w:val="20"/>
                <w:szCs w:val="20"/>
              </w:rPr>
            </w:pPr>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14:paraId="4586ACE4" w14:textId="77777777" w:rsidR="00BA48F1" w:rsidRPr="00BA48F1" w:rsidRDefault="00BA48F1" w:rsidP="00BA48F1">
            <w:pPr>
              <w:spacing w:after="0" w:line="240" w:lineRule="auto"/>
              <w:jc w:val="center"/>
              <w:rPr>
                <w:rFonts w:ascii="Arial" w:eastAsia="Times New Roman" w:hAnsi="Arial" w:cs="Arial"/>
                <w:color w:val="000000"/>
                <w:sz w:val="20"/>
                <w:szCs w:val="20"/>
              </w:rPr>
            </w:pPr>
            <w:r w:rsidRPr="00BA48F1">
              <w:rPr>
                <w:rFonts w:ascii="Arial" w:eastAsia="Times New Roman" w:hAnsi="Arial" w:cs="Arial"/>
                <w:color w:val="000000"/>
                <w:sz w:val="20"/>
                <w:szCs w:val="20"/>
              </w:rPr>
              <w:t>0-4</w:t>
            </w:r>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14:paraId="5AA379EC" w14:textId="77777777" w:rsidR="00BA48F1" w:rsidRPr="00BA48F1" w:rsidRDefault="00BA48F1" w:rsidP="00BA48F1">
            <w:pPr>
              <w:spacing w:after="0" w:line="240" w:lineRule="auto"/>
              <w:jc w:val="center"/>
              <w:rPr>
                <w:rFonts w:ascii="Arial" w:eastAsia="Times New Roman" w:hAnsi="Arial" w:cs="Arial"/>
                <w:color w:val="000000"/>
                <w:sz w:val="20"/>
                <w:szCs w:val="20"/>
              </w:rPr>
            </w:pPr>
            <w:r w:rsidRPr="00BA48F1">
              <w:rPr>
                <w:rFonts w:ascii="Arial" w:eastAsia="Times New Roman" w:hAnsi="Arial" w:cs="Arial"/>
                <w:color w:val="000000"/>
                <w:sz w:val="20"/>
                <w:szCs w:val="20"/>
              </w:rPr>
              <w:t>5-9</w:t>
            </w:r>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14:paraId="4C893D6F" w14:textId="77777777" w:rsidR="00BA48F1" w:rsidRPr="00BA48F1" w:rsidRDefault="00BA48F1" w:rsidP="00BA48F1">
            <w:pPr>
              <w:spacing w:after="0" w:line="240" w:lineRule="auto"/>
              <w:jc w:val="center"/>
              <w:rPr>
                <w:rFonts w:ascii="Arial" w:eastAsia="Times New Roman" w:hAnsi="Arial" w:cs="Arial"/>
                <w:color w:val="000000"/>
                <w:sz w:val="20"/>
                <w:szCs w:val="20"/>
              </w:rPr>
            </w:pPr>
            <w:r w:rsidRPr="00BA48F1">
              <w:rPr>
                <w:rFonts w:ascii="Arial" w:eastAsia="Times New Roman" w:hAnsi="Arial" w:cs="Arial"/>
                <w:color w:val="000000"/>
                <w:sz w:val="20"/>
                <w:szCs w:val="20"/>
              </w:rPr>
              <w:t>10-24</w:t>
            </w:r>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14:paraId="480697FA" w14:textId="77777777" w:rsidR="00BA48F1" w:rsidRPr="00BA48F1" w:rsidRDefault="00BA48F1" w:rsidP="00BA48F1">
            <w:pPr>
              <w:spacing w:after="0" w:line="240" w:lineRule="auto"/>
              <w:jc w:val="center"/>
              <w:rPr>
                <w:rFonts w:ascii="Arial" w:eastAsia="Times New Roman" w:hAnsi="Arial" w:cs="Arial"/>
                <w:color w:val="000000"/>
                <w:sz w:val="20"/>
                <w:szCs w:val="20"/>
              </w:rPr>
            </w:pPr>
            <w:r w:rsidRPr="00BA48F1">
              <w:rPr>
                <w:rFonts w:ascii="Calibri" w:eastAsia="Times New Roman" w:hAnsi="Calibri" w:cs="Calibri"/>
                <w:color w:val="000000"/>
                <w:sz w:val="20"/>
                <w:szCs w:val="20"/>
              </w:rPr>
              <w:t>≥</w:t>
            </w:r>
            <w:r w:rsidRPr="00BA48F1">
              <w:rPr>
                <w:rFonts w:ascii="Arial" w:eastAsia="Times New Roman" w:hAnsi="Arial" w:cs="Arial"/>
                <w:color w:val="000000"/>
                <w:sz w:val="20"/>
                <w:szCs w:val="20"/>
              </w:rPr>
              <w:t>25</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400124B1" w14:textId="77777777" w:rsidR="00BA48F1" w:rsidRPr="00BA48F1" w:rsidRDefault="00BA48F1" w:rsidP="00BA48F1">
            <w:pPr>
              <w:spacing w:after="0" w:line="240" w:lineRule="auto"/>
              <w:rPr>
                <w:rFonts w:ascii="Arial" w:eastAsia="Times New Roman" w:hAnsi="Arial" w:cs="Arial"/>
                <w:color w:val="000000"/>
                <w:sz w:val="20"/>
                <w:szCs w:val="20"/>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06E97019" w14:textId="77777777" w:rsidR="00BA48F1" w:rsidRPr="00BA48F1" w:rsidRDefault="00BA48F1" w:rsidP="00BA48F1">
            <w:pPr>
              <w:spacing w:after="0" w:line="240" w:lineRule="auto"/>
              <w:rPr>
                <w:rFonts w:ascii="Arial" w:eastAsia="Times New Roman" w:hAnsi="Arial" w:cs="Arial"/>
                <w:color w:val="000000"/>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7E21BC" w14:textId="77777777" w:rsidR="00BA48F1" w:rsidRPr="00BA48F1" w:rsidRDefault="00BA48F1" w:rsidP="00BA48F1">
            <w:pPr>
              <w:spacing w:after="0" w:line="240" w:lineRule="auto"/>
              <w:rPr>
                <w:rFonts w:ascii="Arial" w:eastAsia="Times New Roman" w:hAnsi="Arial" w:cs="Arial"/>
                <w:color w:val="000000"/>
                <w:sz w:val="20"/>
                <w:szCs w:val="20"/>
              </w:rPr>
            </w:pPr>
          </w:p>
        </w:tc>
      </w:tr>
      <w:tr w:rsidR="0067156B" w:rsidRPr="00BA48F1" w14:paraId="1CBB02A7" w14:textId="77777777" w:rsidTr="0067156B">
        <w:trPr>
          <w:trHeight w:val="25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30BB55B" w14:textId="77777777" w:rsidR="00BA48F1" w:rsidRPr="00BA48F1" w:rsidRDefault="00BA48F1" w:rsidP="00BA48F1">
            <w:pPr>
              <w:spacing w:after="0" w:line="240" w:lineRule="auto"/>
              <w:rPr>
                <w:rFonts w:ascii="Arial" w:eastAsia="Times New Roman" w:hAnsi="Arial" w:cs="Arial"/>
                <w:color w:val="000000"/>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3392E2A" w14:textId="77777777" w:rsidR="00BA48F1" w:rsidRPr="00BA48F1" w:rsidRDefault="00BA48F1" w:rsidP="00BA48F1">
            <w:pPr>
              <w:spacing w:after="0" w:line="240" w:lineRule="auto"/>
              <w:rPr>
                <w:rFonts w:ascii="Arial" w:eastAsia="Times New Roman" w:hAnsi="Arial" w:cs="Arial"/>
                <w:color w:val="000000"/>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3ACCD64" w14:textId="77777777" w:rsidR="00BA48F1" w:rsidRPr="00BA48F1" w:rsidRDefault="00BA48F1" w:rsidP="00BA48F1">
            <w:pPr>
              <w:spacing w:after="0" w:line="240" w:lineRule="auto"/>
              <w:rPr>
                <w:rFonts w:ascii="Arial" w:eastAsia="Times New Roman" w:hAnsi="Arial" w:cs="Arial"/>
                <w:color w:val="000000"/>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750176C" w14:textId="77777777" w:rsidR="00BA48F1" w:rsidRPr="00BA48F1" w:rsidRDefault="00BA48F1" w:rsidP="00BA48F1">
            <w:pPr>
              <w:spacing w:after="0" w:line="240" w:lineRule="auto"/>
              <w:rPr>
                <w:rFonts w:ascii="Arial" w:eastAsia="Times New Roman" w:hAnsi="Arial" w:cs="Arial"/>
                <w:color w:val="000000"/>
                <w:sz w:val="20"/>
                <w:szCs w:val="20"/>
              </w:rPr>
            </w:pPr>
          </w:p>
        </w:tc>
        <w:tc>
          <w:tcPr>
            <w:tcW w:w="0" w:type="auto"/>
            <w:tcBorders>
              <w:top w:val="nil"/>
              <w:left w:val="nil"/>
              <w:bottom w:val="single" w:sz="4" w:space="0" w:color="auto"/>
              <w:right w:val="single" w:sz="4" w:space="0" w:color="auto"/>
            </w:tcBorders>
            <w:shd w:val="clear" w:color="auto" w:fill="auto"/>
            <w:noWrap/>
            <w:vAlign w:val="center"/>
            <w:hideMark/>
          </w:tcPr>
          <w:p w14:paraId="769F5682" w14:textId="77777777" w:rsidR="00BA48F1" w:rsidRPr="00BA48F1" w:rsidRDefault="00BA48F1" w:rsidP="00BA48F1">
            <w:pPr>
              <w:spacing w:after="0" w:line="240" w:lineRule="auto"/>
              <w:jc w:val="center"/>
              <w:rPr>
                <w:rFonts w:ascii="Arial" w:eastAsia="Times New Roman" w:hAnsi="Arial" w:cs="Arial"/>
                <w:color w:val="000000"/>
                <w:sz w:val="20"/>
                <w:szCs w:val="20"/>
              </w:rPr>
            </w:pPr>
            <w:r w:rsidRPr="00BA48F1">
              <w:rPr>
                <w:rFonts w:ascii="Arial" w:eastAsia="Times New Roman" w:hAnsi="Arial" w:cs="Arial"/>
                <w:color w:val="000000"/>
                <w:sz w:val="20"/>
                <w:szCs w:val="20"/>
              </w:rPr>
              <w:t>N</w:t>
            </w:r>
          </w:p>
        </w:tc>
        <w:tc>
          <w:tcPr>
            <w:tcW w:w="0" w:type="auto"/>
            <w:tcBorders>
              <w:top w:val="nil"/>
              <w:left w:val="nil"/>
              <w:bottom w:val="single" w:sz="4" w:space="0" w:color="auto"/>
              <w:right w:val="single" w:sz="4" w:space="0" w:color="auto"/>
            </w:tcBorders>
            <w:shd w:val="clear" w:color="auto" w:fill="auto"/>
            <w:noWrap/>
            <w:vAlign w:val="center"/>
            <w:hideMark/>
          </w:tcPr>
          <w:p w14:paraId="59C6B5FB" w14:textId="77777777" w:rsidR="00BA48F1" w:rsidRPr="00BA48F1" w:rsidRDefault="00BA48F1" w:rsidP="00BA48F1">
            <w:pPr>
              <w:spacing w:after="0" w:line="240" w:lineRule="auto"/>
              <w:jc w:val="center"/>
              <w:rPr>
                <w:rFonts w:ascii="Arial" w:eastAsia="Times New Roman" w:hAnsi="Arial" w:cs="Arial"/>
                <w:color w:val="000000"/>
                <w:sz w:val="20"/>
                <w:szCs w:val="20"/>
              </w:rPr>
            </w:pPr>
            <w:r w:rsidRPr="00BA48F1">
              <w:rPr>
                <w:rFonts w:ascii="Arial" w:eastAsia="Times New Roman" w:hAnsi="Arial" w:cs="Arial"/>
                <w:color w:val="000000"/>
                <w:sz w:val="20"/>
                <w:szCs w:val="20"/>
              </w:rPr>
              <w:t>%</w:t>
            </w:r>
          </w:p>
        </w:tc>
        <w:tc>
          <w:tcPr>
            <w:tcW w:w="0" w:type="auto"/>
            <w:tcBorders>
              <w:top w:val="nil"/>
              <w:left w:val="nil"/>
              <w:bottom w:val="single" w:sz="4" w:space="0" w:color="auto"/>
              <w:right w:val="single" w:sz="4" w:space="0" w:color="auto"/>
            </w:tcBorders>
            <w:shd w:val="clear" w:color="auto" w:fill="auto"/>
            <w:noWrap/>
            <w:vAlign w:val="center"/>
            <w:hideMark/>
          </w:tcPr>
          <w:p w14:paraId="374048A8" w14:textId="77777777" w:rsidR="00BA48F1" w:rsidRPr="00BA48F1" w:rsidRDefault="00BA48F1" w:rsidP="00BA48F1">
            <w:pPr>
              <w:spacing w:after="0" w:line="240" w:lineRule="auto"/>
              <w:jc w:val="center"/>
              <w:rPr>
                <w:rFonts w:ascii="Arial" w:eastAsia="Times New Roman" w:hAnsi="Arial" w:cs="Arial"/>
                <w:color w:val="000000"/>
                <w:sz w:val="20"/>
                <w:szCs w:val="20"/>
              </w:rPr>
            </w:pPr>
            <w:r w:rsidRPr="00BA48F1">
              <w:rPr>
                <w:rFonts w:ascii="Arial" w:eastAsia="Times New Roman" w:hAnsi="Arial" w:cs="Arial"/>
                <w:color w:val="000000"/>
                <w:sz w:val="20"/>
                <w:szCs w:val="20"/>
              </w:rPr>
              <w:t>N</w:t>
            </w:r>
          </w:p>
        </w:tc>
        <w:tc>
          <w:tcPr>
            <w:tcW w:w="0" w:type="auto"/>
            <w:tcBorders>
              <w:top w:val="nil"/>
              <w:left w:val="nil"/>
              <w:bottom w:val="single" w:sz="4" w:space="0" w:color="auto"/>
              <w:right w:val="single" w:sz="4" w:space="0" w:color="auto"/>
            </w:tcBorders>
            <w:shd w:val="clear" w:color="auto" w:fill="auto"/>
            <w:noWrap/>
            <w:vAlign w:val="center"/>
            <w:hideMark/>
          </w:tcPr>
          <w:p w14:paraId="38303324" w14:textId="77777777" w:rsidR="00BA48F1" w:rsidRPr="00BA48F1" w:rsidRDefault="00BA48F1" w:rsidP="00BA48F1">
            <w:pPr>
              <w:spacing w:after="0" w:line="240" w:lineRule="auto"/>
              <w:jc w:val="center"/>
              <w:rPr>
                <w:rFonts w:ascii="Arial" w:eastAsia="Times New Roman" w:hAnsi="Arial" w:cs="Arial"/>
                <w:color w:val="000000"/>
                <w:sz w:val="20"/>
                <w:szCs w:val="20"/>
              </w:rPr>
            </w:pPr>
            <w:r w:rsidRPr="00BA48F1">
              <w:rPr>
                <w:rFonts w:ascii="Arial" w:eastAsia="Times New Roman" w:hAnsi="Arial" w:cs="Arial"/>
                <w:color w:val="000000"/>
                <w:sz w:val="20"/>
                <w:szCs w:val="20"/>
              </w:rPr>
              <w:t>%</w:t>
            </w:r>
          </w:p>
        </w:tc>
        <w:tc>
          <w:tcPr>
            <w:tcW w:w="0" w:type="auto"/>
            <w:tcBorders>
              <w:top w:val="nil"/>
              <w:left w:val="nil"/>
              <w:bottom w:val="single" w:sz="4" w:space="0" w:color="auto"/>
              <w:right w:val="single" w:sz="4" w:space="0" w:color="auto"/>
            </w:tcBorders>
            <w:shd w:val="clear" w:color="auto" w:fill="auto"/>
            <w:noWrap/>
            <w:vAlign w:val="center"/>
            <w:hideMark/>
          </w:tcPr>
          <w:p w14:paraId="2C26CB50" w14:textId="77777777" w:rsidR="00BA48F1" w:rsidRPr="00BA48F1" w:rsidRDefault="00BA48F1" w:rsidP="00BA48F1">
            <w:pPr>
              <w:spacing w:after="0" w:line="240" w:lineRule="auto"/>
              <w:jc w:val="center"/>
              <w:rPr>
                <w:rFonts w:ascii="Arial" w:eastAsia="Times New Roman" w:hAnsi="Arial" w:cs="Arial"/>
                <w:color w:val="000000"/>
                <w:sz w:val="20"/>
                <w:szCs w:val="20"/>
              </w:rPr>
            </w:pPr>
            <w:r w:rsidRPr="00BA48F1">
              <w:rPr>
                <w:rFonts w:ascii="Arial" w:eastAsia="Times New Roman" w:hAnsi="Arial" w:cs="Arial"/>
                <w:color w:val="000000"/>
                <w:sz w:val="20"/>
                <w:szCs w:val="20"/>
              </w:rPr>
              <w:t>N</w:t>
            </w:r>
          </w:p>
        </w:tc>
        <w:tc>
          <w:tcPr>
            <w:tcW w:w="0" w:type="auto"/>
            <w:tcBorders>
              <w:top w:val="nil"/>
              <w:left w:val="nil"/>
              <w:bottom w:val="single" w:sz="4" w:space="0" w:color="auto"/>
              <w:right w:val="single" w:sz="4" w:space="0" w:color="auto"/>
            </w:tcBorders>
            <w:shd w:val="clear" w:color="auto" w:fill="auto"/>
            <w:noWrap/>
            <w:vAlign w:val="center"/>
            <w:hideMark/>
          </w:tcPr>
          <w:p w14:paraId="675290BB" w14:textId="77777777" w:rsidR="00BA48F1" w:rsidRPr="00BA48F1" w:rsidRDefault="00BA48F1" w:rsidP="00BA48F1">
            <w:pPr>
              <w:spacing w:after="0" w:line="240" w:lineRule="auto"/>
              <w:jc w:val="center"/>
              <w:rPr>
                <w:rFonts w:ascii="Arial" w:eastAsia="Times New Roman" w:hAnsi="Arial" w:cs="Arial"/>
                <w:color w:val="000000"/>
                <w:sz w:val="20"/>
                <w:szCs w:val="20"/>
              </w:rPr>
            </w:pPr>
            <w:r w:rsidRPr="00BA48F1">
              <w:rPr>
                <w:rFonts w:ascii="Arial" w:eastAsia="Times New Roman" w:hAnsi="Arial" w:cs="Arial"/>
                <w:color w:val="000000"/>
                <w:sz w:val="20"/>
                <w:szCs w:val="20"/>
              </w:rPr>
              <w:t>%</w:t>
            </w:r>
          </w:p>
        </w:tc>
        <w:tc>
          <w:tcPr>
            <w:tcW w:w="0" w:type="auto"/>
            <w:tcBorders>
              <w:top w:val="nil"/>
              <w:left w:val="nil"/>
              <w:bottom w:val="single" w:sz="4" w:space="0" w:color="auto"/>
              <w:right w:val="single" w:sz="4" w:space="0" w:color="auto"/>
            </w:tcBorders>
            <w:shd w:val="clear" w:color="auto" w:fill="auto"/>
            <w:noWrap/>
            <w:vAlign w:val="center"/>
            <w:hideMark/>
          </w:tcPr>
          <w:p w14:paraId="65873983" w14:textId="77777777" w:rsidR="00BA48F1" w:rsidRPr="00BA48F1" w:rsidRDefault="00BA48F1" w:rsidP="00BA48F1">
            <w:pPr>
              <w:spacing w:after="0" w:line="240" w:lineRule="auto"/>
              <w:jc w:val="center"/>
              <w:rPr>
                <w:rFonts w:ascii="Arial" w:eastAsia="Times New Roman" w:hAnsi="Arial" w:cs="Arial"/>
                <w:color w:val="000000"/>
                <w:sz w:val="20"/>
                <w:szCs w:val="20"/>
              </w:rPr>
            </w:pPr>
            <w:r w:rsidRPr="00BA48F1">
              <w:rPr>
                <w:rFonts w:ascii="Arial" w:eastAsia="Times New Roman" w:hAnsi="Arial" w:cs="Arial"/>
                <w:color w:val="000000"/>
                <w:sz w:val="20"/>
                <w:szCs w:val="20"/>
              </w:rPr>
              <w:t>N</w:t>
            </w:r>
          </w:p>
        </w:tc>
        <w:tc>
          <w:tcPr>
            <w:tcW w:w="0" w:type="auto"/>
            <w:tcBorders>
              <w:top w:val="nil"/>
              <w:left w:val="nil"/>
              <w:bottom w:val="single" w:sz="4" w:space="0" w:color="auto"/>
              <w:right w:val="single" w:sz="4" w:space="0" w:color="auto"/>
            </w:tcBorders>
            <w:shd w:val="clear" w:color="auto" w:fill="auto"/>
            <w:noWrap/>
            <w:vAlign w:val="center"/>
            <w:hideMark/>
          </w:tcPr>
          <w:p w14:paraId="0FB63FCB" w14:textId="77777777" w:rsidR="00BA48F1" w:rsidRPr="00BA48F1" w:rsidRDefault="00BA48F1" w:rsidP="00BA48F1">
            <w:pPr>
              <w:spacing w:after="0" w:line="240" w:lineRule="auto"/>
              <w:jc w:val="center"/>
              <w:rPr>
                <w:rFonts w:ascii="Arial" w:eastAsia="Times New Roman" w:hAnsi="Arial" w:cs="Arial"/>
                <w:color w:val="000000"/>
                <w:sz w:val="20"/>
                <w:szCs w:val="20"/>
              </w:rPr>
            </w:pPr>
            <w:r w:rsidRPr="00BA48F1">
              <w:rPr>
                <w:rFonts w:ascii="Arial" w:eastAsia="Times New Roman" w:hAnsi="Arial" w:cs="Arial"/>
                <w:color w:val="000000"/>
                <w:sz w:val="20"/>
                <w:szCs w:val="20"/>
              </w:rPr>
              <w:t>%</w:t>
            </w:r>
          </w:p>
        </w:tc>
        <w:tc>
          <w:tcPr>
            <w:tcW w:w="0" w:type="auto"/>
            <w:tcBorders>
              <w:top w:val="nil"/>
              <w:left w:val="nil"/>
              <w:bottom w:val="single" w:sz="4" w:space="0" w:color="auto"/>
              <w:right w:val="single" w:sz="4" w:space="0" w:color="auto"/>
            </w:tcBorders>
            <w:shd w:val="clear" w:color="auto" w:fill="auto"/>
            <w:vAlign w:val="bottom"/>
            <w:hideMark/>
          </w:tcPr>
          <w:p w14:paraId="5DBA031F" w14:textId="77777777" w:rsidR="00BA48F1" w:rsidRPr="00BA48F1" w:rsidRDefault="00BA48F1" w:rsidP="00BA48F1">
            <w:pPr>
              <w:spacing w:after="0" w:line="240" w:lineRule="auto"/>
              <w:jc w:val="center"/>
              <w:rPr>
                <w:rFonts w:ascii="Arial" w:eastAsia="Times New Roman" w:hAnsi="Arial" w:cs="Arial"/>
                <w:color w:val="000000"/>
                <w:sz w:val="20"/>
                <w:szCs w:val="20"/>
              </w:rPr>
            </w:pPr>
            <w:r w:rsidRPr="00BA48F1">
              <w:rPr>
                <w:rFonts w:ascii="Arial" w:eastAsia="Times New Roman" w:hAnsi="Arial" w:cs="Arial"/>
                <w:color w:val="000000"/>
                <w:sz w:val="20"/>
                <w:szCs w:val="20"/>
              </w:rPr>
              <w:t>N</w:t>
            </w:r>
          </w:p>
        </w:tc>
        <w:tc>
          <w:tcPr>
            <w:tcW w:w="0" w:type="auto"/>
            <w:tcBorders>
              <w:top w:val="nil"/>
              <w:left w:val="nil"/>
              <w:bottom w:val="single" w:sz="4" w:space="0" w:color="auto"/>
              <w:right w:val="single" w:sz="4" w:space="0" w:color="auto"/>
            </w:tcBorders>
            <w:shd w:val="clear" w:color="auto" w:fill="auto"/>
            <w:noWrap/>
            <w:vAlign w:val="bottom"/>
            <w:hideMark/>
          </w:tcPr>
          <w:p w14:paraId="441694D4" w14:textId="77777777" w:rsidR="00BA48F1" w:rsidRPr="00BA48F1" w:rsidRDefault="00BA48F1" w:rsidP="00BA48F1">
            <w:pPr>
              <w:spacing w:after="0" w:line="240" w:lineRule="auto"/>
              <w:jc w:val="center"/>
              <w:rPr>
                <w:rFonts w:ascii="Arial" w:eastAsia="Times New Roman" w:hAnsi="Arial" w:cs="Arial"/>
                <w:color w:val="000000"/>
                <w:sz w:val="20"/>
                <w:szCs w:val="20"/>
              </w:rPr>
            </w:pPr>
            <w:r w:rsidRPr="00BA48F1">
              <w:rPr>
                <w:rFonts w:ascii="Arial" w:eastAsia="Times New Roman" w:hAnsi="Arial" w:cs="Arial"/>
                <w:color w:val="000000"/>
                <w:sz w:val="20"/>
                <w:szCs w:val="20"/>
              </w:rPr>
              <w:t>%</w:t>
            </w:r>
          </w:p>
        </w:tc>
        <w:tc>
          <w:tcPr>
            <w:tcW w:w="0" w:type="auto"/>
            <w:tcBorders>
              <w:top w:val="nil"/>
              <w:left w:val="nil"/>
              <w:bottom w:val="single" w:sz="4" w:space="0" w:color="auto"/>
              <w:right w:val="single" w:sz="4" w:space="0" w:color="auto"/>
            </w:tcBorders>
            <w:shd w:val="clear" w:color="auto" w:fill="auto"/>
            <w:noWrap/>
            <w:vAlign w:val="bottom"/>
            <w:hideMark/>
          </w:tcPr>
          <w:p w14:paraId="31585751" w14:textId="77777777" w:rsidR="00BA48F1" w:rsidRPr="00BA48F1" w:rsidRDefault="00BA48F1" w:rsidP="00BA48F1">
            <w:pPr>
              <w:spacing w:after="0" w:line="240" w:lineRule="auto"/>
              <w:rPr>
                <w:rFonts w:ascii="Arial" w:eastAsia="Times New Roman" w:hAnsi="Arial" w:cs="Arial"/>
                <w:color w:val="000000"/>
                <w:sz w:val="20"/>
                <w:szCs w:val="20"/>
              </w:rPr>
            </w:pPr>
            <w:r w:rsidRPr="00BA48F1">
              <w:rPr>
                <w:rFonts w:ascii="Arial" w:eastAsia="Times New Roman" w:hAnsi="Arial" w:cs="Arial"/>
                <w:color w:val="000000"/>
                <w:sz w:val="20"/>
                <w:szCs w:val="20"/>
              </w:rPr>
              <w:t>N</w:t>
            </w:r>
          </w:p>
        </w:tc>
        <w:tc>
          <w:tcPr>
            <w:tcW w:w="0" w:type="auto"/>
            <w:tcBorders>
              <w:top w:val="nil"/>
              <w:left w:val="nil"/>
              <w:bottom w:val="single" w:sz="4" w:space="0" w:color="auto"/>
              <w:right w:val="single" w:sz="4" w:space="0" w:color="auto"/>
            </w:tcBorders>
            <w:shd w:val="clear" w:color="auto" w:fill="auto"/>
            <w:noWrap/>
            <w:vAlign w:val="bottom"/>
            <w:hideMark/>
          </w:tcPr>
          <w:p w14:paraId="251A9126" w14:textId="77777777" w:rsidR="00BA48F1" w:rsidRPr="00BA48F1" w:rsidRDefault="00BA48F1" w:rsidP="00BA48F1">
            <w:pPr>
              <w:spacing w:after="0" w:line="240" w:lineRule="auto"/>
              <w:rPr>
                <w:rFonts w:ascii="Arial" w:eastAsia="Times New Roman" w:hAnsi="Arial" w:cs="Arial"/>
                <w:color w:val="000000"/>
                <w:sz w:val="20"/>
                <w:szCs w:val="20"/>
              </w:rPr>
            </w:pPr>
            <w:r w:rsidRPr="00BA48F1">
              <w:rPr>
                <w:rFonts w:ascii="Arial" w:eastAsia="Times New Roman" w:hAnsi="Arial" w:cs="Arial"/>
                <w:color w:val="000000"/>
                <w:sz w:val="20"/>
                <w:szCs w:val="20"/>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73F26AA" w14:textId="77777777" w:rsidR="00BA48F1" w:rsidRPr="00BA48F1" w:rsidRDefault="00BA48F1" w:rsidP="00BA48F1">
            <w:pPr>
              <w:spacing w:after="0" w:line="240" w:lineRule="auto"/>
              <w:rPr>
                <w:rFonts w:ascii="Arial" w:eastAsia="Times New Roman" w:hAnsi="Arial" w:cs="Arial"/>
                <w:color w:val="000000"/>
                <w:sz w:val="20"/>
                <w:szCs w:val="20"/>
              </w:rPr>
            </w:pPr>
          </w:p>
        </w:tc>
      </w:tr>
      <w:tr w:rsidR="0067156B" w:rsidRPr="00BA48F1" w14:paraId="086D278A" w14:textId="77777777" w:rsidTr="0067156B">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D6191AA"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ABINGTON</w:t>
            </w:r>
          </w:p>
        </w:tc>
        <w:tc>
          <w:tcPr>
            <w:tcW w:w="0" w:type="auto"/>
            <w:tcBorders>
              <w:top w:val="nil"/>
              <w:left w:val="nil"/>
              <w:bottom w:val="single" w:sz="4" w:space="0" w:color="auto"/>
              <w:right w:val="single" w:sz="4" w:space="0" w:color="auto"/>
            </w:tcBorders>
            <w:shd w:val="clear" w:color="auto" w:fill="auto"/>
            <w:noWrap/>
            <w:vAlign w:val="bottom"/>
            <w:hideMark/>
          </w:tcPr>
          <w:p w14:paraId="331E0E29"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708</w:t>
            </w:r>
          </w:p>
        </w:tc>
        <w:tc>
          <w:tcPr>
            <w:tcW w:w="0" w:type="auto"/>
            <w:tcBorders>
              <w:top w:val="nil"/>
              <w:left w:val="nil"/>
              <w:bottom w:val="single" w:sz="4" w:space="0" w:color="auto"/>
              <w:right w:val="single" w:sz="4" w:space="0" w:color="auto"/>
            </w:tcBorders>
            <w:shd w:val="clear" w:color="auto" w:fill="auto"/>
            <w:noWrap/>
            <w:vAlign w:val="bottom"/>
            <w:hideMark/>
          </w:tcPr>
          <w:p w14:paraId="231207D9"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473</w:t>
            </w:r>
          </w:p>
        </w:tc>
        <w:tc>
          <w:tcPr>
            <w:tcW w:w="0" w:type="auto"/>
            <w:tcBorders>
              <w:top w:val="nil"/>
              <w:left w:val="nil"/>
              <w:bottom w:val="single" w:sz="4" w:space="0" w:color="auto"/>
              <w:right w:val="single" w:sz="4" w:space="0" w:color="auto"/>
            </w:tcBorders>
            <w:shd w:val="clear" w:color="auto" w:fill="auto"/>
            <w:noWrap/>
            <w:vAlign w:val="bottom"/>
            <w:hideMark/>
          </w:tcPr>
          <w:p w14:paraId="05C3D837"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67%</w:t>
            </w:r>
          </w:p>
        </w:tc>
        <w:tc>
          <w:tcPr>
            <w:tcW w:w="0" w:type="auto"/>
            <w:tcBorders>
              <w:top w:val="nil"/>
              <w:left w:val="nil"/>
              <w:bottom w:val="single" w:sz="4" w:space="0" w:color="auto"/>
              <w:right w:val="single" w:sz="4" w:space="0" w:color="auto"/>
            </w:tcBorders>
            <w:shd w:val="clear" w:color="auto" w:fill="auto"/>
            <w:noWrap/>
            <w:vAlign w:val="bottom"/>
            <w:hideMark/>
          </w:tcPr>
          <w:p w14:paraId="454A7B4A"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465</w:t>
            </w:r>
          </w:p>
        </w:tc>
        <w:tc>
          <w:tcPr>
            <w:tcW w:w="0" w:type="auto"/>
            <w:tcBorders>
              <w:top w:val="nil"/>
              <w:left w:val="nil"/>
              <w:bottom w:val="single" w:sz="4" w:space="0" w:color="auto"/>
              <w:right w:val="single" w:sz="4" w:space="0" w:color="auto"/>
            </w:tcBorders>
            <w:shd w:val="clear" w:color="auto" w:fill="auto"/>
            <w:noWrap/>
            <w:vAlign w:val="bottom"/>
            <w:hideMark/>
          </w:tcPr>
          <w:p w14:paraId="5568A065"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(98.3)</w:t>
            </w:r>
          </w:p>
        </w:tc>
        <w:tc>
          <w:tcPr>
            <w:tcW w:w="0" w:type="auto"/>
            <w:tcBorders>
              <w:top w:val="nil"/>
              <w:left w:val="nil"/>
              <w:bottom w:val="single" w:sz="4" w:space="0" w:color="auto"/>
              <w:right w:val="single" w:sz="4" w:space="0" w:color="auto"/>
            </w:tcBorders>
            <w:shd w:val="clear" w:color="auto" w:fill="auto"/>
            <w:noWrap/>
            <w:vAlign w:val="bottom"/>
            <w:hideMark/>
          </w:tcPr>
          <w:p w14:paraId="29DE2CB7"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6</w:t>
            </w:r>
          </w:p>
        </w:tc>
        <w:tc>
          <w:tcPr>
            <w:tcW w:w="0" w:type="auto"/>
            <w:tcBorders>
              <w:top w:val="nil"/>
              <w:left w:val="nil"/>
              <w:bottom w:val="single" w:sz="4" w:space="0" w:color="auto"/>
              <w:right w:val="single" w:sz="4" w:space="0" w:color="auto"/>
            </w:tcBorders>
            <w:shd w:val="clear" w:color="auto" w:fill="auto"/>
            <w:noWrap/>
            <w:vAlign w:val="bottom"/>
            <w:hideMark/>
          </w:tcPr>
          <w:p w14:paraId="4B664325"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(1.3)</w:t>
            </w:r>
          </w:p>
        </w:tc>
        <w:tc>
          <w:tcPr>
            <w:tcW w:w="0" w:type="auto"/>
            <w:tcBorders>
              <w:top w:val="nil"/>
              <w:left w:val="nil"/>
              <w:bottom w:val="single" w:sz="4" w:space="0" w:color="auto"/>
              <w:right w:val="single" w:sz="4" w:space="0" w:color="auto"/>
            </w:tcBorders>
            <w:shd w:val="clear" w:color="auto" w:fill="auto"/>
            <w:noWrap/>
            <w:vAlign w:val="bottom"/>
            <w:hideMark/>
          </w:tcPr>
          <w:p w14:paraId="2D2AB40A"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5A49B60D"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58DA096E"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3FA8B2B4"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45DC72E4"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353063F4"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1C775A4A"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29CF89C6"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19E52FF2"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66%</w:t>
            </w:r>
          </w:p>
        </w:tc>
      </w:tr>
      <w:tr w:rsidR="0067156B" w:rsidRPr="00BA48F1" w14:paraId="155C2A97" w14:textId="77777777" w:rsidTr="0067156B">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E929DB1"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ACTON</w:t>
            </w:r>
          </w:p>
        </w:tc>
        <w:tc>
          <w:tcPr>
            <w:tcW w:w="0" w:type="auto"/>
            <w:tcBorders>
              <w:top w:val="nil"/>
              <w:left w:val="nil"/>
              <w:bottom w:val="single" w:sz="4" w:space="0" w:color="auto"/>
              <w:right w:val="single" w:sz="4" w:space="0" w:color="auto"/>
            </w:tcBorders>
            <w:shd w:val="clear" w:color="auto" w:fill="auto"/>
            <w:noWrap/>
            <w:vAlign w:val="bottom"/>
            <w:hideMark/>
          </w:tcPr>
          <w:p w14:paraId="39B870DC"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725</w:t>
            </w:r>
          </w:p>
        </w:tc>
        <w:tc>
          <w:tcPr>
            <w:tcW w:w="0" w:type="auto"/>
            <w:tcBorders>
              <w:top w:val="nil"/>
              <w:left w:val="nil"/>
              <w:bottom w:val="single" w:sz="4" w:space="0" w:color="auto"/>
              <w:right w:val="single" w:sz="4" w:space="0" w:color="auto"/>
            </w:tcBorders>
            <w:shd w:val="clear" w:color="auto" w:fill="auto"/>
            <w:noWrap/>
            <w:vAlign w:val="bottom"/>
            <w:hideMark/>
          </w:tcPr>
          <w:p w14:paraId="73CE6E6D"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445</w:t>
            </w:r>
          </w:p>
        </w:tc>
        <w:tc>
          <w:tcPr>
            <w:tcW w:w="0" w:type="auto"/>
            <w:tcBorders>
              <w:top w:val="nil"/>
              <w:left w:val="nil"/>
              <w:bottom w:val="single" w:sz="4" w:space="0" w:color="auto"/>
              <w:right w:val="single" w:sz="4" w:space="0" w:color="auto"/>
            </w:tcBorders>
            <w:shd w:val="clear" w:color="auto" w:fill="auto"/>
            <w:noWrap/>
            <w:vAlign w:val="bottom"/>
            <w:hideMark/>
          </w:tcPr>
          <w:p w14:paraId="516F48E1"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61%</w:t>
            </w:r>
          </w:p>
        </w:tc>
        <w:tc>
          <w:tcPr>
            <w:tcW w:w="0" w:type="auto"/>
            <w:tcBorders>
              <w:top w:val="nil"/>
              <w:left w:val="nil"/>
              <w:bottom w:val="single" w:sz="4" w:space="0" w:color="auto"/>
              <w:right w:val="single" w:sz="4" w:space="0" w:color="auto"/>
            </w:tcBorders>
            <w:shd w:val="clear" w:color="auto" w:fill="auto"/>
            <w:noWrap/>
            <w:vAlign w:val="bottom"/>
            <w:hideMark/>
          </w:tcPr>
          <w:p w14:paraId="354BAE30"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441</w:t>
            </w:r>
          </w:p>
        </w:tc>
        <w:tc>
          <w:tcPr>
            <w:tcW w:w="0" w:type="auto"/>
            <w:tcBorders>
              <w:top w:val="nil"/>
              <w:left w:val="nil"/>
              <w:bottom w:val="single" w:sz="4" w:space="0" w:color="auto"/>
              <w:right w:val="single" w:sz="4" w:space="0" w:color="auto"/>
            </w:tcBorders>
            <w:shd w:val="clear" w:color="auto" w:fill="auto"/>
            <w:noWrap/>
            <w:vAlign w:val="bottom"/>
            <w:hideMark/>
          </w:tcPr>
          <w:p w14:paraId="33664819"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(99.1)</w:t>
            </w:r>
          </w:p>
        </w:tc>
        <w:tc>
          <w:tcPr>
            <w:tcW w:w="0" w:type="auto"/>
            <w:tcBorders>
              <w:top w:val="nil"/>
              <w:left w:val="nil"/>
              <w:bottom w:val="single" w:sz="4" w:space="0" w:color="auto"/>
              <w:right w:val="single" w:sz="4" w:space="0" w:color="auto"/>
            </w:tcBorders>
            <w:shd w:val="clear" w:color="auto" w:fill="auto"/>
            <w:noWrap/>
            <w:vAlign w:val="bottom"/>
            <w:hideMark/>
          </w:tcPr>
          <w:p w14:paraId="75E8A6B1"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794FDCAB"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07D17C71"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0A9FB952"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2C953018"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7262D01F"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53D7396F"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02C3410D"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17A34E84"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6F07D9AC"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1B36836A"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57%</w:t>
            </w:r>
          </w:p>
        </w:tc>
      </w:tr>
      <w:tr w:rsidR="0067156B" w:rsidRPr="00BA48F1" w14:paraId="4F91152A" w14:textId="77777777" w:rsidTr="0067156B">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BDA955C"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ACUSHNET</w:t>
            </w:r>
          </w:p>
        </w:tc>
        <w:tc>
          <w:tcPr>
            <w:tcW w:w="0" w:type="auto"/>
            <w:tcBorders>
              <w:top w:val="nil"/>
              <w:left w:val="nil"/>
              <w:bottom w:val="single" w:sz="4" w:space="0" w:color="auto"/>
              <w:right w:val="single" w:sz="4" w:space="0" w:color="auto"/>
            </w:tcBorders>
            <w:shd w:val="clear" w:color="auto" w:fill="auto"/>
            <w:noWrap/>
            <w:vAlign w:val="bottom"/>
            <w:hideMark/>
          </w:tcPr>
          <w:p w14:paraId="5BA0AE3B"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280</w:t>
            </w:r>
          </w:p>
        </w:tc>
        <w:tc>
          <w:tcPr>
            <w:tcW w:w="0" w:type="auto"/>
            <w:tcBorders>
              <w:top w:val="nil"/>
              <w:left w:val="nil"/>
              <w:bottom w:val="single" w:sz="4" w:space="0" w:color="auto"/>
              <w:right w:val="single" w:sz="4" w:space="0" w:color="auto"/>
            </w:tcBorders>
            <w:shd w:val="clear" w:color="auto" w:fill="auto"/>
            <w:noWrap/>
            <w:vAlign w:val="bottom"/>
            <w:hideMark/>
          </w:tcPr>
          <w:p w14:paraId="3E48F609"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206</w:t>
            </w:r>
          </w:p>
        </w:tc>
        <w:tc>
          <w:tcPr>
            <w:tcW w:w="0" w:type="auto"/>
            <w:tcBorders>
              <w:top w:val="nil"/>
              <w:left w:val="nil"/>
              <w:bottom w:val="single" w:sz="4" w:space="0" w:color="auto"/>
              <w:right w:val="single" w:sz="4" w:space="0" w:color="auto"/>
            </w:tcBorders>
            <w:shd w:val="clear" w:color="auto" w:fill="auto"/>
            <w:noWrap/>
            <w:vAlign w:val="bottom"/>
            <w:hideMark/>
          </w:tcPr>
          <w:p w14:paraId="101380A1"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74%</w:t>
            </w:r>
          </w:p>
        </w:tc>
        <w:tc>
          <w:tcPr>
            <w:tcW w:w="0" w:type="auto"/>
            <w:tcBorders>
              <w:top w:val="nil"/>
              <w:left w:val="nil"/>
              <w:bottom w:val="single" w:sz="4" w:space="0" w:color="auto"/>
              <w:right w:val="single" w:sz="4" w:space="0" w:color="auto"/>
            </w:tcBorders>
            <w:shd w:val="clear" w:color="auto" w:fill="auto"/>
            <w:noWrap/>
            <w:vAlign w:val="bottom"/>
            <w:hideMark/>
          </w:tcPr>
          <w:p w14:paraId="573A4D4B"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203</w:t>
            </w:r>
          </w:p>
        </w:tc>
        <w:tc>
          <w:tcPr>
            <w:tcW w:w="0" w:type="auto"/>
            <w:tcBorders>
              <w:top w:val="nil"/>
              <w:left w:val="nil"/>
              <w:bottom w:val="single" w:sz="4" w:space="0" w:color="auto"/>
              <w:right w:val="single" w:sz="4" w:space="0" w:color="auto"/>
            </w:tcBorders>
            <w:shd w:val="clear" w:color="auto" w:fill="auto"/>
            <w:noWrap/>
            <w:vAlign w:val="bottom"/>
            <w:hideMark/>
          </w:tcPr>
          <w:p w14:paraId="72B427E9"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(98.5)</w:t>
            </w:r>
          </w:p>
        </w:tc>
        <w:tc>
          <w:tcPr>
            <w:tcW w:w="0" w:type="auto"/>
            <w:tcBorders>
              <w:top w:val="nil"/>
              <w:left w:val="nil"/>
              <w:bottom w:val="single" w:sz="4" w:space="0" w:color="auto"/>
              <w:right w:val="single" w:sz="4" w:space="0" w:color="auto"/>
            </w:tcBorders>
            <w:shd w:val="clear" w:color="auto" w:fill="auto"/>
            <w:noWrap/>
            <w:vAlign w:val="bottom"/>
            <w:hideMark/>
          </w:tcPr>
          <w:p w14:paraId="046C048B"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3EF6F561"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23305C83"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1159D201"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3DDA1D9F"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73AF2B82"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222516C2"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03E6E620"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4C16FE57"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29282999"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04D08BD5"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72%</w:t>
            </w:r>
          </w:p>
        </w:tc>
      </w:tr>
      <w:tr w:rsidR="0067156B" w:rsidRPr="00BA48F1" w14:paraId="49230744" w14:textId="77777777" w:rsidTr="0067156B">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BE5BB3C"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ADAMS</w:t>
            </w:r>
          </w:p>
        </w:tc>
        <w:tc>
          <w:tcPr>
            <w:tcW w:w="0" w:type="auto"/>
            <w:tcBorders>
              <w:top w:val="nil"/>
              <w:left w:val="nil"/>
              <w:bottom w:val="single" w:sz="4" w:space="0" w:color="auto"/>
              <w:right w:val="single" w:sz="4" w:space="0" w:color="auto"/>
            </w:tcBorders>
            <w:shd w:val="clear" w:color="auto" w:fill="auto"/>
            <w:noWrap/>
            <w:vAlign w:val="bottom"/>
            <w:hideMark/>
          </w:tcPr>
          <w:p w14:paraId="074CB183"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229</w:t>
            </w:r>
          </w:p>
        </w:tc>
        <w:tc>
          <w:tcPr>
            <w:tcW w:w="0" w:type="auto"/>
            <w:tcBorders>
              <w:top w:val="nil"/>
              <w:left w:val="nil"/>
              <w:bottom w:val="single" w:sz="4" w:space="0" w:color="auto"/>
              <w:right w:val="single" w:sz="4" w:space="0" w:color="auto"/>
            </w:tcBorders>
            <w:shd w:val="clear" w:color="auto" w:fill="auto"/>
            <w:noWrap/>
            <w:vAlign w:val="bottom"/>
            <w:hideMark/>
          </w:tcPr>
          <w:p w14:paraId="2442915C"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178</w:t>
            </w:r>
          </w:p>
        </w:tc>
        <w:tc>
          <w:tcPr>
            <w:tcW w:w="0" w:type="auto"/>
            <w:tcBorders>
              <w:top w:val="nil"/>
              <w:left w:val="nil"/>
              <w:bottom w:val="single" w:sz="4" w:space="0" w:color="auto"/>
              <w:right w:val="single" w:sz="4" w:space="0" w:color="auto"/>
            </w:tcBorders>
            <w:shd w:val="clear" w:color="auto" w:fill="auto"/>
            <w:noWrap/>
            <w:vAlign w:val="bottom"/>
            <w:hideMark/>
          </w:tcPr>
          <w:p w14:paraId="28CF34B0"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78%</w:t>
            </w:r>
          </w:p>
        </w:tc>
        <w:tc>
          <w:tcPr>
            <w:tcW w:w="0" w:type="auto"/>
            <w:tcBorders>
              <w:top w:val="nil"/>
              <w:left w:val="nil"/>
              <w:bottom w:val="single" w:sz="4" w:space="0" w:color="auto"/>
              <w:right w:val="single" w:sz="4" w:space="0" w:color="auto"/>
            </w:tcBorders>
            <w:shd w:val="clear" w:color="auto" w:fill="auto"/>
            <w:noWrap/>
            <w:vAlign w:val="bottom"/>
            <w:hideMark/>
          </w:tcPr>
          <w:p w14:paraId="30251B9B"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169</w:t>
            </w:r>
          </w:p>
        </w:tc>
        <w:tc>
          <w:tcPr>
            <w:tcW w:w="0" w:type="auto"/>
            <w:tcBorders>
              <w:top w:val="nil"/>
              <w:left w:val="nil"/>
              <w:bottom w:val="single" w:sz="4" w:space="0" w:color="auto"/>
              <w:right w:val="single" w:sz="4" w:space="0" w:color="auto"/>
            </w:tcBorders>
            <w:shd w:val="clear" w:color="auto" w:fill="auto"/>
            <w:noWrap/>
            <w:vAlign w:val="bottom"/>
            <w:hideMark/>
          </w:tcPr>
          <w:p w14:paraId="1AA0D0B8"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(94.9)</w:t>
            </w:r>
          </w:p>
        </w:tc>
        <w:tc>
          <w:tcPr>
            <w:tcW w:w="0" w:type="auto"/>
            <w:tcBorders>
              <w:top w:val="nil"/>
              <w:left w:val="nil"/>
              <w:bottom w:val="single" w:sz="4" w:space="0" w:color="auto"/>
              <w:right w:val="single" w:sz="4" w:space="0" w:color="auto"/>
            </w:tcBorders>
            <w:shd w:val="clear" w:color="auto" w:fill="auto"/>
            <w:noWrap/>
            <w:vAlign w:val="bottom"/>
            <w:hideMark/>
          </w:tcPr>
          <w:p w14:paraId="2673DA4B"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9</w:t>
            </w:r>
          </w:p>
        </w:tc>
        <w:tc>
          <w:tcPr>
            <w:tcW w:w="0" w:type="auto"/>
            <w:tcBorders>
              <w:top w:val="nil"/>
              <w:left w:val="nil"/>
              <w:bottom w:val="single" w:sz="4" w:space="0" w:color="auto"/>
              <w:right w:val="single" w:sz="4" w:space="0" w:color="auto"/>
            </w:tcBorders>
            <w:shd w:val="clear" w:color="auto" w:fill="auto"/>
            <w:noWrap/>
            <w:vAlign w:val="bottom"/>
            <w:hideMark/>
          </w:tcPr>
          <w:p w14:paraId="458A329B"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(5.1)</w:t>
            </w:r>
          </w:p>
        </w:tc>
        <w:tc>
          <w:tcPr>
            <w:tcW w:w="0" w:type="auto"/>
            <w:tcBorders>
              <w:top w:val="nil"/>
              <w:left w:val="nil"/>
              <w:bottom w:val="single" w:sz="4" w:space="0" w:color="auto"/>
              <w:right w:val="single" w:sz="4" w:space="0" w:color="auto"/>
            </w:tcBorders>
            <w:shd w:val="clear" w:color="auto" w:fill="auto"/>
            <w:noWrap/>
            <w:vAlign w:val="bottom"/>
            <w:hideMark/>
          </w:tcPr>
          <w:p w14:paraId="61C44976"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424315F3"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22ADDC34"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02E570F7"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372B5E71"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15D2DD10"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55776848"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60E87835"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5158723A"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90%</w:t>
            </w:r>
          </w:p>
        </w:tc>
      </w:tr>
      <w:tr w:rsidR="0067156B" w:rsidRPr="00BA48F1" w14:paraId="5F8DAFA9" w14:textId="77777777" w:rsidTr="0067156B">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FDAA0A1"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AGAWAM</w:t>
            </w:r>
          </w:p>
        </w:tc>
        <w:tc>
          <w:tcPr>
            <w:tcW w:w="0" w:type="auto"/>
            <w:tcBorders>
              <w:top w:val="nil"/>
              <w:left w:val="nil"/>
              <w:bottom w:val="single" w:sz="4" w:space="0" w:color="auto"/>
              <w:right w:val="single" w:sz="4" w:space="0" w:color="auto"/>
            </w:tcBorders>
            <w:shd w:val="clear" w:color="auto" w:fill="auto"/>
            <w:noWrap/>
            <w:vAlign w:val="bottom"/>
            <w:hideMark/>
          </w:tcPr>
          <w:p w14:paraId="61513407"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845</w:t>
            </w:r>
          </w:p>
        </w:tc>
        <w:tc>
          <w:tcPr>
            <w:tcW w:w="0" w:type="auto"/>
            <w:tcBorders>
              <w:top w:val="nil"/>
              <w:left w:val="nil"/>
              <w:bottom w:val="single" w:sz="4" w:space="0" w:color="auto"/>
              <w:right w:val="single" w:sz="4" w:space="0" w:color="auto"/>
            </w:tcBorders>
            <w:shd w:val="clear" w:color="auto" w:fill="auto"/>
            <w:noWrap/>
            <w:vAlign w:val="bottom"/>
            <w:hideMark/>
          </w:tcPr>
          <w:p w14:paraId="0345CDD5"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487</w:t>
            </w:r>
          </w:p>
        </w:tc>
        <w:tc>
          <w:tcPr>
            <w:tcW w:w="0" w:type="auto"/>
            <w:tcBorders>
              <w:top w:val="nil"/>
              <w:left w:val="nil"/>
              <w:bottom w:val="single" w:sz="4" w:space="0" w:color="auto"/>
              <w:right w:val="single" w:sz="4" w:space="0" w:color="auto"/>
            </w:tcBorders>
            <w:shd w:val="clear" w:color="auto" w:fill="auto"/>
            <w:noWrap/>
            <w:vAlign w:val="bottom"/>
            <w:hideMark/>
          </w:tcPr>
          <w:p w14:paraId="27F61D54"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58%</w:t>
            </w:r>
          </w:p>
        </w:tc>
        <w:tc>
          <w:tcPr>
            <w:tcW w:w="0" w:type="auto"/>
            <w:tcBorders>
              <w:top w:val="nil"/>
              <w:left w:val="nil"/>
              <w:bottom w:val="single" w:sz="4" w:space="0" w:color="auto"/>
              <w:right w:val="single" w:sz="4" w:space="0" w:color="auto"/>
            </w:tcBorders>
            <w:shd w:val="clear" w:color="auto" w:fill="auto"/>
            <w:noWrap/>
            <w:vAlign w:val="bottom"/>
            <w:hideMark/>
          </w:tcPr>
          <w:p w14:paraId="27CFD4CB"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479</w:t>
            </w:r>
          </w:p>
        </w:tc>
        <w:tc>
          <w:tcPr>
            <w:tcW w:w="0" w:type="auto"/>
            <w:tcBorders>
              <w:top w:val="nil"/>
              <w:left w:val="nil"/>
              <w:bottom w:val="single" w:sz="4" w:space="0" w:color="auto"/>
              <w:right w:val="single" w:sz="4" w:space="0" w:color="auto"/>
            </w:tcBorders>
            <w:shd w:val="clear" w:color="auto" w:fill="auto"/>
            <w:noWrap/>
            <w:vAlign w:val="bottom"/>
            <w:hideMark/>
          </w:tcPr>
          <w:p w14:paraId="6B233FD8"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(98.4)</w:t>
            </w:r>
          </w:p>
        </w:tc>
        <w:tc>
          <w:tcPr>
            <w:tcW w:w="0" w:type="auto"/>
            <w:tcBorders>
              <w:top w:val="nil"/>
              <w:left w:val="nil"/>
              <w:bottom w:val="single" w:sz="4" w:space="0" w:color="auto"/>
              <w:right w:val="single" w:sz="4" w:space="0" w:color="auto"/>
            </w:tcBorders>
            <w:shd w:val="clear" w:color="auto" w:fill="auto"/>
            <w:noWrap/>
            <w:vAlign w:val="bottom"/>
            <w:hideMark/>
          </w:tcPr>
          <w:p w14:paraId="425521FA"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7</w:t>
            </w:r>
          </w:p>
        </w:tc>
        <w:tc>
          <w:tcPr>
            <w:tcW w:w="0" w:type="auto"/>
            <w:tcBorders>
              <w:top w:val="nil"/>
              <w:left w:val="nil"/>
              <w:bottom w:val="single" w:sz="4" w:space="0" w:color="auto"/>
              <w:right w:val="single" w:sz="4" w:space="0" w:color="auto"/>
            </w:tcBorders>
            <w:shd w:val="clear" w:color="auto" w:fill="auto"/>
            <w:noWrap/>
            <w:vAlign w:val="bottom"/>
            <w:hideMark/>
          </w:tcPr>
          <w:p w14:paraId="57054BDC"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(1.4)</w:t>
            </w:r>
          </w:p>
        </w:tc>
        <w:tc>
          <w:tcPr>
            <w:tcW w:w="0" w:type="auto"/>
            <w:tcBorders>
              <w:top w:val="nil"/>
              <w:left w:val="nil"/>
              <w:bottom w:val="single" w:sz="4" w:space="0" w:color="auto"/>
              <w:right w:val="single" w:sz="4" w:space="0" w:color="auto"/>
            </w:tcBorders>
            <w:shd w:val="clear" w:color="auto" w:fill="auto"/>
            <w:noWrap/>
            <w:vAlign w:val="bottom"/>
            <w:hideMark/>
          </w:tcPr>
          <w:p w14:paraId="013C212D"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7AD15E30"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4D174309"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10738F5B"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3C4F5CCB"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7</w:t>
            </w:r>
          </w:p>
        </w:tc>
        <w:tc>
          <w:tcPr>
            <w:tcW w:w="0" w:type="auto"/>
            <w:tcBorders>
              <w:top w:val="nil"/>
              <w:left w:val="nil"/>
              <w:bottom w:val="single" w:sz="4" w:space="0" w:color="auto"/>
              <w:right w:val="single" w:sz="4" w:space="0" w:color="auto"/>
            </w:tcBorders>
            <w:shd w:val="clear" w:color="auto" w:fill="auto"/>
            <w:noWrap/>
            <w:vAlign w:val="bottom"/>
            <w:hideMark/>
          </w:tcPr>
          <w:p w14:paraId="4BA79D34"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(1.4)</w:t>
            </w:r>
          </w:p>
        </w:tc>
        <w:tc>
          <w:tcPr>
            <w:tcW w:w="0" w:type="auto"/>
            <w:tcBorders>
              <w:top w:val="nil"/>
              <w:left w:val="nil"/>
              <w:bottom w:val="single" w:sz="4" w:space="0" w:color="auto"/>
              <w:right w:val="single" w:sz="4" w:space="0" w:color="auto"/>
            </w:tcBorders>
            <w:shd w:val="clear" w:color="auto" w:fill="auto"/>
            <w:noWrap/>
            <w:vAlign w:val="bottom"/>
            <w:hideMark/>
          </w:tcPr>
          <w:p w14:paraId="7846BC56"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4CB43763"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38BDAC74"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68%</w:t>
            </w:r>
          </w:p>
        </w:tc>
      </w:tr>
      <w:tr w:rsidR="0067156B" w:rsidRPr="00BA48F1" w14:paraId="114C90A3" w14:textId="77777777" w:rsidTr="0067156B">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998D836"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ALFORD</w:t>
            </w:r>
          </w:p>
        </w:tc>
        <w:tc>
          <w:tcPr>
            <w:tcW w:w="0" w:type="auto"/>
            <w:tcBorders>
              <w:top w:val="nil"/>
              <w:left w:val="nil"/>
              <w:bottom w:val="single" w:sz="4" w:space="0" w:color="auto"/>
              <w:right w:val="single" w:sz="4" w:space="0" w:color="auto"/>
            </w:tcBorders>
            <w:shd w:val="clear" w:color="auto" w:fill="auto"/>
            <w:noWrap/>
            <w:vAlign w:val="bottom"/>
            <w:hideMark/>
          </w:tcPr>
          <w:p w14:paraId="57AB6615"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7</w:t>
            </w:r>
          </w:p>
        </w:tc>
        <w:tc>
          <w:tcPr>
            <w:tcW w:w="0" w:type="auto"/>
            <w:tcBorders>
              <w:top w:val="nil"/>
              <w:left w:val="nil"/>
              <w:bottom w:val="single" w:sz="4" w:space="0" w:color="auto"/>
              <w:right w:val="single" w:sz="4" w:space="0" w:color="auto"/>
            </w:tcBorders>
            <w:shd w:val="clear" w:color="auto" w:fill="auto"/>
            <w:noWrap/>
            <w:vAlign w:val="bottom"/>
            <w:hideMark/>
          </w:tcPr>
          <w:p w14:paraId="657824FE"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4</w:t>
            </w:r>
          </w:p>
        </w:tc>
        <w:tc>
          <w:tcPr>
            <w:tcW w:w="0" w:type="auto"/>
            <w:tcBorders>
              <w:top w:val="nil"/>
              <w:left w:val="nil"/>
              <w:bottom w:val="single" w:sz="4" w:space="0" w:color="auto"/>
              <w:right w:val="single" w:sz="4" w:space="0" w:color="auto"/>
            </w:tcBorders>
            <w:shd w:val="clear" w:color="auto" w:fill="auto"/>
            <w:noWrap/>
            <w:vAlign w:val="bottom"/>
            <w:hideMark/>
          </w:tcPr>
          <w:p w14:paraId="4D301DA8"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57%</w:t>
            </w:r>
          </w:p>
        </w:tc>
        <w:tc>
          <w:tcPr>
            <w:tcW w:w="0" w:type="auto"/>
            <w:tcBorders>
              <w:top w:val="nil"/>
              <w:left w:val="nil"/>
              <w:bottom w:val="single" w:sz="4" w:space="0" w:color="auto"/>
              <w:right w:val="single" w:sz="4" w:space="0" w:color="auto"/>
            </w:tcBorders>
            <w:shd w:val="clear" w:color="auto" w:fill="auto"/>
            <w:noWrap/>
            <w:vAlign w:val="bottom"/>
            <w:hideMark/>
          </w:tcPr>
          <w:p w14:paraId="49EE99C3"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618D9E9C"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110ABF89"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64629DB8"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36498977"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3E2B6A1B"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2292596A"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637CF58C"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4BE4E4FC"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27316B52"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2DEEDF1D"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3FF22976"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482D6A1C"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50%</w:t>
            </w:r>
          </w:p>
        </w:tc>
      </w:tr>
      <w:tr w:rsidR="0067156B" w:rsidRPr="00BA48F1" w14:paraId="455D7E03" w14:textId="77777777" w:rsidTr="0067156B">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155763C"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AMESBURY</w:t>
            </w:r>
          </w:p>
        </w:tc>
        <w:tc>
          <w:tcPr>
            <w:tcW w:w="0" w:type="auto"/>
            <w:tcBorders>
              <w:top w:val="nil"/>
              <w:left w:val="nil"/>
              <w:bottom w:val="single" w:sz="4" w:space="0" w:color="auto"/>
              <w:right w:val="single" w:sz="4" w:space="0" w:color="auto"/>
            </w:tcBorders>
            <w:shd w:val="clear" w:color="auto" w:fill="auto"/>
            <w:noWrap/>
            <w:vAlign w:val="bottom"/>
            <w:hideMark/>
          </w:tcPr>
          <w:p w14:paraId="06A5BE68"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569</w:t>
            </w:r>
          </w:p>
        </w:tc>
        <w:tc>
          <w:tcPr>
            <w:tcW w:w="0" w:type="auto"/>
            <w:tcBorders>
              <w:top w:val="nil"/>
              <w:left w:val="nil"/>
              <w:bottom w:val="single" w:sz="4" w:space="0" w:color="auto"/>
              <w:right w:val="single" w:sz="4" w:space="0" w:color="auto"/>
            </w:tcBorders>
            <w:shd w:val="clear" w:color="auto" w:fill="auto"/>
            <w:noWrap/>
            <w:vAlign w:val="bottom"/>
            <w:hideMark/>
          </w:tcPr>
          <w:p w14:paraId="1F8650C2"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364</w:t>
            </w:r>
          </w:p>
        </w:tc>
        <w:tc>
          <w:tcPr>
            <w:tcW w:w="0" w:type="auto"/>
            <w:tcBorders>
              <w:top w:val="nil"/>
              <w:left w:val="nil"/>
              <w:bottom w:val="single" w:sz="4" w:space="0" w:color="auto"/>
              <w:right w:val="single" w:sz="4" w:space="0" w:color="auto"/>
            </w:tcBorders>
            <w:shd w:val="clear" w:color="auto" w:fill="auto"/>
            <w:noWrap/>
            <w:vAlign w:val="bottom"/>
            <w:hideMark/>
          </w:tcPr>
          <w:p w14:paraId="7ED4E60F"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64%</w:t>
            </w:r>
          </w:p>
        </w:tc>
        <w:tc>
          <w:tcPr>
            <w:tcW w:w="0" w:type="auto"/>
            <w:tcBorders>
              <w:top w:val="nil"/>
              <w:left w:val="nil"/>
              <w:bottom w:val="single" w:sz="4" w:space="0" w:color="auto"/>
              <w:right w:val="single" w:sz="4" w:space="0" w:color="auto"/>
            </w:tcBorders>
            <w:shd w:val="clear" w:color="auto" w:fill="auto"/>
            <w:noWrap/>
            <w:vAlign w:val="bottom"/>
            <w:hideMark/>
          </w:tcPr>
          <w:p w14:paraId="488AC782"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358</w:t>
            </w:r>
          </w:p>
        </w:tc>
        <w:tc>
          <w:tcPr>
            <w:tcW w:w="0" w:type="auto"/>
            <w:tcBorders>
              <w:top w:val="nil"/>
              <w:left w:val="nil"/>
              <w:bottom w:val="single" w:sz="4" w:space="0" w:color="auto"/>
              <w:right w:val="single" w:sz="4" w:space="0" w:color="auto"/>
            </w:tcBorders>
            <w:shd w:val="clear" w:color="auto" w:fill="auto"/>
            <w:noWrap/>
            <w:vAlign w:val="bottom"/>
            <w:hideMark/>
          </w:tcPr>
          <w:p w14:paraId="0F149C06"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(98.4)</w:t>
            </w:r>
          </w:p>
        </w:tc>
        <w:tc>
          <w:tcPr>
            <w:tcW w:w="0" w:type="auto"/>
            <w:tcBorders>
              <w:top w:val="nil"/>
              <w:left w:val="nil"/>
              <w:bottom w:val="single" w:sz="4" w:space="0" w:color="auto"/>
              <w:right w:val="single" w:sz="4" w:space="0" w:color="auto"/>
            </w:tcBorders>
            <w:shd w:val="clear" w:color="auto" w:fill="auto"/>
            <w:noWrap/>
            <w:vAlign w:val="bottom"/>
            <w:hideMark/>
          </w:tcPr>
          <w:p w14:paraId="24B244D5"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6</w:t>
            </w:r>
          </w:p>
        </w:tc>
        <w:tc>
          <w:tcPr>
            <w:tcW w:w="0" w:type="auto"/>
            <w:tcBorders>
              <w:top w:val="nil"/>
              <w:left w:val="nil"/>
              <w:bottom w:val="single" w:sz="4" w:space="0" w:color="auto"/>
              <w:right w:val="single" w:sz="4" w:space="0" w:color="auto"/>
            </w:tcBorders>
            <w:shd w:val="clear" w:color="auto" w:fill="auto"/>
            <w:noWrap/>
            <w:vAlign w:val="bottom"/>
            <w:hideMark/>
          </w:tcPr>
          <w:p w14:paraId="66077120"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(1.6)</w:t>
            </w:r>
          </w:p>
        </w:tc>
        <w:tc>
          <w:tcPr>
            <w:tcW w:w="0" w:type="auto"/>
            <w:tcBorders>
              <w:top w:val="nil"/>
              <w:left w:val="nil"/>
              <w:bottom w:val="single" w:sz="4" w:space="0" w:color="auto"/>
              <w:right w:val="single" w:sz="4" w:space="0" w:color="auto"/>
            </w:tcBorders>
            <w:shd w:val="clear" w:color="auto" w:fill="auto"/>
            <w:noWrap/>
            <w:vAlign w:val="bottom"/>
            <w:hideMark/>
          </w:tcPr>
          <w:p w14:paraId="468BB8FC"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794465A6"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4FFC83CB"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2558F191"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603813F3"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62624E08"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7058734D"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0C4C4E7B"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666B81C0"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66%</w:t>
            </w:r>
          </w:p>
        </w:tc>
      </w:tr>
      <w:tr w:rsidR="0067156B" w:rsidRPr="00BA48F1" w14:paraId="60F9A43C" w14:textId="77777777" w:rsidTr="0067156B">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EB81C12"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AMHERST</w:t>
            </w:r>
          </w:p>
        </w:tc>
        <w:tc>
          <w:tcPr>
            <w:tcW w:w="0" w:type="auto"/>
            <w:tcBorders>
              <w:top w:val="nil"/>
              <w:left w:val="nil"/>
              <w:bottom w:val="single" w:sz="4" w:space="0" w:color="auto"/>
              <w:right w:val="single" w:sz="4" w:space="0" w:color="auto"/>
            </w:tcBorders>
            <w:shd w:val="clear" w:color="auto" w:fill="auto"/>
            <w:noWrap/>
            <w:vAlign w:val="bottom"/>
            <w:hideMark/>
          </w:tcPr>
          <w:p w14:paraId="6819B65A"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464</w:t>
            </w:r>
          </w:p>
        </w:tc>
        <w:tc>
          <w:tcPr>
            <w:tcW w:w="0" w:type="auto"/>
            <w:tcBorders>
              <w:top w:val="nil"/>
              <w:left w:val="nil"/>
              <w:bottom w:val="single" w:sz="4" w:space="0" w:color="auto"/>
              <w:right w:val="single" w:sz="4" w:space="0" w:color="auto"/>
            </w:tcBorders>
            <w:shd w:val="clear" w:color="auto" w:fill="auto"/>
            <w:noWrap/>
            <w:vAlign w:val="bottom"/>
            <w:hideMark/>
          </w:tcPr>
          <w:p w14:paraId="3D759667"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195</w:t>
            </w:r>
          </w:p>
        </w:tc>
        <w:tc>
          <w:tcPr>
            <w:tcW w:w="0" w:type="auto"/>
            <w:tcBorders>
              <w:top w:val="nil"/>
              <w:left w:val="nil"/>
              <w:bottom w:val="single" w:sz="4" w:space="0" w:color="auto"/>
              <w:right w:val="single" w:sz="4" w:space="0" w:color="auto"/>
            </w:tcBorders>
            <w:shd w:val="clear" w:color="auto" w:fill="auto"/>
            <w:noWrap/>
            <w:vAlign w:val="bottom"/>
            <w:hideMark/>
          </w:tcPr>
          <w:p w14:paraId="6317C2FC"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42%</w:t>
            </w:r>
          </w:p>
        </w:tc>
        <w:tc>
          <w:tcPr>
            <w:tcW w:w="0" w:type="auto"/>
            <w:tcBorders>
              <w:top w:val="nil"/>
              <w:left w:val="nil"/>
              <w:bottom w:val="single" w:sz="4" w:space="0" w:color="auto"/>
              <w:right w:val="single" w:sz="4" w:space="0" w:color="auto"/>
            </w:tcBorders>
            <w:shd w:val="clear" w:color="auto" w:fill="auto"/>
            <w:noWrap/>
            <w:vAlign w:val="bottom"/>
            <w:hideMark/>
          </w:tcPr>
          <w:p w14:paraId="21A02806"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193</w:t>
            </w:r>
          </w:p>
        </w:tc>
        <w:tc>
          <w:tcPr>
            <w:tcW w:w="0" w:type="auto"/>
            <w:tcBorders>
              <w:top w:val="nil"/>
              <w:left w:val="nil"/>
              <w:bottom w:val="single" w:sz="4" w:space="0" w:color="auto"/>
              <w:right w:val="single" w:sz="4" w:space="0" w:color="auto"/>
            </w:tcBorders>
            <w:shd w:val="clear" w:color="auto" w:fill="auto"/>
            <w:noWrap/>
            <w:vAlign w:val="bottom"/>
            <w:hideMark/>
          </w:tcPr>
          <w:p w14:paraId="182C25EE"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(99.0)</w:t>
            </w:r>
          </w:p>
        </w:tc>
        <w:tc>
          <w:tcPr>
            <w:tcW w:w="0" w:type="auto"/>
            <w:tcBorders>
              <w:top w:val="nil"/>
              <w:left w:val="nil"/>
              <w:bottom w:val="single" w:sz="4" w:space="0" w:color="auto"/>
              <w:right w:val="single" w:sz="4" w:space="0" w:color="auto"/>
            </w:tcBorders>
            <w:shd w:val="clear" w:color="auto" w:fill="auto"/>
            <w:noWrap/>
            <w:vAlign w:val="bottom"/>
            <w:hideMark/>
          </w:tcPr>
          <w:p w14:paraId="70B7D454"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5759958C"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22CAFF97"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60BC14A0"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2A7036FC"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2DFA3ADD"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73B0F78A"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67155F5E"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39F88B44"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0F037BAF"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13ACA319"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60%</w:t>
            </w:r>
          </w:p>
        </w:tc>
      </w:tr>
      <w:tr w:rsidR="0067156B" w:rsidRPr="00BA48F1" w14:paraId="1B3F7211" w14:textId="77777777" w:rsidTr="0067156B">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41E8DCD"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ANDOVER</w:t>
            </w:r>
          </w:p>
        </w:tc>
        <w:tc>
          <w:tcPr>
            <w:tcW w:w="0" w:type="auto"/>
            <w:tcBorders>
              <w:top w:val="nil"/>
              <w:left w:val="nil"/>
              <w:bottom w:val="single" w:sz="4" w:space="0" w:color="auto"/>
              <w:right w:val="single" w:sz="4" w:space="0" w:color="auto"/>
            </w:tcBorders>
            <w:shd w:val="clear" w:color="auto" w:fill="auto"/>
            <w:noWrap/>
            <w:vAlign w:val="bottom"/>
            <w:hideMark/>
          </w:tcPr>
          <w:p w14:paraId="0332E2EB"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1,174</w:t>
            </w:r>
          </w:p>
        </w:tc>
        <w:tc>
          <w:tcPr>
            <w:tcW w:w="0" w:type="auto"/>
            <w:tcBorders>
              <w:top w:val="nil"/>
              <w:left w:val="nil"/>
              <w:bottom w:val="single" w:sz="4" w:space="0" w:color="auto"/>
              <w:right w:val="single" w:sz="4" w:space="0" w:color="auto"/>
            </w:tcBorders>
            <w:shd w:val="clear" w:color="auto" w:fill="auto"/>
            <w:noWrap/>
            <w:vAlign w:val="bottom"/>
            <w:hideMark/>
          </w:tcPr>
          <w:p w14:paraId="523804FF"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654</w:t>
            </w:r>
          </w:p>
        </w:tc>
        <w:tc>
          <w:tcPr>
            <w:tcW w:w="0" w:type="auto"/>
            <w:tcBorders>
              <w:top w:val="nil"/>
              <w:left w:val="nil"/>
              <w:bottom w:val="single" w:sz="4" w:space="0" w:color="auto"/>
              <w:right w:val="single" w:sz="4" w:space="0" w:color="auto"/>
            </w:tcBorders>
            <w:shd w:val="clear" w:color="auto" w:fill="auto"/>
            <w:noWrap/>
            <w:vAlign w:val="bottom"/>
            <w:hideMark/>
          </w:tcPr>
          <w:p w14:paraId="4A248A3F"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56%</w:t>
            </w:r>
          </w:p>
        </w:tc>
        <w:tc>
          <w:tcPr>
            <w:tcW w:w="0" w:type="auto"/>
            <w:tcBorders>
              <w:top w:val="nil"/>
              <w:left w:val="nil"/>
              <w:bottom w:val="single" w:sz="4" w:space="0" w:color="auto"/>
              <w:right w:val="single" w:sz="4" w:space="0" w:color="auto"/>
            </w:tcBorders>
            <w:shd w:val="clear" w:color="auto" w:fill="auto"/>
            <w:noWrap/>
            <w:vAlign w:val="bottom"/>
            <w:hideMark/>
          </w:tcPr>
          <w:p w14:paraId="76D87B09"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651</w:t>
            </w:r>
          </w:p>
        </w:tc>
        <w:tc>
          <w:tcPr>
            <w:tcW w:w="0" w:type="auto"/>
            <w:tcBorders>
              <w:top w:val="nil"/>
              <w:left w:val="nil"/>
              <w:bottom w:val="single" w:sz="4" w:space="0" w:color="auto"/>
              <w:right w:val="single" w:sz="4" w:space="0" w:color="auto"/>
            </w:tcBorders>
            <w:shd w:val="clear" w:color="auto" w:fill="auto"/>
            <w:noWrap/>
            <w:vAlign w:val="bottom"/>
            <w:hideMark/>
          </w:tcPr>
          <w:p w14:paraId="69F4F48A"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(99.5)</w:t>
            </w:r>
          </w:p>
        </w:tc>
        <w:tc>
          <w:tcPr>
            <w:tcW w:w="0" w:type="auto"/>
            <w:tcBorders>
              <w:top w:val="nil"/>
              <w:left w:val="nil"/>
              <w:bottom w:val="single" w:sz="4" w:space="0" w:color="auto"/>
              <w:right w:val="single" w:sz="4" w:space="0" w:color="auto"/>
            </w:tcBorders>
            <w:shd w:val="clear" w:color="auto" w:fill="auto"/>
            <w:noWrap/>
            <w:vAlign w:val="bottom"/>
            <w:hideMark/>
          </w:tcPr>
          <w:p w14:paraId="75563E1A"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089961D6"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7F4B01EA"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7B957088"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2F0AFB6E"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535C85B3"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1F81FC98"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58C42185"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7746BE09"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6FF54D7D"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30AA95BE"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63%</w:t>
            </w:r>
          </w:p>
        </w:tc>
      </w:tr>
      <w:tr w:rsidR="0067156B" w:rsidRPr="00BA48F1" w14:paraId="6390767B" w14:textId="77777777" w:rsidTr="0067156B">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C07BA0F"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ARLINGTON</w:t>
            </w:r>
          </w:p>
        </w:tc>
        <w:tc>
          <w:tcPr>
            <w:tcW w:w="0" w:type="auto"/>
            <w:tcBorders>
              <w:top w:val="nil"/>
              <w:left w:val="nil"/>
              <w:bottom w:val="single" w:sz="4" w:space="0" w:color="auto"/>
              <w:right w:val="single" w:sz="4" w:space="0" w:color="auto"/>
            </w:tcBorders>
            <w:shd w:val="clear" w:color="auto" w:fill="auto"/>
            <w:noWrap/>
            <w:vAlign w:val="bottom"/>
            <w:hideMark/>
          </w:tcPr>
          <w:p w14:paraId="7F79C104"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1,770</w:t>
            </w:r>
          </w:p>
        </w:tc>
        <w:tc>
          <w:tcPr>
            <w:tcW w:w="0" w:type="auto"/>
            <w:tcBorders>
              <w:top w:val="nil"/>
              <w:left w:val="nil"/>
              <w:bottom w:val="single" w:sz="4" w:space="0" w:color="auto"/>
              <w:right w:val="single" w:sz="4" w:space="0" w:color="auto"/>
            </w:tcBorders>
            <w:shd w:val="clear" w:color="auto" w:fill="auto"/>
            <w:noWrap/>
            <w:vAlign w:val="bottom"/>
            <w:hideMark/>
          </w:tcPr>
          <w:p w14:paraId="7CEEA21F"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1,080</w:t>
            </w:r>
          </w:p>
        </w:tc>
        <w:tc>
          <w:tcPr>
            <w:tcW w:w="0" w:type="auto"/>
            <w:tcBorders>
              <w:top w:val="nil"/>
              <w:left w:val="nil"/>
              <w:bottom w:val="single" w:sz="4" w:space="0" w:color="auto"/>
              <w:right w:val="single" w:sz="4" w:space="0" w:color="auto"/>
            </w:tcBorders>
            <w:shd w:val="clear" w:color="auto" w:fill="auto"/>
            <w:noWrap/>
            <w:vAlign w:val="bottom"/>
            <w:hideMark/>
          </w:tcPr>
          <w:p w14:paraId="69CE8036"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61%</w:t>
            </w:r>
          </w:p>
        </w:tc>
        <w:tc>
          <w:tcPr>
            <w:tcW w:w="0" w:type="auto"/>
            <w:tcBorders>
              <w:top w:val="nil"/>
              <w:left w:val="nil"/>
              <w:bottom w:val="single" w:sz="4" w:space="0" w:color="auto"/>
              <w:right w:val="single" w:sz="4" w:space="0" w:color="auto"/>
            </w:tcBorders>
            <w:shd w:val="clear" w:color="auto" w:fill="auto"/>
            <w:noWrap/>
            <w:vAlign w:val="bottom"/>
            <w:hideMark/>
          </w:tcPr>
          <w:p w14:paraId="321988AF"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1,070</w:t>
            </w:r>
          </w:p>
        </w:tc>
        <w:tc>
          <w:tcPr>
            <w:tcW w:w="0" w:type="auto"/>
            <w:tcBorders>
              <w:top w:val="nil"/>
              <w:left w:val="nil"/>
              <w:bottom w:val="single" w:sz="4" w:space="0" w:color="auto"/>
              <w:right w:val="single" w:sz="4" w:space="0" w:color="auto"/>
            </w:tcBorders>
            <w:shd w:val="clear" w:color="auto" w:fill="auto"/>
            <w:noWrap/>
            <w:vAlign w:val="bottom"/>
            <w:hideMark/>
          </w:tcPr>
          <w:p w14:paraId="189D7F16"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(99.1)</w:t>
            </w:r>
          </w:p>
        </w:tc>
        <w:tc>
          <w:tcPr>
            <w:tcW w:w="0" w:type="auto"/>
            <w:tcBorders>
              <w:top w:val="nil"/>
              <w:left w:val="nil"/>
              <w:bottom w:val="single" w:sz="4" w:space="0" w:color="auto"/>
              <w:right w:val="single" w:sz="4" w:space="0" w:color="auto"/>
            </w:tcBorders>
            <w:shd w:val="clear" w:color="auto" w:fill="auto"/>
            <w:noWrap/>
            <w:vAlign w:val="bottom"/>
            <w:hideMark/>
          </w:tcPr>
          <w:p w14:paraId="6D213CD7"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8</w:t>
            </w:r>
          </w:p>
        </w:tc>
        <w:tc>
          <w:tcPr>
            <w:tcW w:w="0" w:type="auto"/>
            <w:tcBorders>
              <w:top w:val="nil"/>
              <w:left w:val="nil"/>
              <w:bottom w:val="single" w:sz="4" w:space="0" w:color="auto"/>
              <w:right w:val="single" w:sz="4" w:space="0" w:color="auto"/>
            </w:tcBorders>
            <w:shd w:val="clear" w:color="auto" w:fill="auto"/>
            <w:noWrap/>
            <w:vAlign w:val="bottom"/>
            <w:hideMark/>
          </w:tcPr>
          <w:p w14:paraId="2F27F9BF"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(0.7)</w:t>
            </w:r>
          </w:p>
        </w:tc>
        <w:tc>
          <w:tcPr>
            <w:tcW w:w="0" w:type="auto"/>
            <w:tcBorders>
              <w:top w:val="nil"/>
              <w:left w:val="nil"/>
              <w:bottom w:val="single" w:sz="4" w:space="0" w:color="auto"/>
              <w:right w:val="single" w:sz="4" w:space="0" w:color="auto"/>
            </w:tcBorders>
            <w:shd w:val="clear" w:color="auto" w:fill="auto"/>
            <w:noWrap/>
            <w:vAlign w:val="bottom"/>
            <w:hideMark/>
          </w:tcPr>
          <w:p w14:paraId="2BA4CEC2"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6C9CAF0E"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51F4B055"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331D9DA6"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1235AAF2"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7</w:t>
            </w:r>
          </w:p>
        </w:tc>
        <w:tc>
          <w:tcPr>
            <w:tcW w:w="0" w:type="auto"/>
            <w:tcBorders>
              <w:top w:val="nil"/>
              <w:left w:val="nil"/>
              <w:bottom w:val="single" w:sz="4" w:space="0" w:color="auto"/>
              <w:right w:val="single" w:sz="4" w:space="0" w:color="auto"/>
            </w:tcBorders>
            <w:shd w:val="clear" w:color="auto" w:fill="auto"/>
            <w:noWrap/>
            <w:vAlign w:val="bottom"/>
            <w:hideMark/>
          </w:tcPr>
          <w:p w14:paraId="2FEBBDE3"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(0.6)</w:t>
            </w:r>
          </w:p>
        </w:tc>
        <w:tc>
          <w:tcPr>
            <w:tcW w:w="0" w:type="auto"/>
            <w:tcBorders>
              <w:top w:val="nil"/>
              <w:left w:val="nil"/>
              <w:bottom w:val="single" w:sz="4" w:space="0" w:color="auto"/>
              <w:right w:val="single" w:sz="4" w:space="0" w:color="auto"/>
            </w:tcBorders>
            <w:shd w:val="clear" w:color="auto" w:fill="auto"/>
            <w:noWrap/>
            <w:vAlign w:val="bottom"/>
            <w:hideMark/>
          </w:tcPr>
          <w:p w14:paraId="01E07B3F"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1BE4C1D5"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31ECC6B9"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86%</w:t>
            </w:r>
          </w:p>
        </w:tc>
      </w:tr>
      <w:tr w:rsidR="0067156B" w:rsidRPr="00BA48F1" w14:paraId="5FCEF083" w14:textId="77777777" w:rsidTr="0067156B">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81E2D44"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ASHBURNHAM</w:t>
            </w:r>
          </w:p>
        </w:tc>
        <w:tc>
          <w:tcPr>
            <w:tcW w:w="0" w:type="auto"/>
            <w:tcBorders>
              <w:top w:val="nil"/>
              <w:left w:val="nil"/>
              <w:bottom w:val="single" w:sz="4" w:space="0" w:color="auto"/>
              <w:right w:val="single" w:sz="4" w:space="0" w:color="auto"/>
            </w:tcBorders>
            <w:shd w:val="clear" w:color="auto" w:fill="auto"/>
            <w:noWrap/>
            <w:vAlign w:val="bottom"/>
            <w:hideMark/>
          </w:tcPr>
          <w:p w14:paraId="78BB68B6"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205</w:t>
            </w:r>
          </w:p>
        </w:tc>
        <w:tc>
          <w:tcPr>
            <w:tcW w:w="0" w:type="auto"/>
            <w:tcBorders>
              <w:top w:val="nil"/>
              <w:left w:val="nil"/>
              <w:bottom w:val="single" w:sz="4" w:space="0" w:color="auto"/>
              <w:right w:val="single" w:sz="4" w:space="0" w:color="auto"/>
            </w:tcBorders>
            <w:shd w:val="clear" w:color="auto" w:fill="auto"/>
            <w:noWrap/>
            <w:vAlign w:val="bottom"/>
            <w:hideMark/>
          </w:tcPr>
          <w:p w14:paraId="48ACF43F"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117</w:t>
            </w:r>
          </w:p>
        </w:tc>
        <w:tc>
          <w:tcPr>
            <w:tcW w:w="0" w:type="auto"/>
            <w:tcBorders>
              <w:top w:val="nil"/>
              <w:left w:val="nil"/>
              <w:bottom w:val="single" w:sz="4" w:space="0" w:color="auto"/>
              <w:right w:val="single" w:sz="4" w:space="0" w:color="auto"/>
            </w:tcBorders>
            <w:shd w:val="clear" w:color="auto" w:fill="auto"/>
            <w:noWrap/>
            <w:vAlign w:val="bottom"/>
            <w:hideMark/>
          </w:tcPr>
          <w:p w14:paraId="2E22DE8B"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57%</w:t>
            </w:r>
          </w:p>
        </w:tc>
        <w:tc>
          <w:tcPr>
            <w:tcW w:w="0" w:type="auto"/>
            <w:tcBorders>
              <w:top w:val="nil"/>
              <w:left w:val="nil"/>
              <w:bottom w:val="single" w:sz="4" w:space="0" w:color="auto"/>
              <w:right w:val="single" w:sz="4" w:space="0" w:color="auto"/>
            </w:tcBorders>
            <w:shd w:val="clear" w:color="auto" w:fill="auto"/>
            <w:noWrap/>
            <w:vAlign w:val="bottom"/>
            <w:hideMark/>
          </w:tcPr>
          <w:p w14:paraId="0AC0432E"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115</w:t>
            </w:r>
          </w:p>
        </w:tc>
        <w:tc>
          <w:tcPr>
            <w:tcW w:w="0" w:type="auto"/>
            <w:tcBorders>
              <w:top w:val="nil"/>
              <w:left w:val="nil"/>
              <w:bottom w:val="single" w:sz="4" w:space="0" w:color="auto"/>
              <w:right w:val="single" w:sz="4" w:space="0" w:color="auto"/>
            </w:tcBorders>
            <w:shd w:val="clear" w:color="auto" w:fill="auto"/>
            <w:noWrap/>
            <w:vAlign w:val="bottom"/>
            <w:hideMark/>
          </w:tcPr>
          <w:p w14:paraId="0CDDF688"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(98.3)</w:t>
            </w:r>
          </w:p>
        </w:tc>
        <w:tc>
          <w:tcPr>
            <w:tcW w:w="0" w:type="auto"/>
            <w:tcBorders>
              <w:top w:val="nil"/>
              <w:left w:val="nil"/>
              <w:bottom w:val="single" w:sz="4" w:space="0" w:color="auto"/>
              <w:right w:val="single" w:sz="4" w:space="0" w:color="auto"/>
            </w:tcBorders>
            <w:shd w:val="clear" w:color="auto" w:fill="auto"/>
            <w:noWrap/>
            <w:vAlign w:val="bottom"/>
            <w:hideMark/>
          </w:tcPr>
          <w:p w14:paraId="3A478970"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657052D8"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21271B69"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7453570B"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3C3F4146"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61B7F311"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68F4CECE"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12AEA9CD"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51B4E5B4"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23DD0821"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718D9661"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46%</w:t>
            </w:r>
          </w:p>
        </w:tc>
      </w:tr>
      <w:tr w:rsidR="0067156B" w:rsidRPr="00BA48F1" w14:paraId="527A5BCC" w14:textId="77777777" w:rsidTr="0067156B">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0EDB360"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ASHBY</w:t>
            </w:r>
          </w:p>
        </w:tc>
        <w:tc>
          <w:tcPr>
            <w:tcW w:w="0" w:type="auto"/>
            <w:tcBorders>
              <w:top w:val="nil"/>
              <w:left w:val="nil"/>
              <w:bottom w:val="single" w:sz="4" w:space="0" w:color="auto"/>
              <w:right w:val="single" w:sz="4" w:space="0" w:color="auto"/>
            </w:tcBorders>
            <w:shd w:val="clear" w:color="auto" w:fill="auto"/>
            <w:noWrap/>
            <w:vAlign w:val="bottom"/>
            <w:hideMark/>
          </w:tcPr>
          <w:p w14:paraId="5A071EEC"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107</w:t>
            </w:r>
          </w:p>
        </w:tc>
        <w:tc>
          <w:tcPr>
            <w:tcW w:w="0" w:type="auto"/>
            <w:tcBorders>
              <w:top w:val="nil"/>
              <w:left w:val="nil"/>
              <w:bottom w:val="single" w:sz="4" w:space="0" w:color="auto"/>
              <w:right w:val="single" w:sz="4" w:space="0" w:color="auto"/>
            </w:tcBorders>
            <w:shd w:val="clear" w:color="auto" w:fill="auto"/>
            <w:noWrap/>
            <w:vAlign w:val="bottom"/>
            <w:hideMark/>
          </w:tcPr>
          <w:p w14:paraId="5E3A34A6"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63</w:t>
            </w:r>
          </w:p>
        </w:tc>
        <w:tc>
          <w:tcPr>
            <w:tcW w:w="0" w:type="auto"/>
            <w:tcBorders>
              <w:top w:val="nil"/>
              <w:left w:val="nil"/>
              <w:bottom w:val="single" w:sz="4" w:space="0" w:color="auto"/>
              <w:right w:val="single" w:sz="4" w:space="0" w:color="auto"/>
            </w:tcBorders>
            <w:shd w:val="clear" w:color="auto" w:fill="auto"/>
            <w:noWrap/>
            <w:vAlign w:val="bottom"/>
            <w:hideMark/>
          </w:tcPr>
          <w:p w14:paraId="7A02BA3D"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59%</w:t>
            </w:r>
          </w:p>
        </w:tc>
        <w:tc>
          <w:tcPr>
            <w:tcW w:w="0" w:type="auto"/>
            <w:tcBorders>
              <w:top w:val="nil"/>
              <w:left w:val="nil"/>
              <w:bottom w:val="single" w:sz="4" w:space="0" w:color="auto"/>
              <w:right w:val="single" w:sz="4" w:space="0" w:color="auto"/>
            </w:tcBorders>
            <w:shd w:val="clear" w:color="auto" w:fill="auto"/>
            <w:noWrap/>
            <w:vAlign w:val="bottom"/>
            <w:hideMark/>
          </w:tcPr>
          <w:p w14:paraId="55AFB29D"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63</w:t>
            </w:r>
          </w:p>
        </w:tc>
        <w:tc>
          <w:tcPr>
            <w:tcW w:w="0" w:type="auto"/>
            <w:tcBorders>
              <w:top w:val="nil"/>
              <w:left w:val="nil"/>
              <w:bottom w:val="single" w:sz="4" w:space="0" w:color="auto"/>
              <w:right w:val="single" w:sz="4" w:space="0" w:color="auto"/>
            </w:tcBorders>
            <w:shd w:val="clear" w:color="auto" w:fill="auto"/>
            <w:noWrap/>
            <w:vAlign w:val="bottom"/>
            <w:hideMark/>
          </w:tcPr>
          <w:p w14:paraId="506425FF"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(100.0)</w:t>
            </w:r>
          </w:p>
        </w:tc>
        <w:tc>
          <w:tcPr>
            <w:tcW w:w="0" w:type="auto"/>
            <w:tcBorders>
              <w:top w:val="nil"/>
              <w:left w:val="nil"/>
              <w:bottom w:val="single" w:sz="4" w:space="0" w:color="auto"/>
              <w:right w:val="single" w:sz="4" w:space="0" w:color="auto"/>
            </w:tcBorders>
            <w:shd w:val="clear" w:color="auto" w:fill="auto"/>
            <w:noWrap/>
            <w:vAlign w:val="bottom"/>
            <w:hideMark/>
          </w:tcPr>
          <w:p w14:paraId="2D12963B"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3D1A332B"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3129DB61"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2DD1DB27"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66D12282"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0025D00A"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45AAB7F2"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415F8E1D"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09DBD68A"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51C2241A"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1FEFED96"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58%</w:t>
            </w:r>
          </w:p>
        </w:tc>
      </w:tr>
      <w:tr w:rsidR="0067156B" w:rsidRPr="00BA48F1" w14:paraId="75605967" w14:textId="77777777" w:rsidTr="0067156B">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B2085D0"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ASHFIELD</w:t>
            </w:r>
          </w:p>
        </w:tc>
        <w:tc>
          <w:tcPr>
            <w:tcW w:w="0" w:type="auto"/>
            <w:tcBorders>
              <w:top w:val="nil"/>
              <w:left w:val="nil"/>
              <w:bottom w:val="single" w:sz="4" w:space="0" w:color="auto"/>
              <w:right w:val="single" w:sz="4" w:space="0" w:color="auto"/>
            </w:tcBorders>
            <w:shd w:val="clear" w:color="auto" w:fill="auto"/>
            <w:noWrap/>
            <w:vAlign w:val="bottom"/>
            <w:hideMark/>
          </w:tcPr>
          <w:p w14:paraId="69BA5B32"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33</w:t>
            </w:r>
          </w:p>
        </w:tc>
        <w:tc>
          <w:tcPr>
            <w:tcW w:w="0" w:type="auto"/>
            <w:tcBorders>
              <w:top w:val="nil"/>
              <w:left w:val="nil"/>
              <w:bottom w:val="single" w:sz="4" w:space="0" w:color="auto"/>
              <w:right w:val="single" w:sz="4" w:space="0" w:color="auto"/>
            </w:tcBorders>
            <w:shd w:val="clear" w:color="auto" w:fill="auto"/>
            <w:noWrap/>
            <w:vAlign w:val="bottom"/>
            <w:hideMark/>
          </w:tcPr>
          <w:p w14:paraId="2D4976D0"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17</w:t>
            </w:r>
          </w:p>
        </w:tc>
        <w:tc>
          <w:tcPr>
            <w:tcW w:w="0" w:type="auto"/>
            <w:tcBorders>
              <w:top w:val="nil"/>
              <w:left w:val="nil"/>
              <w:bottom w:val="single" w:sz="4" w:space="0" w:color="auto"/>
              <w:right w:val="single" w:sz="4" w:space="0" w:color="auto"/>
            </w:tcBorders>
            <w:shd w:val="clear" w:color="auto" w:fill="auto"/>
            <w:noWrap/>
            <w:vAlign w:val="bottom"/>
            <w:hideMark/>
          </w:tcPr>
          <w:p w14:paraId="765FE7BF"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52%</w:t>
            </w:r>
          </w:p>
        </w:tc>
        <w:tc>
          <w:tcPr>
            <w:tcW w:w="0" w:type="auto"/>
            <w:tcBorders>
              <w:top w:val="nil"/>
              <w:left w:val="nil"/>
              <w:bottom w:val="single" w:sz="4" w:space="0" w:color="auto"/>
              <w:right w:val="single" w:sz="4" w:space="0" w:color="auto"/>
            </w:tcBorders>
            <w:shd w:val="clear" w:color="auto" w:fill="auto"/>
            <w:noWrap/>
            <w:vAlign w:val="bottom"/>
            <w:hideMark/>
          </w:tcPr>
          <w:p w14:paraId="584A7096"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15</w:t>
            </w:r>
          </w:p>
        </w:tc>
        <w:tc>
          <w:tcPr>
            <w:tcW w:w="0" w:type="auto"/>
            <w:tcBorders>
              <w:top w:val="nil"/>
              <w:left w:val="nil"/>
              <w:bottom w:val="single" w:sz="4" w:space="0" w:color="auto"/>
              <w:right w:val="single" w:sz="4" w:space="0" w:color="auto"/>
            </w:tcBorders>
            <w:shd w:val="clear" w:color="auto" w:fill="auto"/>
            <w:noWrap/>
            <w:vAlign w:val="bottom"/>
            <w:hideMark/>
          </w:tcPr>
          <w:p w14:paraId="3ACE2167"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(88.2)</w:t>
            </w:r>
          </w:p>
        </w:tc>
        <w:tc>
          <w:tcPr>
            <w:tcW w:w="0" w:type="auto"/>
            <w:tcBorders>
              <w:top w:val="nil"/>
              <w:left w:val="nil"/>
              <w:bottom w:val="single" w:sz="4" w:space="0" w:color="auto"/>
              <w:right w:val="single" w:sz="4" w:space="0" w:color="auto"/>
            </w:tcBorders>
            <w:shd w:val="clear" w:color="auto" w:fill="auto"/>
            <w:noWrap/>
            <w:vAlign w:val="bottom"/>
            <w:hideMark/>
          </w:tcPr>
          <w:p w14:paraId="10E45060"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21EC3231"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7D4E47EE"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3F2A7643"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5B07CB78"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5515A058"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39B5436F"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79E8CFA3"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7372AA01"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10F0EA11"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055051D7"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67%</w:t>
            </w:r>
          </w:p>
        </w:tc>
      </w:tr>
      <w:tr w:rsidR="0067156B" w:rsidRPr="00BA48F1" w14:paraId="4CD0EB09" w14:textId="77777777" w:rsidTr="0067156B">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C52BC62"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ASHLAND</w:t>
            </w:r>
          </w:p>
        </w:tc>
        <w:tc>
          <w:tcPr>
            <w:tcW w:w="0" w:type="auto"/>
            <w:tcBorders>
              <w:top w:val="nil"/>
              <w:left w:val="nil"/>
              <w:bottom w:val="single" w:sz="4" w:space="0" w:color="auto"/>
              <w:right w:val="single" w:sz="4" w:space="0" w:color="auto"/>
            </w:tcBorders>
            <w:shd w:val="clear" w:color="auto" w:fill="auto"/>
            <w:noWrap/>
            <w:vAlign w:val="bottom"/>
            <w:hideMark/>
          </w:tcPr>
          <w:p w14:paraId="5D11A7BC"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855</w:t>
            </w:r>
          </w:p>
        </w:tc>
        <w:tc>
          <w:tcPr>
            <w:tcW w:w="0" w:type="auto"/>
            <w:tcBorders>
              <w:top w:val="nil"/>
              <w:left w:val="nil"/>
              <w:bottom w:val="single" w:sz="4" w:space="0" w:color="auto"/>
              <w:right w:val="single" w:sz="4" w:space="0" w:color="auto"/>
            </w:tcBorders>
            <w:shd w:val="clear" w:color="auto" w:fill="auto"/>
            <w:noWrap/>
            <w:vAlign w:val="bottom"/>
            <w:hideMark/>
          </w:tcPr>
          <w:p w14:paraId="095CB09D"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496</w:t>
            </w:r>
          </w:p>
        </w:tc>
        <w:tc>
          <w:tcPr>
            <w:tcW w:w="0" w:type="auto"/>
            <w:tcBorders>
              <w:top w:val="nil"/>
              <w:left w:val="nil"/>
              <w:bottom w:val="single" w:sz="4" w:space="0" w:color="auto"/>
              <w:right w:val="single" w:sz="4" w:space="0" w:color="auto"/>
            </w:tcBorders>
            <w:shd w:val="clear" w:color="auto" w:fill="auto"/>
            <w:noWrap/>
            <w:vAlign w:val="bottom"/>
            <w:hideMark/>
          </w:tcPr>
          <w:p w14:paraId="43F03E4B"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58%</w:t>
            </w:r>
          </w:p>
        </w:tc>
        <w:tc>
          <w:tcPr>
            <w:tcW w:w="0" w:type="auto"/>
            <w:tcBorders>
              <w:top w:val="nil"/>
              <w:left w:val="nil"/>
              <w:bottom w:val="single" w:sz="4" w:space="0" w:color="auto"/>
              <w:right w:val="single" w:sz="4" w:space="0" w:color="auto"/>
            </w:tcBorders>
            <w:shd w:val="clear" w:color="auto" w:fill="auto"/>
            <w:noWrap/>
            <w:vAlign w:val="bottom"/>
            <w:hideMark/>
          </w:tcPr>
          <w:p w14:paraId="7292931E"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485</w:t>
            </w:r>
          </w:p>
        </w:tc>
        <w:tc>
          <w:tcPr>
            <w:tcW w:w="0" w:type="auto"/>
            <w:tcBorders>
              <w:top w:val="nil"/>
              <w:left w:val="nil"/>
              <w:bottom w:val="single" w:sz="4" w:space="0" w:color="auto"/>
              <w:right w:val="single" w:sz="4" w:space="0" w:color="auto"/>
            </w:tcBorders>
            <w:shd w:val="clear" w:color="auto" w:fill="auto"/>
            <w:noWrap/>
            <w:vAlign w:val="bottom"/>
            <w:hideMark/>
          </w:tcPr>
          <w:p w14:paraId="7C22D7DC"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(97.8)</w:t>
            </w:r>
          </w:p>
        </w:tc>
        <w:tc>
          <w:tcPr>
            <w:tcW w:w="0" w:type="auto"/>
            <w:tcBorders>
              <w:top w:val="nil"/>
              <w:left w:val="nil"/>
              <w:bottom w:val="single" w:sz="4" w:space="0" w:color="auto"/>
              <w:right w:val="single" w:sz="4" w:space="0" w:color="auto"/>
            </w:tcBorders>
            <w:shd w:val="clear" w:color="auto" w:fill="auto"/>
            <w:noWrap/>
            <w:vAlign w:val="bottom"/>
            <w:hideMark/>
          </w:tcPr>
          <w:p w14:paraId="5FC01DC3"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9</w:t>
            </w:r>
          </w:p>
        </w:tc>
        <w:tc>
          <w:tcPr>
            <w:tcW w:w="0" w:type="auto"/>
            <w:tcBorders>
              <w:top w:val="nil"/>
              <w:left w:val="nil"/>
              <w:bottom w:val="single" w:sz="4" w:space="0" w:color="auto"/>
              <w:right w:val="single" w:sz="4" w:space="0" w:color="auto"/>
            </w:tcBorders>
            <w:shd w:val="clear" w:color="auto" w:fill="auto"/>
            <w:noWrap/>
            <w:vAlign w:val="bottom"/>
            <w:hideMark/>
          </w:tcPr>
          <w:p w14:paraId="6842B201"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(1.8)</w:t>
            </w:r>
          </w:p>
        </w:tc>
        <w:tc>
          <w:tcPr>
            <w:tcW w:w="0" w:type="auto"/>
            <w:tcBorders>
              <w:top w:val="nil"/>
              <w:left w:val="nil"/>
              <w:bottom w:val="single" w:sz="4" w:space="0" w:color="auto"/>
              <w:right w:val="single" w:sz="4" w:space="0" w:color="auto"/>
            </w:tcBorders>
            <w:shd w:val="clear" w:color="auto" w:fill="auto"/>
            <w:noWrap/>
            <w:vAlign w:val="bottom"/>
            <w:hideMark/>
          </w:tcPr>
          <w:p w14:paraId="61B3CD58"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49D981E9"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3859926C"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5F531DB6"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12A7BF37"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7</w:t>
            </w:r>
          </w:p>
        </w:tc>
        <w:tc>
          <w:tcPr>
            <w:tcW w:w="0" w:type="auto"/>
            <w:tcBorders>
              <w:top w:val="nil"/>
              <w:left w:val="nil"/>
              <w:bottom w:val="single" w:sz="4" w:space="0" w:color="auto"/>
              <w:right w:val="single" w:sz="4" w:space="0" w:color="auto"/>
            </w:tcBorders>
            <w:shd w:val="clear" w:color="auto" w:fill="auto"/>
            <w:noWrap/>
            <w:vAlign w:val="bottom"/>
            <w:hideMark/>
          </w:tcPr>
          <w:p w14:paraId="485F4A44"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(1.4)</w:t>
            </w:r>
          </w:p>
        </w:tc>
        <w:tc>
          <w:tcPr>
            <w:tcW w:w="0" w:type="auto"/>
            <w:tcBorders>
              <w:top w:val="nil"/>
              <w:left w:val="nil"/>
              <w:bottom w:val="single" w:sz="4" w:space="0" w:color="auto"/>
              <w:right w:val="single" w:sz="4" w:space="0" w:color="auto"/>
            </w:tcBorders>
            <w:shd w:val="clear" w:color="auto" w:fill="auto"/>
            <w:noWrap/>
            <w:vAlign w:val="bottom"/>
            <w:hideMark/>
          </w:tcPr>
          <w:p w14:paraId="0AB0EFC5"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40EAFC9B"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11E9AE50"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42%</w:t>
            </w:r>
          </w:p>
        </w:tc>
      </w:tr>
      <w:tr w:rsidR="0067156B" w:rsidRPr="00BA48F1" w14:paraId="6E7AAAD7" w14:textId="77777777" w:rsidTr="0067156B">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5D5860D"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ATHOL</w:t>
            </w:r>
          </w:p>
        </w:tc>
        <w:tc>
          <w:tcPr>
            <w:tcW w:w="0" w:type="auto"/>
            <w:tcBorders>
              <w:top w:val="nil"/>
              <w:left w:val="nil"/>
              <w:bottom w:val="single" w:sz="4" w:space="0" w:color="auto"/>
              <w:right w:val="single" w:sz="4" w:space="0" w:color="auto"/>
            </w:tcBorders>
            <w:shd w:val="clear" w:color="auto" w:fill="auto"/>
            <w:noWrap/>
            <w:vAlign w:val="bottom"/>
            <w:hideMark/>
          </w:tcPr>
          <w:p w14:paraId="6B8442AA"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424</w:t>
            </w:r>
          </w:p>
        </w:tc>
        <w:tc>
          <w:tcPr>
            <w:tcW w:w="0" w:type="auto"/>
            <w:tcBorders>
              <w:top w:val="nil"/>
              <w:left w:val="nil"/>
              <w:bottom w:val="single" w:sz="4" w:space="0" w:color="auto"/>
              <w:right w:val="single" w:sz="4" w:space="0" w:color="auto"/>
            </w:tcBorders>
            <w:shd w:val="clear" w:color="auto" w:fill="auto"/>
            <w:noWrap/>
            <w:vAlign w:val="bottom"/>
            <w:hideMark/>
          </w:tcPr>
          <w:p w14:paraId="4BFE5876"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180</w:t>
            </w:r>
          </w:p>
        </w:tc>
        <w:tc>
          <w:tcPr>
            <w:tcW w:w="0" w:type="auto"/>
            <w:tcBorders>
              <w:top w:val="nil"/>
              <w:left w:val="nil"/>
              <w:bottom w:val="single" w:sz="4" w:space="0" w:color="auto"/>
              <w:right w:val="single" w:sz="4" w:space="0" w:color="auto"/>
            </w:tcBorders>
            <w:shd w:val="clear" w:color="auto" w:fill="auto"/>
            <w:noWrap/>
            <w:vAlign w:val="bottom"/>
            <w:hideMark/>
          </w:tcPr>
          <w:p w14:paraId="77948580"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42%</w:t>
            </w:r>
          </w:p>
        </w:tc>
        <w:tc>
          <w:tcPr>
            <w:tcW w:w="0" w:type="auto"/>
            <w:tcBorders>
              <w:top w:val="nil"/>
              <w:left w:val="nil"/>
              <w:bottom w:val="single" w:sz="4" w:space="0" w:color="auto"/>
              <w:right w:val="single" w:sz="4" w:space="0" w:color="auto"/>
            </w:tcBorders>
            <w:shd w:val="clear" w:color="auto" w:fill="auto"/>
            <w:noWrap/>
            <w:vAlign w:val="bottom"/>
            <w:hideMark/>
          </w:tcPr>
          <w:p w14:paraId="17D26927"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165</w:t>
            </w:r>
          </w:p>
        </w:tc>
        <w:tc>
          <w:tcPr>
            <w:tcW w:w="0" w:type="auto"/>
            <w:tcBorders>
              <w:top w:val="nil"/>
              <w:left w:val="nil"/>
              <w:bottom w:val="single" w:sz="4" w:space="0" w:color="auto"/>
              <w:right w:val="single" w:sz="4" w:space="0" w:color="auto"/>
            </w:tcBorders>
            <w:shd w:val="clear" w:color="auto" w:fill="auto"/>
            <w:noWrap/>
            <w:vAlign w:val="bottom"/>
            <w:hideMark/>
          </w:tcPr>
          <w:p w14:paraId="7E18B523"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(91.7)</w:t>
            </w:r>
          </w:p>
        </w:tc>
        <w:tc>
          <w:tcPr>
            <w:tcW w:w="0" w:type="auto"/>
            <w:tcBorders>
              <w:top w:val="nil"/>
              <w:left w:val="nil"/>
              <w:bottom w:val="single" w:sz="4" w:space="0" w:color="auto"/>
              <w:right w:val="single" w:sz="4" w:space="0" w:color="auto"/>
            </w:tcBorders>
            <w:shd w:val="clear" w:color="auto" w:fill="auto"/>
            <w:noWrap/>
            <w:vAlign w:val="bottom"/>
            <w:hideMark/>
          </w:tcPr>
          <w:p w14:paraId="14E9F3DB"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11</w:t>
            </w:r>
          </w:p>
        </w:tc>
        <w:tc>
          <w:tcPr>
            <w:tcW w:w="0" w:type="auto"/>
            <w:tcBorders>
              <w:top w:val="nil"/>
              <w:left w:val="nil"/>
              <w:bottom w:val="single" w:sz="4" w:space="0" w:color="auto"/>
              <w:right w:val="single" w:sz="4" w:space="0" w:color="auto"/>
            </w:tcBorders>
            <w:shd w:val="clear" w:color="auto" w:fill="auto"/>
            <w:noWrap/>
            <w:vAlign w:val="bottom"/>
            <w:hideMark/>
          </w:tcPr>
          <w:p w14:paraId="6E3CE103"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(6.1)</w:t>
            </w:r>
          </w:p>
        </w:tc>
        <w:tc>
          <w:tcPr>
            <w:tcW w:w="0" w:type="auto"/>
            <w:tcBorders>
              <w:top w:val="nil"/>
              <w:left w:val="nil"/>
              <w:bottom w:val="single" w:sz="4" w:space="0" w:color="auto"/>
              <w:right w:val="single" w:sz="4" w:space="0" w:color="auto"/>
            </w:tcBorders>
            <w:shd w:val="clear" w:color="auto" w:fill="auto"/>
            <w:noWrap/>
            <w:vAlign w:val="bottom"/>
            <w:hideMark/>
          </w:tcPr>
          <w:p w14:paraId="309122BB"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4AEE367A"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2FACB84B"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1026E426"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3F0B438C"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12</w:t>
            </w:r>
          </w:p>
        </w:tc>
        <w:tc>
          <w:tcPr>
            <w:tcW w:w="0" w:type="auto"/>
            <w:tcBorders>
              <w:top w:val="nil"/>
              <w:left w:val="nil"/>
              <w:bottom w:val="single" w:sz="4" w:space="0" w:color="auto"/>
              <w:right w:val="single" w:sz="4" w:space="0" w:color="auto"/>
            </w:tcBorders>
            <w:shd w:val="clear" w:color="auto" w:fill="auto"/>
            <w:noWrap/>
            <w:vAlign w:val="bottom"/>
            <w:hideMark/>
          </w:tcPr>
          <w:p w14:paraId="2E2B1F1D"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(6.7)</w:t>
            </w:r>
          </w:p>
        </w:tc>
        <w:tc>
          <w:tcPr>
            <w:tcW w:w="0" w:type="auto"/>
            <w:tcBorders>
              <w:top w:val="nil"/>
              <w:left w:val="nil"/>
              <w:bottom w:val="single" w:sz="4" w:space="0" w:color="auto"/>
              <w:right w:val="single" w:sz="4" w:space="0" w:color="auto"/>
            </w:tcBorders>
            <w:shd w:val="clear" w:color="auto" w:fill="auto"/>
            <w:noWrap/>
            <w:vAlign w:val="bottom"/>
            <w:hideMark/>
          </w:tcPr>
          <w:p w14:paraId="4755596D"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305485C9"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359D4C08"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74%</w:t>
            </w:r>
          </w:p>
        </w:tc>
      </w:tr>
      <w:tr w:rsidR="0067156B" w:rsidRPr="00BA48F1" w14:paraId="61863EF3" w14:textId="77777777" w:rsidTr="0067156B">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2F8F56F"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ATTLEBORO</w:t>
            </w:r>
          </w:p>
        </w:tc>
        <w:tc>
          <w:tcPr>
            <w:tcW w:w="0" w:type="auto"/>
            <w:tcBorders>
              <w:top w:val="nil"/>
              <w:left w:val="nil"/>
              <w:bottom w:val="single" w:sz="4" w:space="0" w:color="auto"/>
              <w:right w:val="single" w:sz="4" w:space="0" w:color="auto"/>
            </w:tcBorders>
            <w:shd w:val="clear" w:color="auto" w:fill="auto"/>
            <w:noWrap/>
            <w:vAlign w:val="bottom"/>
            <w:hideMark/>
          </w:tcPr>
          <w:p w14:paraId="53ECA2ED"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1,871</w:t>
            </w:r>
          </w:p>
        </w:tc>
        <w:tc>
          <w:tcPr>
            <w:tcW w:w="0" w:type="auto"/>
            <w:tcBorders>
              <w:top w:val="nil"/>
              <w:left w:val="nil"/>
              <w:bottom w:val="single" w:sz="4" w:space="0" w:color="auto"/>
              <w:right w:val="single" w:sz="4" w:space="0" w:color="auto"/>
            </w:tcBorders>
            <w:shd w:val="clear" w:color="auto" w:fill="auto"/>
            <w:noWrap/>
            <w:vAlign w:val="bottom"/>
            <w:hideMark/>
          </w:tcPr>
          <w:p w14:paraId="383344D3"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1,149</w:t>
            </w:r>
          </w:p>
        </w:tc>
        <w:tc>
          <w:tcPr>
            <w:tcW w:w="0" w:type="auto"/>
            <w:tcBorders>
              <w:top w:val="nil"/>
              <w:left w:val="nil"/>
              <w:bottom w:val="single" w:sz="4" w:space="0" w:color="auto"/>
              <w:right w:val="single" w:sz="4" w:space="0" w:color="auto"/>
            </w:tcBorders>
            <w:shd w:val="clear" w:color="auto" w:fill="auto"/>
            <w:noWrap/>
            <w:vAlign w:val="bottom"/>
            <w:hideMark/>
          </w:tcPr>
          <w:p w14:paraId="21E42D9E"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61%</w:t>
            </w:r>
          </w:p>
        </w:tc>
        <w:tc>
          <w:tcPr>
            <w:tcW w:w="0" w:type="auto"/>
            <w:tcBorders>
              <w:top w:val="nil"/>
              <w:left w:val="nil"/>
              <w:bottom w:val="single" w:sz="4" w:space="0" w:color="auto"/>
              <w:right w:val="single" w:sz="4" w:space="0" w:color="auto"/>
            </w:tcBorders>
            <w:shd w:val="clear" w:color="auto" w:fill="auto"/>
            <w:noWrap/>
            <w:vAlign w:val="bottom"/>
            <w:hideMark/>
          </w:tcPr>
          <w:p w14:paraId="49B6CD81"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1,119</w:t>
            </w:r>
          </w:p>
        </w:tc>
        <w:tc>
          <w:tcPr>
            <w:tcW w:w="0" w:type="auto"/>
            <w:tcBorders>
              <w:top w:val="nil"/>
              <w:left w:val="nil"/>
              <w:bottom w:val="single" w:sz="4" w:space="0" w:color="auto"/>
              <w:right w:val="single" w:sz="4" w:space="0" w:color="auto"/>
            </w:tcBorders>
            <w:shd w:val="clear" w:color="auto" w:fill="auto"/>
            <w:noWrap/>
            <w:vAlign w:val="bottom"/>
            <w:hideMark/>
          </w:tcPr>
          <w:p w14:paraId="04F6B62B"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(97.4)</w:t>
            </w:r>
          </w:p>
        </w:tc>
        <w:tc>
          <w:tcPr>
            <w:tcW w:w="0" w:type="auto"/>
            <w:tcBorders>
              <w:top w:val="nil"/>
              <w:left w:val="nil"/>
              <w:bottom w:val="single" w:sz="4" w:space="0" w:color="auto"/>
              <w:right w:val="single" w:sz="4" w:space="0" w:color="auto"/>
            </w:tcBorders>
            <w:shd w:val="clear" w:color="auto" w:fill="auto"/>
            <w:noWrap/>
            <w:vAlign w:val="bottom"/>
            <w:hideMark/>
          </w:tcPr>
          <w:p w14:paraId="07B73D1B"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21</w:t>
            </w:r>
          </w:p>
        </w:tc>
        <w:tc>
          <w:tcPr>
            <w:tcW w:w="0" w:type="auto"/>
            <w:tcBorders>
              <w:top w:val="nil"/>
              <w:left w:val="nil"/>
              <w:bottom w:val="single" w:sz="4" w:space="0" w:color="auto"/>
              <w:right w:val="single" w:sz="4" w:space="0" w:color="auto"/>
            </w:tcBorders>
            <w:shd w:val="clear" w:color="auto" w:fill="auto"/>
            <w:noWrap/>
            <w:vAlign w:val="bottom"/>
            <w:hideMark/>
          </w:tcPr>
          <w:p w14:paraId="1BAFF21A"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(1.8)</w:t>
            </w:r>
          </w:p>
        </w:tc>
        <w:tc>
          <w:tcPr>
            <w:tcW w:w="0" w:type="auto"/>
            <w:tcBorders>
              <w:top w:val="nil"/>
              <w:left w:val="nil"/>
              <w:bottom w:val="single" w:sz="4" w:space="0" w:color="auto"/>
              <w:right w:val="single" w:sz="4" w:space="0" w:color="auto"/>
            </w:tcBorders>
            <w:shd w:val="clear" w:color="auto" w:fill="auto"/>
            <w:noWrap/>
            <w:vAlign w:val="bottom"/>
            <w:hideMark/>
          </w:tcPr>
          <w:p w14:paraId="47E79940"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9</w:t>
            </w:r>
          </w:p>
        </w:tc>
        <w:tc>
          <w:tcPr>
            <w:tcW w:w="0" w:type="auto"/>
            <w:tcBorders>
              <w:top w:val="nil"/>
              <w:left w:val="nil"/>
              <w:bottom w:val="single" w:sz="4" w:space="0" w:color="auto"/>
              <w:right w:val="single" w:sz="4" w:space="0" w:color="auto"/>
            </w:tcBorders>
            <w:shd w:val="clear" w:color="auto" w:fill="auto"/>
            <w:noWrap/>
            <w:vAlign w:val="bottom"/>
            <w:hideMark/>
          </w:tcPr>
          <w:p w14:paraId="1AEF02DF"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(0.8)</w:t>
            </w:r>
          </w:p>
        </w:tc>
        <w:tc>
          <w:tcPr>
            <w:tcW w:w="0" w:type="auto"/>
            <w:tcBorders>
              <w:top w:val="nil"/>
              <w:left w:val="nil"/>
              <w:bottom w:val="single" w:sz="4" w:space="0" w:color="auto"/>
              <w:right w:val="single" w:sz="4" w:space="0" w:color="auto"/>
            </w:tcBorders>
            <w:shd w:val="clear" w:color="auto" w:fill="auto"/>
            <w:noWrap/>
            <w:vAlign w:val="bottom"/>
            <w:hideMark/>
          </w:tcPr>
          <w:p w14:paraId="5E4DD796"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6B5486A2"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24BDD955"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22</w:t>
            </w:r>
          </w:p>
        </w:tc>
        <w:tc>
          <w:tcPr>
            <w:tcW w:w="0" w:type="auto"/>
            <w:tcBorders>
              <w:top w:val="nil"/>
              <w:left w:val="nil"/>
              <w:bottom w:val="single" w:sz="4" w:space="0" w:color="auto"/>
              <w:right w:val="single" w:sz="4" w:space="0" w:color="auto"/>
            </w:tcBorders>
            <w:shd w:val="clear" w:color="auto" w:fill="auto"/>
            <w:noWrap/>
            <w:vAlign w:val="bottom"/>
            <w:hideMark/>
          </w:tcPr>
          <w:p w14:paraId="22475BAF"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(1.9)</w:t>
            </w:r>
          </w:p>
        </w:tc>
        <w:tc>
          <w:tcPr>
            <w:tcW w:w="0" w:type="auto"/>
            <w:tcBorders>
              <w:top w:val="nil"/>
              <w:left w:val="nil"/>
              <w:bottom w:val="single" w:sz="4" w:space="0" w:color="auto"/>
              <w:right w:val="single" w:sz="4" w:space="0" w:color="auto"/>
            </w:tcBorders>
            <w:shd w:val="clear" w:color="auto" w:fill="auto"/>
            <w:noWrap/>
            <w:vAlign w:val="bottom"/>
            <w:hideMark/>
          </w:tcPr>
          <w:p w14:paraId="26951F31"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6</w:t>
            </w:r>
          </w:p>
        </w:tc>
        <w:tc>
          <w:tcPr>
            <w:tcW w:w="0" w:type="auto"/>
            <w:tcBorders>
              <w:top w:val="nil"/>
              <w:left w:val="nil"/>
              <w:bottom w:val="single" w:sz="4" w:space="0" w:color="auto"/>
              <w:right w:val="single" w:sz="4" w:space="0" w:color="auto"/>
            </w:tcBorders>
            <w:shd w:val="clear" w:color="auto" w:fill="auto"/>
            <w:noWrap/>
            <w:vAlign w:val="bottom"/>
            <w:hideMark/>
          </w:tcPr>
          <w:p w14:paraId="41DA73BE"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(0.5)</w:t>
            </w:r>
          </w:p>
        </w:tc>
        <w:tc>
          <w:tcPr>
            <w:tcW w:w="0" w:type="auto"/>
            <w:tcBorders>
              <w:top w:val="nil"/>
              <w:left w:val="nil"/>
              <w:bottom w:val="single" w:sz="4" w:space="0" w:color="auto"/>
              <w:right w:val="single" w:sz="4" w:space="0" w:color="auto"/>
            </w:tcBorders>
            <w:shd w:val="clear" w:color="auto" w:fill="auto"/>
            <w:noWrap/>
            <w:vAlign w:val="bottom"/>
            <w:hideMark/>
          </w:tcPr>
          <w:p w14:paraId="74970ACD"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62%</w:t>
            </w:r>
          </w:p>
        </w:tc>
      </w:tr>
      <w:tr w:rsidR="0067156B" w:rsidRPr="00BA48F1" w14:paraId="6EA8CECC" w14:textId="77777777" w:rsidTr="0067156B">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629E071"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AUBURN</w:t>
            </w:r>
          </w:p>
        </w:tc>
        <w:tc>
          <w:tcPr>
            <w:tcW w:w="0" w:type="auto"/>
            <w:tcBorders>
              <w:top w:val="nil"/>
              <w:left w:val="nil"/>
              <w:bottom w:val="single" w:sz="4" w:space="0" w:color="auto"/>
              <w:right w:val="single" w:sz="4" w:space="0" w:color="auto"/>
            </w:tcBorders>
            <w:shd w:val="clear" w:color="auto" w:fill="auto"/>
            <w:noWrap/>
            <w:vAlign w:val="bottom"/>
            <w:hideMark/>
          </w:tcPr>
          <w:p w14:paraId="3F944C08"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507</w:t>
            </w:r>
          </w:p>
        </w:tc>
        <w:tc>
          <w:tcPr>
            <w:tcW w:w="0" w:type="auto"/>
            <w:tcBorders>
              <w:top w:val="nil"/>
              <w:left w:val="nil"/>
              <w:bottom w:val="single" w:sz="4" w:space="0" w:color="auto"/>
              <w:right w:val="single" w:sz="4" w:space="0" w:color="auto"/>
            </w:tcBorders>
            <w:shd w:val="clear" w:color="auto" w:fill="auto"/>
            <w:noWrap/>
            <w:vAlign w:val="bottom"/>
            <w:hideMark/>
          </w:tcPr>
          <w:p w14:paraId="3735A7D9"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351</w:t>
            </w:r>
          </w:p>
        </w:tc>
        <w:tc>
          <w:tcPr>
            <w:tcW w:w="0" w:type="auto"/>
            <w:tcBorders>
              <w:top w:val="nil"/>
              <w:left w:val="nil"/>
              <w:bottom w:val="single" w:sz="4" w:space="0" w:color="auto"/>
              <w:right w:val="single" w:sz="4" w:space="0" w:color="auto"/>
            </w:tcBorders>
            <w:shd w:val="clear" w:color="auto" w:fill="auto"/>
            <w:noWrap/>
            <w:vAlign w:val="bottom"/>
            <w:hideMark/>
          </w:tcPr>
          <w:p w14:paraId="2074FA9D"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69%</w:t>
            </w:r>
          </w:p>
        </w:tc>
        <w:tc>
          <w:tcPr>
            <w:tcW w:w="0" w:type="auto"/>
            <w:tcBorders>
              <w:top w:val="nil"/>
              <w:left w:val="nil"/>
              <w:bottom w:val="single" w:sz="4" w:space="0" w:color="auto"/>
              <w:right w:val="single" w:sz="4" w:space="0" w:color="auto"/>
            </w:tcBorders>
            <w:shd w:val="clear" w:color="auto" w:fill="auto"/>
            <w:noWrap/>
            <w:vAlign w:val="bottom"/>
            <w:hideMark/>
          </w:tcPr>
          <w:p w14:paraId="42BF1727"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349</w:t>
            </w:r>
          </w:p>
        </w:tc>
        <w:tc>
          <w:tcPr>
            <w:tcW w:w="0" w:type="auto"/>
            <w:tcBorders>
              <w:top w:val="nil"/>
              <w:left w:val="nil"/>
              <w:bottom w:val="single" w:sz="4" w:space="0" w:color="auto"/>
              <w:right w:val="single" w:sz="4" w:space="0" w:color="auto"/>
            </w:tcBorders>
            <w:shd w:val="clear" w:color="auto" w:fill="auto"/>
            <w:noWrap/>
            <w:vAlign w:val="bottom"/>
            <w:hideMark/>
          </w:tcPr>
          <w:p w14:paraId="37E7FCE6"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(99.4)</w:t>
            </w:r>
          </w:p>
        </w:tc>
        <w:tc>
          <w:tcPr>
            <w:tcW w:w="0" w:type="auto"/>
            <w:tcBorders>
              <w:top w:val="nil"/>
              <w:left w:val="nil"/>
              <w:bottom w:val="single" w:sz="4" w:space="0" w:color="auto"/>
              <w:right w:val="single" w:sz="4" w:space="0" w:color="auto"/>
            </w:tcBorders>
            <w:shd w:val="clear" w:color="auto" w:fill="auto"/>
            <w:noWrap/>
            <w:vAlign w:val="bottom"/>
            <w:hideMark/>
          </w:tcPr>
          <w:p w14:paraId="59DDD334"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2DFC4EF4"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436DB10B"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622DDAFF"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143746F9"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27AA8C3C"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54D2A21A"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2FA1A426"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67232470"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4A39C656"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257AAF6E"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71%</w:t>
            </w:r>
          </w:p>
        </w:tc>
      </w:tr>
      <w:tr w:rsidR="0067156B" w:rsidRPr="00BA48F1" w14:paraId="5CB19683" w14:textId="77777777" w:rsidTr="0067156B">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D125F05"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AVON</w:t>
            </w:r>
          </w:p>
        </w:tc>
        <w:tc>
          <w:tcPr>
            <w:tcW w:w="0" w:type="auto"/>
            <w:tcBorders>
              <w:top w:val="nil"/>
              <w:left w:val="nil"/>
              <w:bottom w:val="single" w:sz="4" w:space="0" w:color="auto"/>
              <w:right w:val="single" w:sz="4" w:space="0" w:color="auto"/>
            </w:tcBorders>
            <w:shd w:val="clear" w:color="auto" w:fill="auto"/>
            <w:noWrap/>
            <w:vAlign w:val="bottom"/>
            <w:hideMark/>
          </w:tcPr>
          <w:p w14:paraId="24D426D9"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133</w:t>
            </w:r>
          </w:p>
        </w:tc>
        <w:tc>
          <w:tcPr>
            <w:tcW w:w="0" w:type="auto"/>
            <w:tcBorders>
              <w:top w:val="nil"/>
              <w:left w:val="nil"/>
              <w:bottom w:val="single" w:sz="4" w:space="0" w:color="auto"/>
              <w:right w:val="single" w:sz="4" w:space="0" w:color="auto"/>
            </w:tcBorders>
            <w:shd w:val="clear" w:color="auto" w:fill="auto"/>
            <w:noWrap/>
            <w:vAlign w:val="bottom"/>
            <w:hideMark/>
          </w:tcPr>
          <w:p w14:paraId="79E3191D"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116</w:t>
            </w:r>
          </w:p>
        </w:tc>
        <w:tc>
          <w:tcPr>
            <w:tcW w:w="0" w:type="auto"/>
            <w:tcBorders>
              <w:top w:val="nil"/>
              <w:left w:val="nil"/>
              <w:bottom w:val="single" w:sz="4" w:space="0" w:color="auto"/>
              <w:right w:val="single" w:sz="4" w:space="0" w:color="auto"/>
            </w:tcBorders>
            <w:shd w:val="clear" w:color="auto" w:fill="auto"/>
            <w:noWrap/>
            <w:vAlign w:val="bottom"/>
            <w:hideMark/>
          </w:tcPr>
          <w:p w14:paraId="184755EA"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87%</w:t>
            </w:r>
          </w:p>
        </w:tc>
        <w:tc>
          <w:tcPr>
            <w:tcW w:w="0" w:type="auto"/>
            <w:tcBorders>
              <w:top w:val="nil"/>
              <w:left w:val="nil"/>
              <w:bottom w:val="single" w:sz="4" w:space="0" w:color="auto"/>
              <w:right w:val="single" w:sz="4" w:space="0" w:color="auto"/>
            </w:tcBorders>
            <w:shd w:val="clear" w:color="auto" w:fill="auto"/>
            <w:noWrap/>
            <w:vAlign w:val="bottom"/>
            <w:hideMark/>
          </w:tcPr>
          <w:p w14:paraId="03B7A689"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115</w:t>
            </w:r>
          </w:p>
        </w:tc>
        <w:tc>
          <w:tcPr>
            <w:tcW w:w="0" w:type="auto"/>
            <w:tcBorders>
              <w:top w:val="nil"/>
              <w:left w:val="nil"/>
              <w:bottom w:val="single" w:sz="4" w:space="0" w:color="auto"/>
              <w:right w:val="single" w:sz="4" w:space="0" w:color="auto"/>
            </w:tcBorders>
            <w:shd w:val="clear" w:color="auto" w:fill="auto"/>
            <w:noWrap/>
            <w:vAlign w:val="bottom"/>
            <w:hideMark/>
          </w:tcPr>
          <w:p w14:paraId="377C95E9"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(99.1)</w:t>
            </w:r>
          </w:p>
        </w:tc>
        <w:tc>
          <w:tcPr>
            <w:tcW w:w="0" w:type="auto"/>
            <w:tcBorders>
              <w:top w:val="nil"/>
              <w:left w:val="nil"/>
              <w:bottom w:val="single" w:sz="4" w:space="0" w:color="auto"/>
              <w:right w:val="single" w:sz="4" w:space="0" w:color="auto"/>
            </w:tcBorders>
            <w:shd w:val="clear" w:color="auto" w:fill="auto"/>
            <w:noWrap/>
            <w:vAlign w:val="bottom"/>
            <w:hideMark/>
          </w:tcPr>
          <w:p w14:paraId="418FD1B4"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456CB9DC"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77231418"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17C6E17F"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43C57384"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08ED7981"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195B0895"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5464F0E1"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3F79BCC8"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3C4C24B7"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50295513"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89%</w:t>
            </w:r>
          </w:p>
        </w:tc>
      </w:tr>
      <w:tr w:rsidR="0067156B" w:rsidRPr="00BA48F1" w14:paraId="73F05746" w14:textId="77777777" w:rsidTr="0067156B">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3E80CEA"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AYER</w:t>
            </w:r>
          </w:p>
        </w:tc>
        <w:tc>
          <w:tcPr>
            <w:tcW w:w="0" w:type="auto"/>
            <w:tcBorders>
              <w:top w:val="nil"/>
              <w:left w:val="nil"/>
              <w:bottom w:val="single" w:sz="4" w:space="0" w:color="auto"/>
              <w:right w:val="single" w:sz="4" w:space="0" w:color="auto"/>
            </w:tcBorders>
            <w:shd w:val="clear" w:color="auto" w:fill="auto"/>
            <w:noWrap/>
            <w:vAlign w:val="bottom"/>
            <w:hideMark/>
          </w:tcPr>
          <w:p w14:paraId="18442103"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321</w:t>
            </w:r>
          </w:p>
        </w:tc>
        <w:tc>
          <w:tcPr>
            <w:tcW w:w="0" w:type="auto"/>
            <w:tcBorders>
              <w:top w:val="nil"/>
              <w:left w:val="nil"/>
              <w:bottom w:val="single" w:sz="4" w:space="0" w:color="auto"/>
              <w:right w:val="single" w:sz="4" w:space="0" w:color="auto"/>
            </w:tcBorders>
            <w:shd w:val="clear" w:color="auto" w:fill="auto"/>
            <w:noWrap/>
            <w:vAlign w:val="bottom"/>
            <w:hideMark/>
          </w:tcPr>
          <w:p w14:paraId="08B325D1"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212</w:t>
            </w:r>
          </w:p>
        </w:tc>
        <w:tc>
          <w:tcPr>
            <w:tcW w:w="0" w:type="auto"/>
            <w:tcBorders>
              <w:top w:val="nil"/>
              <w:left w:val="nil"/>
              <w:bottom w:val="single" w:sz="4" w:space="0" w:color="auto"/>
              <w:right w:val="single" w:sz="4" w:space="0" w:color="auto"/>
            </w:tcBorders>
            <w:shd w:val="clear" w:color="auto" w:fill="auto"/>
            <w:noWrap/>
            <w:vAlign w:val="bottom"/>
            <w:hideMark/>
          </w:tcPr>
          <w:p w14:paraId="5BBE7F77"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66%</w:t>
            </w:r>
          </w:p>
        </w:tc>
        <w:tc>
          <w:tcPr>
            <w:tcW w:w="0" w:type="auto"/>
            <w:tcBorders>
              <w:top w:val="nil"/>
              <w:left w:val="nil"/>
              <w:bottom w:val="single" w:sz="4" w:space="0" w:color="auto"/>
              <w:right w:val="single" w:sz="4" w:space="0" w:color="auto"/>
            </w:tcBorders>
            <w:shd w:val="clear" w:color="auto" w:fill="auto"/>
            <w:noWrap/>
            <w:vAlign w:val="bottom"/>
            <w:hideMark/>
          </w:tcPr>
          <w:p w14:paraId="362CEF71"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209</w:t>
            </w:r>
          </w:p>
        </w:tc>
        <w:tc>
          <w:tcPr>
            <w:tcW w:w="0" w:type="auto"/>
            <w:tcBorders>
              <w:top w:val="nil"/>
              <w:left w:val="nil"/>
              <w:bottom w:val="single" w:sz="4" w:space="0" w:color="auto"/>
              <w:right w:val="single" w:sz="4" w:space="0" w:color="auto"/>
            </w:tcBorders>
            <w:shd w:val="clear" w:color="auto" w:fill="auto"/>
            <w:noWrap/>
            <w:vAlign w:val="bottom"/>
            <w:hideMark/>
          </w:tcPr>
          <w:p w14:paraId="74EA9B83"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(98.6)</w:t>
            </w:r>
          </w:p>
        </w:tc>
        <w:tc>
          <w:tcPr>
            <w:tcW w:w="0" w:type="auto"/>
            <w:tcBorders>
              <w:top w:val="nil"/>
              <w:left w:val="nil"/>
              <w:bottom w:val="single" w:sz="4" w:space="0" w:color="auto"/>
              <w:right w:val="single" w:sz="4" w:space="0" w:color="auto"/>
            </w:tcBorders>
            <w:shd w:val="clear" w:color="auto" w:fill="auto"/>
            <w:noWrap/>
            <w:vAlign w:val="bottom"/>
            <w:hideMark/>
          </w:tcPr>
          <w:p w14:paraId="675CEC25"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72DC3582"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04FDB5EA"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143884E3"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574EB8C1"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0212981D"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1E623567"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38A771FC"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0ACC988E"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6605486A"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73B7F9A0"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58%</w:t>
            </w:r>
          </w:p>
        </w:tc>
      </w:tr>
      <w:tr w:rsidR="0067156B" w:rsidRPr="00BA48F1" w14:paraId="16CB3EC9" w14:textId="77777777" w:rsidTr="0067156B">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65104D9"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BARNSTABLE</w:t>
            </w:r>
          </w:p>
        </w:tc>
        <w:tc>
          <w:tcPr>
            <w:tcW w:w="0" w:type="auto"/>
            <w:tcBorders>
              <w:top w:val="nil"/>
              <w:left w:val="nil"/>
              <w:bottom w:val="single" w:sz="4" w:space="0" w:color="auto"/>
              <w:right w:val="single" w:sz="4" w:space="0" w:color="auto"/>
            </w:tcBorders>
            <w:shd w:val="clear" w:color="auto" w:fill="auto"/>
            <w:noWrap/>
            <w:vAlign w:val="bottom"/>
            <w:hideMark/>
          </w:tcPr>
          <w:p w14:paraId="4D33F2BD"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1,405</w:t>
            </w:r>
          </w:p>
        </w:tc>
        <w:tc>
          <w:tcPr>
            <w:tcW w:w="0" w:type="auto"/>
            <w:tcBorders>
              <w:top w:val="nil"/>
              <w:left w:val="nil"/>
              <w:bottom w:val="single" w:sz="4" w:space="0" w:color="auto"/>
              <w:right w:val="single" w:sz="4" w:space="0" w:color="auto"/>
            </w:tcBorders>
            <w:shd w:val="clear" w:color="auto" w:fill="auto"/>
            <w:noWrap/>
            <w:vAlign w:val="bottom"/>
            <w:hideMark/>
          </w:tcPr>
          <w:p w14:paraId="5CF42ACE"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915</w:t>
            </w:r>
          </w:p>
        </w:tc>
        <w:tc>
          <w:tcPr>
            <w:tcW w:w="0" w:type="auto"/>
            <w:tcBorders>
              <w:top w:val="nil"/>
              <w:left w:val="nil"/>
              <w:bottom w:val="single" w:sz="4" w:space="0" w:color="auto"/>
              <w:right w:val="single" w:sz="4" w:space="0" w:color="auto"/>
            </w:tcBorders>
            <w:shd w:val="clear" w:color="auto" w:fill="auto"/>
            <w:noWrap/>
            <w:vAlign w:val="bottom"/>
            <w:hideMark/>
          </w:tcPr>
          <w:p w14:paraId="1E1AFB20"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65%</w:t>
            </w:r>
          </w:p>
        </w:tc>
        <w:tc>
          <w:tcPr>
            <w:tcW w:w="0" w:type="auto"/>
            <w:tcBorders>
              <w:top w:val="nil"/>
              <w:left w:val="nil"/>
              <w:bottom w:val="single" w:sz="4" w:space="0" w:color="auto"/>
              <w:right w:val="single" w:sz="4" w:space="0" w:color="auto"/>
            </w:tcBorders>
            <w:shd w:val="clear" w:color="auto" w:fill="auto"/>
            <w:noWrap/>
            <w:vAlign w:val="bottom"/>
            <w:hideMark/>
          </w:tcPr>
          <w:p w14:paraId="0C20CFBF"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906</w:t>
            </w:r>
          </w:p>
        </w:tc>
        <w:tc>
          <w:tcPr>
            <w:tcW w:w="0" w:type="auto"/>
            <w:tcBorders>
              <w:top w:val="nil"/>
              <w:left w:val="nil"/>
              <w:bottom w:val="single" w:sz="4" w:space="0" w:color="auto"/>
              <w:right w:val="single" w:sz="4" w:space="0" w:color="auto"/>
            </w:tcBorders>
            <w:shd w:val="clear" w:color="auto" w:fill="auto"/>
            <w:noWrap/>
            <w:vAlign w:val="bottom"/>
            <w:hideMark/>
          </w:tcPr>
          <w:p w14:paraId="61CE930C"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(99.0)</w:t>
            </w:r>
          </w:p>
        </w:tc>
        <w:tc>
          <w:tcPr>
            <w:tcW w:w="0" w:type="auto"/>
            <w:tcBorders>
              <w:top w:val="nil"/>
              <w:left w:val="nil"/>
              <w:bottom w:val="single" w:sz="4" w:space="0" w:color="auto"/>
              <w:right w:val="single" w:sz="4" w:space="0" w:color="auto"/>
            </w:tcBorders>
            <w:shd w:val="clear" w:color="auto" w:fill="auto"/>
            <w:noWrap/>
            <w:vAlign w:val="bottom"/>
            <w:hideMark/>
          </w:tcPr>
          <w:p w14:paraId="4CEC2A32"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8</w:t>
            </w:r>
          </w:p>
        </w:tc>
        <w:tc>
          <w:tcPr>
            <w:tcW w:w="0" w:type="auto"/>
            <w:tcBorders>
              <w:top w:val="nil"/>
              <w:left w:val="nil"/>
              <w:bottom w:val="single" w:sz="4" w:space="0" w:color="auto"/>
              <w:right w:val="single" w:sz="4" w:space="0" w:color="auto"/>
            </w:tcBorders>
            <w:shd w:val="clear" w:color="auto" w:fill="auto"/>
            <w:noWrap/>
            <w:vAlign w:val="bottom"/>
            <w:hideMark/>
          </w:tcPr>
          <w:p w14:paraId="1B1B9D27"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(0.9)</w:t>
            </w:r>
          </w:p>
        </w:tc>
        <w:tc>
          <w:tcPr>
            <w:tcW w:w="0" w:type="auto"/>
            <w:tcBorders>
              <w:top w:val="nil"/>
              <w:left w:val="nil"/>
              <w:bottom w:val="single" w:sz="4" w:space="0" w:color="auto"/>
              <w:right w:val="single" w:sz="4" w:space="0" w:color="auto"/>
            </w:tcBorders>
            <w:shd w:val="clear" w:color="auto" w:fill="auto"/>
            <w:noWrap/>
            <w:vAlign w:val="bottom"/>
            <w:hideMark/>
          </w:tcPr>
          <w:p w14:paraId="0D68A49B"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027F9412"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73602E22"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4BD6C604"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09775502"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4204E121"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503D79B1"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617258CF"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7AC5F169"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56%</w:t>
            </w:r>
          </w:p>
        </w:tc>
      </w:tr>
      <w:tr w:rsidR="0067156B" w:rsidRPr="00BA48F1" w14:paraId="2BE05797" w14:textId="77777777" w:rsidTr="0067156B">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E345F64"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BARRE</w:t>
            </w:r>
          </w:p>
        </w:tc>
        <w:tc>
          <w:tcPr>
            <w:tcW w:w="0" w:type="auto"/>
            <w:tcBorders>
              <w:top w:val="nil"/>
              <w:left w:val="nil"/>
              <w:bottom w:val="single" w:sz="4" w:space="0" w:color="auto"/>
              <w:right w:val="single" w:sz="4" w:space="0" w:color="auto"/>
            </w:tcBorders>
            <w:shd w:val="clear" w:color="auto" w:fill="auto"/>
            <w:noWrap/>
            <w:vAlign w:val="bottom"/>
            <w:hideMark/>
          </w:tcPr>
          <w:p w14:paraId="0A3C45EA"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169</w:t>
            </w:r>
          </w:p>
        </w:tc>
        <w:tc>
          <w:tcPr>
            <w:tcW w:w="0" w:type="auto"/>
            <w:tcBorders>
              <w:top w:val="nil"/>
              <w:left w:val="nil"/>
              <w:bottom w:val="single" w:sz="4" w:space="0" w:color="auto"/>
              <w:right w:val="single" w:sz="4" w:space="0" w:color="auto"/>
            </w:tcBorders>
            <w:shd w:val="clear" w:color="auto" w:fill="auto"/>
            <w:noWrap/>
            <w:vAlign w:val="bottom"/>
            <w:hideMark/>
          </w:tcPr>
          <w:p w14:paraId="4552D988"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99</w:t>
            </w:r>
          </w:p>
        </w:tc>
        <w:tc>
          <w:tcPr>
            <w:tcW w:w="0" w:type="auto"/>
            <w:tcBorders>
              <w:top w:val="nil"/>
              <w:left w:val="nil"/>
              <w:bottom w:val="single" w:sz="4" w:space="0" w:color="auto"/>
              <w:right w:val="single" w:sz="4" w:space="0" w:color="auto"/>
            </w:tcBorders>
            <w:shd w:val="clear" w:color="auto" w:fill="auto"/>
            <w:noWrap/>
            <w:vAlign w:val="bottom"/>
            <w:hideMark/>
          </w:tcPr>
          <w:p w14:paraId="167000BD"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59%</w:t>
            </w:r>
          </w:p>
        </w:tc>
        <w:tc>
          <w:tcPr>
            <w:tcW w:w="0" w:type="auto"/>
            <w:tcBorders>
              <w:top w:val="nil"/>
              <w:left w:val="nil"/>
              <w:bottom w:val="single" w:sz="4" w:space="0" w:color="auto"/>
              <w:right w:val="single" w:sz="4" w:space="0" w:color="auto"/>
            </w:tcBorders>
            <w:shd w:val="clear" w:color="auto" w:fill="auto"/>
            <w:noWrap/>
            <w:vAlign w:val="bottom"/>
            <w:hideMark/>
          </w:tcPr>
          <w:p w14:paraId="61D90D54"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96</w:t>
            </w:r>
          </w:p>
        </w:tc>
        <w:tc>
          <w:tcPr>
            <w:tcW w:w="0" w:type="auto"/>
            <w:tcBorders>
              <w:top w:val="nil"/>
              <w:left w:val="nil"/>
              <w:bottom w:val="single" w:sz="4" w:space="0" w:color="auto"/>
              <w:right w:val="single" w:sz="4" w:space="0" w:color="auto"/>
            </w:tcBorders>
            <w:shd w:val="clear" w:color="auto" w:fill="auto"/>
            <w:noWrap/>
            <w:vAlign w:val="bottom"/>
            <w:hideMark/>
          </w:tcPr>
          <w:p w14:paraId="5EE131F8"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(97.0)</w:t>
            </w:r>
          </w:p>
        </w:tc>
        <w:tc>
          <w:tcPr>
            <w:tcW w:w="0" w:type="auto"/>
            <w:tcBorders>
              <w:top w:val="nil"/>
              <w:left w:val="nil"/>
              <w:bottom w:val="single" w:sz="4" w:space="0" w:color="auto"/>
              <w:right w:val="single" w:sz="4" w:space="0" w:color="auto"/>
            </w:tcBorders>
            <w:shd w:val="clear" w:color="auto" w:fill="auto"/>
            <w:noWrap/>
            <w:vAlign w:val="bottom"/>
            <w:hideMark/>
          </w:tcPr>
          <w:p w14:paraId="0046EADD"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3BACC5C0"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6E2B29B2"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08EB7CD1"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4D2007CF"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60D87EA4"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6C7F4FBD"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6B22F0A8"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3677458F"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18B4416A"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563E3767"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60%</w:t>
            </w:r>
          </w:p>
        </w:tc>
      </w:tr>
      <w:tr w:rsidR="0067156B" w:rsidRPr="00BA48F1" w14:paraId="5D58CC34" w14:textId="77777777" w:rsidTr="0067156B">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88D0848"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BECKET</w:t>
            </w:r>
          </w:p>
        </w:tc>
        <w:tc>
          <w:tcPr>
            <w:tcW w:w="0" w:type="auto"/>
            <w:tcBorders>
              <w:top w:val="nil"/>
              <w:left w:val="nil"/>
              <w:bottom w:val="single" w:sz="4" w:space="0" w:color="auto"/>
              <w:right w:val="single" w:sz="4" w:space="0" w:color="auto"/>
            </w:tcBorders>
            <w:shd w:val="clear" w:color="auto" w:fill="auto"/>
            <w:noWrap/>
            <w:vAlign w:val="bottom"/>
            <w:hideMark/>
          </w:tcPr>
          <w:p w14:paraId="3583967C"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43</w:t>
            </w:r>
          </w:p>
        </w:tc>
        <w:tc>
          <w:tcPr>
            <w:tcW w:w="0" w:type="auto"/>
            <w:tcBorders>
              <w:top w:val="nil"/>
              <w:left w:val="nil"/>
              <w:bottom w:val="single" w:sz="4" w:space="0" w:color="auto"/>
              <w:right w:val="single" w:sz="4" w:space="0" w:color="auto"/>
            </w:tcBorders>
            <w:shd w:val="clear" w:color="auto" w:fill="auto"/>
            <w:noWrap/>
            <w:vAlign w:val="bottom"/>
            <w:hideMark/>
          </w:tcPr>
          <w:p w14:paraId="1430F535"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24</w:t>
            </w:r>
          </w:p>
        </w:tc>
        <w:tc>
          <w:tcPr>
            <w:tcW w:w="0" w:type="auto"/>
            <w:tcBorders>
              <w:top w:val="nil"/>
              <w:left w:val="nil"/>
              <w:bottom w:val="single" w:sz="4" w:space="0" w:color="auto"/>
              <w:right w:val="single" w:sz="4" w:space="0" w:color="auto"/>
            </w:tcBorders>
            <w:shd w:val="clear" w:color="auto" w:fill="auto"/>
            <w:noWrap/>
            <w:vAlign w:val="bottom"/>
            <w:hideMark/>
          </w:tcPr>
          <w:p w14:paraId="353BA3C8"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56%</w:t>
            </w:r>
          </w:p>
        </w:tc>
        <w:tc>
          <w:tcPr>
            <w:tcW w:w="0" w:type="auto"/>
            <w:tcBorders>
              <w:top w:val="nil"/>
              <w:left w:val="nil"/>
              <w:bottom w:val="single" w:sz="4" w:space="0" w:color="auto"/>
              <w:right w:val="single" w:sz="4" w:space="0" w:color="auto"/>
            </w:tcBorders>
            <w:shd w:val="clear" w:color="auto" w:fill="auto"/>
            <w:noWrap/>
            <w:vAlign w:val="bottom"/>
            <w:hideMark/>
          </w:tcPr>
          <w:p w14:paraId="4C070BF8"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24</w:t>
            </w:r>
          </w:p>
        </w:tc>
        <w:tc>
          <w:tcPr>
            <w:tcW w:w="0" w:type="auto"/>
            <w:tcBorders>
              <w:top w:val="nil"/>
              <w:left w:val="nil"/>
              <w:bottom w:val="single" w:sz="4" w:space="0" w:color="auto"/>
              <w:right w:val="single" w:sz="4" w:space="0" w:color="auto"/>
            </w:tcBorders>
            <w:shd w:val="clear" w:color="auto" w:fill="auto"/>
            <w:noWrap/>
            <w:vAlign w:val="bottom"/>
            <w:hideMark/>
          </w:tcPr>
          <w:p w14:paraId="4562FA8A"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(100.0)</w:t>
            </w:r>
          </w:p>
        </w:tc>
        <w:tc>
          <w:tcPr>
            <w:tcW w:w="0" w:type="auto"/>
            <w:tcBorders>
              <w:top w:val="nil"/>
              <w:left w:val="nil"/>
              <w:bottom w:val="single" w:sz="4" w:space="0" w:color="auto"/>
              <w:right w:val="single" w:sz="4" w:space="0" w:color="auto"/>
            </w:tcBorders>
            <w:shd w:val="clear" w:color="auto" w:fill="auto"/>
            <w:noWrap/>
            <w:vAlign w:val="bottom"/>
            <w:hideMark/>
          </w:tcPr>
          <w:p w14:paraId="01326AFC"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063EF9C7"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3900EB8F"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7359AEFC"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529AF8ED"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1E4C6DD9"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751ED7D3"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3B4AAA1F"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3A6D3377"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0A5C2BA8"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0D039431"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52%</w:t>
            </w:r>
          </w:p>
        </w:tc>
      </w:tr>
      <w:tr w:rsidR="0067156B" w:rsidRPr="00BA48F1" w14:paraId="725FF342" w14:textId="77777777" w:rsidTr="0067156B">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29ECDC5"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BEDFORD</w:t>
            </w:r>
          </w:p>
        </w:tc>
        <w:tc>
          <w:tcPr>
            <w:tcW w:w="0" w:type="auto"/>
            <w:tcBorders>
              <w:top w:val="nil"/>
              <w:left w:val="nil"/>
              <w:bottom w:val="single" w:sz="4" w:space="0" w:color="auto"/>
              <w:right w:val="single" w:sz="4" w:space="0" w:color="auto"/>
            </w:tcBorders>
            <w:shd w:val="clear" w:color="auto" w:fill="auto"/>
            <w:noWrap/>
            <w:vAlign w:val="bottom"/>
            <w:hideMark/>
          </w:tcPr>
          <w:p w14:paraId="1148C11B"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547</w:t>
            </w:r>
          </w:p>
        </w:tc>
        <w:tc>
          <w:tcPr>
            <w:tcW w:w="0" w:type="auto"/>
            <w:tcBorders>
              <w:top w:val="nil"/>
              <w:left w:val="nil"/>
              <w:bottom w:val="single" w:sz="4" w:space="0" w:color="auto"/>
              <w:right w:val="single" w:sz="4" w:space="0" w:color="auto"/>
            </w:tcBorders>
            <w:shd w:val="clear" w:color="auto" w:fill="auto"/>
            <w:noWrap/>
            <w:vAlign w:val="bottom"/>
            <w:hideMark/>
          </w:tcPr>
          <w:p w14:paraId="2F24E7AD"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247</w:t>
            </w:r>
          </w:p>
        </w:tc>
        <w:tc>
          <w:tcPr>
            <w:tcW w:w="0" w:type="auto"/>
            <w:tcBorders>
              <w:top w:val="nil"/>
              <w:left w:val="nil"/>
              <w:bottom w:val="single" w:sz="4" w:space="0" w:color="auto"/>
              <w:right w:val="single" w:sz="4" w:space="0" w:color="auto"/>
            </w:tcBorders>
            <w:shd w:val="clear" w:color="auto" w:fill="auto"/>
            <w:noWrap/>
            <w:vAlign w:val="bottom"/>
            <w:hideMark/>
          </w:tcPr>
          <w:p w14:paraId="35D89A89"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45%</w:t>
            </w:r>
          </w:p>
        </w:tc>
        <w:tc>
          <w:tcPr>
            <w:tcW w:w="0" w:type="auto"/>
            <w:tcBorders>
              <w:top w:val="nil"/>
              <w:left w:val="nil"/>
              <w:bottom w:val="single" w:sz="4" w:space="0" w:color="auto"/>
              <w:right w:val="single" w:sz="4" w:space="0" w:color="auto"/>
            </w:tcBorders>
            <w:shd w:val="clear" w:color="auto" w:fill="auto"/>
            <w:noWrap/>
            <w:vAlign w:val="bottom"/>
            <w:hideMark/>
          </w:tcPr>
          <w:p w14:paraId="51AD4692"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245</w:t>
            </w:r>
          </w:p>
        </w:tc>
        <w:tc>
          <w:tcPr>
            <w:tcW w:w="0" w:type="auto"/>
            <w:tcBorders>
              <w:top w:val="nil"/>
              <w:left w:val="nil"/>
              <w:bottom w:val="single" w:sz="4" w:space="0" w:color="auto"/>
              <w:right w:val="single" w:sz="4" w:space="0" w:color="auto"/>
            </w:tcBorders>
            <w:shd w:val="clear" w:color="auto" w:fill="auto"/>
            <w:noWrap/>
            <w:vAlign w:val="bottom"/>
            <w:hideMark/>
          </w:tcPr>
          <w:p w14:paraId="7F792FD8"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(99.2)</w:t>
            </w:r>
          </w:p>
        </w:tc>
        <w:tc>
          <w:tcPr>
            <w:tcW w:w="0" w:type="auto"/>
            <w:tcBorders>
              <w:top w:val="nil"/>
              <w:left w:val="nil"/>
              <w:bottom w:val="single" w:sz="4" w:space="0" w:color="auto"/>
              <w:right w:val="single" w:sz="4" w:space="0" w:color="auto"/>
            </w:tcBorders>
            <w:shd w:val="clear" w:color="auto" w:fill="auto"/>
            <w:noWrap/>
            <w:vAlign w:val="bottom"/>
            <w:hideMark/>
          </w:tcPr>
          <w:p w14:paraId="672D6561"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53973A71"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6BA9D2B8"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6D05DC98"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14ECA7E3"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55F15BE5"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275F5562"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0F5B4761"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3BCDFF3F"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68C5F7C4"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0DBEF8EA"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60%</w:t>
            </w:r>
          </w:p>
        </w:tc>
      </w:tr>
      <w:tr w:rsidR="0067156B" w:rsidRPr="00BA48F1" w14:paraId="15D29316" w14:textId="77777777" w:rsidTr="0067156B">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6042B67"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BELCHERTOWN</w:t>
            </w:r>
          </w:p>
        </w:tc>
        <w:tc>
          <w:tcPr>
            <w:tcW w:w="0" w:type="auto"/>
            <w:tcBorders>
              <w:top w:val="nil"/>
              <w:left w:val="nil"/>
              <w:bottom w:val="single" w:sz="4" w:space="0" w:color="auto"/>
              <w:right w:val="single" w:sz="4" w:space="0" w:color="auto"/>
            </w:tcBorders>
            <w:shd w:val="clear" w:color="auto" w:fill="auto"/>
            <w:noWrap/>
            <w:vAlign w:val="bottom"/>
            <w:hideMark/>
          </w:tcPr>
          <w:p w14:paraId="4901F525"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492</w:t>
            </w:r>
          </w:p>
        </w:tc>
        <w:tc>
          <w:tcPr>
            <w:tcW w:w="0" w:type="auto"/>
            <w:tcBorders>
              <w:top w:val="nil"/>
              <w:left w:val="nil"/>
              <w:bottom w:val="single" w:sz="4" w:space="0" w:color="auto"/>
              <w:right w:val="single" w:sz="4" w:space="0" w:color="auto"/>
            </w:tcBorders>
            <w:shd w:val="clear" w:color="auto" w:fill="auto"/>
            <w:noWrap/>
            <w:vAlign w:val="bottom"/>
            <w:hideMark/>
          </w:tcPr>
          <w:p w14:paraId="6B266767"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281</w:t>
            </w:r>
          </w:p>
        </w:tc>
        <w:tc>
          <w:tcPr>
            <w:tcW w:w="0" w:type="auto"/>
            <w:tcBorders>
              <w:top w:val="nil"/>
              <w:left w:val="nil"/>
              <w:bottom w:val="single" w:sz="4" w:space="0" w:color="auto"/>
              <w:right w:val="single" w:sz="4" w:space="0" w:color="auto"/>
            </w:tcBorders>
            <w:shd w:val="clear" w:color="auto" w:fill="auto"/>
            <w:noWrap/>
            <w:vAlign w:val="bottom"/>
            <w:hideMark/>
          </w:tcPr>
          <w:p w14:paraId="3B59C7E4"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57%</w:t>
            </w:r>
          </w:p>
        </w:tc>
        <w:tc>
          <w:tcPr>
            <w:tcW w:w="0" w:type="auto"/>
            <w:tcBorders>
              <w:top w:val="nil"/>
              <w:left w:val="nil"/>
              <w:bottom w:val="single" w:sz="4" w:space="0" w:color="auto"/>
              <w:right w:val="single" w:sz="4" w:space="0" w:color="auto"/>
            </w:tcBorders>
            <w:shd w:val="clear" w:color="auto" w:fill="auto"/>
            <w:noWrap/>
            <w:vAlign w:val="bottom"/>
            <w:hideMark/>
          </w:tcPr>
          <w:p w14:paraId="7E5637D6"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272</w:t>
            </w:r>
          </w:p>
        </w:tc>
        <w:tc>
          <w:tcPr>
            <w:tcW w:w="0" w:type="auto"/>
            <w:tcBorders>
              <w:top w:val="nil"/>
              <w:left w:val="nil"/>
              <w:bottom w:val="single" w:sz="4" w:space="0" w:color="auto"/>
              <w:right w:val="single" w:sz="4" w:space="0" w:color="auto"/>
            </w:tcBorders>
            <w:shd w:val="clear" w:color="auto" w:fill="auto"/>
            <w:noWrap/>
            <w:vAlign w:val="bottom"/>
            <w:hideMark/>
          </w:tcPr>
          <w:p w14:paraId="4CA90DEB"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(96.8)</w:t>
            </w:r>
          </w:p>
        </w:tc>
        <w:tc>
          <w:tcPr>
            <w:tcW w:w="0" w:type="auto"/>
            <w:tcBorders>
              <w:top w:val="nil"/>
              <w:left w:val="nil"/>
              <w:bottom w:val="single" w:sz="4" w:space="0" w:color="auto"/>
              <w:right w:val="single" w:sz="4" w:space="0" w:color="auto"/>
            </w:tcBorders>
            <w:shd w:val="clear" w:color="auto" w:fill="auto"/>
            <w:noWrap/>
            <w:vAlign w:val="bottom"/>
            <w:hideMark/>
          </w:tcPr>
          <w:p w14:paraId="0C87CFE8"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8</w:t>
            </w:r>
          </w:p>
        </w:tc>
        <w:tc>
          <w:tcPr>
            <w:tcW w:w="0" w:type="auto"/>
            <w:tcBorders>
              <w:top w:val="nil"/>
              <w:left w:val="nil"/>
              <w:bottom w:val="single" w:sz="4" w:space="0" w:color="auto"/>
              <w:right w:val="single" w:sz="4" w:space="0" w:color="auto"/>
            </w:tcBorders>
            <w:shd w:val="clear" w:color="auto" w:fill="auto"/>
            <w:noWrap/>
            <w:vAlign w:val="bottom"/>
            <w:hideMark/>
          </w:tcPr>
          <w:p w14:paraId="513FC176"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(2.8)</w:t>
            </w:r>
          </w:p>
        </w:tc>
        <w:tc>
          <w:tcPr>
            <w:tcW w:w="0" w:type="auto"/>
            <w:tcBorders>
              <w:top w:val="nil"/>
              <w:left w:val="nil"/>
              <w:bottom w:val="single" w:sz="4" w:space="0" w:color="auto"/>
              <w:right w:val="single" w:sz="4" w:space="0" w:color="auto"/>
            </w:tcBorders>
            <w:shd w:val="clear" w:color="auto" w:fill="auto"/>
            <w:noWrap/>
            <w:vAlign w:val="bottom"/>
            <w:hideMark/>
          </w:tcPr>
          <w:p w14:paraId="15ED9EF7"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57F82E10"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670C0ED3"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54A1ADE3"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5998B342"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5221C3FE"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7468B904"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708ED52C"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3294E99A"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39%</w:t>
            </w:r>
          </w:p>
        </w:tc>
      </w:tr>
      <w:tr w:rsidR="0067156B" w:rsidRPr="00BA48F1" w14:paraId="151CF72B" w14:textId="77777777" w:rsidTr="0067156B">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A617A2C"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BELLINGHAM</w:t>
            </w:r>
          </w:p>
        </w:tc>
        <w:tc>
          <w:tcPr>
            <w:tcW w:w="0" w:type="auto"/>
            <w:tcBorders>
              <w:top w:val="nil"/>
              <w:left w:val="nil"/>
              <w:bottom w:val="single" w:sz="4" w:space="0" w:color="auto"/>
              <w:right w:val="single" w:sz="4" w:space="0" w:color="auto"/>
            </w:tcBorders>
            <w:shd w:val="clear" w:color="auto" w:fill="auto"/>
            <w:noWrap/>
            <w:vAlign w:val="bottom"/>
            <w:hideMark/>
          </w:tcPr>
          <w:p w14:paraId="1898D941"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760</w:t>
            </w:r>
          </w:p>
        </w:tc>
        <w:tc>
          <w:tcPr>
            <w:tcW w:w="0" w:type="auto"/>
            <w:tcBorders>
              <w:top w:val="nil"/>
              <w:left w:val="nil"/>
              <w:bottom w:val="single" w:sz="4" w:space="0" w:color="auto"/>
              <w:right w:val="single" w:sz="4" w:space="0" w:color="auto"/>
            </w:tcBorders>
            <w:shd w:val="clear" w:color="auto" w:fill="auto"/>
            <w:noWrap/>
            <w:vAlign w:val="bottom"/>
            <w:hideMark/>
          </w:tcPr>
          <w:p w14:paraId="3AD36256"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294</w:t>
            </w:r>
          </w:p>
        </w:tc>
        <w:tc>
          <w:tcPr>
            <w:tcW w:w="0" w:type="auto"/>
            <w:tcBorders>
              <w:top w:val="nil"/>
              <w:left w:val="nil"/>
              <w:bottom w:val="single" w:sz="4" w:space="0" w:color="auto"/>
              <w:right w:val="single" w:sz="4" w:space="0" w:color="auto"/>
            </w:tcBorders>
            <w:shd w:val="clear" w:color="auto" w:fill="auto"/>
            <w:noWrap/>
            <w:vAlign w:val="bottom"/>
            <w:hideMark/>
          </w:tcPr>
          <w:p w14:paraId="5A706145"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39%</w:t>
            </w:r>
          </w:p>
        </w:tc>
        <w:tc>
          <w:tcPr>
            <w:tcW w:w="0" w:type="auto"/>
            <w:tcBorders>
              <w:top w:val="nil"/>
              <w:left w:val="nil"/>
              <w:bottom w:val="single" w:sz="4" w:space="0" w:color="auto"/>
              <w:right w:val="single" w:sz="4" w:space="0" w:color="auto"/>
            </w:tcBorders>
            <w:shd w:val="clear" w:color="auto" w:fill="auto"/>
            <w:noWrap/>
            <w:vAlign w:val="bottom"/>
            <w:hideMark/>
          </w:tcPr>
          <w:p w14:paraId="245080B7"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292</w:t>
            </w:r>
          </w:p>
        </w:tc>
        <w:tc>
          <w:tcPr>
            <w:tcW w:w="0" w:type="auto"/>
            <w:tcBorders>
              <w:top w:val="nil"/>
              <w:left w:val="nil"/>
              <w:bottom w:val="single" w:sz="4" w:space="0" w:color="auto"/>
              <w:right w:val="single" w:sz="4" w:space="0" w:color="auto"/>
            </w:tcBorders>
            <w:shd w:val="clear" w:color="auto" w:fill="auto"/>
            <w:noWrap/>
            <w:vAlign w:val="bottom"/>
            <w:hideMark/>
          </w:tcPr>
          <w:p w14:paraId="3F66AE7E"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(99.3)</w:t>
            </w:r>
          </w:p>
        </w:tc>
        <w:tc>
          <w:tcPr>
            <w:tcW w:w="0" w:type="auto"/>
            <w:tcBorders>
              <w:top w:val="nil"/>
              <w:left w:val="nil"/>
              <w:bottom w:val="single" w:sz="4" w:space="0" w:color="auto"/>
              <w:right w:val="single" w:sz="4" w:space="0" w:color="auto"/>
            </w:tcBorders>
            <w:shd w:val="clear" w:color="auto" w:fill="auto"/>
            <w:noWrap/>
            <w:vAlign w:val="bottom"/>
            <w:hideMark/>
          </w:tcPr>
          <w:p w14:paraId="6140F296"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13A74407"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12E98ABA"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247BAE4E"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37DAAAAC"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5AD25522"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5218F296"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221F3A4A"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230BDB89"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18F1E885"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1371F050"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63%</w:t>
            </w:r>
          </w:p>
        </w:tc>
      </w:tr>
      <w:tr w:rsidR="0067156B" w:rsidRPr="00BA48F1" w14:paraId="5CA0E8FD" w14:textId="77777777" w:rsidTr="0067156B">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342F8C0"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BELMONT</w:t>
            </w:r>
          </w:p>
        </w:tc>
        <w:tc>
          <w:tcPr>
            <w:tcW w:w="0" w:type="auto"/>
            <w:tcBorders>
              <w:top w:val="nil"/>
              <w:left w:val="nil"/>
              <w:bottom w:val="single" w:sz="4" w:space="0" w:color="auto"/>
              <w:right w:val="single" w:sz="4" w:space="0" w:color="auto"/>
            </w:tcBorders>
            <w:shd w:val="clear" w:color="auto" w:fill="auto"/>
            <w:noWrap/>
            <w:vAlign w:val="bottom"/>
            <w:hideMark/>
          </w:tcPr>
          <w:p w14:paraId="0B4DA636"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1,093</w:t>
            </w:r>
          </w:p>
        </w:tc>
        <w:tc>
          <w:tcPr>
            <w:tcW w:w="0" w:type="auto"/>
            <w:tcBorders>
              <w:top w:val="nil"/>
              <w:left w:val="nil"/>
              <w:bottom w:val="single" w:sz="4" w:space="0" w:color="auto"/>
              <w:right w:val="single" w:sz="4" w:space="0" w:color="auto"/>
            </w:tcBorders>
            <w:shd w:val="clear" w:color="auto" w:fill="auto"/>
            <w:noWrap/>
            <w:vAlign w:val="bottom"/>
            <w:hideMark/>
          </w:tcPr>
          <w:p w14:paraId="3CEE0B88"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509</w:t>
            </w:r>
          </w:p>
        </w:tc>
        <w:tc>
          <w:tcPr>
            <w:tcW w:w="0" w:type="auto"/>
            <w:tcBorders>
              <w:top w:val="nil"/>
              <w:left w:val="nil"/>
              <w:bottom w:val="single" w:sz="4" w:space="0" w:color="auto"/>
              <w:right w:val="single" w:sz="4" w:space="0" w:color="auto"/>
            </w:tcBorders>
            <w:shd w:val="clear" w:color="auto" w:fill="auto"/>
            <w:noWrap/>
            <w:vAlign w:val="bottom"/>
            <w:hideMark/>
          </w:tcPr>
          <w:p w14:paraId="133D36CD"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47%</w:t>
            </w:r>
          </w:p>
        </w:tc>
        <w:tc>
          <w:tcPr>
            <w:tcW w:w="0" w:type="auto"/>
            <w:tcBorders>
              <w:top w:val="nil"/>
              <w:left w:val="nil"/>
              <w:bottom w:val="single" w:sz="4" w:space="0" w:color="auto"/>
              <w:right w:val="single" w:sz="4" w:space="0" w:color="auto"/>
            </w:tcBorders>
            <w:shd w:val="clear" w:color="auto" w:fill="auto"/>
            <w:noWrap/>
            <w:vAlign w:val="bottom"/>
            <w:hideMark/>
          </w:tcPr>
          <w:p w14:paraId="2E6C1A82"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502</w:t>
            </w:r>
          </w:p>
        </w:tc>
        <w:tc>
          <w:tcPr>
            <w:tcW w:w="0" w:type="auto"/>
            <w:tcBorders>
              <w:top w:val="nil"/>
              <w:left w:val="nil"/>
              <w:bottom w:val="single" w:sz="4" w:space="0" w:color="auto"/>
              <w:right w:val="single" w:sz="4" w:space="0" w:color="auto"/>
            </w:tcBorders>
            <w:shd w:val="clear" w:color="auto" w:fill="auto"/>
            <w:noWrap/>
            <w:vAlign w:val="bottom"/>
            <w:hideMark/>
          </w:tcPr>
          <w:p w14:paraId="0441C45F"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(98.6)</w:t>
            </w:r>
          </w:p>
        </w:tc>
        <w:tc>
          <w:tcPr>
            <w:tcW w:w="0" w:type="auto"/>
            <w:tcBorders>
              <w:top w:val="nil"/>
              <w:left w:val="nil"/>
              <w:bottom w:val="single" w:sz="4" w:space="0" w:color="auto"/>
              <w:right w:val="single" w:sz="4" w:space="0" w:color="auto"/>
            </w:tcBorders>
            <w:shd w:val="clear" w:color="auto" w:fill="auto"/>
            <w:noWrap/>
            <w:vAlign w:val="bottom"/>
            <w:hideMark/>
          </w:tcPr>
          <w:p w14:paraId="6A172D80"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7</w:t>
            </w:r>
          </w:p>
        </w:tc>
        <w:tc>
          <w:tcPr>
            <w:tcW w:w="0" w:type="auto"/>
            <w:tcBorders>
              <w:top w:val="nil"/>
              <w:left w:val="nil"/>
              <w:bottom w:val="single" w:sz="4" w:space="0" w:color="auto"/>
              <w:right w:val="single" w:sz="4" w:space="0" w:color="auto"/>
            </w:tcBorders>
            <w:shd w:val="clear" w:color="auto" w:fill="auto"/>
            <w:noWrap/>
            <w:vAlign w:val="bottom"/>
            <w:hideMark/>
          </w:tcPr>
          <w:p w14:paraId="16398229"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(1.4)</w:t>
            </w:r>
          </w:p>
        </w:tc>
        <w:tc>
          <w:tcPr>
            <w:tcW w:w="0" w:type="auto"/>
            <w:tcBorders>
              <w:top w:val="nil"/>
              <w:left w:val="nil"/>
              <w:bottom w:val="single" w:sz="4" w:space="0" w:color="auto"/>
              <w:right w:val="single" w:sz="4" w:space="0" w:color="auto"/>
            </w:tcBorders>
            <w:shd w:val="clear" w:color="auto" w:fill="auto"/>
            <w:noWrap/>
            <w:vAlign w:val="bottom"/>
            <w:hideMark/>
          </w:tcPr>
          <w:p w14:paraId="37431FA2"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2521614B"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0C9E531D"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30E74359"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330F6F92"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7237FD64"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6900DEDC"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61728FBC"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03011C22"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89%</w:t>
            </w:r>
          </w:p>
        </w:tc>
      </w:tr>
      <w:tr w:rsidR="0067156B" w:rsidRPr="00BA48F1" w14:paraId="03241BA0" w14:textId="77777777" w:rsidTr="0067156B">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4172B4C"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BERKLEY</w:t>
            </w:r>
          </w:p>
        </w:tc>
        <w:tc>
          <w:tcPr>
            <w:tcW w:w="0" w:type="auto"/>
            <w:tcBorders>
              <w:top w:val="nil"/>
              <w:left w:val="nil"/>
              <w:bottom w:val="single" w:sz="4" w:space="0" w:color="auto"/>
              <w:right w:val="single" w:sz="4" w:space="0" w:color="auto"/>
            </w:tcBorders>
            <w:shd w:val="clear" w:color="auto" w:fill="auto"/>
            <w:noWrap/>
            <w:vAlign w:val="bottom"/>
            <w:hideMark/>
          </w:tcPr>
          <w:p w14:paraId="27E4D6FB"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195</w:t>
            </w:r>
          </w:p>
        </w:tc>
        <w:tc>
          <w:tcPr>
            <w:tcW w:w="0" w:type="auto"/>
            <w:tcBorders>
              <w:top w:val="nil"/>
              <w:left w:val="nil"/>
              <w:bottom w:val="single" w:sz="4" w:space="0" w:color="auto"/>
              <w:right w:val="single" w:sz="4" w:space="0" w:color="auto"/>
            </w:tcBorders>
            <w:shd w:val="clear" w:color="auto" w:fill="auto"/>
            <w:noWrap/>
            <w:vAlign w:val="bottom"/>
            <w:hideMark/>
          </w:tcPr>
          <w:p w14:paraId="111822E5"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141</w:t>
            </w:r>
          </w:p>
        </w:tc>
        <w:tc>
          <w:tcPr>
            <w:tcW w:w="0" w:type="auto"/>
            <w:tcBorders>
              <w:top w:val="nil"/>
              <w:left w:val="nil"/>
              <w:bottom w:val="single" w:sz="4" w:space="0" w:color="auto"/>
              <w:right w:val="single" w:sz="4" w:space="0" w:color="auto"/>
            </w:tcBorders>
            <w:shd w:val="clear" w:color="auto" w:fill="auto"/>
            <w:noWrap/>
            <w:vAlign w:val="bottom"/>
            <w:hideMark/>
          </w:tcPr>
          <w:p w14:paraId="65FF5825"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72%</w:t>
            </w:r>
          </w:p>
        </w:tc>
        <w:tc>
          <w:tcPr>
            <w:tcW w:w="0" w:type="auto"/>
            <w:tcBorders>
              <w:top w:val="nil"/>
              <w:left w:val="nil"/>
              <w:bottom w:val="single" w:sz="4" w:space="0" w:color="auto"/>
              <w:right w:val="single" w:sz="4" w:space="0" w:color="auto"/>
            </w:tcBorders>
            <w:shd w:val="clear" w:color="auto" w:fill="auto"/>
            <w:noWrap/>
            <w:vAlign w:val="bottom"/>
            <w:hideMark/>
          </w:tcPr>
          <w:p w14:paraId="0FE5830C"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139</w:t>
            </w:r>
          </w:p>
        </w:tc>
        <w:tc>
          <w:tcPr>
            <w:tcW w:w="0" w:type="auto"/>
            <w:tcBorders>
              <w:top w:val="nil"/>
              <w:left w:val="nil"/>
              <w:bottom w:val="single" w:sz="4" w:space="0" w:color="auto"/>
              <w:right w:val="single" w:sz="4" w:space="0" w:color="auto"/>
            </w:tcBorders>
            <w:shd w:val="clear" w:color="auto" w:fill="auto"/>
            <w:noWrap/>
            <w:vAlign w:val="bottom"/>
            <w:hideMark/>
          </w:tcPr>
          <w:p w14:paraId="72E123A5"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(98.6)</w:t>
            </w:r>
          </w:p>
        </w:tc>
        <w:tc>
          <w:tcPr>
            <w:tcW w:w="0" w:type="auto"/>
            <w:tcBorders>
              <w:top w:val="nil"/>
              <w:left w:val="nil"/>
              <w:bottom w:val="single" w:sz="4" w:space="0" w:color="auto"/>
              <w:right w:val="single" w:sz="4" w:space="0" w:color="auto"/>
            </w:tcBorders>
            <w:shd w:val="clear" w:color="auto" w:fill="auto"/>
            <w:noWrap/>
            <w:vAlign w:val="bottom"/>
            <w:hideMark/>
          </w:tcPr>
          <w:p w14:paraId="42216B4D"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171E3447"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7CC85052"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2BBE5366"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3F924267"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690A34CB"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4798459C"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37B340CC"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72C9A4C1"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3CC2675D"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09044051"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33%</w:t>
            </w:r>
          </w:p>
        </w:tc>
      </w:tr>
      <w:tr w:rsidR="0067156B" w:rsidRPr="00BA48F1" w14:paraId="5C085BC2" w14:textId="77777777" w:rsidTr="0067156B">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B448572"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BERLIN</w:t>
            </w:r>
          </w:p>
        </w:tc>
        <w:tc>
          <w:tcPr>
            <w:tcW w:w="0" w:type="auto"/>
            <w:tcBorders>
              <w:top w:val="nil"/>
              <w:left w:val="nil"/>
              <w:bottom w:val="single" w:sz="4" w:space="0" w:color="auto"/>
              <w:right w:val="single" w:sz="4" w:space="0" w:color="auto"/>
            </w:tcBorders>
            <w:shd w:val="clear" w:color="auto" w:fill="auto"/>
            <w:noWrap/>
            <w:vAlign w:val="bottom"/>
            <w:hideMark/>
          </w:tcPr>
          <w:p w14:paraId="2EC0225C"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89</w:t>
            </w:r>
          </w:p>
        </w:tc>
        <w:tc>
          <w:tcPr>
            <w:tcW w:w="0" w:type="auto"/>
            <w:tcBorders>
              <w:top w:val="nil"/>
              <w:left w:val="nil"/>
              <w:bottom w:val="single" w:sz="4" w:space="0" w:color="auto"/>
              <w:right w:val="single" w:sz="4" w:space="0" w:color="auto"/>
            </w:tcBorders>
            <w:shd w:val="clear" w:color="auto" w:fill="auto"/>
            <w:noWrap/>
            <w:vAlign w:val="bottom"/>
            <w:hideMark/>
          </w:tcPr>
          <w:p w14:paraId="1BF2F9E4"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67</w:t>
            </w:r>
          </w:p>
        </w:tc>
        <w:tc>
          <w:tcPr>
            <w:tcW w:w="0" w:type="auto"/>
            <w:tcBorders>
              <w:top w:val="nil"/>
              <w:left w:val="nil"/>
              <w:bottom w:val="single" w:sz="4" w:space="0" w:color="auto"/>
              <w:right w:val="single" w:sz="4" w:space="0" w:color="auto"/>
            </w:tcBorders>
            <w:shd w:val="clear" w:color="auto" w:fill="auto"/>
            <w:noWrap/>
            <w:vAlign w:val="bottom"/>
            <w:hideMark/>
          </w:tcPr>
          <w:p w14:paraId="53696AD5"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75%</w:t>
            </w:r>
          </w:p>
        </w:tc>
        <w:tc>
          <w:tcPr>
            <w:tcW w:w="0" w:type="auto"/>
            <w:tcBorders>
              <w:top w:val="nil"/>
              <w:left w:val="nil"/>
              <w:bottom w:val="single" w:sz="4" w:space="0" w:color="auto"/>
              <w:right w:val="single" w:sz="4" w:space="0" w:color="auto"/>
            </w:tcBorders>
            <w:shd w:val="clear" w:color="auto" w:fill="auto"/>
            <w:noWrap/>
            <w:vAlign w:val="bottom"/>
            <w:hideMark/>
          </w:tcPr>
          <w:p w14:paraId="0E344067"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67</w:t>
            </w:r>
          </w:p>
        </w:tc>
        <w:tc>
          <w:tcPr>
            <w:tcW w:w="0" w:type="auto"/>
            <w:tcBorders>
              <w:top w:val="nil"/>
              <w:left w:val="nil"/>
              <w:bottom w:val="single" w:sz="4" w:space="0" w:color="auto"/>
              <w:right w:val="single" w:sz="4" w:space="0" w:color="auto"/>
            </w:tcBorders>
            <w:shd w:val="clear" w:color="auto" w:fill="auto"/>
            <w:noWrap/>
            <w:vAlign w:val="bottom"/>
            <w:hideMark/>
          </w:tcPr>
          <w:p w14:paraId="05976CCA"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(100.0)</w:t>
            </w:r>
          </w:p>
        </w:tc>
        <w:tc>
          <w:tcPr>
            <w:tcW w:w="0" w:type="auto"/>
            <w:tcBorders>
              <w:top w:val="nil"/>
              <w:left w:val="nil"/>
              <w:bottom w:val="single" w:sz="4" w:space="0" w:color="auto"/>
              <w:right w:val="single" w:sz="4" w:space="0" w:color="auto"/>
            </w:tcBorders>
            <w:shd w:val="clear" w:color="auto" w:fill="auto"/>
            <w:noWrap/>
            <w:vAlign w:val="bottom"/>
            <w:hideMark/>
          </w:tcPr>
          <w:p w14:paraId="1D352BCB"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1BDDDD3F"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297D6CD7"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4BC53B5D"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68832EA8"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0BA1D500"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5A751F0A"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5A34ABC2"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31AE053F"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7C0C1E92"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77FDBB53"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42%</w:t>
            </w:r>
          </w:p>
        </w:tc>
      </w:tr>
      <w:tr w:rsidR="0067156B" w:rsidRPr="00BA48F1" w14:paraId="49272688" w14:textId="77777777" w:rsidTr="0067156B">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7B4FE03"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BERNARDSTON</w:t>
            </w:r>
          </w:p>
        </w:tc>
        <w:tc>
          <w:tcPr>
            <w:tcW w:w="0" w:type="auto"/>
            <w:tcBorders>
              <w:top w:val="nil"/>
              <w:left w:val="nil"/>
              <w:bottom w:val="single" w:sz="4" w:space="0" w:color="auto"/>
              <w:right w:val="single" w:sz="4" w:space="0" w:color="auto"/>
            </w:tcBorders>
            <w:shd w:val="clear" w:color="auto" w:fill="auto"/>
            <w:noWrap/>
            <w:vAlign w:val="bottom"/>
            <w:hideMark/>
          </w:tcPr>
          <w:p w14:paraId="05819F72"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43</w:t>
            </w:r>
          </w:p>
        </w:tc>
        <w:tc>
          <w:tcPr>
            <w:tcW w:w="0" w:type="auto"/>
            <w:tcBorders>
              <w:top w:val="nil"/>
              <w:left w:val="nil"/>
              <w:bottom w:val="single" w:sz="4" w:space="0" w:color="auto"/>
              <w:right w:val="single" w:sz="4" w:space="0" w:color="auto"/>
            </w:tcBorders>
            <w:shd w:val="clear" w:color="auto" w:fill="auto"/>
            <w:noWrap/>
            <w:vAlign w:val="bottom"/>
            <w:hideMark/>
          </w:tcPr>
          <w:p w14:paraId="58CE9089"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28</w:t>
            </w:r>
          </w:p>
        </w:tc>
        <w:tc>
          <w:tcPr>
            <w:tcW w:w="0" w:type="auto"/>
            <w:tcBorders>
              <w:top w:val="nil"/>
              <w:left w:val="nil"/>
              <w:bottom w:val="single" w:sz="4" w:space="0" w:color="auto"/>
              <w:right w:val="single" w:sz="4" w:space="0" w:color="auto"/>
            </w:tcBorders>
            <w:shd w:val="clear" w:color="auto" w:fill="auto"/>
            <w:noWrap/>
            <w:vAlign w:val="bottom"/>
            <w:hideMark/>
          </w:tcPr>
          <w:p w14:paraId="078BB37C"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65%</w:t>
            </w:r>
          </w:p>
        </w:tc>
        <w:tc>
          <w:tcPr>
            <w:tcW w:w="0" w:type="auto"/>
            <w:tcBorders>
              <w:top w:val="nil"/>
              <w:left w:val="nil"/>
              <w:bottom w:val="single" w:sz="4" w:space="0" w:color="auto"/>
              <w:right w:val="single" w:sz="4" w:space="0" w:color="auto"/>
            </w:tcBorders>
            <w:shd w:val="clear" w:color="auto" w:fill="auto"/>
            <w:noWrap/>
            <w:vAlign w:val="bottom"/>
            <w:hideMark/>
          </w:tcPr>
          <w:p w14:paraId="15715C1D"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26</w:t>
            </w:r>
          </w:p>
        </w:tc>
        <w:tc>
          <w:tcPr>
            <w:tcW w:w="0" w:type="auto"/>
            <w:tcBorders>
              <w:top w:val="nil"/>
              <w:left w:val="nil"/>
              <w:bottom w:val="single" w:sz="4" w:space="0" w:color="auto"/>
              <w:right w:val="single" w:sz="4" w:space="0" w:color="auto"/>
            </w:tcBorders>
            <w:shd w:val="clear" w:color="auto" w:fill="auto"/>
            <w:noWrap/>
            <w:vAlign w:val="bottom"/>
            <w:hideMark/>
          </w:tcPr>
          <w:p w14:paraId="38E783A0"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(92.9)</w:t>
            </w:r>
          </w:p>
        </w:tc>
        <w:tc>
          <w:tcPr>
            <w:tcW w:w="0" w:type="auto"/>
            <w:tcBorders>
              <w:top w:val="nil"/>
              <w:left w:val="nil"/>
              <w:bottom w:val="single" w:sz="4" w:space="0" w:color="auto"/>
              <w:right w:val="single" w:sz="4" w:space="0" w:color="auto"/>
            </w:tcBorders>
            <w:shd w:val="clear" w:color="auto" w:fill="auto"/>
            <w:noWrap/>
            <w:vAlign w:val="bottom"/>
            <w:hideMark/>
          </w:tcPr>
          <w:p w14:paraId="24B168B8"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450B1B48"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56227B16"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03D8E458"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32BCC648"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0F0F887C"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61F3A5BB"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5B29E8F9"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71DB83D4"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0D5D4106"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4D9430F6"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66%</w:t>
            </w:r>
          </w:p>
        </w:tc>
      </w:tr>
      <w:tr w:rsidR="0067156B" w:rsidRPr="00BA48F1" w14:paraId="79E8DA33" w14:textId="77777777" w:rsidTr="005E6FB1">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DFE0F16"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BEVERLY</w:t>
            </w:r>
          </w:p>
        </w:tc>
        <w:tc>
          <w:tcPr>
            <w:tcW w:w="0" w:type="auto"/>
            <w:tcBorders>
              <w:top w:val="nil"/>
              <w:left w:val="nil"/>
              <w:bottom w:val="single" w:sz="4" w:space="0" w:color="auto"/>
              <w:right w:val="single" w:sz="4" w:space="0" w:color="auto"/>
            </w:tcBorders>
            <w:shd w:val="clear" w:color="auto" w:fill="auto"/>
            <w:noWrap/>
            <w:vAlign w:val="bottom"/>
            <w:hideMark/>
          </w:tcPr>
          <w:p w14:paraId="1695BD79"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1,490</w:t>
            </w:r>
          </w:p>
        </w:tc>
        <w:tc>
          <w:tcPr>
            <w:tcW w:w="0" w:type="auto"/>
            <w:tcBorders>
              <w:top w:val="nil"/>
              <w:left w:val="nil"/>
              <w:bottom w:val="single" w:sz="4" w:space="0" w:color="auto"/>
              <w:right w:val="single" w:sz="4" w:space="0" w:color="auto"/>
            </w:tcBorders>
            <w:shd w:val="clear" w:color="auto" w:fill="auto"/>
            <w:noWrap/>
            <w:vAlign w:val="bottom"/>
            <w:hideMark/>
          </w:tcPr>
          <w:p w14:paraId="099295D0"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1,015</w:t>
            </w:r>
          </w:p>
        </w:tc>
        <w:tc>
          <w:tcPr>
            <w:tcW w:w="0" w:type="auto"/>
            <w:tcBorders>
              <w:top w:val="nil"/>
              <w:left w:val="nil"/>
              <w:bottom w:val="single" w:sz="4" w:space="0" w:color="auto"/>
              <w:right w:val="single" w:sz="4" w:space="0" w:color="auto"/>
            </w:tcBorders>
            <w:shd w:val="clear" w:color="auto" w:fill="auto"/>
            <w:noWrap/>
            <w:vAlign w:val="bottom"/>
            <w:hideMark/>
          </w:tcPr>
          <w:p w14:paraId="578A11A5"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68%</w:t>
            </w:r>
          </w:p>
        </w:tc>
        <w:tc>
          <w:tcPr>
            <w:tcW w:w="0" w:type="auto"/>
            <w:tcBorders>
              <w:top w:val="nil"/>
              <w:left w:val="nil"/>
              <w:bottom w:val="single" w:sz="4" w:space="0" w:color="auto"/>
              <w:right w:val="single" w:sz="4" w:space="0" w:color="auto"/>
            </w:tcBorders>
            <w:shd w:val="clear" w:color="auto" w:fill="auto"/>
            <w:noWrap/>
            <w:vAlign w:val="bottom"/>
            <w:hideMark/>
          </w:tcPr>
          <w:p w14:paraId="66D3D2E9"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991</w:t>
            </w:r>
          </w:p>
        </w:tc>
        <w:tc>
          <w:tcPr>
            <w:tcW w:w="0" w:type="auto"/>
            <w:tcBorders>
              <w:top w:val="nil"/>
              <w:left w:val="nil"/>
              <w:bottom w:val="single" w:sz="4" w:space="0" w:color="auto"/>
              <w:right w:val="single" w:sz="4" w:space="0" w:color="auto"/>
            </w:tcBorders>
            <w:shd w:val="clear" w:color="auto" w:fill="auto"/>
            <w:noWrap/>
            <w:vAlign w:val="bottom"/>
            <w:hideMark/>
          </w:tcPr>
          <w:p w14:paraId="674F2B07"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(97.6)</w:t>
            </w:r>
          </w:p>
        </w:tc>
        <w:tc>
          <w:tcPr>
            <w:tcW w:w="0" w:type="auto"/>
            <w:tcBorders>
              <w:top w:val="nil"/>
              <w:left w:val="nil"/>
              <w:bottom w:val="single" w:sz="4" w:space="0" w:color="auto"/>
              <w:right w:val="single" w:sz="4" w:space="0" w:color="auto"/>
            </w:tcBorders>
            <w:shd w:val="clear" w:color="auto" w:fill="auto"/>
            <w:noWrap/>
            <w:vAlign w:val="bottom"/>
            <w:hideMark/>
          </w:tcPr>
          <w:p w14:paraId="6332AB72"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24</w:t>
            </w:r>
          </w:p>
        </w:tc>
        <w:tc>
          <w:tcPr>
            <w:tcW w:w="0" w:type="auto"/>
            <w:tcBorders>
              <w:top w:val="nil"/>
              <w:left w:val="nil"/>
              <w:bottom w:val="single" w:sz="4" w:space="0" w:color="auto"/>
              <w:right w:val="single" w:sz="4" w:space="0" w:color="auto"/>
            </w:tcBorders>
            <w:shd w:val="clear" w:color="auto" w:fill="auto"/>
            <w:noWrap/>
            <w:vAlign w:val="bottom"/>
            <w:hideMark/>
          </w:tcPr>
          <w:p w14:paraId="29E81094"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(2.4)</w:t>
            </w:r>
          </w:p>
        </w:tc>
        <w:tc>
          <w:tcPr>
            <w:tcW w:w="0" w:type="auto"/>
            <w:tcBorders>
              <w:top w:val="nil"/>
              <w:left w:val="nil"/>
              <w:bottom w:val="single" w:sz="4" w:space="0" w:color="auto"/>
              <w:right w:val="single" w:sz="4" w:space="0" w:color="auto"/>
            </w:tcBorders>
            <w:shd w:val="clear" w:color="auto" w:fill="auto"/>
            <w:noWrap/>
            <w:vAlign w:val="bottom"/>
            <w:hideMark/>
          </w:tcPr>
          <w:p w14:paraId="46D0C147"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51938D85"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24A90128"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029E2D35"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0938FD49"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14</w:t>
            </w:r>
          </w:p>
        </w:tc>
        <w:tc>
          <w:tcPr>
            <w:tcW w:w="0" w:type="auto"/>
            <w:tcBorders>
              <w:top w:val="nil"/>
              <w:left w:val="nil"/>
              <w:bottom w:val="single" w:sz="4" w:space="0" w:color="auto"/>
              <w:right w:val="single" w:sz="4" w:space="0" w:color="auto"/>
            </w:tcBorders>
            <w:shd w:val="clear" w:color="auto" w:fill="auto"/>
            <w:noWrap/>
            <w:vAlign w:val="bottom"/>
            <w:hideMark/>
          </w:tcPr>
          <w:p w14:paraId="6A598162"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(1.4)</w:t>
            </w:r>
          </w:p>
        </w:tc>
        <w:tc>
          <w:tcPr>
            <w:tcW w:w="0" w:type="auto"/>
            <w:tcBorders>
              <w:top w:val="nil"/>
              <w:left w:val="nil"/>
              <w:bottom w:val="single" w:sz="4" w:space="0" w:color="auto"/>
              <w:right w:val="single" w:sz="4" w:space="0" w:color="auto"/>
            </w:tcBorders>
            <w:shd w:val="clear" w:color="auto" w:fill="auto"/>
            <w:noWrap/>
            <w:vAlign w:val="bottom"/>
            <w:hideMark/>
          </w:tcPr>
          <w:p w14:paraId="06C56F5A"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5F4D8352"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3BB3C066"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76%</w:t>
            </w:r>
          </w:p>
        </w:tc>
      </w:tr>
      <w:tr w:rsidR="0067156B" w:rsidRPr="00BA48F1" w14:paraId="1087988F" w14:textId="77777777" w:rsidTr="005E6FB1">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07CBDD"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BILLERICA</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4724C882"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1,505</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692CFA5E"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818</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7D8DCB80"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54%</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43C4E828"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815</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740B2DB4"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(99.6)</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6BE55729"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584DBB00"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390BD9A0"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16A894D0"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5C61A031"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284B4D39"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6BDE39E1"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475F5317"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2F0377FE"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331F0E8F"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497E6222"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62%</w:t>
            </w:r>
          </w:p>
        </w:tc>
      </w:tr>
      <w:tr w:rsidR="0067156B" w:rsidRPr="00BA48F1" w14:paraId="4828A5E9" w14:textId="77777777" w:rsidTr="005E6FB1">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F45022"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BLACKSTONE</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03B30C4F"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304</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06EBF204"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131</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24B04997"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43%</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1A03D9EF"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128</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20CC6285"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(97.7)</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5BEC40BC"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117C63E3"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6C10AB0B"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567EABF2"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549752EE"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4C556381"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02D72D0D"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13E7EF64"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43D7947D"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406862FD"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7FAA6D1B"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58%</w:t>
            </w:r>
          </w:p>
        </w:tc>
      </w:tr>
      <w:tr w:rsidR="0067156B" w:rsidRPr="00BA48F1" w14:paraId="0E2AA139" w14:textId="77777777" w:rsidTr="0067156B">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71B449"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lastRenderedPageBreak/>
              <w:t>BLANDFORD</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571E29C9"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22</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3B35F8FC"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27</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209DA3C8"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&gt;99%</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5AA0E707"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27</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69CBDA4C"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(100.0)</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4C827EE2"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454A85CF"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56FC2AA4"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22FCCA9E"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56F5DE99"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31696D33"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348EFA4C"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6C24F4FF"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60D7CE19"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520A91D6"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7A89A923"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70%</w:t>
            </w:r>
          </w:p>
        </w:tc>
      </w:tr>
      <w:tr w:rsidR="0067156B" w:rsidRPr="00BA48F1" w14:paraId="15F9AAC6" w14:textId="77777777" w:rsidTr="0067156B">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477C4C7"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BOLTON</w:t>
            </w:r>
          </w:p>
        </w:tc>
        <w:tc>
          <w:tcPr>
            <w:tcW w:w="0" w:type="auto"/>
            <w:tcBorders>
              <w:top w:val="nil"/>
              <w:left w:val="nil"/>
              <w:bottom w:val="single" w:sz="4" w:space="0" w:color="auto"/>
              <w:right w:val="single" w:sz="4" w:space="0" w:color="auto"/>
            </w:tcBorders>
            <w:shd w:val="clear" w:color="auto" w:fill="auto"/>
            <w:noWrap/>
            <w:vAlign w:val="bottom"/>
            <w:hideMark/>
          </w:tcPr>
          <w:p w14:paraId="51C4BB31"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156</w:t>
            </w:r>
          </w:p>
        </w:tc>
        <w:tc>
          <w:tcPr>
            <w:tcW w:w="0" w:type="auto"/>
            <w:tcBorders>
              <w:top w:val="nil"/>
              <w:left w:val="nil"/>
              <w:bottom w:val="single" w:sz="4" w:space="0" w:color="auto"/>
              <w:right w:val="single" w:sz="4" w:space="0" w:color="auto"/>
            </w:tcBorders>
            <w:shd w:val="clear" w:color="auto" w:fill="auto"/>
            <w:noWrap/>
            <w:vAlign w:val="bottom"/>
            <w:hideMark/>
          </w:tcPr>
          <w:p w14:paraId="034E29C9"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140</w:t>
            </w:r>
          </w:p>
        </w:tc>
        <w:tc>
          <w:tcPr>
            <w:tcW w:w="0" w:type="auto"/>
            <w:tcBorders>
              <w:top w:val="nil"/>
              <w:left w:val="nil"/>
              <w:bottom w:val="single" w:sz="4" w:space="0" w:color="auto"/>
              <w:right w:val="single" w:sz="4" w:space="0" w:color="auto"/>
            </w:tcBorders>
            <w:shd w:val="clear" w:color="auto" w:fill="auto"/>
            <w:noWrap/>
            <w:vAlign w:val="bottom"/>
            <w:hideMark/>
          </w:tcPr>
          <w:p w14:paraId="68A5B578"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90%</w:t>
            </w:r>
          </w:p>
        </w:tc>
        <w:tc>
          <w:tcPr>
            <w:tcW w:w="0" w:type="auto"/>
            <w:tcBorders>
              <w:top w:val="nil"/>
              <w:left w:val="nil"/>
              <w:bottom w:val="single" w:sz="4" w:space="0" w:color="auto"/>
              <w:right w:val="single" w:sz="4" w:space="0" w:color="auto"/>
            </w:tcBorders>
            <w:shd w:val="clear" w:color="auto" w:fill="auto"/>
            <w:noWrap/>
            <w:vAlign w:val="bottom"/>
            <w:hideMark/>
          </w:tcPr>
          <w:p w14:paraId="382FB84E"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138</w:t>
            </w:r>
          </w:p>
        </w:tc>
        <w:tc>
          <w:tcPr>
            <w:tcW w:w="0" w:type="auto"/>
            <w:tcBorders>
              <w:top w:val="nil"/>
              <w:left w:val="nil"/>
              <w:bottom w:val="single" w:sz="4" w:space="0" w:color="auto"/>
              <w:right w:val="single" w:sz="4" w:space="0" w:color="auto"/>
            </w:tcBorders>
            <w:shd w:val="clear" w:color="auto" w:fill="auto"/>
            <w:noWrap/>
            <w:vAlign w:val="bottom"/>
            <w:hideMark/>
          </w:tcPr>
          <w:p w14:paraId="19BE4E8C"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(98.6)</w:t>
            </w:r>
          </w:p>
        </w:tc>
        <w:tc>
          <w:tcPr>
            <w:tcW w:w="0" w:type="auto"/>
            <w:tcBorders>
              <w:top w:val="nil"/>
              <w:left w:val="nil"/>
              <w:bottom w:val="single" w:sz="4" w:space="0" w:color="auto"/>
              <w:right w:val="single" w:sz="4" w:space="0" w:color="auto"/>
            </w:tcBorders>
            <w:shd w:val="clear" w:color="auto" w:fill="auto"/>
            <w:noWrap/>
            <w:vAlign w:val="bottom"/>
            <w:hideMark/>
          </w:tcPr>
          <w:p w14:paraId="34D80BE7"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5F4D7BDA"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3A95395B"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09C625C3"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11A36B2E"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4553862C"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304F243F"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672E4BB1"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761AB817"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7A152EAE"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19ACD1CF"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43%</w:t>
            </w:r>
          </w:p>
        </w:tc>
      </w:tr>
      <w:tr w:rsidR="0067156B" w:rsidRPr="00BA48F1" w14:paraId="49B7BB77" w14:textId="77777777" w:rsidTr="0067156B">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61926BA"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BOSTON</w:t>
            </w:r>
          </w:p>
        </w:tc>
        <w:tc>
          <w:tcPr>
            <w:tcW w:w="0" w:type="auto"/>
            <w:tcBorders>
              <w:top w:val="nil"/>
              <w:left w:val="nil"/>
              <w:bottom w:val="single" w:sz="4" w:space="0" w:color="auto"/>
              <w:right w:val="single" w:sz="4" w:space="0" w:color="auto"/>
            </w:tcBorders>
            <w:shd w:val="clear" w:color="auto" w:fill="auto"/>
            <w:noWrap/>
            <w:vAlign w:val="bottom"/>
            <w:hideMark/>
          </w:tcPr>
          <w:p w14:paraId="2DEF7B46"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21,080</w:t>
            </w:r>
          </w:p>
        </w:tc>
        <w:tc>
          <w:tcPr>
            <w:tcW w:w="0" w:type="auto"/>
            <w:tcBorders>
              <w:top w:val="nil"/>
              <w:left w:val="nil"/>
              <w:bottom w:val="single" w:sz="4" w:space="0" w:color="auto"/>
              <w:right w:val="single" w:sz="4" w:space="0" w:color="auto"/>
            </w:tcBorders>
            <w:shd w:val="clear" w:color="auto" w:fill="auto"/>
            <w:noWrap/>
            <w:vAlign w:val="bottom"/>
            <w:hideMark/>
          </w:tcPr>
          <w:p w14:paraId="5758EDC4"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13,193</w:t>
            </w:r>
          </w:p>
        </w:tc>
        <w:tc>
          <w:tcPr>
            <w:tcW w:w="0" w:type="auto"/>
            <w:tcBorders>
              <w:top w:val="nil"/>
              <w:left w:val="nil"/>
              <w:bottom w:val="single" w:sz="4" w:space="0" w:color="auto"/>
              <w:right w:val="single" w:sz="4" w:space="0" w:color="auto"/>
            </w:tcBorders>
            <w:shd w:val="clear" w:color="auto" w:fill="auto"/>
            <w:noWrap/>
            <w:vAlign w:val="bottom"/>
            <w:hideMark/>
          </w:tcPr>
          <w:p w14:paraId="09A66108"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63%</w:t>
            </w:r>
          </w:p>
        </w:tc>
        <w:tc>
          <w:tcPr>
            <w:tcW w:w="0" w:type="auto"/>
            <w:tcBorders>
              <w:top w:val="nil"/>
              <w:left w:val="nil"/>
              <w:bottom w:val="single" w:sz="4" w:space="0" w:color="auto"/>
              <w:right w:val="single" w:sz="4" w:space="0" w:color="auto"/>
            </w:tcBorders>
            <w:shd w:val="clear" w:color="auto" w:fill="auto"/>
            <w:noWrap/>
            <w:vAlign w:val="bottom"/>
            <w:hideMark/>
          </w:tcPr>
          <w:p w14:paraId="4EE527CD"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12,974</w:t>
            </w:r>
          </w:p>
        </w:tc>
        <w:tc>
          <w:tcPr>
            <w:tcW w:w="0" w:type="auto"/>
            <w:tcBorders>
              <w:top w:val="nil"/>
              <w:left w:val="nil"/>
              <w:bottom w:val="single" w:sz="4" w:space="0" w:color="auto"/>
              <w:right w:val="single" w:sz="4" w:space="0" w:color="auto"/>
            </w:tcBorders>
            <w:shd w:val="clear" w:color="auto" w:fill="auto"/>
            <w:noWrap/>
            <w:vAlign w:val="bottom"/>
            <w:hideMark/>
          </w:tcPr>
          <w:p w14:paraId="4834D0A5"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(98.3)</w:t>
            </w:r>
          </w:p>
        </w:tc>
        <w:tc>
          <w:tcPr>
            <w:tcW w:w="0" w:type="auto"/>
            <w:tcBorders>
              <w:top w:val="nil"/>
              <w:left w:val="nil"/>
              <w:bottom w:val="single" w:sz="4" w:space="0" w:color="auto"/>
              <w:right w:val="single" w:sz="4" w:space="0" w:color="auto"/>
            </w:tcBorders>
            <w:shd w:val="clear" w:color="auto" w:fill="auto"/>
            <w:noWrap/>
            <w:vAlign w:val="bottom"/>
            <w:hideMark/>
          </w:tcPr>
          <w:p w14:paraId="2D35165F"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172</w:t>
            </w:r>
          </w:p>
        </w:tc>
        <w:tc>
          <w:tcPr>
            <w:tcW w:w="0" w:type="auto"/>
            <w:tcBorders>
              <w:top w:val="nil"/>
              <w:left w:val="nil"/>
              <w:bottom w:val="single" w:sz="4" w:space="0" w:color="auto"/>
              <w:right w:val="single" w:sz="4" w:space="0" w:color="auto"/>
            </w:tcBorders>
            <w:shd w:val="clear" w:color="auto" w:fill="auto"/>
            <w:noWrap/>
            <w:vAlign w:val="bottom"/>
            <w:hideMark/>
          </w:tcPr>
          <w:p w14:paraId="68A7F87A"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(1.3)</w:t>
            </w:r>
          </w:p>
        </w:tc>
        <w:tc>
          <w:tcPr>
            <w:tcW w:w="0" w:type="auto"/>
            <w:tcBorders>
              <w:top w:val="nil"/>
              <w:left w:val="nil"/>
              <w:bottom w:val="single" w:sz="4" w:space="0" w:color="auto"/>
              <w:right w:val="single" w:sz="4" w:space="0" w:color="auto"/>
            </w:tcBorders>
            <w:shd w:val="clear" w:color="auto" w:fill="auto"/>
            <w:noWrap/>
            <w:vAlign w:val="bottom"/>
            <w:hideMark/>
          </w:tcPr>
          <w:p w14:paraId="0EF4427B"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43</w:t>
            </w:r>
          </w:p>
        </w:tc>
        <w:tc>
          <w:tcPr>
            <w:tcW w:w="0" w:type="auto"/>
            <w:tcBorders>
              <w:top w:val="nil"/>
              <w:left w:val="nil"/>
              <w:bottom w:val="single" w:sz="4" w:space="0" w:color="auto"/>
              <w:right w:val="single" w:sz="4" w:space="0" w:color="auto"/>
            </w:tcBorders>
            <w:shd w:val="clear" w:color="auto" w:fill="auto"/>
            <w:noWrap/>
            <w:vAlign w:val="bottom"/>
            <w:hideMark/>
          </w:tcPr>
          <w:p w14:paraId="4BA71A36"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(0.3)</w:t>
            </w:r>
          </w:p>
        </w:tc>
        <w:tc>
          <w:tcPr>
            <w:tcW w:w="0" w:type="auto"/>
            <w:tcBorders>
              <w:top w:val="nil"/>
              <w:left w:val="nil"/>
              <w:bottom w:val="single" w:sz="4" w:space="0" w:color="auto"/>
              <w:right w:val="single" w:sz="4" w:space="0" w:color="auto"/>
            </w:tcBorders>
            <w:shd w:val="clear" w:color="auto" w:fill="auto"/>
            <w:noWrap/>
            <w:vAlign w:val="bottom"/>
            <w:hideMark/>
          </w:tcPr>
          <w:p w14:paraId="64A565ED"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4</w:t>
            </w:r>
          </w:p>
        </w:tc>
        <w:tc>
          <w:tcPr>
            <w:tcW w:w="0" w:type="auto"/>
            <w:tcBorders>
              <w:top w:val="nil"/>
              <w:left w:val="nil"/>
              <w:bottom w:val="single" w:sz="4" w:space="0" w:color="auto"/>
              <w:right w:val="single" w:sz="4" w:space="0" w:color="auto"/>
            </w:tcBorders>
            <w:shd w:val="clear" w:color="auto" w:fill="auto"/>
            <w:noWrap/>
            <w:vAlign w:val="bottom"/>
            <w:hideMark/>
          </w:tcPr>
          <w:p w14:paraId="38442CE9"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(&lt;0.1)</w:t>
            </w:r>
          </w:p>
        </w:tc>
        <w:tc>
          <w:tcPr>
            <w:tcW w:w="0" w:type="auto"/>
            <w:tcBorders>
              <w:top w:val="nil"/>
              <w:left w:val="nil"/>
              <w:bottom w:val="single" w:sz="4" w:space="0" w:color="auto"/>
              <w:right w:val="single" w:sz="4" w:space="0" w:color="auto"/>
            </w:tcBorders>
            <w:shd w:val="clear" w:color="auto" w:fill="auto"/>
            <w:noWrap/>
            <w:vAlign w:val="bottom"/>
            <w:hideMark/>
          </w:tcPr>
          <w:p w14:paraId="2A7BAB21"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196</w:t>
            </w:r>
          </w:p>
        </w:tc>
        <w:tc>
          <w:tcPr>
            <w:tcW w:w="0" w:type="auto"/>
            <w:tcBorders>
              <w:top w:val="nil"/>
              <w:left w:val="nil"/>
              <w:bottom w:val="single" w:sz="4" w:space="0" w:color="auto"/>
              <w:right w:val="single" w:sz="4" w:space="0" w:color="auto"/>
            </w:tcBorders>
            <w:shd w:val="clear" w:color="auto" w:fill="auto"/>
            <w:noWrap/>
            <w:vAlign w:val="bottom"/>
            <w:hideMark/>
          </w:tcPr>
          <w:p w14:paraId="6560EB93"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(1.5)</w:t>
            </w:r>
          </w:p>
        </w:tc>
        <w:tc>
          <w:tcPr>
            <w:tcW w:w="0" w:type="auto"/>
            <w:tcBorders>
              <w:top w:val="nil"/>
              <w:left w:val="nil"/>
              <w:bottom w:val="single" w:sz="4" w:space="0" w:color="auto"/>
              <w:right w:val="single" w:sz="4" w:space="0" w:color="auto"/>
            </w:tcBorders>
            <w:shd w:val="clear" w:color="auto" w:fill="auto"/>
            <w:noWrap/>
            <w:vAlign w:val="bottom"/>
            <w:hideMark/>
          </w:tcPr>
          <w:p w14:paraId="523A5765"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45</w:t>
            </w:r>
          </w:p>
        </w:tc>
        <w:tc>
          <w:tcPr>
            <w:tcW w:w="0" w:type="auto"/>
            <w:tcBorders>
              <w:top w:val="nil"/>
              <w:left w:val="nil"/>
              <w:bottom w:val="single" w:sz="4" w:space="0" w:color="auto"/>
              <w:right w:val="single" w:sz="4" w:space="0" w:color="auto"/>
            </w:tcBorders>
            <w:shd w:val="clear" w:color="auto" w:fill="auto"/>
            <w:noWrap/>
            <w:vAlign w:val="bottom"/>
            <w:hideMark/>
          </w:tcPr>
          <w:p w14:paraId="2337943C"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(0.3)</w:t>
            </w:r>
          </w:p>
        </w:tc>
        <w:tc>
          <w:tcPr>
            <w:tcW w:w="0" w:type="auto"/>
            <w:tcBorders>
              <w:top w:val="nil"/>
              <w:left w:val="nil"/>
              <w:bottom w:val="single" w:sz="4" w:space="0" w:color="auto"/>
              <w:right w:val="single" w:sz="4" w:space="0" w:color="auto"/>
            </w:tcBorders>
            <w:shd w:val="clear" w:color="auto" w:fill="auto"/>
            <w:noWrap/>
            <w:vAlign w:val="bottom"/>
            <w:hideMark/>
          </w:tcPr>
          <w:p w14:paraId="263E93C5"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77%</w:t>
            </w:r>
          </w:p>
        </w:tc>
      </w:tr>
      <w:tr w:rsidR="0067156B" w:rsidRPr="00BA48F1" w14:paraId="7C23063E" w14:textId="77777777" w:rsidTr="0067156B">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89FA856"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BOURNE</w:t>
            </w:r>
          </w:p>
        </w:tc>
        <w:tc>
          <w:tcPr>
            <w:tcW w:w="0" w:type="auto"/>
            <w:tcBorders>
              <w:top w:val="nil"/>
              <w:left w:val="nil"/>
              <w:bottom w:val="single" w:sz="4" w:space="0" w:color="auto"/>
              <w:right w:val="single" w:sz="4" w:space="0" w:color="auto"/>
            </w:tcBorders>
            <w:shd w:val="clear" w:color="auto" w:fill="auto"/>
            <w:noWrap/>
            <w:vAlign w:val="bottom"/>
            <w:hideMark/>
          </w:tcPr>
          <w:p w14:paraId="1009B87F"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502</w:t>
            </w:r>
          </w:p>
        </w:tc>
        <w:tc>
          <w:tcPr>
            <w:tcW w:w="0" w:type="auto"/>
            <w:tcBorders>
              <w:top w:val="nil"/>
              <w:left w:val="nil"/>
              <w:bottom w:val="single" w:sz="4" w:space="0" w:color="auto"/>
              <w:right w:val="single" w:sz="4" w:space="0" w:color="auto"/>
            </w:tcBorders>
            <w:shd w:val="clear" w:color="auto" w:fill="auto"/>
            <w:noWrap/>
            <w:vAlign w:val="bottom"/>
            <w:hideMark/>
          </w:tcPr>
          <w:p w14:paraId="5FF79E07"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322</w:t>
            </w:r>
          </w:p>
        </w:tc>
        <w:tc>
          <w:tcPr>
            <w:tcW w:w="0" w:type="auto"/>
            <w:tcBorders>
              <w:top w:val="nil"/>
              <w:left w:val="nil"/>
              <w:bottom w:val="single" w:sz="4" w:space="0" w:color="auto"/>
              <w:right w:val="single" w:sz="4" w:space="0" w:color="auto"/>
            </w:tcBorders>
            <w:shd w:val="clear" w:color="auto" w:fill="auto"/>
            <w:noWrap/>
            <w:vAlign w:val="bottom"/>
            <w:hideMark/>
          </w:tcPr>
          <w:p w14:paraId="39764DBB"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64%</w:t>
            </w:r>
          </w:p>
        </w:tc>
        <w:tc>
          <w:tcPr>
            <w:tcW w:w="0" w:type="auto"/>
            <w:tcBorders>
              <w:top w:val="nil"/>
              <w:left w:val="nil"/>
              <w:bottom w:val="single" w:sz="4" w:space="0" w:color="auto"/>
              <w:right w:val="single" w:sz="4" w:space="0" w:color="auto"/>
            </w:tcBorders>
            <w:shd w:val="clear" w:color="auto" w:fill="auto"/>
            <w:noWrap/>
            <w:vAlign w:val="bottom"/>
            <w:hideMark/>
          </w:tcPr>
          <w:p w14:paraId="0A90DAF3"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316</w:t>
            </w:r>
          </w:p>
        </w:tc>
        <w:tc>
          <w:tcPr>
            <w:tcW w:w="0" w:type="auto"/>
            <w:tcBorders>
              <w:top w:val="nil"/>
              <w:left w:val="nil"/>
              <w:bottom w:val="single" w:sz="4" w:space="0" w:color="auto"/>
              <w:right w:val="single" w:sz="4" w:space="0" w:color="auto"/>
            </w:tcBorders>
            <w:shd w:val="clear" w:color="auto" w:fill="auto"/>
            <w:noWrap/>
            <w:vAlign w:val="bottom"/>
            <w:hideMark/>
          </w:tcPr>
          <w:p w14:paraId="722C51D9"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(98.1)</w:t>
            </w:r>
          </w:p>
        </w:tc>
        <w:tc>
          <w:tcPr>
            <w:tcW w:w="0" w:type="auto"/>
            <w:tcBorders>
              <w:top w:val="nil"/>
              <w:left w:val="nil"/>
              <w:bottom w:val="single" w:sz="4" w:space="0" w:color="auto"/>
              <w:right w:val="single" w:sz="4" w:space="0" w:color="auto"/>
            </w:tcBorders>
            <w:shd w:val="clear" w:color="auto" w:fill="auto"/>
            <w:noWrap/>
            <w:vAlign w:val="bottom"/>
            <w:hideMark/>
          </w:tcPr>
          <w:p w14:paraId="294CED2A"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6</w:t>
            </w:r>
          </w:p>
        </w:tc>
        <w:tc>
          <w:tcPr>
            <w:tcW w:w="0" w:type="auto"/>
            <w:tcBorders>
              <w:top w:val="nil"/>
              <w:left w:val="nil"/>
              <w:bottom w:val="single" w:sz="4" w:space="0" w:color="auto"/>
              <w:right w:val="single" w:sz="4" w:space="0" w:color="auto"/>
            </w:tcBorders>
            <w:shd w:val="clear" w:color="auto" w:fill="auto"/>
            <w:noWrap/>
            <w:vAlign w:val="bottom"/>
            <w:hideMark/>
          </w:tcPr>
          <w:p w14:paraId="07333D80"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(1.9)</w:t>
            </w:r>
          </w:p>
        </w:tc>
        <w:tc>
          <w:tcPr>
            <w:tcW w:w="0" w:type="auto"/>
            <w:tcBorders>
              <w:top w:val="nil"/>
              <w:left w:val="nil"/>
              <w:bottom w:val="single" w:sz="4" w:space="0" w:color="auto"/>
              <w:right w:val="single" w:sz="4" w:space="0" w:color="auto"/>
            </w:tcBorders>
            <w:shd w:val="clear" w:color="auto" w:fill="auto"/>
            <w:noWrap/>
            <w:vAlign w:val="bottom"/>
            <w:hideMark/>
          </w:tcPr>
          <w:p w14:paraId="53CB17CA"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315C7461"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42E97877"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11BF5529"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7432B6E5"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589F6773"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76509525"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0C769BA3"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3D3D84F9"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57%</w:t>
            </w:r>
          </w:p>
        </w:tc>
      </w:tr>
      <w:tr w:rsidR="0067156B" w:rsidRPr="00BA48F1" w14:paraId="656BFBE0" w14:textId="77777777" w:rsidTr="0067156B">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6B364CB"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BOXBOROUGH</w:t>
            </w:r>
          </w:p>
        </w:tc>
        <w:tc>
          <w:tcPr>
            <w:tcW w:w="0" w:type="auto"/>
            <w:tcBorders>
              <w:top w:val="nil"/>
              <w:left w:val="nil"/>
              <w:bottom w:val="single" w:sz="4" w:space="0" w:color="auto"/>
              <w:right w:val="single" w:sz="4" w:space="0" w:color="auto"/>
            </w:tcBorders>
            <w:shd w:val="clear" w:color="auto" w:fill="auto"/>
            <w:noWrap/>
            <w:vAlign w:val="bottom"/>
            <w:hideMark/>
          </w:tcPr>
          <w:p w14:paraId="0B2EABB9"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128</w:t>
            </w:r>
          </w:p>
        </w:tc>
        <w:tc>
          <w:tcPr>
            <w:tcW w:w="0" w:type="auto"/>
            <w:tcBorders>
              <w:top w:val="nil"/>
              <w:left w:val="nil"/>
              <w:bottom w:val="single" w:sz="4" w:space="0" w:color="auto"/>
              <w:right w:val="single" w:sz="4" w:space="0" w:color="auto"/>
            </w:tcBorders>
            <w:shd w:val="clear" w:color="auto" w:fill="auto"/>
            <w:noWrap/>
            <w:vAlign w:val="bottom"/>
            <w:hideMark/>
          </w:tcPr>
          <w:p w14:paraId="187E81DF"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100</w:t>
            </w:r>
          </w:p>
        </w:tc>
        <w:tc>
          <w:tcPr>
            <w:tcW w:w="0" w:type="auto"/>
            <w:tcBorders>
              <w:top w:val="nil"/>
              <w:left w:val="nil"/>
              <w:bottom w:val="single" w:sz="4" w:space="0" w:color="auto"/>
              <w:right w:val="single" w:sz="4" w:space="0" w:color="auto"/>
            </w:tcBorders>
            <w:shd w:val="clear" w:color="auto" w:fill="auto"/>
            <w:noWrap/>
            <w:vAlign w:val="bottom"/>
            <w:hideMark/>
          </w:tcPr>
          <w:p w14:paraId="4848FB30"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78%</w:t>
            </w:r>
          </w:p>
        </w:tc>
        <w:tc>
          <w:tcPr>
            <w:tcW w:w="0" w:type="auto"/>
            <w:tcBorders>
              <w:top w:val="nil"/>
              <w:left w:val="nil"/>
              <w:bottom w:val="single" w:sz="4" w:space="0" w:color="auto"/>
              <w:right w:val="single" w:sz="4" w:space="0" w:color="auto"/>
            </w:tcBorders>
            <w:shd w:val="clear" w:color="auto" w:fill="auto"/>
            <w:noWrap/>
            <w:vAlign w:val="bottom"/>
            <w:hideMark/>
          </w:tcPr>
          <w:p w14:paraId="32D93C9A"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99</w:t>
            </w:r>
          </w:p>
        </w:tc>
        <w:tc>
          <w:tcPr>
            <w:tcW w:w="0" w:type="auto"/>
            <w:tcBorders>
              <w:top w:val="nil"/>
              <w:left w:val="nil"/>
              <w:bottom w:val="single" w:sz="4" w:space="0" w:color="auto"/>
              <w:right w:val="single" w:sz="4" w:space="0" w:color="auto"/>
            </w:tcBorders>
            <w:shd w:val="clear" w:color="auto" w:fill="auto"/>
            <w:noWrap/>
            <w:vAlign w:val="bottom"/>
            <w:hideMark/>
          </w:tcPr>
          <w:p w14:paraId="52F6A374"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(99.0)</w:t>
            </w:r>
          </w:p>
        </w:tc>
        <w:tc>
          <w:tcPr>
            <w:tcW w:w="0" w:type="auto"/>
            <w:tcBorders>
              <w:top w:val="nil"/>
              <w:left w:val="nil"/>
              <w:bottom w:val="single" w:sz="4" w:space="0" w:color="auto"/>
              <w:right w:val="single" w:sz="4" w:space="0" w:color="auto"/>
            </w:tcBorders>
            <w:shd w:val="clear" w:color="auto" w:fill="auto"/>
            <w:noWrap/>
            <w:vAlign w:val="bottom"/>
            <w:hideMark/>
          </w:tcPr>
          <w:p w14:paraId="5AE98C3B"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4CB58D46"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6BF98819"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5EE726D5"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64C9AE0A"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2826AEB8"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6F0990B3"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5D010448"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0B0E35AC"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3B2DB019"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62C973CA"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44%</w:t>
            </w:r>
          </w:p>
        </w:tc>
      </w:tr>
      <w:tr w:rsidR="0067156B" w:rsidRPr="00BA48F1" w14:paraId="009DB055" w14:textId="77777777" w:rsidTr="0067156B">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AAAA500"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BOXFORD</w:t>
            </w:r>
          </w:p>
        </w:tc>
        <w:tc>
          <w:tcPr>
            <w:tcW w:w="0" w:type="auto"/>
            <w:tcBorders>
              <w:top w:val="nil"/>
              <w:left w:val="nil"/>
              <w:bottom w:val="single" w:sz="4" w:space="0" w:color="auto"/>
              <w:right w:val="single" w:sz="4" w:space="0" w:color="auto"/>
            </w:tcBorders>
            <w:shd w:val="clear" w:color="auto" w:fill="auto"/>
            <w:noWrap/>
            <w:vAlign w:val="bottom"/>
            <w:hideMark/>
          </w:tcPr>
          <w:p w14:paraId="7F88EF07"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196</w:t>
            </w:r>
          </w:p>
        </w:tc>
        <w:tc>
          <w:tcPr>
            <w:tcW w:w="0" w:type="auto"/>
            <w:tcBorders>
              <w:top w:val="nil"/>
              <w:left w:val="nil"/>
              <w:bottom w:val="single" w:sz="4" w:space="0" w:color="auto"/>
              <w:right w:val="single" w:sz="4" w:space="0" w:color="auto"/>
            </w:tcBorders>
            <w:shd w:val="clear" w:color="auto" w:fill="auto"/>
            <w:noWrap/>
            <w:vAlign w:val="bottom"/>
            <w:hideMark/>
          </w:tcPr>
          <w:p w14:paraId="4346CD77"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229</w:t>
            </w:r>
          </w:p>
        </w:tc>
        <w:tc>
          <w:tcPr>
            <w:tcW w:w="0" w:type="auto"/>
            <w:tcBorders>
              <w:top w:val="nil"/>
              <w:left w:val="nil"/>
              <w:bottom w:val="single" w:sz="4" w:space="0" w:color="auto"/>
              <w:right w:val="single" w:sz="4" w:space="0" w:color="auto"/>
            </w:tcBorders>
            <w:shd w:val="clear" w:color="auto" w:fill="auto"/>
            <w:noWrap/>
            <w:vAlign w:val="bottom"/>
            <w:hideMark/>
          </w:tcPr>
          <w:p w14:paraId="0E4513B1"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&gt;99%</w:t>
            </w:r>
          </w:p>
        </w:tc>
        <w:tc>
          <w:tcPr>
            <w:tcW w:w="0" w:type="auto"/>
            <w:tcBorders>
              <w:top w:val="nil"/>
              <w:left w:val="nil"/>
              <w:bottom w:val="single" w:sz="4" w:space="0" w:color="auto"/>
              <w:right w:val="single" w:sz="4" w:space="0" w:color="auto"/>
            </w:tcBorders>
            <w:shd w:val="clear" w:color="auto" w:fill="auto"/>
            <w:noWrap/>
            <w:vAlign w:val="bottom"/>
            <w:hideMark/>
          </w:tcPr>
          <w:p w14:paraId="0B112F64"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226</w:t>
            </w:r>
          </w:p>
        </w:tc>
        <w:tc>
          <w:tcPr>
            <w:tcW w:w="0" w:type="auto"/>
            <w:tcBorders>
              <w:top w:val="nil"/>
              <w:left w:val="nil"/>
              <w:bottom w:val="single" w:sz="4" w:space="0" w:color="auto"/>
              <w:right w:val="single" w:sz="4" w:space="0" w:color="auto"/>
            </w:tcBorders>
            <w:shd w:val="clear" w:color="auto" w:fill="auto"/>
            <w:noWrap/>
            <w:vAlign w:val="bottom"/>
            <w:hideMark/>
          </w:tcPr>
          <w:p w14:paraId="2D53CABF"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(98.7)</w:t>
            </w:r>
          </w:p>
        </w:tc>
        <w:tc>
          <w:tcPr>
            <w:tcW w:w="0" w:type="auto"/>
            <w:tcBorders>
              <w:top w:val="nil"/>
              <w:left w:val="nil"/>
              <w:bottom w:val="single" w:sz="4" w:space="0" w:color="auto"/>
              <w:right w:val="single" w:sz="4" w:space="0" w:color="auto"/>
            </w:tcBorders>
            <w:shd w:val="clear" w:color="auto" w:fill="auto"/>
            <w:noWrap/>
            <w:vAlign w:val="bottom"/>
            <w:hideMark/>
          </w:tcPr>
          <w:p w14:paraId="0295DCCE"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4A446F07"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3E642F1F"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24707EFF"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0AC4C219"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3956FB2B"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58EE8267"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510D84D4"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0EADA9F0"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375D0566"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06A4F027"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50%</w:t>
            </w:r>
          </w:p>
        </w:tc>
      </w:tr>
      <w:tr w:rsidR="0067156B" w:rsidRPr="00BA48F1" w14:paraId="566113AD" w14:textId="77777777" w:rsidTr="0067156B">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C826E24"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BOYLSTON</w:t>
            </w:r>
          </w:p>
        </w:tc>
        <w:tc>
          <w:tcPr>
            <w:tcW w:w="0" w:type="auto"/>
            <w:tcBorders>
              <w:top w:val="nil"/>
              <w:left w:val="nil"/>
              <w:bottom w:val="single" w:sz="4" w:space="0" w:color="auto"/>
              <w:right w:val="single" w:sz="4" w:space="0" w:color="auto"/>
            </w:tcBorders>
            <w:shd w:val="clear" w:color="auto" w:fill="auto"/>
            <w:noWrap/>
            <w:vAlign w:val="bottom"/>
            <w:hideMark/>
          </w:tcPr>
          <w:p w14:paraId="72C83CEF"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144</w:t>
            </w:r>
          </w:p>
        </w:tc>
        <w:tc>
          <w:tcPr>
            <w:tcW w:w="0" w:type="auto"/>
            <w:tcBorders>
              <w:top w:val="nil"/>
              <w:left w:val="nil"/>
              <w:bottom w:val="single" w:sz="4" w:space="0" w:color="auto"/>
              <w:right w:val="single" w:sz="4" w:space="0" w:color="auto"/>
            </w:tcBorders>
            <w:shd w:val="clear" w:color="auto" w:fill="auto"/>
            <w:noWrap/>
            <w:vAlign w:val="bottom"/>
            <w:hideMark/>
          </w:tcPr>
          <w:p w14:paraId="06D68AAC"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117</w:t>
            </w:r>
          </w:p>
        </w:tc>
        <w:tc>
          <w:tcPr>
            <w:tcW w:w="0" w:type="auto"/>
            <w:tcBorders>
              <w:top w:val="nil"/>
              <w:left w:val="nil"/>
              <w:bottom w:val="single" w:sz="4" w:space="0" w:color="auto"/>
              <w:right w:val="single" w:sz="4" w:space="0" w:color="auto"/>
            </w:tcBorders>
            <w:shd w:val="clear" w:color="auto" w:fill="auto"/>
            <w:noWrap/>
            <w:vAlign w:val="bottom"/>
            <w:hideMark/>
          </w:tcPr>
          <w:p w14:paraId="6F92A70C"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81%</w:t>
            </w:r>
          </w:p>
        </w:tc>
        <w:tc>
          <w:tcPr>
            <w:tcW w:w="0" w:type="auto"/>
            <w:tcBorders>
              <w:top w:val="nil"/>
              <w:left w:val="nil"/>
              <w:bottom w:val="single" w:sz="4" w:space="0" w:color="auto"/>
              <w:right w:val="single" w:sz="4" w:space="0" w:color="auto"/>
            </w:tcBorders>
            <w:shd w:val="clear" w:color="auto" w:fill="auto"/>
            <w:noWrap/>
            <w:vAlign w:val="bottom"/>
            <w:hideMark/>
          </w:tcPr>
          <w:p w14:paraId="681F6AE6"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117</w:t>
            </w:r>
          </w:p>
        </w:tc>
        <w:tc>
          <w:tcPr>
            <w:tcW w:w="0" w:type="auto"/>
            <w:tcBorders>
              <w:top w:val="nil"/>
              <w:left w:val="nil"/>
              <w:bottom w:val="single" w:sz="4" w:space="0" w:color="auto"/>
              <w:right w:val="single" w:sz="4" w:space="0" w:color="auto"/>
            </w:tcBorders>
            <w:shd w:val="clear" w:color="auto" w:fill="auto"/>
            <w:noWrap/>
            <w:vAlign w:val="bottom"/>
            <w:hideMark/>
          </w:tcPr>
          <w:p w14:paraId="1854D6FE"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(100.0)</w:t>
            </w:r>
          </w:p>
        </w:tc>
        <w:tc>
          <w:tcPr>
            <w:tcW w:w="0" w:type="auto"/>
            <w:tcBorders>
              <w:top w:val="nil"/>
              <w:left w:val="nil"/>
              <w:bottom w:val="single" w:sz="4" w:space="0" w:color="auto"/>
              <w:right w:val="single" w:sz="4" w:space="0" w:color="auto"/>
            </w:tcBorders>
            <w:shd w:val="clear" w:color="auto" w:fill="auto"/>
            <w:noWrap/>
            <w:vAlign w:val="bottom"/>
            <w:hideMark/>
          </w:tcPr>
          <w:p w14:paraId="09C89529"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6F0EF2ED"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2B8A4E4F"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73EAE8DD"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15F46105"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5B3AC4AC"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7897DBBD"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74D5D905"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4AF37C4B"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79F41D3D"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25129EC1"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55%</w:t>
            </w:r>
          </w:p>
        </w:tc>
      </w:tr>
      <w:tr w:rsidR="0067156B" w:rsidRPr="00BA48F1" w14:paraId="0F031F76" w14:textId="77777777" w:rsidTr="0067156B">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53CAB36"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BRAINTREE</w:t>
            </w:r>
          </w:p>
        </w:tc>
        <w:tc>
          <w:tcPr>
            <w:tcW w:w="0" w:type="auto"/>
            <w:tcBorders>
              <w:top w:val="nil"/>
              <w:left w:val="nil"/>
              <w:bottom w:val="single" w:sz="4" w:space="0" w:color="auto"/>
              <w:right w:val="single" w:sz="4" w:space="0" w:color="auto"/>
            </w:tcBorders>
            <w:shd w:val="clear" w:color="auto" w:fill="auto"/>
            <w:noWrap/>
            <w:vAlign w:val="bottom"/>
            <w:hideMark/>
          </w:tcPr>
          <w:p w14:paraId="63812EE0"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1,518</w:t>
            </w:r>
          </w:p>
        </w:tc>
        <w:tc>
          <w:tcPr>
            <w:tcW w:w="0" w:type="auto"/>
            <w:tcBorders>
              <w:top w:val="nil"/>
              <w:left w:val="nil"/>
              <w:bottom w:val="single" w:sz="4" w:space="0" w:color="auto"/>
              <w:right w:val="single" w:sz="4" w:space="0" w:color="auto"/>
            </w:tcBorders>
            <w:shd w:val="clear" w:color="auto" w:fill="auto"/>
            <w:noWrap/>
            <w:vAlign w:val="bottom"/>
            <w:hideMark/>
          </w:tcPr>
          <w:p w14:paraId="6DF035AB"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891</w:t>
            </w:r>
          </w:p>
        </w:tc>
        <w:tc>
          <w:tcPr>
            <w:tcW w:w="0" w:type="auto"/>
            <w:tcBorders>
              <w:top w:val="nil"/>
              <w:left w:val="nil"/>
              <w:bottom w:val="single" w:sz="4" w:space="0" w:color="auto"/>
              <w:right w:val="single" w:sz="4" w:space="0" w:color="auto"/>
            </w:tcBorders>
            <w:shd w:val="clear" w:color="auto" w:fill="auto"/>
            <w:noWrap/>
            <w:vAlign w:val="bottom"/>
            <w:hideMark/>
          </w:tcPr>
          <w:p w14:paraId="3347C959"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59%</w:t>
            </w:r>
          </w:p>
        </w:tc>
        <w:tc>
          <w:tcPr>
            <w:tcW w:w="0" w:type="auto"/>
            <w:tcBorders>
              <w:top w:val="nil"/>
              <w:left w:val="nil"/>
              <w:bottom w:val="single" w:sz="4" w:space="0" w:color="auto"/>
              <w:right w:val="single" w:sz="4" w:space="0" w:color="auto"/>
            </w:tcBorders>
            <w:shd w:val="clear" w:color="auto" w:fill="auto"/>
            <w:noWrap/>
            <w:vAlign w:val="bottom"/>
            <w:hideMark/>
          </w:tcPr>
          <w:p w14:paraId="64042848"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885</w:t>
            </w:r>
          </w:p>
        </w:tc>
        <w:tc>
          <w:tcPr>
            <w:tcW w:w="0" w:type="auto"/>
            <w:tcBorders>
              <w:top w:val="nil"/>
              <w:left w:val="nil"/>
              <w:bottom w:val="single" w:sz="4" w:space="0" w:color="auto"/>
              <w:right w:val="single" w:sz="4" w:space="0" w:color="auto"/>
            </w:tcBorders>
            <w:shd w:val="clear" w:color="auto" w:fill="auto"/>
            <w:noWrap/>
            <w:vAlign w:val="bottom"/>
            <w:hideMark/>
          </w:tcPr>
          <w:p w14:paraId="0E8A40E7"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(99.3)</w:t>
            </w:r>
          </w:p>
        </w:tc>
        <w:tc>
          <w:tcPr>
            <w:tcW w:w="0" w:type="auto"/>
            <w:tcBorders>
              <w:top w:val="nil"/>
              <w:left w:val="nil"/>
              <w:bottom w:val="single" w:sz="4" w:space="0" w:color="auto"/>
              <w:right w:val="single" w:sz="4" w:space="0" w:color="auto"/>
            </w:tcBorders>
            <w:shd w:val="clear" w:color="auto" w:fill="auto"/>
            <w:noWrap/>
            <w:vAlign w:val="bottom"/>
            <w:hideMark/>
          </w:tcPr>
          <w:p w14:paraId="68E8A339"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6</w:t>
            </w:r>
          </w:p>
        </w:tc>
        <w:tc>
          <w:tcPr>
            <w:tcW w:w="0" w:type="auto"/>
            <w:tcBorders>
              <w:top w:val="nil"/>
              <w:left w:val="nil"/>
              <w:bottom w:val="single" w:sz="4" w:space="0" w:color="auto"/>
              <w:right w:val="single" w:sz="4" w:space="0" w:color="auto"/>
            </w:tcBorders>
            <w:shd w:val="clear" w:color="auto" w:fill="auto"/>
            <w:noWrap/>
            <w:vAlign w:val="bottom"/>
            <w:hideMark/>
          </w:tcPr>
          <w:p w14:paraId="3FCAC296"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(0.7)</w:t>
            </w:r>
          </w:p>
        </w:tc>
        <w:tc>
          <w:tcPr>
            <w:tcW w:w="0" w:type="auto"/>
            <w:tcBorders>
              <w:top w:val="nil"/>
              <w:left w:val="nil"/>
              <w:bottom w:val="single" w:sz="4" w:space="0" w:color="auto"/>
              <w:right w:val="single" w:sz="4" w:space="0" w:color="auto"/>
            </w:tcBorders>
            <w:shd w:val="clear" w:color="auto" w:fill="auto"/>
            <w:noWrap/>
            <w:vAlign w:val="bottom"/>
            <w:hideMark/>
          </w:tcPr>
          <w:p w14:paraId="6097B827"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37808AD5"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595ADEF9"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0E28EF3F"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536EEFDE"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61F50963"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107610D5"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1C706424"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1EBE8BBA"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74%</w:t>
            </w:r>
          </w:p>
        </w:tc>
      </w:tr>
      <w:tr w:rsidR="0067156B" w:rsidRPr="00BA48F1" w14:paraId="3D02E5A8" w14:textId="77777777" w:rsidTr="0067156B">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5DAB0E3"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BREWSTER</w:t>
            </w:r>
          </w:p>
        </w:tc>
        <w:tc>
          <w:tcPr>
            <w:tcW w:w="0" w:type="auto"/>
            <w:tcBorders>
              <w:top w:val="nil"/>
              <w:left w:val="nil"/>
              <w:bottom w:val="single" w:sz="4" w:space="0" w:color="auto"/>
              <w:right w:val="single" w:sz="4" w:space="0" w:color="auto"/>
            </w:tcBorders>
            <w:shd w:val="clear" w:color="auto" w:fill="auto"/>
            <w:noWrap/>
            <w:vAlign w:val="bottom"/>
            <w:hideMark/>
          </w:tcPr>
          <w:p w14:paraId="31C09EBA"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197</w:t>
            </w:r>
          </w:p>
        </w:tc>
        <w:tc>
          <w:tcPr>
            <w:tcW w:w="0" w:type="auto"/>
            <w:tcBorders>
              <w:top w:val="nil"/>
              <w:left w:val="nil"/>
              <w:bottom w:val="single" w:sz="4" w:space="0" w:color="auto"/>
              <w:right w:val="single" w:sz="4" w:space="0" w:color="auto"/>
            </w:tcBorders>
            <w:shd w:val="clear" w:color="auto" w:fill="auto"/>
            <w:noWrap/>
            <w:vAlign w:val="bottom"/>
            <w:hideMark/>
          </w:tcPr>
          <w:p w14:paraId="45960A21"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92</w:t>
            </w:r>
          </w:p>
        </w:tc>
        <w:tc>
          <w:tcPr>
            <w:tcW w:w="0" w:type="auto"/>
            <w:tcBorders>
              <w:top w:val="nil"/>
              <w:left w:val="nil"/>
              <w:bottom w:val="single" w:sz="4" w:space="0" w:color="auto"/>
              <w:right w:val="single" w:sz="4" w:space="0" w:color="auto"/>
            </w:tcBorders>
            <w:shd w:val="clear" w:color="auto" w:fill="auto"/>
            <w:noWrap/>
            <w:vAlign w:val="bottom"/>
            <w:hideMark/>
          </w:tcPr>
          <w:p w14:paraId="280F758C"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47%</w:t>
            </w:r>
          </w:p>
        </w:tc>
        <w:tc>
          <w:tcPr>
            <w:tcW w:w="0" w:type="auto"/>
            <w:tcBorders>
              <w:top w:val="nil"/>
              <w:left w:val="nil"/>
              <w:bottom w:val="single" w:sz="4" w:space="0" w:color="auto"/>
              <w:right w:val="single" w:sz="4" w:space="0" w:color="auto"/>
            </w:tcBorders>
            <w:shd w:val="clear" w:color="auto" w:fill="auto"/>
            <w:noWrap/>
            <w:vAlign w:val="bottom"/>
            <w:hideMark/>
          </w:tcPr>
          <w:p w14:paraId="741D425D"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92</w:t>
            </w:r>
          </w:p>
        </w:tc>
        <w:tc>
          <w:tcPr>
            <w:tcW w:w="0" w:type="auto"/>
            <w:tcBorders>
              <w:top w:val="nil"/>
              <w:left w:val="nil"/>
              <w:bottom w:val="single" w:sz="4" w:space="0" w:color="auto"/>
              <w:right w:val="single" w:sz="4" w:space="0" w:color="auto"/>
            </w:tcBorders>
            <w:shd w:val="clear" w:color="auto" w:fill="auto"/>
            <w:noWrap/>
            <w:vAlign w:val="bottom"/>
            <w:hideMark/>
          </w:tcPr>
          <w:p w14:paraId="2187E711"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(100.0)</w:t>
            </w:r>
          </w:p>
        </w:tc>
        <w:tc>
          <w:tcPr>
            <w:tcW w:w="0" w:type="auto"/>
            <w:tcBorders>
              <w:top w:val="nil"/>
              <w:left w:val="nil"/>
              <w:bottom w:val="single" w:sz="4" w:space="0" w:color="auto"/>
              <w:right w:val="single" w:sz="4" w:space="0" w:color="auto"/>
            </w:tcBorders>
            <w:shd w:val="clear" w:color="auto" w:fill="auto"/>
            <w:noWrap/>
            <w:vAlign w:val="bottom"/>
            <w:hideMark/>
          </w:tcPr>
          <w:p w14:paraId="75B8459F"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3953EBC9"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63893DC8"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2314119A"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53F402A8"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5316CC55"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2CA9C8E6"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088CE83D"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20B626FB"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07023537"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7AC04423"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39%</w:t>
            </w:r>
          </w:p>
        </w:tc>
      </w:tr>
      <w:tr w:rsidR="0067156B" w:rsidRPr="00BA48F1" w14:paraId="4A702F11" w14:textId="77777777" w:rsidTr="0067156B">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3312A16"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BRIDGEWATER</w:t>
            </w:r>
          </w:p>
        </w:tc>
        <w:tc>
          <w:tcPr>
            <w:tcW w:w="0" w:type="auto"/>
            <w:tcBorders>
              <w:top w:val="nil"/>
              <w:left w:val="nil"/>
              <w:bottom w:val="single" w:sz="4" w:space="0" w:color="auto"/>
              <w:right w:val="single" w:sz="4" w:space="0" w:color="auto"/>
            </w:tcBorders>
            <w:shd w:val="clear" w:color="auto" w:fill="auto"/>
            <w:noWrap/>
            <w:vAlign w:val="bottom"/>
            <w:hideMark/>
          </w:tcPr>
          <w:p w14:paraId="00284F7C"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799</w:t>
            </w:r>
          </w:p>
        </w:tc>
        <w:tc>
          <w:tcPr>
            <w:tcW w:w="0" w:type="auto"/>
            <w:tcBorders>
              <w:top w:val="nil"/>
              <w:left w:val="nil"/>
              <w:bottom w:val="single" w:sz="4" w:space="0" w:color="auto"/>
              <w:right w:val="single" w:sz="4" w:space="0" w:color="auto"/>
            </w:tcBorders>
            <w:shd w:val="clear" w:color="auto" w:fill="auto"/>
            <w:noWrap/>
            <w:vAlign w:val="bottom"/>
            <w:hideMark/>
          </w:tcPr>
          <w:p w14:paraId="257DF215"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670</w:t>
            </w:r>
          </w:p>
        </w:tc>
        <w:tc>
          <w:tcPr>
            <w:tcW w:w="0" w:type="auto"/>
            <w:tcBorders>
              <w:top w:val="nil"/>
              <w:left w:val="nil"/>
              <w:bottom w:val="single" w:sz="4" w:space="0" w:color="auto"/>
              <w:right w:val="single" w:sz="4" w:space="0" w:color="auto"/>
            </w:tcBorders>
            <w:shd w:val="clear" w:color="auto" w:fill="auto"/>
            <w:noWrap/>
            <w:vAlign w:val="bottom"/>
            <w:hideMark/>
          </w:tcPr>
          <w:p w14:paraId="6BBCE5A5"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84%</w:t>
            </w:r>
          </w:p>
        </w:tc>
        <w:tc>
          <w:tcPr>
            <w:tcW w:w="0" w:type="auto"/>
            <w:tcBorders>
              <w:top w:val="nil"/>
              <w:left w:val="nil"/>
              <w:bottom w:val="single" w:sz="4" w:space="0" w:color="auto"/>
              <w:right w:val="single" w:sz="4" w:space="0" w:color="auto"/>
            </w:tcBorders>
            <w:shd w:val="clear" w:color="auto" w:fill="auto"/>
            <w:noWrap/>
            <w:vAlign w:val="bottom"/>
            <w:hideMark/>
          </w:tcPr>
          <w:p w14:paraId="48C2E73F"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669</w:t>
            </w:r>
          </w:p>
        </w:tc>
        <w:tc>
          <w:tcPr>
            <w:tcW w:w="0" w:type="auto"/>
            <w:tcBorders>
              <w:top w:val="nil"/>
              <w:left w:val="nil"/>
              <w:bottom w:val="single" w:sz="4" w:space="0" w:color="auto"/>
              <w:right w:val="single" w:sz="4" w:space="0" w:color="auto"/>
            </w:tcBorders>
            <w:shd w:val="clear" w:color="auto" w:fill="auto"/>
            <w:noWrap/>
            <w:vAlign w:val="bottom"/>
            <w:hideMark/>
          </w:tcPr>
          <w:p w14:paraId="782E42E9"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(99.9)</w:t>
            </w:r>
          </w:p>
        </w:tc>
        <w:tc>
          <w:tcPr>
            <w:tcW w:w="0" w:type="auto"/>
            <w:tcBorders>
              <w:top w:val="nil"/>
              <w:left w:val="nil"/>
              <w:bottom w:val="single" w:sz="4" w:space="0" w:color="auto"/>
              <w:right w:val="single" w:sz="4" w:space="0" w:color="auto"/>
            </w:tcBorders>
            <w:shd w:val="clear" w:color="auto" w:fill="auto"/>
            <w:noWrap/>
            <w:vAlign w:val="bottom"/>
            <w:hideMark/>
          </w:tcPr>
          <w:p w14:paraId="21C9DB7C"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57F5DAD1"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0DD87BAA"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450CE646"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1AEAEA24"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41253155"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4AE263F1"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6A20FB20"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0E4EEE05"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050DDECE"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00294607"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51%</w:t>
            </w:r>
          </w:p>
        </w:tc>
      </w:tr>
      <w:tr w:rsidR="0067156B" w:rsidRPr="00BA48F1" w14:paraId="29AF81AA" w14:textId="77777777" w:rsidTr="0067156B">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CCA85AE"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BRIMFIELD</w:t>
            </w:r>
          </w:p>
        </w:tc>
        <w:tc>
          <w:tcPr>
            <w:tcW w:w="0" w:type="auto"/>
            <w:tcBorders>
              <w:top w:val="nil"/>
              <w:left w:val="nil"/>
              <w:bottom w:val="single" w:sz="4" w:space="0" w:color="auto"/>
              <w:right w:val="single" w:sz="4" w:space="0" w:color="auto"/>
            </w:tcBorders>
            <w:shd w:val="clear" w:color="auto" w:fill="auto"/>
            <w:noWrap/>
            <w:vAlign w:val="bottom"/>
            <w:hideMark/>
          </w:tcPr>
          <w:p w14:paraId="107738A9"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90</w:t>
            </w:r>
          </w:p>
        </w:tc>
        <w:tc>
          <w:tcPr>
            <w:tcW w:w="0" w:type="auto"/>
            <w:tcBorders>
              <w:top w:val="nil"/>
              <w:left w:val="nil"/>
              <w:bottom w:val="single" w:sz="4" w:space="0" w:color="auto"/>
              <w:right w:val="single" w:sz="4" w:space="0" w:color="auto"/>
            </w:tcBorders>
            <w:shd w:val="clear" w:color="auto" w:fill="auto"/>
            <w:noWrap/>
            <w:vAlign w:val="bottom"/>
            <w:hideMark/>
          </w:tcPr>
          <w:p w14:paraId="48C553B5"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57</w:t>
            </w:r>
          </w:p>
        </w:tc>
        <w:tc>
          <w:tcPr>
            <w:tcW w:w="0" w:type="auto"/>
            <w:tcBorders>
              <w:top w:val="nil"/>
              <w:left w:val="nil"/>
              <w:bottom w:val="single" w:sz="4" w:space="0" w:color="auto"/>
              <w:right w:val="single" w:sz="4" w:space="0" w:color="auto"/>
            </w:tcBorders>
            <w:shd w:val="clear" w:color="auto" w:fill="auto"/>
            <w:noWrap/>
            <w:vAlign w:val="bottom"/>
            <w:hideMark/>
          </w:tcPr>
          <w:p w14:paraId="552915F4"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63%</w:t>
            </w:r>
          </w:p>
        </w:tc>
        <w:tc>
          <w:tcPr>
            <w:tcW w:w="0" w:type="auto"/>
            <w:tcBorders>
              <w:top w:val="nil"/>
              <w:left w:val="nil"/>
              <w:bottom w:val="single" w:sz="4" w:space="0" w:color="auto"/>
              <w:right w:val="single" w:sz="4" w:space="0" w:color="auto"/>
            </w:tcBorders>
            <w:shd w:val="clear" w:color="auto" w:fill="auto"/>
            <w:noWrap/>
            <w:vAlign w:val="bottom"/>
            <w:hideMark/>
          </w:tcPr>
          <w:p w14:paraId="243C0B42"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57</w:t>
            </w:r>
          </w:p>
        </w:tc>
        <w:tc>
          <w:tcPr>
            <w:tcW w:w="0" w:type="auto"/>
            <w:tcBorders>
              <w:top w:val="nil"/>
              <w:left w:val="nil"/>
              <w:bottom w:val="single" w:sz="4" w:space="0" w:color="auto"/>
              <w:right w:val="single" w:sz="4" w:space="0" w:color="auto"/>
            </w:tcBorders>
            <w:shd w:val="clear" w:color="auto" w:fill="auto"/>
            <w:noWrap/>
            <w:vAlign w:val="bottom"/>
            <w:hideMark/>
          </w:tcPr>
          <w:p w14:paraId="2E889FBF"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(100.0)</w:t>
            </w:r>
          </w:p>
        </w:tc>
        <w:tc>
          <w:tcPr>
            <w:tcW w:w="0" w:type="auto"/>
            <w:tcBorders>
              <w:top w:val="nil"/>
              <w:left w:val="nil"/>
              <w:bottom w:val="single" w:sz="4" w:space="0" w:color="auto"/>
              <w:right w:val="single" w:sz="4" w:space="0" w:color="auto"/>
            </w:tcBorders>
            <w:shd w:val="clear" w:color="auto" w:fill="auto"/>
            <w:noWrap/>
            <w:vAlign w:val="bottom"/>
            <w:hideMark/>
          </w:tcPr>
          <w:p w14:paraId="4A6521C7"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24CD9C65"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7EF5A501"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30C82128"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08ACD6DF"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69BBEC98"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69707D46"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1B82E283"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07388DA4"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1F9E7C16"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1E0B119D"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46%</w:t>
            </w:r>
          </w:p>
        </w:tc>
      </w:tr>
      <w:tr w:rsidR="0067156B" w:rsidRPr="00BA48F1" w14:paraId="40F97E23" w14:textId="77777777" w:rsidTr="0067156B">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D0E1120"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BROCKTON</w:t>
            </w:r>
          </w:p>
        </w:tc>
        <w:tc>
          <w:tcPr>
            <w:tcW w:w="0" w:type="auto"/>
            <w:tcBorders>
              <w:top w:val="nil"/>
              <w:left w:val="nil"/>
              <w:bottom w:val="single" w:sz="4" w:space="0" w:color="auto"/>
              <w:right w:val="single" w:sz="4" w:space="0" w:color="auto"/>
            </w:tcBorders>
            <w:shd w:val="clear" w:color="auto" w:fill="auto"/>
            <w:noWrap/>
            <w:vAlign w:val="bottom"/>
            <w:hideMark/>
          </w:tcPr>
          <w:p w14:paraId="2FB3E592"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4,691</w:t>
            </w:r>
          </w:p>
        </w:tc>
        <w:tc>
          <w:tcPr>
            <w:tcW w:w="0" w:type="auto"/>
            <w:tcBorders>
              <w:top w:val="nil"/>
              <w:left w:val="nil"/>
              <w:bottom w:val="single" w:sz="4" w:space="0" w:color="auto"/>
              <w:right w:val="single" w:sz="4" w:space="0" w:color="auto"/>
            </w:tcBorders>
            <w:shd w:val="clear" w:color="auto" w:fill="auto"/>
            <w:noWrap/>
            <w:vAlign w:val="bottom"/>
            <w:hideMark/>
          </w:tcPr>
          <w:p w14:paraId="237AEFED"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3,084</w:t>
            </w:r>
          </w:p>
        </w:tc>
        <w:tc>
          <w:tcPr>
            <w:tcW w:w="0" w:type="auto"/>
            <w:tcBorders>
              <w:top w:val="nil"/>
              <w:left w:val="nil"/>
              <w:bottom w:val="single" w:sz="4" w:space="0" w:color="auto"/>
              <w:right w:val="single" w:sz="4" w:space="0" w:color="auto"/>
            </w:tcBorders>
            <w:shd w:val="clear" w:color="auto" w:fill="auto"/>
            <w:noWrap/>
            <w:vAlign w:val="bottom"/>
            <w:hideMark/>
          </w:tcPr>
          <w:p w14:paraId="3E53216D"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66%</w:t>
            </w:r>
          </w:p>
        </w:tc>
        <w:tc>
          <w:tcPr>
            <w:tcW w:w="0" w:type="auto"/>
            <w:tcBorders>
              <w:top w:val="nil"/>
              <w:left w:val="nil"/>
              <w:bottom w:val="single" w:sz="4" w:space="0" w:color="auto"/>
              <w:right w:val="single" w:sz="4" w:space="0" w:color="auto"/>
            </w:tcBorders>
            <w:shd w:val="clear" w:color="auto" w:fill="auto"/>
            <w:noWrap/>
            <w:vAlign w:val="bottom"/>
            <w:hideMark/>
          </w:tcPr>
          <w:p w14:paraId="163633A2"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2,958</w:t>
            </w:r>
          </w:p>
        </w:tc>
        <w:tc>
          <w:tcPr>
            <w:tcW w:w="0" w:type="auto"/>
            <w:tcBorders>
              <w:top w:val="nil"/>
              <w:left w:val="nil"/>
              <w:bottom w:val="single" w:sz="4" w:space="0" w:color="auto"/>
              <w:right w:val="single" w:sz="4" w:space="0" w:color="auto"/>
            </w:tcBorders>
            <w:shd w:val="clear" w:color="auto" w:fill="auto"/>
            <w:noWrap/>
            <w:vAlign w:val="bottom"/>
            <w:hideMark/>
          </w:tcPr>
          <w:p w14:paraId="386789F2"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(95.9)</w:t>
            </w:r>
          </w:p>
        </w:tc>
        <w:tc>
          <w:tcPr>
            <w:tcW w:w="0" w:type="auto"/>
            <w:tcBorders>
              <w:top w:val="nil"/>
              <w:left w:val="nil"/>
              <w:bottom w:val="single" w:sz="4" w:space="0" w:color="auto"/>
              <w:right w:val="single" w:sz="4" w:space="0" w:color="auto"/>
            </w:tcBorders>
            <w:shd w:val="clear" w:color="auto" w:fill="auto"/>
            <w:noWrap/>
            <w:vAlign w:val="bottom"/>
            <w:hideMark/>
          </w:tcPr>
          <w:p w14:paraId="7723D650"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94</w:t>
            </w:r>
          </w:p>
        </w:tc>
        <w:tc>
          <w:tcPr>
            <w:tcW w:w="0" w:type="auto"/>
            <w:tcBorders>
              <w:top w:val="nil"/>
              <w:left w:val="nil"/>
              <w:bottom w:val="single" w:sz="4" w:space="0" w:color="auto"/>
              <w:right w:val="single" w:sz="4" w:space="0" w:color="auto"/>
            </w:tcBorders>
            <w:shd w:val="clear" w:color="auto" w:fill="auto"/>
            <w:noWrap/>
            <w:vAlign w:val="bottom"/>
            <w:hideMark/>
          </w:tcPr>
          <w:p w14:paraId="34E1AD41"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(3.0)</w:t>
            </w:r>
          </w:p>
        </w:tc>
        <w:tc>
          <w:tcPr>
            <w:tcW w:w="0" w:type="auto"/>
            <w:tcBorders>
              <w:top w:val="nil"/>
              <w:left w:val="nil"/>
              <w:bottom w:val="single" w:sz="4" w:space="0" w:color="auto"/>
              <w:right w:val="single" w:sz="4" w:space="0" w:color="auto"/>
            </w:tcBorders>
            <w:shd w:val="clear" w:color="auto" w:fill="auto"/>
            <w:noWrap/>
            <w:vAlign w:val="bottom"/>
            <w:hideMark/>
          </w:tcPr>
          <w:p w14:paraId="50C0698F"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28</w:t>
            </w:r>
          </w:p>
        </w:tc>
        <w:tc>
          <w:tcPr>
            <w:tcW w:w="0" w:type="auto"/>
            <w:tcBorders>
              <w:top w:val="nil"/>
              <w:left w:val="nil"/>
              <w:bottom w:val="single" w:sz="4" w:space="0" w:color="auto"/>
              <w:right w:val="single" w:sz="4" w:space="0" w:color="auto"/>
            </w:tcBorders>
            <w:shd w:val="clear" w:color="auto" w:fill="auto"/>
            <w:noWrap/>
            <w:vAlign w:val="bottom"/>
            <w:hideMark/>
          </w:tcPr>
          <w:p w14:paraId="009E6FB7"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(0.9)</w:t>
            </w:r>
          </w:p>
        </w:tc>
        <w:tc>
          <w:tcPr>
            <w:tcW w:w="0" w:type="auto"/>
            <w:tcBorders>
              <w:top w:val="nil"/>
              <w:left w:val="nil"/>
              <w:bottom w:val="single" w:sz="4" w:space="0" w:color="auto"/>
              <w:right w:val="single" w:sz="4" w:space="0" w:color="auto"/>
            </w:tcBorders>
            <w:shd w:val="clear" w:color="auto" w:fill="auto"/>
            <w:noWrap/>
            <w:vAlign w:val="bottom"/>
            <w:hideMark/>
          </w:tcPr>
          <w:p w14:paraId="59306E02"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4</w:t>
            </w:r>
          </w:p>
        </w:tc>
        <w:tc>
          <w:tcPr>
            <w:tcW w:w="0" w:type="auto"/>
            <w:tcBorders>
              <w:top w:val="nil"/>
              <w:left w:val="nil"/>
              <w:bottom w:val="single" w:sz="4" w:space="0" w:color="auto"/>
              <w:right w:val="single" w:sz="4" w:space="0" w:color="auto"/>
            </w:tcBorders>
            <w:shd w:val="clear" w:color="auto" w:fill="auto"/>
            <w:noWrap/>
            <w:vAlign w:val="bottom"/>
            <w:hideMark/>
          </w:tcPr>
          <w:p w14:paraId="31F93B37"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(0.1)</w:t>
            </w:r>
          </w:p>
        </w:tc>
        <w:tc>
          <w:tcPr>
            <w:tcW w:w="0" w:type="auto"/>
            <w:tcBorders>
              <w:top w:val="nil"/>
              <w:left w:val="nil"/>
              <w:bottom w:val="single" w:sz="4" w:space="0" w:color="auto"/>
              <w:right w:val="single" w:sz="4" w:space="0" w:color="auto"/>
            </w:tcBorders>
            <w:shd w:val="clear" w:color="auto" w:fill="auto"/>
            <w:noWrap/>
            <w:vAlign w:val="bottom"/>
            <w:hideMark/>
          </w:tcPr>
          <w:p w14:paraId="41616EEB"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113</w:t>
            </w:r>
          </w:p>
        </w:tc>
        <w:tc>
          <w:tcPr>
            <w:tcW w:w="0" w:type="auto"/>
            <w:tcBorders>
              <w:top w:val="nil"/>
              <w:left w:val="nil"/>
              <w:bottom w:val="single" w:sz="4" w:space="0" w:color="auto"/>
              <w:right w:val="single" w:sz="4" w:space="0" w:color="auto"/>
            </w:tcBorders>
            <w:shd w:val="clear" w:color="auto" w:fill="auto"/>
            <w:noWrap/>
            <w:vAlign w:val="bottom"/>
            <w:hideMark/>
          </w:tcPr>
          <w:p w14:paraId="51E90137"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(3.7)</w:t>
            </w:r>
          </w:p>
        </w:tc>
        <w:tc>
          <w:tcPr>
            <w:tcW w:w="0" w:type="auto"/>
            <w:tcBorders>
              <w:top w:val="nil"/>
              <w:left w:val="nil"/>
              <w:bottom w:val="single" w:sz="4" w:space="0" w:color="auto"/>
              <w:right w:val="single" w:sz="4" w:space="0" w:color="auto"/>
            </w:tcBorders>
            <w:shd w:val="clear" w:color="auto" w:fill="auto"/>
            <w:noWrap/>
            <w:vAlign w:val="bottom"/>
            <w:hideMark/>
          </w:tcPr>
          <w:p w14:paraId="72E07EA2"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29</w:t>
            </w:r>
          </w:p>
        </w:tc>
        <w:tc>
          <w:tcPr>
            <w:tcW w:w="0" w:type="auto"/>
            <w:tcBorders>
              <w:top w:val="nil"/>
              <w:left w:val="nil"/>
              <w:bottom w:val="single" w:sz="4" w:space="0" w:color="auto"/>
              <w:right w:val="single" w:sz="4" w:space="0" w:color="auto"/>
            </w:tcBorders>
            <w:shd w:val="clear" w:color="auto" w:fill="auto"/>
            <w:noWrap/>
            <w:vAlign w:val="bottom"/>
            <w:hideMark/>
          </w:tcPr>
          <w:p w14:paraId="2966FD05"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(0.9)</w:t>
            </w:r>
          </w:p>
        </w:tc>
        <w:tc>
          <w:tcPr>
            <w:tcW w:w="0" w:type="auto"/>
            <w:tcBorders>
              <w:top w:val="nil"/>
              <w:left w:val="nil"/>
              <w:bottom w:val="single" w:sz="4" w:space="0" w:color="auto"/>
              <w:right w:val="single" w:sz="4" w:space="0" w:color="auto"/>
            </w:tcBorders>
            <w:shd w:val="clear" w:color="auto" w:fill="auto"/>
            <w:noWrap/>
            <w:vAlign w:val="bottom"/>
            <w:hideMark/>
          </w:tcPr>
          <w:p w14:paraId="6F057F82"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82%</w:t>
            </w:r>
          </w:p>
        </w:tc>
      </w:tr>
      <w:tr w:rsidR="0067156B" w:rsidRPr="00BA48F1" w14:paraId="64BE4242" w14:textId="77777777" w:rsidTr="0067156B">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E68CB5F"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BROOKFIELD</w:t>
            </w:r>
          </w:p>
        </w:tc>
        <w:tc>
          <w:tcPr>
            <w:tcW w:w="0" w:type="auto"/>
            <w:tcBorders>
              <w:top w:val="nil"/>
              <w:left w:val="nil"/>
              <w:bottom w:val="single" w:sz="4" w:space="0" w:color="auto"/>
              <w:right w:val="single" w:sz="4" w:space="0" w:color="auto"/>
            </w:tcBorders>
            <w:shd w:val="clear" w:color="auto" w:fill="auto"/>
            <w:noWrap/>
            <w:vAlign w:val="bottom"/>
            <w:hideMark/>
          </w:tcPr>
          <w:p w14:paraId="554EE05D"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110</w:t>
            </w:r>
          </w:p>
        </w:tc>
        <w:tc>
          <w:tcPr>
            <w:tcW w:w="0" w:type="auto"/>
            <w:tcBorders>
              <w:top w:val="nil"/>
              <w:left w:val="nil"/>
              <w:bottom w:val="single" w:sz="4" w:space="0" w:color="auto"/>
              <w:right w:val="single" w:sz="4" w:space="0" w:color="auto"/>
            </w:tcBorders>
            <w:shd w:val="clear" w:color="auto" w:fill="auto"/>
            <w:noWrap/>
            <w:vAlign w:val="bottom"/>
            <w:hideMark/>
          </w:tcPr>
          <w:p w14:paraId="4E023C5B"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53</w:t>
            </w:r>
          </w:p>
        </w:tc>
        <w:tc>
          <w:tcPr>
            <w:tcW w:w="0" w:type="auto"/>
            <w:tcBorders>
              <w:top w:val="nil"/>
              <w:left w:val="nil"/>
              <w:bottom w:val="single" w:sz="4" w:space="0" w:color="auto"/>
              <w:right w:val="single" w:sz="4" w:space="0" w:color="auto"/>
            </w:tcBorders>
            <w:shd w:val="clear" w:color="auto" w:fill="auto"/>
            <w:noWrap/>
            <w:vAlign w:val="bottom"/>
            <w:hideMark/>
          </w:tcPr>
          <w:p w14:paraId="46D25077"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48%</w:t>
            </w:r>
          </w:p>
        </w:tc>
        <w:tc>
          <w:tcPr>
            <w:tcW w:w="0" w:type="auto"/>
            <w:tcBorders>
              <w:top w:val="nil"/>
              <w:left w:val="nil"/>
              <w:bottom w:val="single" w:sz="4" w:space="0" w:color="auto"/>
              <w:right w:val="single" w:sz="4" w:space="0" w:color="auto"/>
            </w:tcBorders>
            <w:shd w:val="clear" w:color="auto" w:fill="auto"/>
            <w:noWrap/>
            <w:vAlign w:val="bottom"/>
            <w:hideMark/>
          </w:tcPr>
          <w:p w14:paraId="0D65C42B"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52</w:t>
            </w:r>
          </w:p>
        </w:tc>
        <w:tc>
          <w:tcPr>
            <w:tcW w:w="0" w:type="auto"/>
            <w:tcBorders>
              <w:top w:val="nil"/>
              <w:left w:val="nil"/>
              <w:bottom w:val="single" w:sz="4" w:space="0" w:color="auto"/>
              <w:right w:val="single" w:sz="4" w:space="0" w:color="auto"/>
            </w:tcBorders>
            <w:shd w:val="clear" w:color="auto" w:fill="auto"/>
            <w:noWrap/>
            <w:vAlign w:val="bottom"/>
            <w:hideMark/>
          </w:tcPr>
          <w:p w14:paraId="14235E6B"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(98.1)</w:t>
            </w:r>
          </w:p>
        </w:tc>
        <w:tc>
          <w:tcPr>
            <w:tcW w:w="0" w:type="auto"/>
            <w:tcBorders>
              <w:top w:val="nil"/>
              <w:left w:val="nil"/>
              <w:bottom w:val="single" w:sz="4" w:space="0" w:color="auto"/>
              <w:right w:val="single" w:sz="4" w:space="0" w:color="auto"/>
            </w:tcBorders>
            <w:shd w:val="clear" w:color="auto" w:fill="auto"/>
            <w:noWrap/>
            <w:vAlign w:val="bottom"/>
            <w:hideMark/>
          </w:tcPr>
          <w:p w14:paraId="2BE9FC93"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4A8B54BD"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5E3EBF7C"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2844D64F"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73DE5B81"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346956A8"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482E28FF"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2DE7A0CB"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2A1063A3"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51CB4087"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7D774C7D"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52%</w:t>
            </w:r>
          </w:p>
        </w:tc>
      </w:tr>
      <w:tr w:rsidR="0067156B" w:rsidRPr="00BA48F1" w14:paraId="26612301" w14:textId="77777777" w:rsidTr="0067156B">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200B8B6"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BROOKLINE</w:t>
            </w:r>
          </w:p>
        </w:tc>
        <w:tc>
          <w:tcPr>
            <w:tcW w:w="0" w:type="auto"/>
            <w:tcBorders>
              <w:top w:val="nil"/>
              <w:left w:val="nil"/>
              <w:bottom w:val="single" w:sz="4" w:space="0" w:color="auto"/>
              <w:right w:val="single" w:sz="4" w:space="0" w:color="auto"/>
            </w:tcBorders>
            <w:shd w:val="clear" w:color="auto" w:fill="auto"/>
            <w:noWrap/>
            <w:vAlign w:val="bottom"/>
            <w:hideMark/>
          </w:tcPr>
          <w:p w14:paraId="20BB1D0C"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2,312</w:t>
            </w:r>
          </w:p>
        </w:tc>
        <w:tc>
          <w:tcPr>
            <w:tcW w:w="0" w:type="auto"/>
            <w:tcBorders>
              <w:top w:val="nil"/>
              <w:left w:val="nil"/>
              <w:bottom w:val="single" w:sz="4" w:space="0" w:color="auto"/>
              <w:right w:val="single" w:sz="4" w:space="0" w:color="auto"/>
            </w:tcBorders>
            <w:shd w:val="clear" w:color="auto" w:fill="auto"/>
            <w:noWrap/>
            <w:vAlign w:val="bottom"/>
            <w:hideMark/>
          </w:tcPr>
          <w:p w14:paraId="455623CF"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1,236</w:t>
            </w:r>
          </w:p>
        </w:tc>
        <w:tc>
          <w:tcPr>
            <w:tcW w:w="0" w:type="auto"/>
            <w:tcBorders>
              <w:top w:val="nil"/>
              <w:left w:val="nil"/>
              <w:bottom w:val="single" w:sz="4" w:space="0" w:color="auto"/>
              <w:right w:val="single" w:sz="4" w:space="0" w:color="auto"/>
            </w:tcBorders>
            <w:shd w:val="clear" w:color="auto" w:fill="auto"/>
            <w:noWrap/>
            <w:vAlign w:val="bottom"/>
            <w:hideMark/>
          </w:tcPr>
          <w:p w14:paraId="14A89CDC"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53%</w:t>
            </w:r>
          </w:p>
        </w:tc>
        <w:tc>
          <w:tcPr>
            <w:tcW w:w="0" w:type="auto"/>
            <w:tcBorders>
              <w:top w:val="nil"/>
              <w:left w:val="nil"/>
              <w:bottom w:val="single" w:sz="4" w:space="0" w:color="auto"/>
              <w:right w:val="single" w:sz="4" w:space="0" w:color="auto"/>
            </w:tcBorders>
            <w:shd w:val="clear" w:color="auto" w:fill="auto"/>
            <w:noWrap/>
            <w:vAlign w:val="bottom"/>
            <w:hideMark/>
          </w:tcPr>
          <w:p w14:paraId="2396638A"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1,226</w:t>
            </w:r>
          </w:p>
        </w:tc>
        <w:tc>
          <w:tcPr>
            <w:tcW w:w="0" w:type="auto"/>
            <w:tcBorders>
              <w:top w:val="nil"/>
              <w:left w:val="nil"/>
              <w:bottom w:val="single" w:sz="4" w:space="0" w:color="auto"/>
              <w:right w:val="single" w:sz="4" w:space="0" w:color="auto"/>
            </w:tcBorders>
            <w:shd w:val="clear" w:color="auto" w:fill="auto"/>
            <w:noWrap/>
            <w:vAlign w:val="bottom"/>
            <w:hideMark/>
          </w:tcPr>
          <w:p w14:paraId="5B7560C6"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(99.2)</w:t>
            </w:r>
          </w:p>
        </w:tc>
        <w:tc>
          <w:tcPr>
            <w:tcW w:w="0" w:type="auto"/>
            <w:tcBorders>
              <w:top w:val="nil"/>
              <w:left w:val="nil"/>
              <w:bottom w:val="single" w:sz="4" w:space="0" w:color="auto"/>
              <w:right w:val="single" w:sz="4" w:space="0" w:color="auto"/>
            </w:tcBorders>
            <w:shd w:val="clear" w:color="auto" w:fill="auto"/>
            <w:noWrap/>
            <w:vAlign w:val="bottom"/>
            <w:hideMark/>
          </w:tcPr>
          <w:p w14:paraId="410E7C3F"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9</w:t>
            </w:r>
          </w:p>
        </w:tc>
        <w:tc>
          <w:tcPr>
            <w:tcW w:w="0" w:type="auto"/>
            <w:tcBorders>
              <w:top w:val="nil"/>
              <w:left w:val="nil"/>
              <w:bottom w:val="single" w:sz="4" w:space="0" w:color="auto"/>
              <w:right w:val="single" w:sz="4" w:space="0" w:color="auto"/>
            </w:tcBorders>
            <w:shd w:val="clear" w:color="auto" w:fill="auto"/>
            <w:noWrap/>
            <w:vAlign w:val="bottom"/>
            <w:hideMark/>
          </w:tcPr>
          <w:p w14:paraId="63C16170"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(0.7)</w:t>
            </w:r>
          </w:p>
        </w:tc>
        <w:tc>
          <w:tcPr>
            <w:tcW w:w="0" w:type="auto"/>
            <w:tcBorders>
              <w:top w:val="nil"/>
              <w:left w:val="nil"/>
              <w:bottom w:val="single" w:sz="4" w:space="0" w:color="auto"/>
              <w:right w:val="single" w:sz="4" w:space="0" w:color="auto"/>
            </w:tcBorders>
            <w:shd w:val="clear" w:color="auto" w:fill="auto"/>
            <w:noWrap/>
            <w:vAlign w:val="bottom"/>
            <w:hideMark/>
          </w:tcPr>
          <w:p w14:paraId="0CC3FCC1"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1</w:t>
            </w:r>
          </w:p>
        </w:tc>
        <w:tc>
          <w:tcPr>
            <w:tcW w:w="0" w:type="auto"/>
            <w:tcBorders>
              <w:top w:val="nil"/>
              <w:left w:val="nil"/>
              <w:bottom w:val="single" w:sz="4" w:space="0" w:color="auto"/>
              <w:right w:val="single" w:sz="4" w:space="0" w:color="auto"/>
            </w:tcBorders>
            <w:shd w:val="clear" w:color="auto" w:fill="auto"/>
            <w:noWrap/>
            <w:vAlign w:val="bottom"/>
            <w:hideMark/>
          </w:tcPr>
          <w:p w14:paraId="55C41D47"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(0.1)</w:t>
            </w:r>
          </w:p>
        </w:tc>
        <w:tc>
          <w:tcPr>
            <w:tcW w:w="0" w:type="auto"/>
            <w:tcBorders>
              <w:top w:val="nil"/>
              <w:left w:val="nil"/>
              <w:bottom w:val="single" w:sz="4" w:space="0" w:color="auto"/>
              <w:right w:val="single" w:sz="4" w:space="0" w:color="auto"/>
            </w:tcBorders>
            <w:shd w:val="clear" w:color="auto" w:fill="auto"/>
            <w:noWrap/>
            <w:vAlign w:val="bottom"/>
            <w:hideMark/>
          </w:tcPr>
          <w:p w14:paraId="5FA40A3A"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33294051"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509536D2"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8</w:t>
            </w:r>
          </w:p>
        </w:tc>
        <w:tc>
          <w:tcPr>
            <w:tcW w:w="0" w:type="auto"/>
            <w:tcBorders>
              <w:top w:val="nil"/>
              <w:left w:val="nil"/>
              <w:bottom w:val="single" w:sz="4" w:space="0" w:color="auto"/>
              <w:right w:val="single" w:sz="4" w:space="0" w:color="auto"/>
            </w:tcBorders>
            <w:shd w:val="clear" w:color="auto" w:fill="auto"/>
            <w:noWrap/>
            <w:vAlign w:val="bottom"/>
            <w:hideMark/>
          </w:tcPr>
          <w:p w14:paraId="0764F680"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(0.6)</w:t>
            </w:r>
          </w:p>
        </w:tc>
        <w:tc>
          <w:tcPr>
            <w:tcW w:w="0" w:type="auto"/>
            <w:tcBorders>
              <w:top w:val="nil"/>
              <w:left w:val="nil"/>
              <w:bottom w:val="single" w:sz="4" w:space="0" w:color="auto"/>
              <w:right w:val="single" w:sz="4" w:space="0" w:color="auto"/>
            </w:tcBorders>
            <w:shd w:val="clear" w:color="auto" w:fill="auto"/>
            <w:noWrap/>
            <w:vAlign w:val="bottom"/>
            <w:hideMark/>
          </w:tcPr>
          <w:p w14:paraId="475148AB"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1</w:t>
            </w:r>
          </w:p>
        </w:tc>
        <w:tc>
          <w:tcPr>
            <w:tcW w:w="0" w:type="auto"/>
            <w:tcBorders>
              <w:top w:val="nil"/>
              <w:left w:val="nil"/>
              <w:bottom w:val="single" w:sz="4" w:space="0" w:color="auto"/>
              <w:right w:val="single" w:sz="4" w:space="0" w:color="auto"/>
            </w:tcBorders>
            <w:shd w:val="clear" w:color="auto" w:fill="auto"/>
            <w:noWrap/>
            <w:vAlign w:val="bottom"/>
            <w:hideMark/>
          </w:tcPr>
          <w:p w14:paraId="145D9C7E"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(0.1)</w:t>
            </w:r>
          </w:p>
        </w:tc>
        <w:tc>
          <w:tcPr>
            <w:tcW w:w="0" w:type="auto"/>
            <w:tcBorders>
              <w:top w:val="nil"/>
              <w:left w:val="nil"/>
              <w:bottom w:val="single" w:sz="4" w:space="0" w:color="auto"/>
              <w:right w:val="single" w:sz="4" w:space="0" w:color="auto"/>
            </w:tcBorders>
            <w:shd w:val="clear" w:color="auto" w:fill="auto"/>
            <w:noWrap/>
            <w:vAlign w:val="bottom"/>
            <w:hideMark/>
          </w:tcPr>
          <w:p w14:paraId="6649557A"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83%</w:t>
            </w:r>
          </w:p>
        </w:tc>
      </w:tr>
      <w:tr w:rsidR="0067156B" w:rsidRPr="00BA48F1" w14:paraId="733847C1" w14:textId="77777777" w:rsidTr="0067156B">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788B69A"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BUCKLAND</w:t>
            </w:r>
          </w:p>
        </w:tc>
        <w:tc>
          <w:tcPr>
            <w:tcW w:w="0" w:type="auto"/>
            <w:tcBorders>
              <w:top w:val="nil"/>
              <w:left w:val="nil"/>
              <w:bottom w:val="single" w:sz="4" w:space="0" w:color="auto"/>
              <w:right w:val="single" w:sz="4" w:space="0" w:color="auto"/>
            </w:tcBorders>
            <w:shd w:val="clear" w:color="auto" w:fill="auto"/>
            <w:noWrap/>
            <w:vAlign w:val="bottom"/>
            <w:hideMark/>
          </w:tcPr>
          <w:p w14:paraId="52D21899"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43</w:t>
            </w:r>
          </w:p>
        </w:tc>
        <w:tc>
          <w:tcPr>
            <w:tcW w:w="0" w:type="auto"/>
            <w:tcBorders>
              <w:top w:val="nil"/>
              <w:left w:val="nil"/>
              <w:bottom w:val="single" w:sz="4" w:space="0" w:color="auto"/>
              <w:right w:val="single" w:sz="4" w:space="0" w:color="auto"/>
            </w:tcBorders>
            <w:shd w:val="clear" w:color="auto" w:fill="auto"/>
            <w:noWrap/>
            <w:vAlign w:val="bottom"/>
            <w:hideMark/>
          </w:tcPr>
          <w:p w14:paraId="610679BA"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20</w:t>
            </w:r>
          </w:p>
        </w:tc>
        <w:tc>
          <w:tcPr>
            <w:tcW w:w="0" w:type="auto"/>
            <w:tcBorders>
              <w:top w:val="nil"/>
              <w:left w:val="nil"/>
              <w:bottom w:val="single" w:sz="4" w:space="0" w:color="auto"/>
              <w:right w:val="single" w:sz="4" w:space="0" w:color="auto"/>
            </w:tcBorders>
            <w:shd w:val="clear" w:color="auto" w:fill="auto"/>
            <w:noWrap/>
            <w:vAlign w:val="bottom"/>
            <w:hideMark/>
          </w:tcPr>
          <w:p w14:paraId="5078ADBC"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47%</w:t>
            </w:r>
          </w:p>
        </w:tc>
        <w:tc>
          <w:tcPr>
            <w:tcW w:w="0" w:type="auto"/>
            <w:tcBorders>
              <w:top w:val="nil"/>
              <w:left w:val="nil"/>
              <w:bottom w:val="single" w:sz="4" w:space="0" w:color="auto"/>
              <w:right w:val="single" w:sz="4" w:space="0" w:color="auto"/>
            </w:tcBorders>
            <w:shd w:val="clear" w:color="auto" w:fill="auto"/>
            <w:noWrap/>
            <w:vAlign w:val="bottom"/>
            <w:hideMark/>
          </w:tcPr>
          <w:p w14:paraId="40ADE4FB"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20</w:t>
            </w:r>
          </w:p>
        </w:tc>
        <w:tc>
          <w:tcPr>
            <w:tcW w:w="0" w:type="auto"/>
            <w:tcBorders>
              <w:top w:val="nil"/>
              <w:left w:val="nil"/>
              <w:bottom w:val="single" w:sz="4" w:space="0" w:color="auto"/>
              <w:right w:val="single" w:sz="4" w:space="0" w:color="auto"/>
            </w:tcBorders>
            <w:shd w:val="clear" w:color="auto" w:fill="auto"/>
            <w:noWrap/>
            <w:vAlign w:val="bottom"/>
            <w:hideMark/>
          </w:tcPr>
          <w:p w14:paraId="6A36494C"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(100.0)</w:t>
            </w:r>
          </w:p>
        </w:tc>
        <w:tc>
          <w:tcPr>
            <w:tcW w:w="0" w:type="auto"/>
            <w:tcBorders>
              <w:top w:val="nil"/>
              <w:left w:val="nil"/>
              <w:bottom w:val="single" w:sz="4" w:space="0" w:color="auto"/>
              <w:right w:val="single" w:sz="4" w:space="0" w:color="auto"/>
            </w:tcBorders>
            <w:shd w:val="clear" w:color="auto" w:fill="auto"/>
            <w:noWrap/>
            <w:vAlign w:val="bottom"/>
            <w:hideMark/>
          </w:tcPr>
          <w:p w14:paraId="3FA6D9D4"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7EFF5F19"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25F02E0E"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0A239F30"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139EAE96"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499C622B"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0F6EF5DF"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2EDB3538"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2A956A94"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41268350"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7D885BD7"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73%</w:t>
            </w:r>
          </w:p>
        </w:tc>
      </w:tr>
      <w:tr w:rsidR="0067156B" w:rsidRPr="00BA48F1" w14:paraId="58124D0D" w14:textId="77777777" w:rsidTr="0067156B">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125B2AB"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BURLINGTON</w:t>
            </w:r>
          </w:p>
        </w:tc>
        <w:tc>
          <w:tcPr>
            <w:tcW w:w="0" w:type="auto"/>
            <w:tcBorders>
              <w:top w:val="nil"/>
              <w:left w:val="nil"/>
              <w:bottom w:val="single" w:sz="4" w:space="0" w:color="auto"/>
              <w:right w:val="single" w:sz="4" w:space="0" w:color="auto"/>
            </w:tcBorders>
            <w:shd w:val="clear" w:color="auto" w:fill="auto"/>
            <w:noWrap/>
            <w:vAlign w:val="bottom"/>
            <w:hideMark/>
          </w:tcPr>
          <w:p w14:paraId="2E443831"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988</w:t>
            </w:r>
          </w:p>
        </w:tc>
        <w:tc>
          <w:tcPr>
            <w:tcW w:w="0" w:type="auto"/>
            <w:tcBorders>
              <w:top w:val="nil"/>
              <w:left w:val="nil"/>
              <w:bottom w:val="single" w:sz="4" w:space="0" w:color="auto"/>
              <w:right w:val="single" w:sz="4" w:space="0" w:color="auto"/>
            </w:tcBorders>
            <w:shd w:val="clear" w:color="auto" w:fill="auto"/>
            <w:noWrap/>
            <w:vAlign w:val="bottom"/>
            <w:hideMark/>
          </w:tcPr>
          <w:p w14:paraId="0A2C8320"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567</w:t>
            </w:r>
          </w:p>
        </w:tc>
        <w:tc>
          <w:tcPr>
            <w:tcW w:w="0" w:type="auto"/>
            <w:tcBorders>
              <w:top w:val="nil"/>
              <w:left w:val="nil"/>
              <w:bottom w:val="single" w:sz="4" w:space="0" w:color="auto"/>
              <w:right w:val="single" w:sz="4" w:space="0" w:color="auto"/>
            </w:tcBorders>
            <w:shd w:val="clear" w:color="auto" w:fill="auto"/>
            <w:noWrap/>
            <w:vAlign w:val="bottom"/>
            <w:hideMark/>
          </w:tcPr>
          <w:p w14:paraId="68AF1580"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57%</w:t>
            </w:r>
          </w:p>
        </w:tc>
        <w:tc>
          <w:tcPr>
            <w:tcW w:w="0" w:type="auto"/>
            <w:tcBorders>
              <w:top w:val="nil"/>
              <w:left w:val="nil"/>
              <w:bottom w:val="single" w:sz="4" w:space="0" w:color="auto"/>
              <w:right w:val="single" w:sz="4" w:space="0" w:color="auto"/>
            </w:tcBorders>
            <w:shd w:val="clear" w:color="auto" w:fill="auto"/>
            <w:noWrap/>
            <w:vAlign w:val="bottom"/>
            <w:hideMark/>
          </w:tcPr>
          <w:p w14:paraId="1FD8B627"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566</w:t>
            </w:r>
          </w:p>
        </w:tc>
        <w:tc>
          <w:tcPr>
            <w:tcW w:w="0" w:type="auto"/>
            <w:tcBorders>
              <w:top w:val="nil"/>
              <w:left w:val="nil"/>
              <w:bottom w:val="single" w:sz="4" w:space="0" w:color="auto"/>
              <w:right w:val="single" w:sz="4" w:space="0" w:color="auto"/>
            </w:tcBorders>
            <w:shd w:val="clear" w:color="auto" w:fill="auto"/>
            <w:noWrap/>
            <w:vAlign w:val="bottom"/>
            <w:hideMark/>
          </w:tcPr>
          <w:p w14:paraId="57D0CA29"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(99.8)</w:t>
            </w:r>
          </w:p>
        </w:tc>
        <w:tc>
          <w:tcPr>
            <w:tcW w:w="0" w:type="auto"/>
            <w:tcBorders>
              <w:top w:val="nil"/>
              <w:left w:val="nil"/>
              <w:bottom w:val="single" w:sz="4" w:space="0" w:color="auto"/>
              <w:right w:val="single" w:sz="4" w:space="0" w:color="auto"/>
            </w:tcBorders>
            <w:shd w:val="clear" w:color="auto" w:fill="auto"/>
            <w:noWrap/>
            <w:vAlign w:val="bottom"/>
            <w:hideMark/>
          </w:tcPr>
          <w:p w14:paraId="7FE8787B"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146314FA"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38286BE6"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01C02F6C"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44E8060B"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143CBC9A"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791C19F0"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461BFCA8"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3AB8853C"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53DC1E38"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3E8038DD"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59%</w:t>
            </w:r>
          </w:p>
        </w:tc>
      </w:tr>
      <w:tr w:rsidR="0067156B" w:rsidRPr="00BA48F1" w14:paraId="6A83312C" w14:textId="77777777" w:rsidTr="0067156B">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122D299"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CAMBRIDGE</w:t>
            </w:r>
          </w:p>
        </w:tc>
        <w:tc>
          <w:tcPr>
            <w:tcW w:w="0" w:type="auto"/>
            <w:tcBorders>
              <w:top w:val="nil"/>
              <w:left w:val="nil"/>
              <w:bottom w:val="single" w:sz="4" w:space="0" w:color="auto"/>
              <w:right w:val="single" w:sz="4" w:space="0" w:color="auto"/>
            </w:tcBorders>
            <w:shd w:val="clear" w:color="auto" w:fill="auto"/>
            <w:noWrap/>
            <w:vAlign w:val="bottom"/>
            <w:hideMark/>
          </w:tcPr>
          <w:p w14:paraId="3FF6207B"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2,957</w:t>
            </w:r>
          </w:p>
        </w:tc>
        <w:tc>
          <w:tcPr>
            <w:tcW w:w="0" w:type="auto"/>
            <w:tcBorders>
              <w:top w:val="nil"/>
              <w:left w:val="nil"/>
              <w:bottom w:val="single" w:sz="4" w:space="0" w:color="auto"/>
              <w:right w:val="single" w:sz="4" w:space="0" w:color="auto"/>
            </w:tcBorders>
            <w:shd w:val="clear" w:color="auto" w:fill="auto"/>
            <w:noWrap/>
            <w:vAlign w:val="bottom"/>
            <w:hideMark/>
          </w:tcPr>
          <w:p w14:paraId="6048F3E9"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1,930</w:t>
            </w:r>
          </w:p>
        </w:tc>
        <w:tc>
          <w:tcPr>
            <w:tcW w:w="0" w:type="auto"/>
            <w:tcBorders>
              <w:top w:val="nil"/>
              <w:left w:val="nil"/>
              <w:bottom w:val="single" w:sz="4" w:space="0" w:color="auto"/>
              <w:right w:val="single" w:sz="4" w:space="0" w:color="auto"/>
            </w:tcBorders>
            <w:shd w:val="clear" w:color="auto" w:fill="auto"/>
            <w:noWrap/>
            <w:vAlign w:val="bottom"/>
            <w:hideMark/>
          </w:tcPr>
          <w:p w14:paraId="69C21AB1"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65%</w:t>
            </w:r>
          </w:p>
        </w:tc>
        <w:tc>
          <w:tcPr>
            <w:tcW w:w="0" w:type="auto"/>
            <w:tcBorders>
              <w:top w:val="nil"/>
              <w:left w:val="nil"/>
              <w:bottom w:val="single" w:sz="4" w:space="0" w:color="auto"/>
              <w:right w:val="single" w:sz="4" w:space="0" w:color="auto"/>
            </w:tcBorders>
            <w:shd w:val="clear" w:color="auto" w:fill="auto"/>
            <w:noWrap/>
            <w:vAlign w:val="bottom"/>
            <w:hideMark/>
          </w:tcPr>
          <w:p w14:paraId="5686EB77"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1,907</w:t>
            </w:r>
          </w:p>
        </w:tc>
        <w:tc>
          <w:tcPr>
            <w:tcW w:w="0" w:type="auto"/>
            <w:tcBorders>
              <w:top w:val="nil"/>
              <w:left w:val="nil"/>
              <w:bottom w:val="single" w:sz="4" w:space="0" w:color="auto"/>
              <w:right w:val="single" w:sz="4" w:space="0" w:color="auto"/>
            </w:tcBorders>
            <w:shd w:val="clear" w:color="auto" w:fill="auto"/>
            <w:noWrap/>
            <w:vAlign w:val="bottom"/>
            <w:hideMark/>
          </w:tcPr>
          <w:p w14:paraId="1104150A"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(98.8)</w:t>
            </w:r>
          </w:p>
        </w:tc>
        <w:tc>
          <w:tcPr>
            <w:tcW w:w="0" w:type="auto"/>
            <w:tcBorders>
              <w:top w:val="nil"/>
              <w:left w:val="nil"/>
              <w:bottom w:val="single" w:sz="4" w:space="0" w:color="auto"/>
              <w:right w:val="single" w:sz="4" w:space="0" w:color="auto"/>
            </w:tcBorders>
            <w:shd w:val="clear" w:color="auto" w:fill="auto"/>
            <w:noWrap/>
            <w:vAlign w:val="bottom"/>
            <w:hideMark/>
          </w:tcPr>
          <w:p w14:paraId="64A7EE2F"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21</w:t>
            </w:r>
          </w:p>
        </w:tc>
        <w:tc>
          <w:tcPr>
            <w:tcW w:w="0" w:type="auto"/>
            <w:tcBorders>
              <w:top w:val="nil"/>
              <w:left w:val="nil"/>
              <w:bottom w:val="single" w:sz="4" w:space="0" w:color="auto"/>
              <w:right w:val="single" w:sz="4" w:space="0" w:color="auto"/>
            </w:tcBorders>
            <w:shd w:val="clear" w:color="auto" w:fill="auto"/>
            <w:noWrap/>
            <w:vAlign w:val="bottom"/>
            <w:hideMark/>
          </w:tcPr>
          <w:p w14:paraId="19695AD7"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(1.1)</w:t>
            </w:r>
          </w:p>
        </w:tc>
        <w:tc>
          <w:tcPr>
            <w:tcW w:w="0" w:type="auto"/>
            <w:tcBorders>
              <w:top w:val="nil"/>
              <w:left w:val="nil"/>
              <w:bottom w:val="single" w:sz="4" w:space="0" w:color="auto"/>
              <w:right w:val="single" w:sz="4" w:space="0" w:color="auto"/>
            </w:tcBorders>
            <w:shd w:val="clear" w:color="auto" w:fill="auto"/>
            <w:noWrap/>
            <w:vAlign w:val="bottom"/>
            <w:hideMark/>
          </w:tcPr>
          <w:p w14:paraId="79CEB4CE"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2</w:t>
            </w:r>
          </w:p>
        </w:tc>
        <w:tc>
          <w:tcPr>
            <w:tcW w:w="0" w:type="auto"/>
            <w:tcBorders>
              <w:top w:val="nil"/>
              <w:left w:val="nil"/>
              <w:bottom w:val="single" w:sz="4" w:space="0" w:color="auto"/>
              <w:right w:val="single" w:sz="4" w:space="0" w:color="auto"/>
            </w:tcBorders>
            <w:shd w:val="clear" w:color="auto" w:fill="auto"/>
            <w:noWrap/>
            <w:vAlign w:val="bottom"/>
            <w:hideMark/>
          </w:tcPr>
          <w:p w14:paraId="09FB46B7"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(0.1)</w:t>
            </w:r>
          </w:p>
        </w:tc>
        <w:tc>
          <w:tcPr>
            <w:tcW w:w="0" w:type="auto"/>
            <w:tcBorders>
              <w:top w:val="nil"/>
              <w:left w:val="nil"/>
              <w:bottom w:val="single" w:sz="4" w:space="0" w:color="auto"/>
              <w:right w:val="single" w:sz="4" w:space="0" w:color="auto"/>
            </w:tcBorders>
            <w:shd w:val="clear" w:color="auto" w:fill="auto"/>
            <w:noWrap/>
            <w:vAlign w:val="bottom"/>
            <w:hideMark/>
          </w:tcPr>
          <w:p w14:paraId="07D481F9"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7E8AD65D"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2F4EB4BB"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19</w:t>
            </w:r>
          </w:p>
        </w:tc>
        <w:tc>
          <w:tcPr>
            <w:tcW w:w="0" w:type="auto"/>
            <w:tcBorders>
              <w:top w:val="nil"/>
              <w:left w:val="nil"/>
              <w:bottom w:val="single" w:sz="4" w:space="0" w:color="auto"/>
              <w:right w:val="single" w:sz="4" w:space="0" w:color="auto"/>
            </w:tcBorders>
            <w:shd w:val="clear" w:color="auto" w:fill="auto"/>
            <w:noWrap/>
            <w:vAlign w:val="bottom"/>
            <w:hideMark/>
          </w:tcPr>
          <w:p w14:paraId="79784904"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(1.0)</w:t>
            </w:r>
          </w:p>
        </w:tc>
        <w:tc>
          <w:tcPr>
            <w:tcW w:w="0" w:type="auto"/>
            <w:tcBorders>
              <w:top w:val="nil"/>
              <w:left w:val="nil"/>
              <w:bottom w:val="single" w:sz="4" w:space="0" w:color="auto"/>
              <w:right w:val="single" w:sz="4" w:space="0" w:color="auto"/>
            </w:tcBorders>
            <w:shd w:val="clear" w:color="auto" w:fill="auto"/>
            <w:noWrap/>
            <w:vAlign w:val="bottom"/>
            <w:hideMark/>
          </w:tcPr>
          <w:p w14:paraId="16960B8D"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2</w:t>
            </w:r>
          </w:p>
        </w:tc>
        <w:tc>
          <w:tcPr>
            <w:tcW w:w="0" w:type="auto"/>
            <w:tcBorders>
              <w:top w:val="nil"/>
              <w:left w:val="nil"/>
              <w:bottom w:val="single" w:sz="4" w:space="0" w:color="auto"/>
              <w:right w:val="single" w:sz="4" w:space="0" w:color="auto"/>
            </w:tcBorders>
            <w:shd w:val="clear" w:color="auto" w:fill="auto"/>
            <w:noWrap/>
            <w:vAlign w:val="bottom"/>
            <w:hideMark/>
          </w:tcPr>
          <w:p w14:paraId="1545E5AF"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(0.1)</w:t>
            </w:r>
          </w:p>
        </w:tc>
        <w:tc>
          <w:tcPr>
            <w:tcW w:w="0" w:type="auto"/>
            <w:tcBorders>
              <w:top w:val="nil"/>
              <w:left w:val="nil"/>
              <w:bottom w:val="single" w:sz="4" w:space="0" w:color="auto"/>
              <w:right w:val="single" w:sz="4" w:space="0" w:color="auto"/>
            </w:tcBorders>
            <w:shd w:val="clear" w:color="auto" w:fill="auto"/>
            <w:noWrap/>
            <w:vAlign w:val="bottom"/>
            <w:hideMark/>
          </w:tcPr>
          <w:p w14:paraId="35892CA9"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72%</w:t>
            </w:r>
          </w:p>
        </w:tc>
      </w:tr>
      <w:tr w:rsidR="0067156B" w:rsidRPr="00BA48F1" w14:paraId="4D291CF6" w14:textId="77777777" w:rsidTr="0067156B">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60266C3"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CANTON</w:t>
            </w:r>
          </w:p>
        </w:tc>
        <w:tc>
          <w:tcPr>
            <w:tcW w:w="0" w:type="auto"/>
            <w:tcBorders>
              <w:top w:val="nil"/>
              <w:left w:val="nil"/>
              <w:bottom w:val="single" w:sz="4" w:space="0" w:color="auto"/>
              <w:right w:val="single" w:sz="4" w:space="0" w:color="auto"/>
            </w:tcBorders>
            <w:shd w:val="clear" w:color="auto" w:fill="auto"/>
            <w:noWrap/>
            <w:vAlign w:val="bottom"/>
            <w:hideMark/>
          </w:tcPr>
          <w:p w14:paraId="652D1164"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826</w:t>
            </w:r>
          </w:p>
        </w:tc>
        <w:tc>
          <w:tcPr>
            <w:tcW w:w="0" w:type="auto"/>
            <w:tcBorders>
              <w:top w:val="nil"/>
              <w:left w:val="nil"/>
              <w:bottom w:val="single" w:sz="4" w:space="0" w:color="auto"/>
              <w:right w:val="single" w:sz="4" w:space="0" w:color="auto"/>
            </w:tcBorders>
            <w:shd w:val="clear" w:color="auto" w:fill="auto"/>
            <w:noWrap/>
            <w:vAlign w:val="bottom"/>
            <w:hideMark/>
          </w:tcPr>
          <w:p w14:paraId="0D011F45"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567</w:t>
            </w:r>
          </w:p>
        </w:tc>
        <w:tc>
          <w:tcPr>
            <w:tcW w:w="0" w:type="auto"/>
            <w:tcBorders>
              <w:top w:val="nil"/>
              <w:left w:val="nil"/>
              <w:bottom w:val="single" w:sz="4" w:space="0" w:color="auto"/>
              <w:right w:val="single" w:sz="4" w:space="0" w:color="auto"/>
            </w:tcBorders>
            <w:shd w:val="clear" w:color="auto" w:fill="auto"/>
            <w:noWrap/>
            <w:vAlign w:val="bottom"/>
            <w:hideMark/>
          </w:tcPr>
          <w:p w14:paraId="7F1949CB"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69%</w:t>
            </w:r>
          </w:p>
        </w:tc>
        <w:tc>
          <w:tcPr>
            <w:tcW w:w="0" w:type="auto"/>
            <w:tcBorders>
              <w:top w:val="nil"/>
              <w:left w:val="nil"/>
              <w:bottom w:val="single" w:sz="4" w:space="0" w:color="auto"/>
              <w:right w:val="single" w:sz="4" w:space="0" w:color="auto"/>
            </w:tcBorders>
            <w:shd w:val="clear" w:color="auto" w:fill="auto"/>
            <w:noWrap/>
            <w:vAlign w:val="bottom"/>
            <w:hideMark/>
          </w:tcPr>
          <w:p w14:paraId="0830E5A3"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565</w:t>
            </w:r>
          </w:p>
        </w:tc>
        <w:tc>
          <w:tcPr>
            <w:tcW w:w="0" w:type="auto"/>
            <w:tcBorders>
              <w:top w:val="nil"/>
              <w:left w:val="nil"/>
              <w:bottom w:val="single" w:sz="4" w:space="0" w:color="auto"/>
              <w:right w:val="single" w:sz="4" w:space="0" w:color="auto"/>
            </w:tcBorders>
            <w:shd w:val="clear" w:color="auto" w:fill="auto"/>
            <w:noWrap/>
            <w:vAlign w:val="bottom"/>
            <w:hideMark/>
          </w:tcPr>
          <w:p w14:paraId="56E65F7A"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(99.6)</w:t>
            </w:r>
          </w:p>
        </w:tc>
        <w:tc>
          <w:tcPr>
            <w:tcW w:w="0" w:type="auto"/>
            <w:tcBorders>
              <w:top w:val="nil"/>
              <w:left w:val="nil"/>
              <w:bottom w:val="single" w:sz="4" w:space="0" w:color="auto"/>
              <w:right w:val="single" w:sz="4" w:space="0" w:color="auto"/>
            </w:tcBorders>
            <w:shd w:val="clear" w:color="auto" w:fill="auto"/>
            <w:noWrap/>
            <w:vAlign w:val="bottom"/>
            <w:hideMark/>
          </w:tcPr>
          <w:p w14:paraId="5EE9AD2D"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45A579BA"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783BC15D"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27760319"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7561A8BA"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3E92CED2"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211533D2"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4571B77C"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3698F2BA"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24A4ABE1"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5C629633"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58%</w:t>
            </w:r>
          </w:p>
        </w:tc>
      </w:tr>
      <w:tr w:rsidR="0067156B" w:rsidRPr="00BA48F1" w14:paraId="7FC0769C" w14:textId="77777777" w:rsidTr="0067156B">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D48DB90"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CARLISLE</w:t>
            </w:r>
          </w:p>
        </w:tc>
        <w:tc>
          <w:tcPr>
            <w:tcW w:w="0" w:type="auto"/>
            <w:tcBorders>
              <w:top w:val="nil"/>
              <w:left w:val="nil"/>
              <w:bottom w:val="single" w:sz="4" w:space="0" w:color="auto"/>
              <w:right w:val="single" w:sz="4" w:space="0" w:color="auto"/>
            </w:tcBorders>
            <w:shd w:val="clear" w:color="auto" w:fill="auto"/>
            <w:noWrap/>
            <w:vAlign w:val="bottom"/>
            <w:hideMark/>
          </w:tcPr>
          <w:p w14:paraId="2F1C071E"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123</w:t>
            </w:r>
          </w:p>
        </w:tc>
        <w:tc>
          <w:tcPr>
            <w:tcW w:w="0" w:type="auto"/>
            <w:tcBorders>
              <w:top w:val="nil"/>
              <w:left w:val="nil"/>
              <w:bottom w:val="single" w:sz="4" w:space="0" w:color="auto"/>
              <w:right w:val="single" w:sz="4" w:space="0" w:color="auto"/>
            </w:tcBorders>
            <w:shd w:val="clear" w:color="auto" w:fill="auto"/>
            <w:noWrap/>
            <w:vAlign w:val="bottom"/>
            <w:hideMark/>
          </w:tcPr>
          <w:p w14:paraId="6149E1A3"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90</w:t>
            </w:r>
          </w:p>
        </w:tc>
        <w:tc>
          <w:tcPr>
            <w:tcW w:w="0" w:type="auto"/>
            <w:tcBorders>
              <w:top w:val="nil"/>
              <w:left w:val="nil"/>
              <w:bottom w:val="single" w:sz="4" w:space="0" w:color="auto"/>
              <w:right w:val="single" w:sz="4" w:space="0" w:color="auto"/>
            </w:tcBorders>
            <w:shd w:val="clear" w:color="auto" w:fill="auto"/>
            <w:noWrap/>
            <w:vAlign w:val="bottom"/>
            <w:hideMark/>
          </w:tcPr>
          <w:p w14:paraId="6A621EF3"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73%</w:t>
            </w:r>
          </w:p>
        </w:tc>
        <w:tc>
          <w:tcPr>
            <w:tcW w:w="0" w:type="auto"/>
            <w:tcBorders>
              <w:top w:val="nil"/>
              <w:left w:val="nil"/>
              <w:bottom w:val="single" w:sz="4" w:space="0" w:color="auto"/>
              <w:right w:val="single" w:sz="4" w:space="0" w:color="auto"/>
            </w:tcBorders>
            <w:shd w:val="clear" w:color="auto" w:fill="auto"/>
            <w:noWrap/>
            <w:vAlign w:val="bottom"/>
            <w:hideMark/>
          </w:tcPr>
          <w:p w14:paraId="514A5054"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90</w:t>
            </w:r>
          </w:p>
        </w:tc>
        <w:tc>
          <w:tcPr>
            <w:tcW w:w="0" w:type="auto"/>
            <w:tcBorders>
              <w:top w:val="nil"/>
              <w:left w:val="nil"/>
              <w:bottom w:val="single" w:sz="4" w:space="0" w:color="auto"/>
              <w:right w:val="single" w:sz="4" w:space="0" w:color="auto"/>
            </w:tcBorders>
            <w:shd w:val="clear" w:color="auto" w:fill="auto"/>
            <w:noWrap/>
            <w:vAlign w:val="bottom"/>
            <w:hideMark/>
          </w:tcPr>
          <w:p w14:paraId="2AF8909E"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(100.0)</w:t>
            </w:r>
          </w:p>
        </w:tc>
        <w:tc>
          <w:tcPr>
            <w:tcW w:w="0" w:type="auto"/>
            <w:tcBorders>
              <w:top w:val="nil"/>
              <w:left w:val="nil"/>
              <w:bottom w:val="single" w:sz="4" w:space="0" w:color="auto"/>
              <w:right w:val="single" w:sz="4" w:space="0" w:color="auto"/>
            </w:tcBorders>
            <w:shd w:val="clear" w:color="auto" w:fill="auto"/>
            <w:noWrap/>
            <w:vAlign w:val="bottom"/>
            <w:hideMark/>
          </w:tcPr>
          <w:p w14:paraId="1CD0B8AB"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0E49459A"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2BFFD161"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10104511"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5B3653F2"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4E3F62A6"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70B85E2E"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6C020FC8"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26245C46"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5BF4C391"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57FF7F38"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52%</w:t>
            </w:r>
          </w:p>
        </w:tc>
      </w:tr>
      <w:tr w:rsidR="0067156B" w:rsidRPr="00BA48F1" w14:paraId="2EF72AF4" w14:textId="77777777" w:rsidTr="0067156B">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59334C3"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CARVER</w:t>
            </w:r>
          </w:p>
        </w:tc>
        <w:tc>
          <w:tcPr>
            <w:tcW w:w="0" w:type="auto"/>
            <w:tcBorders>
              <w:top w:val="nil"/>
              <w:left w:val="nil"/>
              <w:bottom w:val="single" w:sz="4" w:space="0" w:color="auto"/>
              <w:right w:val="single" w:sz="4" w:space="0" w:color="auto"/>
            </w:tcBorders>
            <w:shd w:val="clear" w:color="auto" w:fill="auto"/>
            <w:noWrap/>
            <w:vAlign w:val="bottom"/>
            <w:hideMark/>
          </w:tcPr>
          <w:p w14:paraId="4B5BDA81"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356</w:t>
            </w:r>
          </w:p>
        </w:tc>
        <w:tc>
          <w:tcPr>
            <w:tcW w:w="0" w:type="auto"/>
            <w:tcBorders>
              <w:top w:val="nil"/>
              <w:left w:val="nil"/>
              <w:bottom w:val="single" w:sz="4" w:space="0" w:color="auto"/>
              <w:right w:val="single" w:sz="4" w:space="0" w:color="auto"/>
            </w:tcBorders>
            <w:shd w:val="clear" w:color="auto" w:fill="auto"/>
            <w:noWrap/>
            <w:vAlign w:val="bottom"/>
            <w:hideMark/>
          </w:tcPr>
          <w:p w14:paraId="1DDA7383"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179</w:t>
            </w:r>
          </w:p>
        </w:tc>
        <w:tc>
          <w:tcPr>
            <w:tcW w:w="0" w:type="auto"/>
            <w:tcBorders>
              <w:top w:val="nil"/>
              <w:left w:val="nil"/>
              <w:bottom w:val="single" w:sz="4" w:space="0" w:color="auto"/>
              <w:right w:val="single" w:sz="4" w:space="0" w:color="auto"/>
            </w:tcBorders>
            <w:shd w:val="clear" w:color="auto" w:fill="auto"/>
            <w:noWrap/>
            <w:vAlign w:val="bottom"/>
            <w:hideMark/>
          </w:tcPr>
          <w:p w14:paraId="608E2A9A"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50%</w:t>
            </w:r>
          </w:p>
        </w:tc>
        <w:tc>
          <w:tcPr>
            <w:tcW w:w="0" w:type="auto"/>
            <w:tcBorders>
              <w:top w:val="nil"/>
              <w:left w:val="nil"/>
              <w:bottom w:val="single" w:sz="4" w:space="0" w:color="auto"/>
              <w:right w:val="single" w:sz="4" w:space="0" w:color="auto"/>
            </w:tcBorders>
            <w:shd w:val="clear" w:color="auto" w:fill="auto"/>
            <w:noWrap/>
            <w:vAlign w:val="bottom"/>
            <w:hideMark/>
          </w:tcPr>
          <w:p w14:paraId="490530C2"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177</w:t>
            </w:r>
          </w:p>
        </w:tc>
        <w:tc>
          <w:tcPr>
            <w:tcW w:w="0" w:type="auto"/>
            <w:tcBorders>
              <w:top w:val="nil"/>
              <w:left w:val="nil"/>
              <w:bottom w:val="single" w:sz="4" w:space="0" w:color="auto"/>
              <w:right w:val="single" w:sz="4" w:space="0" w:color="auto"/>
            </w:tcBorders>
            <w:shd w:val="clear" w:color="auto" w:fill="auto"/>
            <w:noWrap/>
            <w:vAlign w:val="bottom"/>
            <w:hideMark/>
          </w:tcPr>
          <w:p w14:paraId="672C6202"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(98.9)</w:t>
            </w:r>
          </w:p>
        </w:tc>
        <w:tc>
          <w:tcPr>
            <w:tcW w:w="0" w:type="auto"/>
            <w:tcBorders>
              <w:top w:val="nil"/>
              <w:left w:val="nil"/>
              <w:bottom w:val="single" w:sz="4" w:space="0" w:color="auto"/>
              <w:right w:val="single" w:sz="4" w:space="0" w:color="auto"/>
            </w:tcBorders>
            <w:shd w:val="clear" w:color="auto" w:fill="auto"/>
            <w:noWrap/>
            <w:vAlign w:val="bottom"/>
            <w:hideMark/>
          </w:tcPr>
          <w:p w14:paraId="2CB8D745"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4A274529"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5F952097"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771033DE"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43A2C4E2"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5667E80B"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6B3DD4F2"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3E1F37C8"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4EABD4D6"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31110623"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752531DF"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49%</w:t>
            </w:r>
          </w:p>
        </w:tc>
      </w:tr>
      <w:tr w:rsidR="0067156B" w:rsidRPr="00BA48F1" w14:paraId="22F18ED9" w14:textId="77777777" w:rsidTr="0067156B">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B379EB1"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CHARLEMONT</w:t>
            </w:r>
          </w:p>
        </w:tc>
        <w:tc>
          <w:tcPr>
            <w:tcW w:w="0" w:type="auto"/>
            <w:tcBorders>
              <w:top w:val="nil"/>
              <w:left w:val="nil"/>
              <w:bottom w:val="single" w:sz="4" w:space="0" w:color="auto"/>
              <w:right w:val="single" w:sz="4" w:space="0" w:color="auto"/>
            </w:tcBorders>
            <w:shd w:val="clear" w:color="auto" w:fill="auto"/>
            <w:noWrap/>
            <w:vAlign w:val="bottom"/>
            <w:hideMark/>
          </w:tcPr>
          <w:p w14:paraId="7FCFD426"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24</w:t>
            </w:r>
          </w:p>
        </w:tc>
        <w:tc>
          <w:tcPr>
            <w:tcW w:w="0" w:type="auto"/>
            <w:tcBorders>
              <w:top w:val="nil"/>
              <w:left w:val="nil"/>
              <w:bottom w:val="single" w:sz="4" w:space="0" w:color="auto"/>
              <w:right w:val="single" w:sz="4" w:space="0" w:color="auto"/>
            </w:tcBorders>
            <w:shd w:val="clear" w:color="auto" w:fill="auto"/>
            <w:noWrap/>
            <w:vAlign w:val="bottom"/>
            <w:hideMark/>
          </w:tcPr>
          <w:p w14:paraId="630AAC90"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14</w:t>
            </w:r>
          </w:p>
        </w:tc>
        <w:tc>
          <w:tcPr>
            <w:tcW w:w="0" w:type="auto"/>
            <w:tcBorders>
              <w:top w:val="nil"/>
              <w:left w:val="nil"/>
              <w:bottom w:val="single" w:sz="4" w:space="0" w:color="auto"/>
              <w:right w:val="single" w:sz="4" w:space="0" w:color="auto"/>
            </w:tcBorders>
            <w:shd w:val="clear" w:color="auto" w:fill="auto"/>
            <w:noWrap/>
            <w:vAlign w:val="bottom"/>
            <w:hideMark/>
          </w:tcPr>
          <w:p w14:paraId="2B8B0CC5"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58%</w:t>
            </w:r>
          </w:p>
        </w:tc>
        <w:tc>
          <w:tcPr>
            <w:tcW w:w="0" w:type="auto"/>
            <w:tcBorders>
              <w:top w:val="nil"/>
              <w:left w:val="nil"/>
              <w:bottom w:val="single" w:sz="4" w:space="0" w:color="auto"/>
              <w:right w:val="single" w:sz="4" w:space="0" w:color="auto"/>
            </w:tcBorders>
            <w:shd w:val="clear" w:color="auto" w:fill="auto"/>
            <w:noWrap/>
            <w:vAlign w:val="bottom"/>
            <w:hideMark/>
          </w:tcPr>
          <w:p w14:paraId="1075B018"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14</w:t>
            </w:r>
          </w:p>
        </w:tc>
        <w:tc>
          <w:tcPr>
            <w:tcW w:w="0" w:type="auto"/>
            <w:tcBorders>
              <w:top w:val="nil"/>
              <w:left w:val="nil"/>
              <w:bottom w:val="single" w:sz="4" w:space="0" w:color="auto"/>
              <w:right w:val="single" w:sz="4" w:space="0" w:color="auto"/>
            </w:tcBorders>
            <w:shd w:val="clear" w:color="auto" w:fill="auto"/>
            <w:noWrap/>
            <w:vAlign w:val="bottom"/>
            <w:hideMark/>
          </w:tcPr>
          <w:p w14:paraId="0DF149FC"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(100.0)</w:t>
            </w:r>
          </w:p>
        </w:tc>
        <w:tc>
          <w:tcPr>
            <w:tcW w:w="0" w:type="auto"/>
            <w:tcBorders>
              <w:top w:val="nil"/>
              <w:left w:val="nil"/>
              <w:bottom w:val="single" w:sz="4" w:space="0" w:color="auto"/>
              <w:right w:val="single" w:sz="4" w:space="0" w:color="auto"/>
            </w:tcBorders>
            <w:shd w:val="clear" w:color="auto" w:fill="auto"/>
            <w:noWrap/>
            <w:vAlign w:val="bottom"/>
            <w:hideMark/>
          </w:tcPr>
          <w:p w14:paraId="7CB00409"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0797D604"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66FA1DF5"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245C3D49"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01A7E7F9"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217AF5C1"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0532ACBC"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04194915"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59155CDE"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2398959E"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2FB08BD7"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62%</w:t>
            </w:r>
          </w:p>
        </w:tc>
      </w:tr>
      <w:tr w:rsidR="0067156B" w:rsidRPr="00BA48F1" w14:paraId="482A129D" w14:textId="77777777" w:rsidTr="0067156B">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801E935"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CHARLTON</w:t>
            </w:r>
          </w:p>
        </w:tc>
        <w:tc>
          <w:tcPr>
            <w:tcW w:w="0" w:type="auto"/>
            <w:tcBorders>
              <w:top w:val="nil"/>
              <w:left w:val="nil"/>
              <w:bottom w:val="single" w:sz="4" w:space="0" w:color="auto"/>
              <w:right w:val="single" w:sz="4" w:space="0" w:color="auto"/>
            </w:tcBorders>
            <w:shd w:val="clear" w:color="auto" w:fill="auto"/>
            <w:noWrap/>
            <w:vAlign w:val="bottom"/>
            <w:hideMark/>
          </w:tcPr>
          <w:p w14:paraId="6C5C6FF1"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417</w:t>
            </w:r>
          </w:p>
        </w:tc>
        <w:tc>
          <w:tcPr>
            <w:tcW w:w="0" w:type="auto"/>
            <w:tcBorders>
              <w:top w:val="nil"/>
              <w:left w:val="nil"/>
              <w:bottom w:val="single" w:sz="4" w:space="0" w:color="auto"/>
              <w:right w:val="single" w:sz="4" w:space="0" w:color="auto"/>
            </w:tcBorders>
            <w:shd w:val="clear" w:color="auto" w:fill="auto"/>
            <w:noWrap/>
            <w:vAlign w:val="bottom"/>
            <w:hideMark/>
          </w:tcPr>
          <w:p w14:paraId="313F5AA7"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260</w:t>
            </w:r>
          </w:p>
        </w:tc>
        <w:tc>
          <w:tcPr>
            <w:tcW w:w="0" w:type="auto"/>
            <w:tcBorders>
              <w:top w:val="nil"/>
              <w:left w:val="nil"/>
              <w:bottom w:val="single" w:sz="4" w:space="0" w:color="auto"/>
              <w:right w:val="single" w:sz="4" w:space="0" w:color="auto"/>
            </w:tcBorders>
            <w:shd w:val="clear" w:color="auto" w:fill="auto"/>
            <w:noWrap/>
            <w:vAlign w:val="bottom"/>
            <w:hideMark/>
          </w:tcPr>
          <w:p w14:paraId="668573EF"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62%</w:t>
            </w:r>
          </w:p>
        </w:tc>
        <w:tc>
          <w:tcPr>
            <w:tcW w:w="0" w:type="auto"/>
            <w:tcBorders>
              <w:top w:val="nil"/>
              <w:left w:val="nil"/>
              <w:bottom w:val="single" w:sz="4" w:space="0" w:color="auto"/>
              <w:right w:val="single" w:sz="4" w:space="0" w:color="auto"/>
            </w:tcBorders>
            <w:shd w:val="clear" w:color="auto" w:fill="auto"/>
            <w:noWrap/>
            <w:vAlign w:val="bottom"/>
            <w:hideMark/>
          </w:tcPr>
          <w:p w14:paraId="28BD8BAA"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260</w:t>
            </w:r>
          </w:p>
        </w:tc>
        <w:tc>
          <w:tcPr>
            <w:tcW w:w="0" w:type="auto"/>
            <w:tcBorders>
              <w:top w:val="nil"/>
              <w:left w:val="nil"/>
              <w:bottom w:val="single" w:sz="4" w:space="0" w:color="auto"/>
              <w:right w:val="single" w:sz="4" w:space="0" w:color="auto"/>
            </w:tcBorders>
            <w:shd w:val="clear" w:color="auto" w:fill="auto"/>
            <w:noWrap/>
            <w:vAlign w:val="bottom"/>
            <w:hideMark/>
          </w:tcPr>
          <w:p w14:paraId="0AA3CB8F"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(100.0)</w:t>
            </w:r>
          </w:p>
        </w:tc>
        <w:tc>
          <w:tcPr>
            <w:tcW w:w="0" w:type="auto"/>
            <w:tcBorders>
              <w:top w:val="nil"/>
              <w:left w:val="nil"/>
              <w:bottom w:val="single" w:sz="4" w:space="0" w:color="auto"/>
              <w:right w:val="single" w:sz="4" w:space="0" w:color="auto"/>
            </w:tcBorders>
            <w:shd w:val="clear" w:color="auto" w:fill="auto"/>
            <w:noWrap/>
            <w:vAlign w:val="bottom"/>
            <w:hideMark/>
          </w:tcPr>
          <w:p w14:paraId="48C4D569"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423BFA48"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11FD6D88"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425FB7EC"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6D1FB771"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74CD5AAA"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051C2C44"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24DACD99"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790E3674"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314BF21C"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4993DA4A"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40%</w:t>
            </w:r>
          </w:p>
        </w:tc>
      </w:tr>
      <w:tr w:rsidR="0067156B" w:rsidRPr="00BA48F1" w14:paraId="5D4EDF0E" w14:textId="77777777" w:rsidTr="0067156B">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118E0B0"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CHATHAM</w:t>
            </w:r>
          </w:p>
        </w:tc>
        <w:tc>
          <w:tcPr>
            <w:tcW w:w="0" w:type="auto"/>
            <w:tcBorders>
              <w:top w:val="nil"/>
              <w:left w:val="nil"/>
              <w:bottom w:val="single" w:sz="4" w:space="0" w:color="auto"/>
              <w:right w:val="single" w:sz="4" w:space="0" w:color="auto"/>
            </w:tcBorders>
            <w:shd w:val="clear" w:color="auto" w:fill="auto"/>
            <w:noWrap/>
            <w:vAlign w:val="bottom"/>
            <w:hideMark/>
          </w:tcPr>
          <w:p w14:paraId="027076A4"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90</w:t>
            </w:r>
          </w:p>
        </w:tc>
        <w:tc>
          <w:tcPr>
            <w:tcW w:w="0" w:type="auto"/>
            <w:tcBorders>
              <w:top w:val="nil"/>
              <w:left w:val="nil"/>
              <w:bottom w:val="single" w:sz="4" w:space="0" w:color="auto"/>
              <w:right w:val="single" w:sz="4" w:space="0" w:color="auto"/>
            </w:tcBorders>
            <w:shd w:val="clear" w:color="auto" w:fill="auto"/>
            <w:noWrap/>
            <w:vAlign w:val="bottom"/>
            <w:hideMark/>
          </w:tcPr>
          <w:p w14:paraId="2F84159F"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40</w:t>
            </w:r>
          </w:p>
        </w:tc>
        <w:tc>
          <w:tcPr>
            <w:tcW w:w="0" w:type="auto"/>
            <w:tcBorders>
              <w:top w:val="nil"/>
              <w:left w:val="nil"/>
              <w:bottom w:val="single" w:sz="4" w:space="0" w:color="auto"/>
              <w:right w:val="single" w:sz="4" w:space="0" w:color="auto"/>
            </w:tcBorders>
            <w:shd w:val="clear" w:color="auto" w:fill="auto"/>
            <w:noWrap/>
            <w:vAlign w:val="bottom"/>
            <w:hideMark/>
          </w:tcPr>
          <w:p w14:paraId="793E3666"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44%</w:t>
            </w:r>
          </w:p>
        </w:tc>
        <w:tc>
          <w:tcPr>
            <w:tcW w:w="0" w:type="auto"/>
            <w:tcBorders>
              <w:top w:val="nil"/>
              <w:left w:val="nil"/>
              <w:bottom w:val="single" w:sz="4" w:space="0" w:color="auto"/>
              <w:right w:val="single" w:sz="4" w:space="0" w:color="auto"/>
            </w:tcBorders>
            <w:shd w:val="clear" w:color="auto" w:fill="auto"/>
            <w:noWrap/>
            <w:vAlign w:val="bottom"/>
            <w:hideMark/>
          </w:tcPr>
          <w:p w14:paraId="62B9DC64"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39</w:t>
            </w:r>
          </w:p>
        </w:tc>
        <w:tc>
          <w:tcPr>
            <w:tcW w:w="0" w:type="auto"/>
            <w:tcBorders>
              <w:top w:val="nil"/>
              <w:left w:val="nil"/>
              <w:bottom w:val="single" w:sz="4" w:space="0" w:color="auto"/>
              <w:right w:val="single" w:sz="4" w:space="0" w:color="auto"/>
            </w:tcBorders>
            <w:shd w:val="clear" w:color="auto" w:fill="auto"/>
            <w:noWrap/>
            <w:vAlign w:val="bottom"/>
            <w:hideMark/>
          </w:tcPr>
          <w:p w14:paraId="0F48D38E"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(97.5)</w:t>
            </w:r>
          </w:p>
        </w:tc>
        <w:tc>
          <w:tcPr>
            <w:tcW w:w="0" w:type="auto"/>
            <w:tcBorders>
              <w:top w:val="nil"/>
              <w:left w:val="nil"/>
              <w:bottom w:val="single" w:sz="4" w:space="0" w:color="auto"/>
              <w:right w:val="single" w:sz="4" w:space="0" w:color="auto"/>
            </w:tcBorders>
            <w:shd w:val="clear" w:color="auto" w:fill="auto"/>
            <w:noWrap/>
            <w:vAlign w:val="bottom"/>
            <w:hideMark/>
          </w:tcPr>
          <w:p w14:paraId="77E89F49"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3233B645"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04E44D90"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45802E48"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617C56FF"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7A22627A"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1428ED77"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012AAD8D"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5D5099FE"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78307FB6"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77A057A2"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59%</w:t>
            </w:r>
          </w:p>
        </w:tc>
      </w:tr>
      <w:tr w:rsidR="0067156B" w:rsidRPr="00BA48F1" w14:paraId="4D652955" w14:textId="77777777" w:rsidTr="0067156B">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5D00A02"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CHELMSFORD</w:t>
            </w:r>
          </w:p>
        </w:tc>
        <w:tc>
          <w:tcPr>
            <w:tcW w:w="0" w:type="auto"/>
            <w:tcBorders>
              <w:top w:val="nil"/>
              <w:left w:val="nil"/>
              <w:bottom w:val="single" w:sz="4" w:space="0" w:color="auto"/>
              <w:right w:val="single" w:sz="4" w:space="0" w:color="auto"/>
            </w:tcBorders>
            <w:shd w:val="clear" w:color="auto" w:fill="auto"/>
            <w:noWrap/>
            <w:vAlign w:val="bottom"/>
            <w:hideMark/>
          </w:tcPr>
          <w:p w14:paraId="091CB41D"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1,177</w:t>
            </w:r>
          </w:p>
        </w:tc>
        <w:tc>
          <w:tcPr>
            <w:tcW w:w="0" w:type="auto"/>
            <w:tcBorders>
              <w:top w:val="nil"/>
              <w:left w:val="nil"/>
              <w:bottom w:val="single" w:sz="4" w:space="0" w:color="auto"/>
              <w:right w:val="single" w:sz="4" w:space="0" w:color="auto"/>
            </w:tcBorders>
            <w:shd w:val="clear" w:color="auto" w:fill="auto"/>
            <w:noWrap/>
            <w:vAlign w:val="bottom"/>
            <w:hideMark/>
          </w:tcPr>
          <w:p w14:paraId="2D3677A8"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881</w:t>
            </w:r>
          </w:p>
        </w:tc>
        <w:tc>
          <w:tcPr>
            <w:tcW w:w="0" w:type="auto"/>
            <w:tcBorders>
              <w:top w:val="nil"/>
              <w:left w:val="nil"/>
              <w:bottom w:val="single" w:sz="4" w:space="0" w:color="auto"/>
              <w:right w:val="single" w:sz="4" w:space="0" w:color="auto"/>
            </w:tcBorders>
            <w:shd w:val="clear" w:color="auto" w:fill="auto"/>
            <w:noWrap/>
            <w:vAlign w:val="bottom"/>
            <w:hideMark/>
          </w:tcPr>
          <w:p w14:paraId="1D992793"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75%</w:t>
            </w:r>
          </w:p>
        </w:tc>
        <w:tc>
          <w:tcPr>
            <w:tcW w:w="0" w:type="auto"/>
            <w:tcBorders>
              <w:top w:val="nil"/>
              <w:left w:val="nil"/>
              <w:bottom w:val="single" w:sz="4" w:space="0" w:color="auto"/>
              <w:right w:val="single" w:sz="4" w:space="0" w:color="auto"/>
            </w:tcBorders>
            <w:shd w:val="clear" w:color="auto" w:fill="auto"/>
            <w:noWrap/>
            <w:vAlign w:val="bottom"/>
            <w:hideMark/>
          </w:tcPr>
          <w:p w14:paraId="178FE714"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868</w:t>
            </w:r>
          </w:p>
        </w:tc>
        <w:tc>
          <w:tcPr>
            <w:tcW w:w="0" w:type="auto"/>
            <w:tcBorders>
              <w:top w:val="nil"/>
              <w:left w:val="nil"/>
              <w:bottom w:val="single" w:sz="4" w:space="0" w:color="auto"/>
              <w:right w:val="single" w:sz="4" w:space="0" w:color="auto"/>
            </w:tcBorders>
            <w:shd w:val="clear" w:color="auto" w:fill="auto"/>
            <w:noWrap/>
            <w:vAlign w:val="bottom"/>
            <w:hideMark/>
          </w:tcPr>
          <w:p w14:paraId="06A0B858"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(98.5)</w:t>
            </w:r>
          </w:p>
        </w:tc>
        <w:tc>
          <w:tcPr>
            <w:tcW w:w="0" w:type="auto"/>
            <w:tcBorders>
              <w:top w:val="nil"/>
              <w:left w:val="nil"/>
              <w:bottom w:val="single" w:sz="4" w:space="0" w:color="auto"/>
              <w:right w:val="single" w:sz="4" w:space="0" w:color="auto"/>
            </w:tcBorders>
            <w:shd w:val="clear" w:color="auto" w:fill="auto"/>
            <w:noWrap/>
            <w:vAlign w:val="bottom"/>
            <w:hideMark/>
          </w:tcPr>
          <w:p w14:paraId="5ECCC5C8"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11</w:t>
            </w:r>
          </w:p>
        </w:tc>
        <w:tc>
          <w:tcPr>
            <w:tcW w:w="0" w:type="auto"/>
            <w:tcBorders>
              <w:top w:val="nil"/>
              <w:left w:val="nil"/>
              <w:bottom w:val="single" w:sz="4" w:space="0" w:color="auto"/>
              <w:right w:val="single" w:sz="4" w:space="0" w:color="auto"/>
            </w:tcBorders>
            <w:shd w:val="clear" w:color="auto" w:fill="auto"/>
            <w:noWrap/>
            <w:vAlign w:val="bottom"/>
            <w:hideMark/>
          </w:tcPr>
          <w:p w14:paraId="70CC843C"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(1.2)</w:t>
            </w:r>
          </w:p>
        </w:tc>
        <w:tc>
          <w:tcPr>
            <w:tcW w:w="0" w:type="auto"/>
            <w:tcBorders>
              <w:top w:val="nil"/>
              <w:left w:val="nil"/>
              <w:bottom w:val="single" w:sz="4" w:space="0" w:color="auto"/>
              <w:right w:val="single" w:sz="4" w:space="0" w:color="auto"/>
            </w:tcBorders>
            <w:shd w:val="clear" w:color="auto" w:fill="auto"/>
            <w:noWrap/>
            <w:vAlign w:val="bottom"/>
            <w:hideMark/>
          </w:tcPr>
          <w:p w14:paraId="70F9F84A"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40B730E2"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4EDB2DA2"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49729065"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4B1A45C9"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8</w:t>
            </w:r>
          </w:p>
        </w:tc>
        <w:tc>
          <w:tcPr>
            <w:tcW w:w="0" w:type="auto"/>
            <w:tcBorders>
              <w:top w:val="nil"/>
              <w:left w:val="nil"/>
              <w:bottom w:val="single" w:sz="4" w:space="0" w:color="auto"/>
              <w:right w:val="single" w:sz="4" w:space="0" w:color="auto"/>
            </w:tcBorders>
            <w:shd w:val="clear" w:color="auto" w:fill="auto"/>
            <w:noWrap/>
            <w:vAlign w:val="bottom"/>
            <w:hideMark/>
          </w:tcPr>
          <w:p w14:paraId="49F41AB8"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(0.9)</w:t>
            </w:r>
          </w:p>
        </w:tc>
        <w:tc>
          <w:tcPr>
            <w:tcW w:w="0" w:type="auto"/>
            <w:tcBorders>
              <w:top w:val="nil"/>
              <w:left w:val="nil"/>
              <w:bottom w:val="single" w:sz="4" w:space="0" w:color="auto"/>
              <w:right w:val="single" w:sz="4" w:space="0" w:color="auto"/>
            </w:tcBorders>
            <w:shd w:val="clear" w:color="auto" w:fill="auto"/>
            <w:noWrap/>
            <w:vAlign w:val="bottom"/>
            <w:hideMark/>
          </w:tcPr>
          <w:p w14:paraId="34B1D17F"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24BEC802"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460BCA85"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66%</w:t>
            </w:r>
          </w:p>
        </w:tc>
      </w:tr>
      <w:tr w:rsidR="0067156B" w:rsidRPr="00BA48F1" w14:paraId="3EA333EB" w14:textId="77777777" w:rsidTr="0067156B">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CEF73A0"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CHELSEA</w:t>
            </w:r>
          </w:p>
        </w:tc>
        <w:tc>
          <w:tcPr>
            <w:tcW w:w="0" w:type="auto"/>
            <w:tcBorders>
              <w:top w:val="nil"/>
              <w:left w:val="nil"/>
              <w:bottom w:val="single" w:sz="4" w:space="0" w:color="auto"/>
              <w:right w:val="single" w:sz="4" w:space="0" w:color="auto"/>
            </w:tcBorders>
            <w:shd w:val="clear" w:color="auto" w:fill="auto"/>
            <w:noWrap/>
            <w:vAlign w:val="bottom"/>
            <w:hideMark/>
          </w:tcPr>
          <w:p w14:paraId="4933A17C"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2,023</w:t>
            </w:r>
          </w:p>
        </w:tc>
        <w:tc>
          <w:tcPr>
            <w:tcW w:w="0" w:type="auto"/>
            <w:tcBorders>
              <w:top w:val="nil"/>
              <w:left w:val="nil"/>
              <w:bottom w:val="single" w:sz="4" w:space="0" w:color="auto"/>
              <w:right w:val="single" w:sz="4" w:space="0" w:color="auto"/>
            </w:tcBorders>
            <w:shd w:val="clear" w:color="auto" w:fill="auto"/>
            <w:noWrap/>
            <w:vAlign w:val="bottom"/>
            <w:hideMark/>
          </w:tcPr>
          <w:p w14:paraId="5CC6DC26"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1,292</w:t>
            </w:r>
          </w:p>
        </w:tc>
        <w:tc>
          <w:tcPr>
            <w:tcW w:w="0" w:type="auto"/>
            <w:tcBorders>
              <w:top w:val="nil"/>
              <w:left w:val="nil"/>
              <w:bottom w:val="single" w:sz="4" w:space="0" w:color="auto"/>
              <w:right w:val="single" w:sz="4" w:space="0" w:color="auto"/>
            </w:tcBorders>
            <w:shd w:val="clear" w:color="auto" w:fill="auto"/>
            <w:noWrap/>
            <w:vAlign w:val="bottom"/>
            <w:hideMark/>
          </w:tcPr>
          <w:p w14:paraId="53F8904B"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64%</w:t>
            </w:r>
          </w:p>
        </w:tc>
        <w:tc>
          <w:tcPr>
            <w:tcW w:w="0" w:type="auto"/>
            <w:tcBorders>
              <w:top w:val="nil"/>
              <w:left w:val="nil"/>
              <w:bottom w:val="single" w:sz="4" w:space="0" w:color="auto"/>
              <w:right w:val="single" w:sz="4" w:space="0" w:color="auto"/>
            </w:tcBorders>
            <w:shd w:val="clear" w:color="auto" w:fill="auto"/>
            <w:noWrap/>
            <w:vAlign w:val="bottom"/>
            <w:hideMark/>
          </w:tcPr>
          <w:p w14:paraId="01C47C12"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1,271</w:t>
            </w:r>
          </w:p>
        </w:tc>
        <w:tc>
          <w:tcPr>
            <w:tcW w:w="0" w:type="auto"/>
            <w:tcBorders>
              <w:top w:val="nil"/>
              <w:left w:val="nil"/>
              <w:bottom w:val="single" w:sz="4" w:space="0" w:color="auto"/>
              <w:right w:val="single" w:sz="4" w:space="0" w:color="auto"/>
            </w:tcBorders>
            <w:shd w:val="clear" w:color="auto" w:fill="auto"/>
            <w:noWrap/>
            <w:vAlign w:val="bottom"/>
            <w:hideMark/>
          </w:tcPr>
          <w:p w14:paraId="69D86473"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(98.4)</w:t>
            </w:r>
          </w:p>
        </w:tc>
        <w:tc>
          <w:tcPr>
            <w:tcW w:w="0" w:type="auto"/>
            <w:tcBorders>
              <w:top w:val="nil"/>
              <w:left w:val="nil"/>
              <w:bottom w:val="single" w:sz="4" w:space="0" w:color="auto"/>
              <w:right w:val="single" w:sz="4" w:space="0" w:color="auto"/>
            </w:tcBorders>
            <w:shd w:val="clear" w:color="auto" w:fill="auto"/>
            <w:noWrap/>
            <w:vAlign w:val="bottom"/>
            <w:hideMark/>
          </w:tcPr>
          <w:p w14:paraId="2D928C89"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17</w:t>
            </w:r>
          </w:p>
        </w:tc>
        <w:tc>
          <w:tcPr>
            <w:tcW w:w="0" w:type="auto"/>
            <w:tcBorders>
              <w:top w:val="nil"/>
              <w:left w:val="nil"/>
              <w:bottom w:val="single" w:sz="4" w:space="0" w:color="auto"/>
              <w:right w:val="single" w:sz="4" w:space="0" w:color="auto"/>
            </w:tcBorders>
            <w:shd w:val="clear" w:color="auto" w:fill="auto"/>
            <w:noWrap/>
            <w:vAlign w:val="bottom"/>
            <w:hideMark/>
          </w:tcPr>
          <w:p w14:paraId="6A263ECE"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(1.3)</w:t>
            </w:r>
          </w:p>
        </w:tc>
        <w:tc>
          <w:tcPr>
            <w:tcW w:w="0" w:type="auto"/>
            <w:tcBorders>
              <w:top w:val="nil"/>
              <w:left w:val="nil"/>
              <w:bottom w:val="single" w:sz="4" w:space="0" w:color="auto"/>
              <w:right w:val="single" w:sz="4" w:space="0" w:color="auto"/>
            </w:tcBorders>
            <w:shd w:val="clear" w:color="auto" w:fill="auto"/>
            <w:noWrap/>
            <w:vAlign w:val="bottom"/>
            <w:hideMark/>
          </w:tcPr>
          <w:p w14:paraId="58445946"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4</w:t>
            </w:r>
          </w:p>
        </w:tc>
        <w:tc>
          <w:tcPr>
            <w:tcW w:w="0" w:type="auto"/>
            <w:tcBorders>
              <w:top w:val="nil"/>
              <w:left w:val="nil"/>
              <w:bottom w:val="single" w:sz="4" w:space="0" w:color="auto"/>
              <w:right w:val="single" w:sz="4" w:space="0" w:color="auto"/>
            </w:tcBorders>
            <w:shd w:val="clear" w:color="auto" w:fill="auto"/>
            <w:noWrap/>
            <w:vAlign w:val="bottom"/>
            <w:hideMark/>
          </w:tcPr>
          <w:p w14:paraId="5121B69C"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(0.3)</w:t>
            </w:r>
          </w:p>
        </w:tc>
        <w:tc>
          <w:tcPr>
            <w:tcW w:w="0" w:type="auto"/>
            <w:tcBorders>
              <w:top w:val="nil"/>
              <w:left w:val="nil"/>
              <w:bottom w:val="single" w:sz="4" w:space="0" w:color="auto"/>
              <w:right w:val="single" w:sz="4" w:space="0" w:color="auto"/>
            </w:tcBorders>
            <w:shd w:val="clear" w:color="auto" w:fill="auto"/>
            <w:noWrap/>
            <w:vAlign w:val="bottom"/>
            <w:hideMark/>
          </w:tcPr>
          <w:p w14:paraId="156752E5"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37E3D4F6"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3A6DBCEE"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17</w:t>
            </w:r>
          </w:p>
        </w:tc>
        <w:tc>
          <w:tcPr>
            <w:tcW w:w="0" w:type="auto"/>
            <w:tcBorders>
              <w:top w:val="nil"/>
              <w:left w:val="nil"/>
              <w:bottom w:val="single" w:sz="4" w:space="0" w:color="auto"/>
              <w:right w:val="single" w:sz="4" w:space="0" w:color="auto"/>
            </w:tcBorders>
            <w:shd w:val="clear" w:color="auto" w:fill="auto"/>
            <w:noWrap/>
            <w:vAlign w:val="bottom"/>
            <w:hideMark/>
          </w:tcPr>
          <w:p w14:paraId="1EF5CEF4"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(1.3)</w:t>
            </w:r>
          </w:p>
        </w:tc>
        <w:tc>
          <w:tcPr>
            <w:tcW w:w="0" w:type="auto"/>
            <w:tcBorders>
              <w:top w:val="nil"/>
              <w:left w:val="nil"/>
              <w:bottom w:val="single" w:sz="4" w:space="0" w:color="auto"/>
              <w:right w:val="single" w:sz="4" w:space="0" w:color="auto"/>
            </w:tcBorders>
            <w:shd w:val="clear" w:color="auto" w:fill="auto"/>
            <w:noWrap/>
            <w:vAlign w:val="bottom"/>
            <w:hideMark/>
          </w:tcPr>
          <w:p w14:paraId="57112DF9"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4</w:t>
            </w:r>
          </w:p>
        </w:tc>
        <w:tc>
          <w:tcPr>
            <w:tcW w:w="0" w:type="auto"/>
            <w:tcBorders>
              <w:top w:val="nil"/>
              <w:left w:val="nil"/>
              <w:bottom w:val="single" w:sz="4" w:space="0" w:color="auto"/>
              <w:right w:val="single" w:sz="4" w:space="0" w:color="auto"/>
            </w:tcBorders>
            <w:shd w:val="clear" w:color="auto" w:fill="auto"/>
            <w:noWrap/>
            <w:vAlign w:val="bottom"/>
            <w:hideMark/>
          </w:tcPr>
          <w:p w14:paraId="491D804C"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(0.3)</w:t>
            </w:r>
          </w:p>
        </w:tc>
        <w:tc>
          <w:tcPr>
            <w:tcW w:w="0" w:type="auto"/>
            <w:tcBorders>
              <w:top w:val="nil"/>
              <w:left w:val="nil"/>
              <w:bottom w:val="single" w:sz="4" w:space="0" w:color="auto"/>
              <w:right w:val="single" w:sz="4" w:space="0" w:color="auto"/>
            </w:tcBorders>
            <w:shd w:val="clear" w:color="auto" w:fill="auto"/>
            <w:noWrap/>
            <w:vAlign w:val="bottom"/>
            <w:hideMark/>
          </w:tcPr>
          <w:p w14:paraId="0BCFD175"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73%</w:t>
            </w:r>
          </w:p>
        </w:tc>
      </w:tr>
      <w:tr w:rsidR="0067156B" w:rsidRPr="00BA48F1" w14:paraId="495DF352" w14:textId="77777777" w:rsidTr="0067156B">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60BA3FA"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CHESHIRE</w:t>
            </w:r>
          </w:p>
        </w:tc>
        <w:tc>
          <w:tcPr>
            <w:tcW w:w="0" w:type="auto"/>
            <w:tcBorders>
              <w:top w:val="nil"/>
              <w:left w:val="nil"/>
              <w:bottom w:val="single" w:sz="4" w:space="0" w:color="auto"/>
              <w:right w:val="single" w:sz="4" w:space="0" w:color="auto"/>
            </w:tcBorders>
            <w:shd w:val="clear" w:color="auto" w:fill="auto"/>
            <w:noWrap/>
            <w:vAlign w:val="bottom"/>
            <w:hideMark/>
          </w:tcPr>
          <w:p w14:paraId="579E6CFC"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69</w:t>
            </w:r>
          </w:p>
        </w:tc>
        <w:tc>
          <w:tcPr>
            <w:tcW w:w="0" w:type="auto"/>
            <w:tcBorders>
              <w:top w:val="nil"/>
              <w:left w:val="nil"/>
              <w:bottom w:val="single" w:sz="4" w:space="0" w:color="auto"/>
              <w:right w:val="single" w:sz="4" w:space="0" w:color="auto"/>
            </w:tcBorders>
            <w:shd w:val="clear" w:color="auto" w:fill="auto"/>
            <w:noWrap/>
            <w:vAlign w:val="bottom"/>
            <w:hideMark/>
          </w:tcPr>
          <w:p w14:paraId="73C7DE1B"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60</w:t>
            </w:r>
          </w:p>
        </w:tc>
        <w:tc>
          <w:tcPr>
            <w:tcW w:w="0" w:type="auto"/>
            <w:tcBorders>
              <w:top w:val="nil"/>
              <w:left w:val="nil"/>
              <w:bottom w:val="single" w:sz="4" w:space="0" w:color="auto"/>
              <w:right w:val="single" w:sz="4" w:space="0" w:color="auto"/>
            </w:tcBorders>
            <w:shd w:val="clear" w:color="auto" w:fill="auto"/>
            <w:noWrap/>
            <w:vAlign w:val="bottom"/>
            <w:hideMark/>
          </w:tcPr>
          <w:p w14:paraId="55A0947D"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87%</w:t>
            </w:r>
          </w:p>
        </w:tc>
        <w:tc>
          <w:tcPr>
            <w:tcW w:w="0" w:type="auto"/>
            <w:tcBorders>
              <w:top w:val="nil"/>
              <w:left w:val="nil"/>
              <w:bottom w:val="single" w:sz="4" w:space="0" w:color="auto"/>
              <w:right w:val="single" w:sz="4" w:space="0" w:color="auto"/>
            </w:tcBorders>
            <w:shd w:val="clear" w:color="auto" w:fill="auto"/>
            <w:noWrap/>
            <w:vAlign w:val="bottom"/>
            <w:hideMark/>
          </w:tcPr>
          <w:p w14:paraId="0C6D61CB"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59</w:t>
            </w:r>
          </w:p>
        </w:tc>
        <w:tc>
          <w:tcPr>
            <w:tcW w:w="0" w:type="auto"/>
            <w:tcBorders>
              <w:top w:val="nil"/>
              <w:left w:val="nil"/>
              <w:bottom w:val="single" w:sz="4" w:space="0" w:color="auto"/>
              <w:right w:val="single" w:sz="4" w:space="0" w:color="auto"/>
            </w:tcBorders>
            <w:shd w:val="clear" w:color="auto" w:fill="auto"/>
            <w:noWrap/>
            <w:vAlign w:val="bottom"/>
            <w:hideMark/>
          </w:tcPr>
          <w:p w14:paraId="5B4D6F2D"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(98.3)</w:t>
            </w:r>
          </w:p>
        </w:tc>
        <w:tc>
          <w:tcPr>
            <w:tcW w:w="0" w:type="auto"/>
            <w:tcBorders>
              <w:top w:val="nil"/>
              <w:left w:val="nil"/>
              <w:bottom w:val="single" w:sz="4" w:space="0" w:color="auto"/>
              <w:right w:val="single" w:sz="4" w:space="0" w:color="auto"/>
            </w:tcBorders>
            <w:shd w:val="clear" w:color="auto" w:fill="auto"/>
            <w:noWrap/>
            <w:vAlign w:val="bottom"/>
            <w:hideMark/>
          </w:tcPr>
          <w:p w14:paraId="44AF07A9"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09C5B0F8"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0022D404"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532C6097"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6882511A"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6A6E4F46"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24E421CC"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5EF16221"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6D4E6FB7"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7520B69D"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030A9E0C"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64%</w:t>
            </w:r>
          </w:p>
        </w:tc>
      </w:tr>
      <w:tr w:rsidR="0067156B" w:rsidRPr="00BA48F1" w14:paraId="17091789" w14:textId="77777777" w:rsidTr="0067156B">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44C7D24"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CHESTER</w:t>
            </w:r>
          </w:p>
        </w:tc>
        <w:tc>
          <w:tcPr>
            <w:tcW w:w="0" w:type="auto"/>
            <w:tcBorders>
              <w:top w:val="nil"/>
              <w:left w:val="nil"/>
              <w:bottom w:val="single" w:sz="4" w:space="0" w:color="auto"/>
              <w:right w:val="single" w:sz="4" w:space="0" w:color="auto"/>
            </w:tcBorders>
            <w:shd w:val="clear" w:color="auto" w:fill="auto"/>
            <w:noWrap/>
            <w:vAlign w:val="bottom"/>
            <w:hideMark/>
          </w:tcPr>
          <w:p w14:paraId="75698B37"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30</w:t>
            </w:r>
          </w:p>
        </w:tc>
        <w:tc>
          <w:tcPr>
            <w:tcW w:w="0" w:type="auto"/>
            <w:tcBorders>
              <w:top w:val="nil"/>
              <w:left w:val="nil"/>
              <w:bottom w:val="single" w:sz="4" w:space="0" w:color="auto"/>
              <w:right w:val="single" w:sz="4" w:space="0" w:color="auto"/>
            </w:tcBorders>
            <w:shd w:val="clear" w:color="auto" w:fill="auto"/>
            <w:noWrap/>
            <w:vAlign w:val="bottom"/>
            <w:hideMark/>
          </w:tcPr>
          <w:p w14:paraId="6D0EC593"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17</w:t>
            </w:r>
          </w:p>
        </w:tc>
        <w:tc>
          <w:tcPr>
            <w:tcW w:w="0" w:type="auto"/>
            <w:tcBorders>
              <w:top w:val="nil"/>
              <w:left w:val="nil"/>
              <w:bottom w:val="single" w:sz="4" w:space="0" w:color="auto"/>
              <w:right w:val="single" w:sz="4" w:space="0" w:color="auto"/>
            </w:tcBorders>
            <w:shd w:val="clear" w:color="auto" w:fill="auto"/>
            <w:noWrap/>
            <w:vAlign w:val="bottom"/>
            <w:hideMark/>
          </w:tcPr>
          <w:p w14:paraId="6ABE7756"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57%</w:t>
            </w:r>
          </w:p>
        </w:tc>
        <w:tc>
          <w:tcPr>
            <w:tcW w:w="0" w:type="auto"/>
            <w:tcBorders>
              <w:top w:val="nil"/>
              <w:left w:val="nil"/>
              <w:bottom w:val="single" w:sz="4" w:space="0" w:color="auto"/>
              <w:right w:val="single" w:sz="4" w:space="0" w:color="auto"/>
            </w:tcBorders>
            <w:shd w:val="clear" w:color="auto" w:fill="auto"/>
            <w:noWrap/>
            <w:vAlign w:val="bottom"/>
            <w:hideMark/>
          </w:tcPr>
          <w:p w14:paraId="27F4FD7A"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15</w:t>
            </w:r>
          </w:p>
        </w:tc>
        <w:tc>
          <w:tcPr>
            <w:tcW w:w="0" w:type="auto"/>
            <w:tcBorders>
              <w:top w:val="nil"/>
              <w:left w:val="nil"/>
              <w:bottom w:val="single" w:sz="4" w:space="0" w:color="auto"/>
              <w:right w:val="single" w:sz="4" w:space="0" w:color="auto"/>
            </w:tcBorders>
            <w:shd w:val="clear" w:color="auto" w:fill="auto"/>
            <w:noWrap/>
            <w:vAlign w:val="bottom"/>
            <w:hideMark/>
          </w:tcPr>
          <w:p w14:paraId="7CAD05FC"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(88.2)</w:t>
            </w:r>
          </w:p>
        </w:tc>
        <w:tc>
          <w:tcPr>
            <w:tcW w:w="0" w:type="auto"/>
            <w:tcBorders>
              <w:top w:val="nil"/>
              <w:left w:val="nil"/>
              <w:bottom w:val="single" w:sz="4" w:space="0" w:color="auto"/>
              <w:right w:val="single" w:sz="4" w:space="0" w:color="auto"/>
            </w:tcBorders>
            <w:shd w:val="clear" w:color="auto" w:fill="auto"/>
            <w:noWrap/>
            <w:vAlign w:val="bottom"/>
            <w:hideMark/>
          </w:tcPr>
          <w:p w14:paraId="14CB9E7E"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628C0AAF"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3182BD48"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7FA44799"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5C5BAD9E"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44207C1C"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2D4625B9"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77220518"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6F2A5038"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455460C4"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511112BF"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67%</w:t>
            </w:r>
          </w:p>
        </w:tc>
      </w:tr>
      <w:tr w:rsidR="0067156B" w:rsidRPr="00BA48F1" w14:paraId="7B159AF4" w14:textId="77777777" w:rsidTr="0067156B">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2D896B2"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CHESTERFIELD</w:t>
            </w:r>
          </w:p>
        </w:tc>
        <w:tc>
          <w:tcPr>
            <w:tcW w:w="0" w:type="auto"/>
            <w:tcBorders>
              <w:top w:val="nil"/>
              <w:left w:val="nil"/>
              <w:bottom w:val="single" w:sz="4" w:space="0" w:color="auto"/>
              <w:right w:val="single" w:sz="4" w:space="0" w:color="auto"/>
            </w:tcBorders>
            <w:shd w:val="clear" w:color="auto" w:fill="auto"/>
            <w:noWrap/>
            <w:vAlign w:val="bottom"/>
            <w:hideMark/>
          </w:tcPr>
          <w:p w14:paraId="5A19FFC8"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21</w:t>
            </w:r>
          </w:p>
        </w:tc>
        <w:tc>
          <w:tcPr>
            <w:tcW w:w="0" w:type="auto"/>
            <w:tcBorders>
              <w:top w:val="nil"/>
              <w:left w:val="nil"/>
              <w:bottom w:val="single" w:sz="4" w:space="0" w:color="auto"/>
              <w:right w:val="single" w:sz="4" w:space="0" w:color="auto"/>
            </w:tcBorders>
            <w:shd w:val="clear" w:color="auto" w:fill="auto"/>
            <w:noWrap/>
            <w:vAlign w:val="bottom"/>
            <w:hideMark/>
          </w:tcPr>
          <w:p w14:paraId="327682AF"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17</w:t>
            </w:r>
          </w:p>
        </w:tc>
        <w:tc>
          <w:tcPr>
            <w:tcW w:w="0" w:type="auto"/>
            <w:tcBorders>
              <w:top w:val="nil"/>
              <w:left w:val="nil"/>
              <w:bottom w:val="single" w:sz="4" w:space="0" w:color="auto"/>
              <w:right w:val="single" w:sz="4" w:space="0" w:color="auto"/>
            </w:tcBorders>
            <w:shd w:val="clear" w:color="auto" w:fill="auto"/>
            <w:noWrap/>
            <w:vAlign w:val="bottom"/>
            <w:hideMark/>
          </w:tcPr>
          <w:p w14:paraId="0780440D"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81%</w:t>
            </w:r>
          </w:p>
        </w:tc>
        <w:tc>
          <w:tcPr>
            <w:tcW w:w="0" w:type="auto"/>
            <w:tcBorders>
              <w:top w:val="nil"/>
              <w:left w:val="nil"/>
              <w:bottom w:val="single" w:sz="4" w:space="0" w:color="auto"/>
              <w:right w:val="single" w:sz="4" w:space="0" w:color="auto"/>
            </w:tcBorders>
            <w:shd w:val="clear" w:color="auto" w:fill="auto"/>
            <w:noWrap/>
            <w:vAlign w:val="bottom"/>
            <w:hideMark/>
          </w:tcPr>
          <w:p w14:paraId="5EBF5D58"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17</w:t>
            </w:r>
          </w:p>
        </w:tc>
        <w:tc>
          <w:tcPr>
            <w:tcW w:w="0" w:type="auto"/>
            <w:tcBorders>
              <w:top w:val="nil"/>
              <w:left w:val="nil"/>
              <w:bottom w:val="single" w:sz="4" w:space="0" w:color="auto"/>
              <w:right w:val="single" w:sz="4" w:space="0" w:color="auto"/>
            </w:tcBorders>
            <w:shd w:val="clear" w:color="auto" w:fill="auto"/>
            <w:noWrap/>
            <w:vAlign w:val="bottom"/>
            <w:hideMark/>
          </w:tcPr>
          <w:p w14:paraId="6E6CE2C4"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(100.0)</w:t>
            </w:r>
          </w:p>
        </w:tc>
        <w:tc>
          <w:tcPr>
            <w:tcW w:w="0" w:type="auto"/>
            <w:tcBorders>
              <w:top w:val="nil"/>
              <w:left w:val="nil"/>
              <w:bottom w:val="single" w:sz="4" w:space="0" w:color="auto"/>
              <w:right w:val="single" w:sz="4" w:space="0" w:color="auto"/>
            </w:tcBorders>
            <w:shd w:val="clear" w:color="auto" w:fill="auto"/>
            <w:noWrap/>
            <w:vAlign w:val="bottom"/>
            <w:hideMark/>
          </w:tcPr>
          <w:p w14:paraId="62446553"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74EFFF2F"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361DACB4"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2B774E55"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1B04DDA9"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24B85A83"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4F751D52"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5AF2A270"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294E7FC0"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4387B327"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47F0C72B"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66%</w:t>
            </w:r>
          </w:p>
        </w:tc>
      </w:tr>
      <w:tr w:rsidR="0067156B" w:rsidRPr="00BA48F1" w14:paraId="697BDE9E" w14:textId="77777777" w:rsidTr="0067156B">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6E676C9"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CHICOPEE</w:t>
            </w:r>
          </w:p>
        </w:tc>
        <w:tc>
          <w:tcPr>
            <w:tcW w:w="0" w:type="auto"/>
            <w:tcBorders>
              <w:top w:val="nil"/>
              <w:left w:val="nil"/>
              <w:bottom w:val="single" w:sz="4" w:space="0" w:color="auto"/>
              <w:right w:val="single" w:sz="4" w:space="0" w:color="auto"/>
            </w:tcBorders>
            <w:shd w:val="clear" w:color="auto" w:fill="auto"/>
            <w:noWrap/>
            <w:vAlign w:val="bottom"/>
            <w:hideMark/>
          </w:tcPr>
          <w:p w14:paraId="52679F1C"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2,075</w:t>
            </w:r>
          </w:p>
        </w:tc>
        <w:tc>
          <w:tcPr>
            <w:tcW w:w="0" w:type="auto"/>
            <w:tcBorders>
              <w:top w:val="nil"/>
              <w:left w:val="nil"/>
              <w:bottom w:val="single" w:sz="4" w:space="0" w:color="auto"/>
              <w:right w:val="single" w:sz="4" w:space="0" w:color="auto"/>
            </w:tcBorders>
            <w:shd w:val="clear" w:color="auto" w:fill="auto"/>
            <w:noWrap/>
            <w:vAlign w:val="bottom"/>
            <w:hideMark/>
          </w:tcPr>
          <w:p w14:paraId="6C4FE7CF"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1,053</w:t>
            </w:r>
          </w:p>
        </w:tc>
        <w:tc>
          <w:tcPr>
            <w:tcW w:w="0" w:type="auto"/>
            <w:tcBorders>
              <w:top w:val="nil"/>
              <w:left w:val="nil"/>
              <w:bottom w:val="single" w:sz="4" w:space="0" w:color="auto"/>
              <w:right w:val="single" w:sz="4" w:space="0" w:color="auto"/>
            </w:tcBorders>
            <w:shd w:val="clear" w:color="auto" w:fill="auto"/>
            <w:noWrap/>
            <w:vAlign w:val="bottom"/>
            <w:hideMark/>
          </w:tcPr>
          <w:p w14:paraId="507CECF4"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51%</w:t>
            </w:r>
          </w:p>
        </w:tc>
        <w:tc>
          <w:tcPr>
            <w:tcW w:w="0" w:type="auto"/>
            <w:tcBorders>
              <w:top w:val="nil"/>
              <w:left w:val="nil"/>
              <w:bottom w:val="single" w:sz="4" w:space="0" w:color="auto"/>
              <w:right w:val="single" w:sz="4" w:space="0" w:color="auto"/>
            </w:tcBorders>
            <w:shd w:val="clear" w:color="auto" w:fill="auto"/>
            <w:noWrap/>
            <w:vAlign w:val="bottom"/>
            <w:hideMark/>
          </w:tcPr>
          <w:p w14:paraId="639B371D"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1,022</w:t>
            </w:r>
          </w:p>
        </w:tc>
        <w:tc>
          <w:tcPr>
            <w:tcW w:w="0" w:type="auto"/>
            <w:tcBorders>
              <w:top w:val="nil"/>
              <w:left w:val="nil"/>
              <w:bottom w:val="single" w:sz="4" w:space="0" w:color="auto"/>
              <w:right w:val="single" w:sz="4" w:space="0" w:color="auto"/>
            </w:tcBorders>
            <w:shd w:val="clear" w:color="auto" w:fill="auto"/>
            <w:noWrap/>
            <w:vAlign w:val="bottom"/>
            <w:hideMark/>
          </w:tcPr>
          <w:p w14:paraId="549E31A5"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(97.1)</w:t>
            </w:r>
          </w:p>
        </w:tc>
        <w:tc>
          <w:tcPr>
            <w:tcW w:w="0" w:type="auto"/>
            <w:tcBorders>
              <w:top w:val="nil"/>
              <w:left w:val="nil"/>
              <w:bottom w:val="single" w:sz="4" w:space="0" w:color="auto"/>
              <w:right w:val="single" w:sz="4" w:space="0" w:color="auto"/>
            </w:tcBorders>
            <w:shd w:val="clear" w:color="auto" w:fill="auto"/>
            <w:noWrap/>
            <w:vAlign w:val="bottom"/>
            <w:hideMark/>
          </w:tcPr>
          <w:p w14:paraId="53E3662D"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26</w:t>
            </w:r>
          </w:p>
        </w:tc>
        <w:tc>
          <w:tcPr>
            <w:tcW w:w="0" w:type="auto"/>
            <w:tcBorders>
              <w:top w:val="nil"/>
              <w:left w:val="nil"/>
              <w:bottom w:val="single" w:sz="4" w:space="0" w:color="auto"/>
              <w:right w:val="single" w:sz="4" w:space="0" w:color="auto"/>
            </w:tcBorders>
            <w:shd w:val="clear" w:color="auto" w:fill="auto"/>
            <w:noWrap/>
            <w:vAlign w:val="bottom"/>
            <w:hideMark/>
          </w:tcPr>
          <w:p w14:paraId="55D3A104"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(2.5)</w:t>
            </w:r>
          </w:p>
        </w:tc>
        <w:tc>
          <w:tcPr>
            <w:tcW w:w="0" w:type="auto"/>
            <w:tcBorders>
              <w:top w:val="nil"/>
              <w:left w:val="nil"/>
              <w:bottom w:val="single" w:sz="4" w:space="0" w:color="auto"/>
              <w:right w:val="single" w:sz="4" w:space="0" w:color="auto"/>
            </w:tcBorders>
            <w:shd w:val="clear" w:color="auto" w:fill="auto"/>
            <w:noWrap/>
            <w:vAlign w:val="bottom"/>
            <w:hideMark/>
          </w:tcPr>
          <w:p w14:paraId="32D4FA09"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2F88EE1B"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33235C8C"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6EA23F6C"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616806E5"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18</w:t>
            </w:r>
          </w:p>
        </w:tc>
        <w:tc>
          <w:tcPr>
            <w:tcW w:w="0" w:type="auto"/>
            <w:tcBorders>
              <w:top w:val="nil"/>
              <w:left w:val="nil"/>
              <w:bottom w:val="single" w:sz="4" w:space="0" w:color="auto"/>
              <w:right w:val="single" w:sz="4" w:space="0" w:color="auto"/>
            </w:tcBorders>
            <w:shd w:val="clear" w:color="auto" w:fill="auto"/>
            <w:noWrap/>
            <w:vAlign w:val="bottom"/>
            <w:hideMark/>
          </w:tcPr>
          <w:p w14:paraId="6EDD7859"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(1.7)</w:t>
            </w:r>
          </w:p>
        </w:tc>
        <w:tc>
          <w:tcPr>
            <w:tcW w:w="0" w:type="auto"/>
            <w:tcBorders>
              <w:top w:val="nil"/>
              <w:left w:val="nil"/>
              <w:bottom w:val="single" w:sz="4" w:space="0" w:color="auto"/>
              <w:right w:val="single" w:sz="4" w:space="0" w:color="auto"/>
            </w:tcBorders>
            <w:shd w:val="clear" w:color="auto" w:fill="auto"/>
            <w:noWrap/>
            <w:vAlign w:val="bottom"/>
            <w:hideMark/>
          </w:tcPr>
          <w:p w14:paraId="415EE385"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704B4273"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12412D84"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81%</w:t>
            </w:r>
          </w:p>
        </w:tc>
      </w:tr>
      <w:tr w:rsidR="0067156B" w:rsidRPr="00BA48F1" w14:paraId="7730CCA9" w14:textId="77777777" w:rsidTr="0067156B">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018400B"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CHILMARK</w:t>
            </w:r>
          </w:p>
        </w:tc>
        <w:tc>
          <w:tcPr>
            <w:tcW w:w="0" w:type="auto"/>
            <w:tcBorders>
              <w:top w:val="nil"/>
              <w:left w:val="nil"/>
              <w:bottom w:val="single" w:sz="4" w:space="0" w:color="auto"/>
              <w:right w:val="single" w:sz="4" w:space="0" w:color="auto"/>
            </w:tcBorders>
            <w:shd w:val="clear" w:color="auto" w:fill="auto"/>
            <w:noWrap/>
            <w:vAlign w:val="bottom"/>
            <w:hideMark/>
          </w:tcPr>
          <w:p w14:paraId="4D5DCE5F"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17</w:t>
            </w:r>
          </w:p>
        </w:tc>
        <w:tc>
          <w:tcPr>
            <w:tcW w:w="0" w:type="auto"/>
            <w:tcBorders>
              <w:top w:val="nil"/>
              <w:left w:val="nil"/>
              <w:bottom w:val="single" w:sz="4" w:space="0" w:color="auto"/>
              <w:right w:val="single" w:sz="4" w:space="0" w:color="auto"/>
            </w:tcBorders>
            <w:shd w:val="clear" w:color="auto" w:fill="auto"/>
            <w:noWrap/>
            <w:vAlign w:val="bottom"/>
            <w:hideMark/>
          </w:tcPr>
          <w:p w14:paraId="22C2ED54"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8</w:t>
            </w:r>
          </w:p>
        </w:tc>
        <w:tc>
          <w:tcPr>
            <w:tcW w:w="0" w:type="auto"/>
            <w:tcBorders>
              <w:top w:val="nil"/>
              <w:left w:val="nil"/>
              <w:bottom w:val="single" w:sz="4" w:space="0" w:color="auto"/>
              <w:right w:val="single" w:sz="4" w:space="0" w:color="auto"/>
            </w:tcBorders>
            <w:shd w:val="clear" w:color="auto" w:fill="auto"/>
            <w:noWrap/>
            <w:vAlign w:val="bottom"/>
            <w:hideMark/>
          </w:tcPr>
          <w:p w14:paraId="2B1768B0"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47%</w:t>
            </w:r>
          </w:p>
        </w:tc>
        <w:tc>
          <w:tcPr>
            <w:tcW w:w="0" w:type="auto"/>
            <w:tcBorders>
              <w:top w:val="nil"/>
              <w:left w:val="nil"/>
              <w:bottom w:val="single" w:sz="4" w:space="0" w:color="auto"/>
              <w:right w:val="single" w:sz="4" w:space="0" w:color="auto"/>
            </w:tcBorders>
            <w:shd w:val="clear" w:color="auto" w:fill="auto"/>
            <w:noWrap/>
            <w:vAlign w:val="bottom"/>
            <w:hideMark/>
          </w:tcPr>
          <w:p w14:paraId="3C17F21E"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8</w:t>
            </w:r>
          </w:p>
        </w:tc>
        <w:tc>
          <w:tcPr>
            <w:tcW w:w="0" w:type="auto"/>
            <w:tcBorders>
              <w:top w:val="nil"/>
              <w:left w:val="nil"/>
              <w:bottom w:val="single" w:sz="4" w:space="0" w:color="auto"/>
              <w:right w:val="single" w:sz="4" w:space="0" w:color="auto"/>
            </w:tcBorders>
            <w:shd w:val="clear" w:color="auto" w:fill="auto"/>
            <w:noWrap/>
            <w:vAlign w:val="bottom"/>
            <w:hideMark/>
          </w:tcPr>
          <w:p w14:paraId="7DB03BFE"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(100.0)</w:t>
            </w:r>
          </w:p>
        </w:tc>
        <w:tc>
          <w:tcPr>
            <w:tcW w:w="0" w:type="auto"/>
            <w:tcBorders>
              <w:top w:val="nil"/>
              <w:left w:val="nil"/>
              <w:bottom w:val="single" w:sz="4" w:space="0" w:color="auto"/>
              <w:right w:val="single" w:sz="4" w:space="0" w:color="auto"/>
            </w:tcBorders>
            <w:shd w:val="clear" w:color="auto" w:fill="auto"/>
            <w:noWrap/>
            <w:vAlign w:val="bottom"/>
            <w:hideMark/>
          </w:tcPr>
          <w:p w14:paraId="6CFA69F8"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5DC0421B"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33B4FF1E"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41ABFEA9"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7E556E49"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2E74DF01"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549C0633"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00A6AE65"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157D0055"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778273B9"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629E8A69"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52%</w:t>
            </w:r>
          </w:p>
        </w:tc>
      </w:tr>
      <w:tr w:rsidR="0067156B" w:rsidRPr="00BA48F1" w14:paraId="7EEB797C" w14:textId="77777777" w:rsidTr="0067156B">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6286C87"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CLARKSBURG</w:t>
            </w:r>
          </w:p>
        </w:tc>
        <w:tc>
          <w:tcPr>
            <w:tcW w:w="0" w:type="auto"/>
            <w:tcBorders>
              <w:top w:val="nil"/>
              <w:left w:val="nil"/>
              <w:bottom w:val="single" w:sz="4" w:space="0" w:color="auto"/>
              <w:right w:val="single" w:sz="4" w:space="0" w:color="auto"/>
            </w:tcBorders>
            <w:shd w:val="clear" w:color="auto" w:fill="auto"/>
            <w:noWrap/>
            <w:vAlign w:val="bottom"/>
            <w:hideMark/>
          </w:tcPr>
          <w:p w14:paraId="77D837B4"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43</w:t>
            </w:r>
          </w:p>
        </w:tc>
        <w:tc>
          <w:tcPr>
            <w:tcW w:w="0" w:type="auto"/>
            <w:tcBorders>
              <w:top w:val="nil"/>
              <w:left w:val="nil"/>
              <w:bottom w:val="single" w:sz="4" w:space="0" w:color="auto"/>
              <w:right w:val="single" w:sz="4" w:space="0" w:color="auto"/>
            </w:tcBorders>
            <w:shd w:val="clear" w:color="auto" w:fill="auto"/>
            <w:noWrap/>
            <w:vAlign w:val="bottom"/>
            <w:hideMark/>
          </w:tcPr>
          <w:p w14:paraId="3CDDEB3A"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39</w:t>
            </w:r>
          </w:p>
        </w:tc>
        <w:tc>
          <w:tcPr>
            <w:tcW w:w="0" w:type="auto"/>
            <w:tcBorders>
              <w:top w:val="nil"/>
              <w:left w:val="nil"/>
              <w:bottom w:val="single" w:sz="4" w:space="0" w:color="auto"/>
              <w:right w:val="single" w:sz="4" w:space="0" w:color="auto"/>
            </w:tcBorders>
            <w:shd w:val="clear" w:color="auto" w:fill="auto"/>
            <w:noWrap/>
            <w:vAlign w:val="bottom"/>
            <w:hideMark/>
          </w:tcPr>
          <w:p w14:paraId="2895ED35"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91%</w:t>
            </w:r>
          </w:p>
        </w:tc>
        <w:tc>
          <w:tcPr>
            <w:tcW w:w="0" w:type="auto"/>
            <w:tcBorders>
              <w:top w:val="nil"/>
              <w:left w:val="nil"/>
              <w:bottom w:val="single" w:sz="4" w:space="0" w:color="auto"/>
              <w:right w:val="single" w:sz="4" w:space="0" w:color="auto"/>
            </w:tcBorders>
            <w:shd w:val="clear" w:color="auto" w:fill="auto"/>
            <w:noWrap/>
            <w:vAlign w:val="bottom"/>
            <w:hideMark/>
          </w:tcPr>
          <w:p w14:paraId="1AB9DBA1"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34</w:t>
            </w:r>
          </w:p>
        </w:tc>
        <w:tc>
          <w:tcPr>
            <w:tcW w:w="0" w:type="auto"/>
            <w:tcBorders>
              <w:top w:val="nil"/>
              <w:left w:val="nil"/>
              <w:bottom w:val="single" w:sz="4" w:space="0" w:color="auto"/>
              <w:right w:val="single" w:sz="4" w:space="0" w:color="auto"/>
            </w:tcBorders>
            <w:shd w:val="clear" w:color="auto" w:fill="auto"/>
            <w:noWrap/>
            <w:vAlign w:val="bottom"/>
            <w:hideMark/>
          </w:tcPr>
          <w:p w14:paraId="672B6D01"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(87.2)</w:t>
            </w:r>
          </w:p>
        </w:tc>
        <w:tc>
          <w:tcPr>
            <w:tcW w:w="0" w:type="auto"/>
            <w:tcBorders>
              <w:top w:val="nil"/>
              <w:left w:val="nil"/>
              <w:bottom w:val="single" w:sz="4" w:space="0" w:color="auto"/>
              <w:right w:val="single" w:sz="4" w:space="0" w:color="auto"/>
            </w:tcBorders>
            <w:shd w:val="clear" w:color="auto" w:fill="auto"/>
            <w:noWrap/>
            <w:vAlign w:val="bottom"/>
            <w:hideMark/>
          </w:tcPr>
          <w:p w14:paraId="08019E14"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411A0928"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1EDE1D99"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4A2236CC"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1D9CFD23"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2AA7F711"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08BE085E"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7D53B2AB"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0EFA56FD"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34E7EDF8"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40A11690"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76%</w:t>
            </w:r>
          </w:p>
        </w:tc>
      </w:tr>
      <w:tr w:rsidR="0067156B" w:rsidRPr="00BA48F1" w14:paraId="32A91845" w14:textId="77777777" w:rsidTr="0067156B">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AA08ED2"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CLINTON</w:t>
            </w:r>
          </w:p>
        </w:tc>
        <w:tc>
          <w:tcPr>
            <w:tcW w:w="0" w:type="auto"/>
            <w:tcBorders>
              <w:top w:val="nil"/>
              <w:left w:val="nil"/>
              <w:bottom w:val="single" w:sz="4" w:space="0" w:color="auto"/>
              <w:right w:val="single" w:sz="4" w:space="0" w:color="auto"/>
            </w:tcBorders>
            <w:shd w:val="clear" w:color="auto" w:fill="auto"/>
            <w:noWrap/>
            <w:vAlign w:val="bottom"/>
            <w:hideMark/>
          </w:tcPr>
          <w:p w14:paraId="6C93E308"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558</w:t>
            </w:r>
          </w:p>
        </w:tc>
        <w:tc>
          <w:tcPr>
            <w:tcW w:w="0" w:type="auto"/>
            <w:tcBorders>
              <w:top w:val="nil"/>
              <w:left w:val="nil"/>
              <w:bottom w:val="single" w:sz="4" w:space="0" w:color="auto"/>
              <w:right w:val="single" w:sz="4" w:space="0" w:color="auto"/>
            </w:tcBorders>
            <w:shd w:val="clear" w:color="auto" w:fill="auto"/>
            <w:noWrap/>
            <w:vAlign w:val="bottom"/>
            <w:hideMark/>
          </w:tcPr>
          <w:p w14:paraId="00799475"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340</w:t>
            </w:r>
          </w:p>
        </w:tc>
        <w:tc>
          <w:tcPr>
            <w:tcW w:w="0" w:type="auto"/>
            <w:tcBorders>
              <w:top w:val="nil"/>
              <w:left w:val="nil"/>
              <w:bottom w:val="single" w:sz="4" w:space="0" w:color="auto"/>
              <w:right w:val="single" w:sz="4" w:space="0" w:color="auto"/>
            </w:tcBorders>
            <w:shd w:val="clear" w:color="auto" w:fill="auto"/>
            <w:noWrap/>
            <w:vAlign w:val="bottom"/>
            <w:hideMark/>
          </w:tcPr>
          <w:p w14:paraId="53410B5E"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61%</w:t>
            </w:r>
          </w:p>
        </w:tc>
        <w:tc>
          <w:tcPr>
            <w:tcW w:w="0" w:type="auto"/>
            <w:tcBorders>
              <w:top w:val="nil"/>
              <w:left w:val="nil"/>
              <w:bottom w:val="single" w:sz="4" w:space="0" w:color="auto"/>
              <w:right w:val="single" w:sz="4" w:space="0" w:color="auto"/>
            </w:tcBorders>
            <w:shd w:val="clear" w:color="auto" w:fill="auto"/>
            <w:noWrap/>
            <w:vAlign w:val="bottom"/>
            <w:hideMark/>
          </w:tcPr>
          <w:p w14:paraId="015DFE34"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331</w:t>
            </w:r>
          </w:p>
        </w:tc>
        <w:tc>
          <w:tcPr>
            <w:tcW w:w="0" w:type="auto"/>
            <w:tcBorders>
              <w:top w:val="nil"/>
              <w:left w:val="nil"/>
              <w:bottom w:val="single" w:sz="4" w:space="0" w:color="auto"/>
              <w:right w:val="single" w:sz="4" w:space="0" w:color="auto"/>
            </w:tcBorders>
            <w:shd w:val="clear" w:color="auto" w:fill="auto"/>
            <w:noWrap/>
            <w:vAlign w:val="bottom"/>
            <w:hideMark/>
          </w:tcPr>
          <w:p w14:paraId="0DEDC2CC"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(97.4)</w:t>
            </w:r>
          </w:p>
        </w:tc>
        <w:tc>
          <w:tcPr>
            <w:tcW w:w="0" w:type="auto"/>
            <w:tcBorders>
              <w:top w:val="nil"/>
              <w:left w:val="nil"/>
              <w:bottom w:val="single" w:sz="4" w:space="0" w:color="auto"/>
              <w:right w:val="single" w:sz="4" w:space="0" w:color="auto"/>
            </w:tcBorders>
            <w:shd w:val="clear" w:color="auto" w:fill="auto"/>
            <w:noWrap/>
            <w:vAlign w:val="bottom"/>
            <w:hideMark/>
          </w:tcPr>
          <w:p w14:paraId="7556BE89"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6</w:t>
            </w:r>
          </w:p>
        </w:tc>
        <w:tc>
          <w:tcPr>
            <w:tcW w:w="0" w:type="auto"/>
            <w:tcBorders>
              <w:top w:val="nil"/>
              <w:left w:val="nil"/>
              <w:bottom w:val="single" w:sz="4" w:space="0" w:color="auto"/>
              <w:right w:val="single" w:sz="4" w:space="0" w:color="auto"/>
            </w:tcBorders>
            <w:shd w:val="clear" w:color="auto" w:fill="auto"/>
            <w:noWrap/>
            <w:vAlign w:val="bottom"/>
            <w:hideMark/>
          </w:tcPr>
          <w:p w14:paraId="1BD87C7B"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(1.8)</w:t>
            </w:r>
          </w:p>
        </w:tc>
        <w:tc>
          <w:tcPr>
            <w:tcW w:w="0" w:type="auto"/>
            <w:tcBorders>
              <w:top w:val="nil"/>
              <w:left w:val="nil"/>
              <w:bottom w:val="single" w:sz="4" w:space="0" w:color="auto"/>
              <w:right w:val="single" w:sz="4" w:space="0" w:color="auto"/>
            </w:tcBorders>
            <w:shd w:val="clear" w:color="auto" w:fill="auto"/>
            <w:noWrap/>
            <w:vAlign w:val="bottom"/>
            <w:hideMark/>
          </w:tcPr>
          <w:p w14:paraId="5B2C295D"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483BB4D8"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35959710"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46D11D6C"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5F62A58E"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7</w:t>
            </w:r>
          </w:p>
        </w:tc>
        <w:tc>
          <w:tcPr>
            <w:tcW w:w="0" w:type="auto"/>
            <w:tcBorders>
              <w:top w:val="nil"/>
              <w:left w:val="nil"/>
              <w:bottom w:val="single" w:sz="4" w:space="0" w:color="auto"/>
              <w:right w:val="single" w:sz="4" w:space="0" w:color="auto"/>
            </w:tcBorders>
            <w:shd w:val="clear" w:color="auto" w:fill="auto"/>
            <w:noWrap/>
            <w:vAlign w:val="bottom"/>
            <w:hideMark/>
          </w:tcPr>
          <w:p w14:paraId="667612F3"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(2.1)</w:t>
            </w:r>
          </w:p>
        </w:tc>
        <w:tc>
          <w:tcPr>
            <w:tcW w:w="0" w:type="auto"/>
            <w:tcBorders>
              <w:top w:val="nil"/>
              <w:left w:val="nil"/>
              <w:bottom w:val="single" w:sz="4" w:space="0" w:color="auto"/>
              <w:right w:val="single" w:sz="4" w:space="0" w:color="auto"/>
            </w:tcBorders>
            <w:shd w:val="clear" w:color="auto" w:fill="auto"/>
            <w:noWrap/>
            <w:vAlign w:val="bottom"/>
            <w:hideMark/>
          </w:tcPr>
          <w:p w14:paraId="5AC1D05D"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586362B0"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77CDF125"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70%</w:t>
            </w:r>
          </w:p>
        </w:tc>
      </w:tr>
      <w:tr w:rsidR="0067156B" w:rsidRPr="00BA48F1" w14:paraId="22511AC0" w14:textId="77777777" w:rsidTr="0067156B">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C14E46A"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COHASSET</w:t>
            </w:r>
          </w:p>
        </w:tc>
        <w:tc>
          <w:tcPr>
            <w:tcW w:w="0" w:type="auto"/>
            <w:tcBorders>
              <w:top w:val="nil"/>
              <w:left w:val="nil"/>
              <w:bottom w:val="single" w:sz="4" w:space="0" w:color="auto"/>
              <w:right w:val="single" w:sz="4" w:space="0" w:color="auto"/>
            </w:tcBorders>
            <w:shd w:val="clear" w:color="auto" w:fill="auto"/>
            <w:noWrap/>
            <w:vAlign w:val="bottom"/>
            <w:hideMark/>
          </w:tcPr>
          <w:p w14:paraId="688B65B6"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239</w:t>
            </w:r>
          </w:p>
        </w:tc>
        <w:tc>
          <w:tcPr>
            <w:tcW w:w="0" w:type="auto"/>
            <w:tcBorders>
              <w:top w:val="nil"/>
              <w:left w:val="nil"/>
              <w:bottom w:val="single" w:sz="4" w:space="0" w:color="auto"/>
              <w:right w:val="single" w:sz="4" w:space="0" w:color="auto"/>
            </w:tcBorders>
            <w:shd w:val="clear" w:color="auto" w:fill="auto"/>
            <w:noWrap/>
            <w:vAlign w:val="bottom"/>
            <w:hideMark/>
          </w:tcPr>
          <w:p w14:paraId="46C9E197"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231</w:t>
            </w:r>
          </w:p>
        </w:tc>
        <w:tc>
          <w:tcPr>
            <w:tcW w:w="0" w:type="auto"/>
            <w:tcBorders>
              <w:top w:val="nil"/>
              <w:left w:val="nil"/>
              <w:bottom w:val="single" w:sz="4" w:space="0" w:color="auto"/>
              <w:right w:val="single" w:sz="4" w:space="0" w:color="auto"/>
            </w:tcBorders>
            <w:shd w:val="clear" w:color="auto" w:fill="auto"/>
            <w:noWrap/>
            <w:vAlign w:val="bottom"/>
            <w:hideMark/>
          </w:tcPr>
          <w:p w14:paraId="49E03BF7"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97%</w:t>
            </w:r>
          </w:p>
        </w:tc>
        <w:tc>
          <w:tcPr>
            <w:tcW w:w="0" w:type="auto"/>
            <w:tcBorders>
              <w:top w:val="nil"/>
              <w:left w:val="nil"/>
              <w:bottom w:val="single" w:sz="4" w:space="0" w:color="auto"/>
              <w:right w:val="single" w:sz="4" w:space="0" w:color="auto"/>
            </w:tcBorders>
            <w:shd w:val="clear" w:color="auto" w:fill="auto"/>
            <w:noWrap/>
            <w:vAlign w:val="bottom"/>
            <w:hideMark/>
          </w:tcPr>
          <w:p w14:paraId="3A6951F7"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228</w:t>
            </w:r>
          </w:p>
        </w:tc>
        <w:tc>
          <w:tcPr>
            <w:tcW w:w="0" w:type="auto"/>
            <w:tcBorders>
              <w:top w:val="nil"/>
              <w:left w:val="nil"/>
              <w:bottom w:val="single" w:sz="4" w:space="0" w:color="auto"/>
              <w:right w:val="single" w:sz="4" w:space="0" w:color="auto"/>
            </w:tcBorders>
            <w:shd w:val="clear" w:color="auto" w:fill="auto"/>
            <w:noWrap/>
            <w:vAlign w:val="bottom"/>
            <w:hideMark/>
          </w:tcPr>
          <w:p w14:paraId="757A4566"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(98.7)</w:t>
            </w:r>
          </w:p>
        </w:tc>
        <w:tc>
          <w:tcPr>
            <w:tcW w:w="0" w:type="auto"/>
            <w:tcBorders>
              <w:top w:val="nil"/>
              <w:left w:val="nil"/>
              <w:bottom w:val="single" w:sz="4" w:space="0" w:color="auto"/>
              <w:right w:val="single" w:sz="4" w:space="0" w:color="auto"/>
            </w:tcBorders>
            <w:shd w:val="clear" w:color="auto" w:fill="auto"/>
            <w:noWrap/>
            <w:vAlign w:val="bottom"/>
            <w:hideMark/>
          </w:tcPr>
          <w:p w14:paraId="6EC53DA2"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1FDA5921"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169A0269"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2D5B2B32"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1D94E7B8"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748A4D6A"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78C8D7F6"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4C11ED54"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66CA9E2F"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062355C8"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149E91EE"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68%</w:t>
            </w:r>
          </w:p>
        </w:tc>
      </w:tr>
      <w:tr w:rsidR="0067156B" w:rsidRPr="00BA48F1" w14:paraId="21248720" w14:textId="77777777" w:rsidTr="0067156B">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C7BEF93"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COLRAIN</w:t>
            </w:r>
          </w:p>
        </w:tc>
        <w:tc>
          <w:tcPr>
            <w:tcW w:w="0" w:type="auto"/>
            <w:tcBorders>
              <w:top w:val="nil"/>
              <w:left w:val="nil"/>
              <w:bottom w:val="single" w:sz="4" w:space="0" w:color="auto"/>
              <w:right w:val="single" w:sz="4" w:space="0" w:color="auto"/>
            </w:tcBorders>
            <w:shd w:val="clear" w:color="auto" w:fill="auto"/>
            <w:noWrap/>
            <w:vAlign w:val="bottom"/>
            <w:hideMark/>
          </w:tcPr>
          <w:p w14:paraId="59A29A3D"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32</w:t>
            </w:r>
          </w:p>
        </w:tc>
        <w:tc>
          <w:tcPr>
            <w:tcW w:w="0" w:type="auto"/>
            <w:tcBorders>
              <w:top w:val="nil"/>
              <w:left w:val="nil"/>
              <w:bottom w:val="single" w:sz="4" w:space="0" w:color="auto"/>
              <w:right w:val="single" w:sz="4" w:space="0" w:color="auto"/>
            </w:tcBorders>
            <w:shd w:val="clear" w:color="auto" w:fill="auto"/>
            <w:noWrap/>
            <w:vAlign w:val="bottom"/>
            <w:hideMark/>
          </w:tcPr>
          <w:p w14:paraId="4E040D12"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13</w:t>
            </w:r>
          </w:p>
        </w:tc>
        <w:tc>
          <w:tcPr>
            <w:tcW w:w="0" w:type="auto"/>
            <w:tcBorders>
              <w:top w:val="nil"/>
              <w:left w:val="nil"/>
              <w:bottom w:val="single" w:sz="4" w:space="0" w:color="auto"/>
              <w:right w:val="single" w:sz="4" w:space="0" w:color="auto"/>
            </w:tcBorders>
            <w:shd w:val="clear" w:color="auto" w:fill="auto"/>
            <w:noWrap/>
            <w:vAlign w:val="bottom"/>
            <w:hideMark/>
          </w:tcPr>
          <w:p w14:paraId="0C764F7F"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41%</w:t>
            </w:r>
          </w:p>
        </w:tc>
        <w:tc>
          <w:tcPr>
            <w:tcW w:w="0" w:type="auto"/>
            <w:tcBorders>
              <w:top w:val="nil"/>
              <w:left w:val="nil"/>
              <w:bottom w:val="single" w:sz="4" w:space="0" w:color="auto"/>
              <w:right w:val="single" w:sz="4" w:space="0" w:color="auto"/>
            </w:tcBorders>
            <w:shd w:val="clear" w:color="auto" w:fill="auto"/>
            <w:noWrap/>
            <w:vAlign w:val="bottom"/>
            <w:hideMark/>
          </w:tcPr>
          <w:p w14:paraId="31D47A74"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13</w:t>
            </w:r>
          </w:p>
        </w:tc>
        <w:tc>
          <w:tcPr>
            <w:tcW w:w="0" w:type="auto"/>
            <w:tcBorders>
              <w:top w:val="nil"/>
              <w:left w:val="nil"/>
              <w:bottom w:val="single" w:sz="4" w:space="0" w:color="auto"/>
              <w:right w:val="single" w:sz="4" w:space="0" w:color="auto"/>
            </w:tcBorders>
            <w:shd w:val="clear" w:color="auto" w:fill="auto"/>
            <w:noWrap/>
            <w:vAlign w:val="bottom"/>
            <w:hideMark/>
          </w:tcPr>
          <w:p w14:paraId="3F6A7A46"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(100.0)</w:t>
            </w:r>
          </w:p>
        </w:tc>
        <w:tc>
          <w:tcPr>
            <w:tcW w:w="0" w:type="auto"/>
            <w:tcBorders>
              <w:top w:val="nil"/>
              <w:left w:val="nil"/>
              <w:bottom w:val="single" w:sz="4" w:space="0" w:color="auto"/>
              <w:right w:val="single" w:sz="4" w:space="0" w:color="auto"/>
            </w:tcBorders>
            <w:shd w:val="clear" w:color="auto" w:fill="auto"/>
            <w:noWrap/>
            <w:vAlign w:val="bottom"/>
            <w:hideMark/>
          </w:tcPr>
          <w:p w14:paraId="72E1A9DE"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563E8CB4"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38A8B453"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3B1AB350"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0A5DD1C4"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4C450D8A"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10254FF6"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02794845"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01D61F84"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0E83B106"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6D2AE1C7"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66%</w:t>
            </w:r>
          </w:p>
        </w:tc>
      </w:tr>
      <w:tr w:rsidR="0067156B" w:rsidRPr="00BA48F1" w14:paraId="0E3FAA92" w14:textId="77777777" w:rsidTr="0067156B">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1609365"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CONCORD</w:t>
            </w:r>
          </w:p>
        </w:tc>
        <w:tc>
          <w:tcPr>
            <w:tcW w:w="0" w:type="auto"/>
            <w:tcBorders>
              <w:top w:val="nil"/>
              <w:left w:val="nil"/>
              <w:bottom w:val="single" w:sz="4" w:space="0" w:color="auto"/>
              <w:right w:val="single" w:sz="4" w:space="0" w:color="auto"/>
            </w:tcBorders>
            <w:shd w:val="clear" w:color="auto" w:fill="auto"/>
            <w:noWrap/>
            <w:vAlign w:val="bottom"/>
            <w:hideMark/>
          </w:tcPr>
          <w:p w14:paraId="41034915"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449</w:t>
            </w:r>
          </w:p>
        </w:tc>
        <w:tc>
          <w:tcPr>
            <w:tcW w:w="0" w:type="auto"/>
            <w:tcBorders>
              <w:top w:val="nil"/>
              <w:left w:val="nil"/>
              <w:bottom w:val="single" w:sz="4" w:space="0" w:color="auto"/>
              <w:right w:val="single" w:sz="4" w:space="0" w:color="auto"/>
            </w:tcBorders>
            <w:shd w:val="clear" w:color="auto" w:fill="auto"/>
            <w:noWrap/>
            <w:vAlign w:val="bottom"/>
            <w:hideMark/>
          </w:tcPr>
          <w:p w14:paraId="361777BB"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272</w:t>
            </w:r>
          </w:p>
        </w:tc>
        <w:tc>
          <w:tcPr>
            <w:tcW w:w="0" w:type="auto"/>
            <w:tcBorders>
              <w:top w:val="nil"/>
              <w:left w:val="nil"/>
              <w:bottom w:val="single" w:sz="4" w:space="0" w:color="auto"/>
              <w:right w:val="single" w:sz="4" w:space="0" w:color="auto"/>
            </w:tcBorders>
            <w:shd w:val="clear" w:color="auto" w:fill="auto"/>
            <w:noWrap/>
            <w:vAlign w:val="bottom"/>
            <w:hideMark/>
          </w:tcPr>
          <w:p w14:paraId="3D591740"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61%</w:t>
            </w:r>
          </w:p>
        </w:tc>
        <w:tc>
          <w:tcPr>
            <w:tcW w:w="0" w:type="auto"/>
            <w:tcBorders>
              <w:top w:val="nil"/>
              <w:left w:val="nil"/>
              <w:bottom w:val="single" w:sz="4" w:space="0" w:color="auto"/>
              <w:right w:val="single" w:sz="4" w:space="0" w:color="auto"/>
            </w:tcBorders>
            <w:shd w:val="clear" w:color="auto" w:fill="auto"/>
            <w:noWrap/>
            <w:vAlign w:val="bottom"/>
            <w:hideMark/>
          </w:tcPr>
          <w:p w14:paraId="1DDDD5AF"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271</w:t>
            </w:r>
          </w:p>
        </w:tc>
        <w:tc>
          <w:tcPr>
            <w:tcW w:w="0" w:type="auto"/>
            <w:tcBorders>
              <w:top w:val="nil"/>
              <w:left w:val="nil"/>
              <w:bottom w:val="single" w:sz="4" w:space="0" w:color="auto"/>
              <w:right w:val="single" w:sz="4" w:space="0" w:color="auto"/>
            </w:tcBorders>
            <w:shd w:val="clear" w:color="auto" w:fill="auto"/>
            <w:noWrap/>
            <w:vAlign w:val="bottom"/>
            <w:hideMark/>
          </w:tcPr>
          <w:p w14:paraId="625B4F79"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(99.6)</w:t>
            </w:r>
          </w:p>
        </w:tc>
        <w:tc>
          <w:tcPr>
            <w:tcW w:w="0" w:type="auto"/>
            <w:tcBorders>
              <w:top w:val="nil"/>
              <w:left w:val="nil"/>
              <w:bottom w:val="single" w:sz="4" w:space="0" w:color="auto"/>
              <w:right w:val="single" w:sz="4" w:space="0" w:color="auto"/>
            </w:tcBorders>
            <w:shd w:val="clear" w:color="auto" w:fill="auto"/>
            <w:noWrap/>
            <w:vAlign w:val="bottom"/>
            <w:hideMark/>
          </w:tcPr>
          <w:p w14:paraId="6404B7EF"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24114A01"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4650DDB5"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27563E53"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32A1BA43"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01737A74"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462D6D03"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57BBE0C2"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5DAA6185"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6C6C0C7F"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08285488"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64%</w:t>
            </w:r>
          </w:p>
        </w:tc>
      </w:tr>
      <w:tr w:rsidR="0067156B" w:rsidRPr="00BA48F1" w14:paraId="2ADA23A4" w14:textId="77777777" w:rsidTr="005E6FB1">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B7F4941"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CONWAY</w:t>
            </w:r>
          </w:p>
        </w:tc>
        <w:tc>
          <w:tcPr>
            <w:tcW w:w="0" w:type="auto"/>
            <w:tcBorders>
              <w:top w:val="nil"/>
              <w:left w:val="nil"/>
              <w:bottom w:val="single" w:sz="4" w:space="0" w:color="auto"/>
              <w:right w:val="single" w:sz="4" w:space="0" w:color="auto"/>
            </w:tcBorders>
            <w:shd w:val="clear" w:color="auto" w:fill="auto"/>
            <w:noWrap/>
            <w:vAlign w:val="bottom"/>
            <w:hideMark/>
          </w:tcPr>
          <w:p w14:paraId="1D2A0E85"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43</w:t>
            </w:r>
          </w:p>
        </w:tc>
        <w:tc>
          <w:tcPr>
            <w:tcW w:w="0" w:type="auto"/>
            <w:tcBorders>
              <w:top w:val="nil"/>
              <w:left w:val="nil"/>
              <w:bottom w:val="single" w:sz="4" w:space="0" w:color="auto"/>
              <w:right w:val="single" w:sz="4" w:space="0" w:color="auto"/>
            </w:tcBorders>
            <w:shd w:val="clear" w:color="auto" w:fill="auto"/>
            <w:noWrap/>
            <w:vAlign w:val="bottom"/>
            <w:hideMark/>
          </w:tcPr>
          <w:p w14:paraId="717BB7DD"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17</w:t>
            </w:r>
          </w:p>
        </w:tc>
        <w:tc>
          <w:tcPr>
            <w:tcW w:w="0" w:type="auto"/>
            <w:tcBorders>
              <w:top w:val="nil"/>
              <w:left w:val="nil"/>
              <w:bottom w:val="single" w:sz="4" w:space="0" w:color="auto"/>
              <w:right w:val="single" w:sz="4" w:space="0" w:color="auto"/>
            </w:tcBorders>
            <w:shd w:val="clear" w:color="auto" w:fill="auto"/>
            <w:noWrap/>
            <w:vAlign w:val="bottom"/>
            <w:hideMark/>
          </w:tcPr>
          <w:p w14:paraId="3249984A"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40%</w:t>
            </w:r>
          </w:p>
        </w:tc>
        <w:tc>
          <w:tcPr>
            <w:tcW w:w="0" w:type="auto"/>
            <w:tcBorders>
              <w:top w:val="nil"/>
              <w:left w:val="nil"/>
              <w:bottom w:val="single" w:sz="4" w:space="0" w:color="auto"/>
              <w:right w:val="single" w:sz="4" w:space="0" w:color="auto"/>
            </w:tcBorders>
            <w:shd w:val="clear" w:color="auto" w:fill="auto"/>
            <w:noWrap/>
            <w:vAlign w:val="bottom"/>
            <w:hideMark/>
          </w:tcPr>
          <w:p w14:paraId="4C64243A"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16</w:t>
            </w:r>
          </w:p>
        </w:tc>
        <w:tc>
          <w:tcPr>
            <w:tcW w:w="0" w:type="auto"/>
            <w:tcBorders>
              <w:top w:val="nil"/>
              <w:left w:val="nil"/>
              <w:bottom w:val="single" w:sz="4" w:space="0" w:color="auto"/>
              <w:right w:val="single" w:sz="4" w:space="0" w:color="auto"/>
            </w:tcBorders>
            <w:shd w:val="clear" w:color="auto" w:fill="auto"/>
            <w:noWrap/>
            <w:vAlign w:val="bottom"/>
            <w:hideMark/>
          </w:tcPr>
          <w:p w14:paraId="38CE9AA4"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(94.1)</w:t>
            </w:r>
          </w:p>
        </w:tc>
        <w:tc>
          <w:tcPr>
            <w:tcW w:w="0" w:type="auto"/>
            <w:tcBorders>
              <w:top w:val="nil"/>
              <w:left w:val="nil"/>
              <w:bottom w:val="single" w:sz="4" w:space="0" w:color="auto"/>
              <w:right w:val="single" w:sz="4" w:space="0" w:color="auto"/>
            </w:tcBorders>
            <w:shd w:val="clear" w:color="auto" w:fill="auto"/>
            <w:noWrap/>
            <w:vAlign w:val="bottom"/>
            <w:hideMark/>
          </w:tcPr>
          <w:p w14:paraId="690F49B0"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0A8AC30D"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08698299"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52C3D5E3"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3DF1490C"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6C8C1431"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54EF9CE7"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07632290"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01319D39"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67693BF1"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4B2D7B25"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50%</w:t>
            </w:r>
          </w:p>
        </w:tc>
      </w:tr>
      <w:tr w:rsidR="0067156B" w:rsidRPr="00BA48F1" w14:paraId="783A075D" w14:textId="77777777" w:rsidTr="005E6FB1">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962552"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CUMMINGTON</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54226CFD"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11</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47BC1A93"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7</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16544C20"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64%</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3AF92F7B"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049F62F2"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71A3888C"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29BA4A43"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6ABFB94A"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58343AA0"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66B9F7CB"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076427A0"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2850E8C9"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42FF41AF"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5587A82C"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504B7268"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7970D220"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60%</w:t>
            </w:r>
          </w:p>
        </w:tc>
      </w:tr>
      <w:tr w:rsidR="0067156B" w:rsidRPr="00BA48F1" w14:paraId="1CCC5A49" w14:textId="77777777" w:rsidTr="005E6FB1">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3970CC"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DALTON</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67A91F3E"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168</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5E208542"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116</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20A518DC"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69%</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78B76844"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112</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2F27E952"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(96.6)</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292EC8EE"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02DF19A6"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43E797D9"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26B92F8F"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2962559F"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3C7B71FB"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66D06D05"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64F3338D"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610DA726"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63D25177"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168C3B51"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79%</w:t>
            </w:r>
          </w:p>
        </w:tc>
      </w:tr>
      <w:tr w:rsidR="0067156B" w:rsidRPr="00BA48F1" w14:paraId="626458C4" w14:textId="77777777" w:rsidTr="0067156B">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B05D69"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lastRenderedPageBreak/>
              <w:t>DANVERS</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16FC7C82"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884</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6F414843"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710</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367E25A8"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80%</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2077667D"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698</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1FA395B1"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(98.3)</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61B25754"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10</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11CD1BEB"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(1.4)</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04B4B727"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23E31029"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58EFC930"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02061D8B"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3FA80E93"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7</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2D43F645"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(1.0)</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234B8FE2"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24DB8A46"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1554699D"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68%</w:t>
            </w:r>
          </w:p>
        </w:tc>
      </w:tr>
      <w:tr w:rsidR="0067156B" w:rsidRPr="00BA48F1" w14:paraId="3CF91BA0" w14:textId="77777777" w:rsidTr="0067156B">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EAE41E7"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DARTMOUTH</w:t>
            </w:r>
          </w:p>
        </w:tc>
        <w:tc>
          <w:tcPr>
            <w:tcW w:w="0" w:type="auto"/>
            <w:tcBorders>
              <w:top w:val="nil"/>
              <w:left w:val="nil"/>
              <w:bottom w:val="single" w:sz="4" w:space="0" w:color="auto"/>
              <w:right w:val="single" w:sz="4" w:space="0" w:color="auto"/>
            </w:tcBorders>
            <w:shd w:val="clear" w:color="auto" w:fill="auto"/>
            <w:noWrap/>
            <w:vAlign w:val="bottom"/>
            <w:hideMark/>
          </w:tcPr>
          <w:p w14:paraId="3E230792"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765</w:t>
            </w:r>
          </w:p>
        </w:tc>
        <w:tc>
          <w:tcPr>
            <w:tcW w:w="0" w:type="auto"/>
            <w:tcBorders>
              <w:top w:val="nil"/>
              <w:left w:val="nil"/>
              <w:bottom w:val="single" w:sz="4" w:space="0" w:color="auto"/>
              <w:right w:val="single" w:sz="4" w:space="0" w:color="auto"/>
            </w:tcBorders>
            <w:shd w:val="clear" w:color="auto" w:fill="auto"/>
            <w:noWrap/>
            <w:vAlign w:val="bottom"/>
            <w:hideMark/>
          </w:tcPr>
          <w:p w14:paraId="60E63EE8"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554</w:t>
            </w:r>
          </w:p>
        </w:tc>
        <w:tc>
          <w:tcPr>
            <w:tcW w:w="0" w:type="auto"/>
            <w:tcBorders>
              <w:top w:val="nil"/>
              <w:left w:val="nil"/>
              <w:bottom w:val="single" w:sz="4" w:space="0" w:color="auto"/>
              <w:right w:val="single" w:sz="4" w:space="0" w:color="auto"/>
            </w:tcBorders>
            <w:shd w:val="clear" w:color="auto" w:fill="auto"/>
            <w:noWrap/>
            <w:vAlign w:val="bottom"/>
            <w:hideMark/>
          </w:tcPr>
          <w:p w14:paraId="7C08466F"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72%</w:t>
            </w:r>
          </w:p>
        </w:tc>
        <w:tc>
          <w:tcPr>
            <w:tcW w:w="0" w:type="auto"/>
            <w:tcBorders>
              <w:top w:val="nil"/>
              <w:left w:val="nil"/>
              <w:bottom w:val="single" w:sz="4" w:space="0" w:color="auto"/>
              <w:right w:val="single" w:sz="4" w:space="0" w:color="auto"/>
            </w:tcBorders>
            <w:shd w:val="clear" w:color="auto" w:fill="auto"/>
            <w:noWrap/>
            <w:vAlign w:val="bottom"/>
            <w:hideMark/>
          </w:tcPr>
          <w:p w14:paraId="64830FB3"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548</w:t>
            </w:r>
          </w:p>
        </w:tc>
        <w:tc>
          <w:tcPr>
            <w:tcW w:w="0" w:type="auto"/>
            <w:tcBorders>
              <w:top w:val="nil"/>
              <w:left w:val="nil"/>
              <w:bottom w:val="single" w:sz="4" w:space="0" w:color="auto"/>
              <w:right w:val="single" w:sz="4" w:space="0" w:color="auto"/>
            </w:tcBorders>
            <w:shd w:val="clear" w:color="auto" w:fill="auto"/>
            <w:noWrap/>
            <w:vAlign w:val="bottom"/>
            <w:hideMark/>
          </w:tcPr>
          <w:p w14:paraId="12FE3E24"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(98.9)</w:t>
            </w:r>
          </w:p>
        </w:tc>
        <w:tc>
          <w:tcPr>
            <w:tcW w:w="0" w:type="auto"/>
            <w:tcBorders>
              <w:top w:val="nil"/>
              <w:left w:val="nil"/>
              <w:bottom w:val="single" w:sz="4" w:space="0" w:color="auto"/>
              <w:right w:val="single" w:sz="4" w:space="0" w:color="auto"/>
            </w:tcBorders>
            <w:shd w:val="clear" w:color="auto" w:fill="auto"/>
            <w:noWrap/>
            <w:vAlign w:val="bottom"/>
            <w:hideMark/>
          </w:tcPr>
          <w:p w14:paraId="3EA2A513"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6</w:t>
            </w:r>
          </w:p>
        </w:tc>
        <w:tc>
          <w:tcPr>
            <w:tcW w:w="0" w:type="auto"/>
            <w:tcBorders>
              <w:top w:val="nil"/>
              <w:left w:val="nil"/>
              <w:bottom w:val="single" w:sz="4" w:space="0" w:color="auto"/>
              <w:right w:val="single" w:sz="4" w:space="0" w:color="auto"/>
            </w:tcBorders>
            <w:shd w:val="clear" w:color="auto" w:fill="auto"/>
            <w:noWrap/>
            <w:vAlign w:val="bottom"/>
            <w:hideMark/>
          </w:tcPr>
          <w:p w14:paraId="00A39403"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(1.1)</w:t>
            </w:r>
          </w:p>
        </w:tc>
        <w:tc>
          <w:tcPr>
            <w:tcW w:w="0" w:type="auto"/>
            <w:tcBorders>
              <w:top w:val="nil"/>
              <w:left w:val="nil"/>
              <w:bottom w:val="single" w:sz="4" w:space="0" w:color="auto"/>
              <w:right w:val="single" w:sz="4" w:space="0" w:color="auto"/>
            </w:tcBorders>
            <w:shd w:val="clear" w:color="auto" w:fill="auto"/>
            <w:noWrap/>
            <w:vAlign w:val="bottom"/>
            <w:hideMark/>
          </w:tcPr>
          <w:p w14:paraId="1E71DCDB"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11328605"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5A4C1F3B"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3556FF7A"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6593AFCE"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6DCC4C6C"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519CBC3A"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04EDD39E"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32DC0002"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57%</w:t>
            </w:r>
          </w:p>
        </w:tc>
      </w:tr>
      <w:tr w:rsidR="0067156B" w:rsidRPr="00BA48F1" w14:paraId="28F1591D" w14:textId="77777777" w:rsidTr="0067156B">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BA5AD3B"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DEDHAM</w:t>
            </w:r>
          </w:p>
        </w:tc>
        <w:tc>
          <w:tcPr>
            <w:tcW w:w="0" w:type="auto"/>
            <w:tcBorders>
              <w:top w:val="nil"/>
              <w:left w:val="nil"/>
              <w:bottom w:val="single" w:sz="4" w:space="0" w:color="auto"/>
              <w:right w:val="single" w:sz="4" w:space="0" w:color="auto"/>
            </w:tcBorders>
            <w:shd w:val="clear" w:color="auto" w:fill="auto"/>
            <w:noWrap/>
            <w:vAlign w:val="bottom"/>
            <w:hideMark/>
          </w:tcPr>
          <w:p w14:paraId="5DF37DAF"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995</w:t>
            </w:r>
          </w:p>
        </w:tc>
        <w:tc>
          <w:tcPr>
            <w:tcW w:w="0" w:type="auto"/>
            <w:tcBorders>
              <w:top w:val="nil"/>
              <w:left w:val="nil"/>
              <w:bottom w:val="single" w:sz="4" w:space="0" w:color="auto"/>
              <w:right w:val="single" w:sz="4" w:space="0" w:color="auto"/>
            </w:tcBorders>
            <w:shd w:val="clear" w:color="auto" w:fill="auto"/>
            <w:noWrap/>
            <w:vAlign w:val="bottom"/>
            <w:hideMark/>
          </w:tcPr>
          <w:p w14:paraId="612986D4"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644</w:t>
            </w:r>
          </w:p>
        </w:tc>
        <w:tc>
          <w:tcPr>
            <w:tcW w:w="0" w:type="auto"/>
            <w:tcBorders>
              <w:top w:val="nil"/>
              <w:left w:val="nil"/>
              <w:bottom w:val="single" w:sz="4" w:space="0" w:color="auto"/>
              <w:right w:val="single" w:sz="4" w:space="0" w:color="auto"/>
            </w:tcBorders>
            <w:shd w:val="clear" w:color="auto" w:fill="auto"/>
            <w:noWrap/>
            <w:vAlign w:val="bottom"/>
            <w:hideMark/>
          </w:tcPr>
          <w:p w14:paraId="11264E35"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65%</w:t>
            </w:r>
          </w:p>
        </w:tc>
        <w:tc>
          <w:tcPr>
            <w:tcW w:w="0" w:type="auto"/>
            <w:tcBorders>
              <w:top w:val="nil"/>
              <w:left w:val="nil"/>
              <w:bottom w:val="single" w:sz="4" w:space="0" w:color="auto"/>
              <w:right w:val="single" w:sz="4" w:space="0" w:color="auto"/>
            </w:tcBorders>
            <w:shd w:val="clear" w:color="auto" w:fill="auto"/>
            <w:noWrap/>
            <w:vAlign w:val="bottom"/>
            <w:hideMark/>
          </w:tcPr>
          <w:p w14:paraId="0592FCE8"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640</w:t>
            </w:r>
          </w:p>
        </w:tc>
        <w:tc>
          <w:tcPr>
            <w:tcW w:w="0" w:type="auto"/>
            <w:tcBorders>
              <w:top w:val="nil"/>
              <w:left w:val="nil"/>
              <w:bottom w:val="single" w:sz="4" w:space="0" w:color="auto"/>
              <w:right w:val="single" w:sz="4" w:space="0" w:color="auto"/>
            </w:tcBorders>
            <w:shd w:val="clear" w:color="auto" w:fill="auto"/>
            <w:noWrap/>
            <w:vAlign w:val="bottom"/>
            <w:hideMark/>
          </w:tcPr>
          <w:p w14:paraId="72FD05DA"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(99.4)</w:t>
            </w:r>
          </w:p>
        </w:tc>
        <w:tc>
          <w:tcPr>
            <w:tcW w:w="0" w:type="auto"/>
            <w:tcBorders>
              <w:top w:val="nil"/>
              <w:left w:val="nil"/>
              <w:bottom w:val="single" w:sz="4" w:space="0" w:color="auto"/>
              <w:right w:val="single" w:sz="4" w:space="0" w:color="auto"/>
            </w:tcBorders>
            <w:shd w:val="clear" w:color="auto" w:fill="auto"/>
            <w:noWrap/>
            <w:vAlign w:val="bottom"/>
            <w:hideMark/>
          </w:tcPr>
          <w:p w14:paraId="6FD67786"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11B44F49"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4D5263E2"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6CCEB010"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50454348"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0C330989"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1D018139"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5DC720E0"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3B4521EB"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66330777"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4EB24AEE"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75%</w:t>
            </w:r>
          </w:p>
        </w:tc>
      </w:tr>
      <w:tr w:rsidR="0067156B" w:rsidRPr="00BA48F1" w14:paraId="68674923" w14:textId="77777777" w:rsidTr="0067156B">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DF48068"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DEERFIELD</w:t>
            </w:r>
          </w:p>
        </w:tc>
        <w:tc>
          <w:tcPr>
            <w:tcW w:w="0" w:type="auto"/>
            <w:tcBorders>
              <w:top w:val="nil"/>
              <w:left w:val="nil"/>
              <w:bottom w:val="single" w:sz="4" w:space="0" w:color="auto"/>
              <w:right w:val="single" w:sz="4" w:space="0" w:color="auto"/>
            </w:tcBorders>
            <w:shd w:val="clear" w:color="auto" w:fill="auto"/>
            <w:noWrap/>
            <w:vAlign w:val="bottom"/>
            <w:hideMark/>
          </w:tcPr>
          <w:p w14:paraId="37EEEB93"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117</w:t>
            </w:r>
          </w:p>
        </w:tc>
        <w:tc>
          <w:tcPr>
            <w:tcW w:w="0" w:type="auto"/>
            <w:tcBorders>
              <w:top w:val="nil"/>
              <w:left w:val="nil"/>
              <w:bottom w:val="single" w:sz="4" w:space="0" w:color="auto"/>
              <w:right w:val="single" w:sz="4" w:space="0" w:color="auto"/>
            </w:tcBorders>
            <w:shd w:val="clear" w:color="auto" w:fill="auto"/>
            <w:noWrap/>
            <w:vAlign w:val="bottom"/>
            <w:hideMark/>
          </w:tcPr>
          <w:p w14:paraId="63D03F6A"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74</w:t>
            </w:r>
          </w:p>
        </w:tc>
        <w:tc>
          <w:tcPr>
            <w:tcW w:w="0" w:type="auto"/>
            <w:tcBorders>
              <w:top w:val="nil"/>
              <w:left w:val="nil"/>
              <w:bottom w:val="single" w:sz="4" w:space="0" w:color="auto"/>
              <w:right w:val="single" w:sz="4" w:space="0" w:color="auto"/>
            </w:tcBorders>
            <w:shd w:val="clear" w:color="auto" w:fill="auto"/>
            <w:noWrap/>
            <w:vAlign w:val="bottom"/>
            <w:hideMark/>
          </w:tcPr>
          <w:p w14:paraId="471DBD9E"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63%</w:t>
            </w:r>
          </w:p>
        </w:tc>
        <w:tc>
          <w:tcPr>
            <w:tcW w:w="0" w:type="auto"/>
            <w:tcBorders>
              <w:top w:val="nil"/>
              <w:left w:val="nil"/>
              <w:bottom w:val="single" w:sz="4" w:space="0" w:color="auto"/>
              <w:right w:val="single" w:sz="4" w:space="0" w:color="auto"/>
            </w:tcBorders>
            <w:shd w:val="clear" w:color="auto" w:fill="auto"/>
            <w:noWrap/>
            <w:vAlign w:val="bottom"/>
            <w:hideMark/>
          </w:tcPr>
          <w:p w14:paraId="5B0036C1"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74</w:t>
            </w:r>
          </w:p>
        </w:tc>
        <w:tc>
          <w:tcPr>
            <w:tcW w:w="0" w:type="auto"/>
            <w:tcBorders>
              <w:top w:val="nil"/>
              <w:left w:val="nil"/>
              <w:bottom w:val="single" w:sz="4" w:space="0" w:color="auto"/>
              <w:right w:val="single" w:sz="4" w:space="0" w:color="auto"/>
            </w:tcBorders>
            <w:shd w:val="clear" w:color="auto" w:fill="auto"/>
            <w:noWrap/>
            <w:vAlign w:val="bottom"/>
            <w:hideMark/>
          </w:tcPr>
          <w:p w14:paraId="32417A95"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(100.0)</w:t>
            </w:r>
          </w:p>
        </w:tc>
        <w:tc>
          <w:tcPr>
            <w:tcW w:w="0" w:type="auto"/>
            <w:tcBorders>
              <w:top w:val="nil"/>
              <w:left w:val="nil"/>
              <w:bottom w:val="single" w:sz="4" w:space="0" w:color="auto"/>
              <w:right w:val="single" w:sz="4" w:space="0" w:color="auto"/>
            </w:tcBorders>
            <w:shd w:val="clear" w:color="auto" w:fill="auto"/>
            <w:noWrap/>
            <w:vAlign w:val="bottom"/>
            <w:hideMark/>
          </w:tcPr>
          <w:p w14:paraId="15087242"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00141670"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1DAD6C9B"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212C2657"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35C7A947"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47B5E22F"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27B2F34D"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172C9CBA"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2585578D"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077C76BF"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4CE42B8B"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56%</w:t>
            </w:r>
          </w:p>
        </w:tc>
      </w:tr>
      <w:tr w:rsidR="0067156B" w:rsidRPr="00BA48F1" w14:paraId="021921EC" w14:textId="77777777" w:rsidTr="0067156B">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D6DB528"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DENNIS</w:t>
            </w:r>
          </w:p>
        </w:tc>
        <w:tc>
          <w:tcPr>
            <w:tcW w:w="0" w:type="auto"/>
            <w:tcBorders>
              <w:top w:val="nil"/>
              <w:left w:val="nil"/>
              <w:bottom w:val="single" w:sz="4" w:space="0" w:color="auto"/>
              <w:right w:val="single" w:sz="4" w:space="0" w:color="auto"/>
            </w:tcBorders>
            <w:shd w:val="clear" w:color="auto" w:fill="auto"/>
            <w:noWrap/>
            <w:vAlign w:val="bottom"/>
            <w:hideMark/>
          </w:tcPr>
          <w:p w14:paraId="54CB9985"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283</w:t>
            </w:r>
          </w:p>
        </w:tc>
        <w:tc>
          <w:tcPr>
            <w:tcW w:w="0" w:type="auto"/>
            <w:tcBorders>
              <w:top w:val="nil"/>
              <w:left w:val="nil"/>
              <w:bottom w:val="single" w:sz="4" w:space="0" w:color="auto"/>
              <w:right w:val="single" w:sz="4" w:space="0" w:color="auto"/>
            </w:tcBorders>
            <w:shd w:val="clear" w:color="auto" w:fill="auto"/>
            <w:noWrap/>
            <w:vAlign w:val="bottom"/>
            <w:hideMark/>
          </w:tcPr>
          <w:p w14:paraId="21CD62ED"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174</w:t>
            </w:r>
          </w:p>
        </w:tc>
        <w:tc>
          <w:tcPr>
            <w:tcW w:w="0" w:type="auto"/>
            <w:tcBorders>
              <w:top w:val="nil"/>
              <w:left w:val="nil"/>
              <w:bottom w:val="single" w:sz="4" w:space="0" w:color="auto"/>
              <w:right w:val="single" w:sz="4" w:space="0" w:color="auto"/>
            </w:tcBorders>
            <w:shd w:val="clear" w:color="auto" w:fill="auto"/>
            <w:noWrap/>
            <w:vAlign w:val="bottom"/>
            <w:hideMark/>
          </w:tcPr>
          <w:p w14:paraId="5F58EF3E"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61%</w:t>
            </w:r>
          </w:p>
        </w:tc>
        <w:tc>
          <w:tcPr>
            <w:tcW w:w="0" w:type="auto"/>
            <w:tcBorders>
              <w:top w:val="nil"/>
              <w:left w:val="nil"/>
              <w:bottom w:val="single" w:sz="4" w:space="0" w:color="auto"/>
              <w:right w:val="single" w:sz="4" w:space="0" w:color="auto"/>
            </w:tcBorders>
            <w:shd w:val="clear" w:color="auto" w:fill="auto"/>
            <w:noWrap/>
            <w:vAlign w:val="bottom"/>
            <w:hideMark/>
          </w:tcPr>
          <w:p w14:paraId="71DF12DC"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170</w:t>
            </w:r>
          </w:p>
        </w:tc>
        <w:tc>
          <w:tcPr>
            <w:tcW w:w="0" w:type="auto"/>
            <w:tcBorders>
              <w:top w:val="nil"/>
              <w:left w:val="nil"/>
              <w:bottom w:val="single" w:sz="4" w:space="0" w:color="auto"/>
              <w:right w:val="single" w:sz="4" w:space="0" w:color="auto"/>
            </w:tcBorders>
            <w:shd w:val="clear" w:color="auto" w:fill="auto"/>
            <w:noWrap/>
            <w:vAlign w:val="bottom"/>
            <w:hideMark/>
          </w:tcPr>
          <w:p w14:paraId="15E36CFF"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(97.7)</w:t>
            </w:r>
          </w:p>
        </w:tc>
        <w:tc>
          <w:tcPr>
            <w:tcW w:w="0" w:type="auto"/>
            <w:tcBorders>
              <w:top w:val="nil"/>
              <w:left w:val="nil"/>
              <w:bottom w:val="single" w:sz="4" w:space="0" w:color="auto"/>
              <w:right w:val="single" w:sz="4" w:space="0" w:color="auto"/>
            </w:tcBorders>
            <w:shd w:val="clear" w:color="auto" w:fill="auto"/>
            <w:noWrap/>
            <w:vAlign w:val="bottom"/>
            <w:hideMark/>
          </w:tcPr>
          <w:p w14:paraId="50D93BD7"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38D992B4"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0DDDD6F0"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128B7CF9"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0C461063"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76EF54B8"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5691FDDE"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39C5248F"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5B1865E7"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520A3498"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6C9097B6"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70%</w:t>
            </w:r>
          </w:p>
        </w:tc>
      </w:tr>
      <w:tr w:rsidR="0067156B" w:rsidRPr="00BA48F1" w14:paraId="701C78A8" w14:textId="77777777" w:rsidTr="0067156B">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9371781"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DIGHTON</w:t>
            </w:r>
          </w:p>
        </w:tc>
        <w:tc>
          <w:tcPr>
            <w:tcW w:w="0" w:type="auto"/>
            <w:tcBorders>
              <w:top w:val="nil"/>
              <w:left w:val="nil"/>
              <w:bottom w:val="single" w:sz="4" w:space="0" w:color="auto"/>
              <w:right w:val="single" w:sz="4" w:space="0" w:color="auto"/>
            </w:tcBorders>
            <w:shd w:val="clear" w:color="auto" w:fill="auto"/>
            <w:noWrap/>
            <w:vAlign w:val="bottom"/>
            <w:hideMark/>
          </w:tcPr>
          <w:p w14:paraId="718D6F41"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263</w:t>
            </w:r>
          </w:p>
        </w:tc>
        <w:tc>
          <w:tcPr>
            <w:tcW w:w="0" w:type="auto"/>
            <w:tcBorders>
              <w:top w:val="nil"/>
              <w:left w:val="nil"/>
              <w:bottom w:val="single" w:sz="4" w:space="0" w:color="auto"/>
              <w:right w:val="single" w:sz="4" w:space="0" w:color="auto"/>
            </w:tcBorders>
            <w:shd w:val="clear" w:color="auto" w:fill="auto"/>
            <w:noWrap/>
            <w:vAlign w:val="bottom"/>
            <w:hideMark/>
          </w:tcPr>
          <w:p w14:paraId="59F1F4B7"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181</w:t>
            </w:r>
          </w:p>
        </w:tc>
        <w:tc>
          <w:tcPr>
            <w:tcW w:w="0" w:type="auto"/>
            <w:tcBorders>
              <w:top w:val="nil"/>
              <w:left w:val="nil"/>
              <w:bottom w:val="single" w:sz="4" w:space="0" w:color="auto"/>
              <w:right w:val="single" w:sz="4" w:space="0" w:color="auto"/>
            </w:tcBorders>
            <w:shd w:val="clear" w:color="auto" w:fill="auto"/>
            <w:noWrap/>
            <w:vAlign w:val="bottom"/>
            <w:hideMark/>
          </w:tcPr>
          <w:p w14:paraId="32460419"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69%</w:t>
            </w:r>
          </w:p>
        </w:tc>
        <w:tc>
          <w:tcPr>
            <w:tcW w:w="0" w:type="auto"/>
            <w:tcBorders>
              <w:top w:val="nil"/>
              <w:left w:val="nil"/>
              <w:bottom w:val="single" w:sz="4" w:space="0" w:color="auto"/>
              <w:right w:val="single" w:sz="4" w:space="0" w:color="auto"/>
            </w:tcBorders>
            <w:shd w:val="clear" w:color="auto" w:fill="auto"/>
            <w:noWrap/>
            <w:vAlign w:val="bottom"/>
            <w:hideMark/>
          </w:tcPr>
          <w:p w14:paraId="4317F0F9"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178</w:t>
            </w:r>
          </w:p>
        </w:tc>
        <w:tc>
          <w:tcPr>
            <w:tcW w:w="0" w:type="auto"/>
            <w:tcBorders>
              <w:top w:val="nil"/>
              <w:left w:val="nil"/>
              <w:bottom w:val="single" w:sz="4" w:space="0" w:color="auto"/>
              <w:right w:val="single" w:sz="4" w:space="0" w:color="auto"/>
            </w:tcBorders>
            <w:shd w:val="clear" w:color="auto" w:fill="auto"/>
            <w:noWrap/>
            <w:vAlign w:val="bottom"/>
            <w:hideMark/>
          </w:tcPr>
          <w:p w14:paraId="08845BA6"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(98.3)</w:t>
            </w:r>
          </w:p>
        </w:tc>
        <w:tc>
          <w:tcPr>
            <w:tcW w:w="0" w:type="auto"/>
            <w:tcBorders>
              <w:top w:val="nil"/>
              <w:left w:val="nil"/>
              <w:bottom w:val="single" w:sz="4" w:space="0" w:color="auto"/>
              <w:right w:val="single" w:sz="4" w:space="0" w:color="auto"/>
            </w:tcBorders>
            <w:shd w:val="clear" w:color="auto" w:fill="auto"/>
            <w:noWrap/>
            <w:vAlign w:val="bottom"/>
            <w:hideMark/>
          </w:tcPr>
          <w:p w14:paraId="58BCA4F4"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58110094"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1F5002BD"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5B85BF63"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350C11AE"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2B0F1C73"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7DC33241"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446BD695"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7813EC6A"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2F6199FE"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4E5D65F0"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51%</w:t>
            </w:r>
          </w:p>
        </w:tc>
      </w:tr>
      <w:tr w:rsidR="0067156B" w:rsidRPr="00BA48F1" w14:paraId="3D17925E" w14:textId="77777777" w:rsidTr="0067156B">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F4DC862"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DOUGLAS</w:t>
            </w:r>
          </w:p>
        </w:tc>
        <w:tc>
          <w:tcPr>
            <w:tcW w:w="0" w:type="auto"/>
            <w:tcBorders>
              <w:top w:val="nil"/>
              <w:left w:val="nil"/>
              <w:bottom w:val="single" w:sz="4" w:space="0" w:color="auto"/>
              <w:right w:val="single" w:sz="4" w:space="0" w:color="auto"/>
            </w:tcBorders>
            <w:shd w:val="clear" w:color="auto" w:fill="auto"/>
            <w:noWrap/>
            <w:vAlign w:val="bottom"/>
            <w:hideMark/>
          </w:tcPr>
          <w:p w14:paraId="360D1B1D"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319</w:t>
            </w:r>
          </w:p>
        </w:tc>
        <w:tc>
          <w:tcPr>
            <w:tcW w:w="0" w:type="auto"/>
            <w:tcBorders>
              <w:top w:val="nil"/>
              <w:left w:val="nil"/>
              <w:bottom w:val="single" w:sz="4" w:space="0" w:color="auto"/>
              <w:right w:val="single" w:sz="4" w:space="0" w:color="auto"/>
            </w:tcBorders>
            <w:shd w:val="clear" w:color="auto" w:fill="auto"/>
            <w:noWrap/>
            <w:vAlign w:val="bottom"/>
            <w:hideMark/>
          </w:tcPr>
          <w:p w14:paraId="2FD5F443"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135</w:t>
            </w:r>
          </w:p>
        </w:tc>
        <w:tc>
          <w:tcPr>
            <w:tcW w:w="0" w:type="auto"/>
            <w:tcBorders>
              <w:top w:val="nil"/>
              <w:left w:val="nil"/>
              <w:bottom w:val="single" w:sz="4" w:space="0" w:color="auto"/>
              <w:right w:val="single" w:sz="4" w:space="0" w:color="auto"/>
            </w:tcBorders>
            <w:shd w:val="clear" w:color="auto" w:fill="auto"/>
            <w:noWrap/>
            <w:vAlign w:val="bottom"/>
            <w:hideMark/>
          </w:tcPr>
          <w:p w14:paraId="3E08882E"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42%</w:t>
            </w:r>
          </w:p>
        </w:tc>
        <w:tc>
          <w:tcPr>
            <w:tcW w:w="0" w:type="auto"/>
            <w:tcBorders>
              <w:top w:val="nil"/>
              <w:left w:val="nil"/>
              <w:bottom w:val="single" w:sz="4" w:space="0" w:color="auto"/>
              <w:right w:val="single" w:sz="4" w:space="0" w:color="auto"/>
            </w:tcBorders>
            <w:shd w:val="clear" w:color="auto" w:fill="auto"/>
            <w:noWrap/>
            <w:vAlign w:val="bottom"/>
            <w:hideMark/>
          </w:tcPr>
          <w:p w14:paraId="685D1E61"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134</w:t>
            </w:r>
          </w:p>
        </w:tc>
        <w:tc>
          <w:tcPr>
            <w:tcW w:w="0" w:type="auto"/>
            <w:tcBorders>
              <w:top w:val="nil"/>
              <w:left w:val="nil"/>
              <w:bottom w:val="single" w:sz="4" w:space="0" w:color="auto"/>
              <w:right w:val="single" w:sz="4" w:space="0" w:color="auto"/>
            </w:tcBorders>
            <w:shd w:val="clear" w:color="auto" w:fill="auto"/>
            <w:noWrap/>
            <w:vAlign w:val="bottom"/>
            <w:hideMark/>
          </w:tcPr>
          <w:p w14:paraId="57636EFD"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(99.3)</w:t>
            </w:r>
          </w:p>
        </w:tc>
        <w:tc>
          <w:tcPr>
            <w:tcW w:w="0" w:type="auto"/>
            <w:tcBorders>
              <w:top w:val="nil"/>
              <w:left w:val="nil"/>
              <w:bottom w:val="single" w:sz="4" w:space="0" w:color="auto"/>
              <w:right w:val="single" w:sz="4" w:space="0" w:color="auto"/>
            </w:tcBorders>
            <w:shd w:val="clear" w:color="auto" w:fill="auto"/>
            <w:noWrap/>
            <w:vAlign w:val="bottom"/>
            <w:hideMark/>
          </w:tcPr>
          <w:p w14:paraId="1CA5D480"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20D5FE41"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4C87CF97"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1133B4BE"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07A98B2F"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0E4D395B"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439E2323"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24B6CFB5"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144B0C01"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1E182D26"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2088D9C8"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43%</w:t>
            </w:r>
          </w:p>
        </w:tc>
      </w:tr>
      <w:tr w:rsidR="0067156B" w:rsidRPr="00BA48F1" w14:paraId="5EA43D7F" w14:textId="77777777" w:rsidTr="0067156B">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C56E947"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DOVER</w:t>
            </w:r>
          </w:p>
        </w:tc>
        <w:tc>
          <w:tcPr>
            <w:tcW w:w="0" w:type="auto"/>
            <w:tcBorders>
              <w:top w:val="nil"/>
              <w:left w:val="nil"/>
              <w:bottom w:val="single" w:sz="4" w:space="0" w:color="auto"/>
              <w:right w:val="single" w:sz="4" w:space="0" w:color="auto"/>
            </w:tcBorders>
            <w:shd w:val="clear" w:color="auto" w:fill="auto"/>
            <w:noWrap/>
            <w:vAlign w:val="bottom"/>
            <w:hideMark/>
          </w:tcPr>
          <w:p w14:paraId="3D402D6C"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139</w:t>
            </w:r>
          </w:p>
        </w:tc>
        <w:tc>
          <w:tcPr>
            <w:tcW w:w="0" w:type="auto"/>
            <w:tcBorders>
              <w:top w:val="nil"/>
              <w:left w:val="nil"/>
              <w:bottom w:val="single" w:sz="4" w:space="0" w:color="auto"/>
              <w:right w:val="single" w:sz="4" w:space="0" w:color="auto"/>
            </w:tcBorders>
            <w:shd w:val="clear" w:color="auto" w:fill="auto"/>
            <w:noWrap/>
            <w:vAlign w:val="bottom"/>
            <w:hideMark/>
          </w:tcPr>
          <w:p w14:paraId="621B5FE6"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111</w:t>
            </w:r>
          </w:p>
        </w:tc>
        <w:tc>
          <w:tcPr>
            <w:tcW w:w="0" w:type="auto"/>
            <w:tcBorders>
              <w:top w:val="nil"/>
              <w:left w:val="nil"/>
              <w:bottom w:val="single" w:sz="4" w:space="0" w:color="auto"/>
              <w:right w:val="single" w:sz="4" w:space="0" w:color="auto"/>
            </w:tcBorders>
            <w:shd w:val="clear" w:color="auto" w:fill="auto"/>
            <w:noWrap/>
            <w:vAlign w:val="bottom"/>
            <w:hideMark/>
          </w:tcPr>
          <w:p w14:paraId="4F3AE853"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80%</w:t>
            </w:r>
          </w:p>
        </w:tc>
        <w:tc>
          <w:tcPr>
            <w:tcW w:w="0" w:type="auto"/>
            <w:tcBorders>
              <w:top w:val="nil"/>
              <w:left w:val="nil"/>
              <w:bottom w:val="single" w:sz="4" w:space="0" w:color="auto"/>
              <w:right w:val="single" w:sz="4" w:space="0" w:color="auto"/>
            </w:tcBorders>
            <w:shd w:val="clear" w:color="auto" w:fill="auto"/>
            <w:noWrap/>
            <w:vAlign w:val="bottom"/>
            <w:hideMark/>
          </w:tcPr>
          <w:p w14:paraId="21EF95F7"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110</w:t>
            </w:r>
          </w:p>
        </w:tc>
        <w:tc>
          <w:tcPr>
            <w:tcW w:w="0" w:type="auto"/>
            <w:tcBorders>
              <w:top w:val="nil"/>
              <w:left w:val="nil"/>
              <w:bottom w:val="single" w:sz="4" w:space="0" w:color="auto"/>
              <w:right w:val="single" w:sz="4" w:space="0" w:color="auto"/>
            </w:tcBorders>
            <w:shd w:val="clear" w:color="auto" w:fill="auto"/>
            <w:noWrap/>
            <w:vAlign w:val="bottom"/>
            <w:hideMark/>
          </w:tcPr>
          <w:p w14:paraId="7F58E816"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(99.1)</w:t>
            </w:r>
          </w:p>
        </w:tc>
        <w:tc>
          <w:tcPr>
            <w:tcW w:w="0" w:type="auto"/>
            <w:tcBorders>
              <w:top w:val="nil"/>
              <w:left w:val="nil"/>
              <w:bottom w:val="single" w:sz="4" w:space="0" w:color="auto"/>
              <w:right w:val="single" w:sz="4" w:space="0" w:color="auto"/>
            </w:tcBorders>
            <w:shd w:val="clear" w:color="auto" w:fill="auto"/>
            <w:noWrap/>
            <w:vAlign w:val="bottom"/>
            <w:hideMark/>
          </w:tcPr>
          <w:p w14:paraId="10CC9F83"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15102076"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26BA075D"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49B952FA"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65B112A4"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552504E7"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0839FE45"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33DC4335"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240B0D31"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5705C879"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13E8A23A"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64%</w:t>
            </w:r>
          </w:p>
        </w:tc>
      </w:tr>
      <w:tr w:rsidR="0067156B" w:rsidRPr="00BA48F1" w14:paraId="2057B422" w14:textId="77777777" w:rsidTr="0067156B">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DD81457"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DRACUT</w:t>
            </w:r>
          </w:p>
        </w:tc>
        <w:tc>
          <w:tcPr>
            <w:tcW w:w="0" w:type="auto"/>
            <w:tcBorders>
              <w:top w:val="nil"/>
              <w:left w:val="nil"/>
              <w:bottom w:val="single" w:sz="4" w:space="0" w:color="auto"/>
              <w:right w:val="single" w:sz="4" w:space="0" w:color="auto"/>
            </w:tcBorders>
            <w:shd w:val="clear" w:color="auto" w:fill="auto"/>
            <w:noWrap/>
            <w:vAlign w:val="bottom"/>
            <w:hideMark/>
          </w:tcPr>
          <w:p w14:paraId="45913A54"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1,154</w:t>
            </w:r>
          </w:p>
        </w:tc>
        <w:tc>
          <w:tcPr>
            <w:tcW w:w="0" w:type="auto"/>
            <w:tcBorders>
              <w:top w:val="nil"/>
              <w:left w:val="nil"/>
              <w:bottom w:val="single" w:sz="4" w:space="0" w:color="auto"/>
              <w:right w:val="single" w:sz="4" w:space="0" w:color="auto"/>
            </w:tcBorders>
            <w:shd w:val="clear" w:color="auto" w:fill="auto"/>
            <w:noWrap/>
            <w:vAlign w:val="bottom"/>
            <w:hideMark/>
          </w:tcPr>
          <w:p w14:paraId="6F77717E"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732</w:t>
            </w:r>
          </w:p>
        </w:tc>
        <w:tc>
          <w:tcPr>
            <w:tcW w:w="0" w:type="auto"/>
            <w:tcBorders>
              <w:top w:val="nil"/>
              <w:left w:val="nil"/>
              <w:bottom w:val="single" w:sz="4" w:space="0" w:color="auto"/>
              <w:right w:val="single" w:sz="4" w:space="0" w:color="auto"/>
            </w:tcBorders>
            <w:shd w:val="clear" w:color="auto" w:fill="auto"/>
            <w:noWrap/>
            <w:vAlign w:val="bottom"/>
            <w:hideMark/>
          </w:tcPr>
          <w:p w14:paraId="5449EBD4"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63%</w:t>
            </w:r>
          </w:p>
        </w:tc>
        <w:tc>
          <w:tcPr>
            <w:tcW w:w="0" w:type="auto"/>
            <w:tcBorders>
              <w:top w:val="nil"/>
              <w:left w:val="nil"/>
              <w:bottom w:val="single" w:sz="4" w:space="0" w:color="auto"/>
              <w:right w:val="single" w:sz="4" w:space="0" w:color="auto"/>
            </w:tcBorders>
            <w:shd w:val="clear" w:color="auto" w:fill="auto"/>
            <w:noWrap/>
            <w:vAlign w:val="bottom"/>
            <w:hideMark/>
          </w:tcPr>
          <w:p w14:paraId="32E90400"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726</w:t>
            </w:r>
          </w:p>
        </w:tc>
        <w:tc>
          <w:tcPr>
            <w:tcW w:w="0" w:type="auto"/>
            <w:tcBorders>
              <w:top w:val="nil"/>
              <w:left w:val="nil"/>
              <w:bottom w:val="single" w:sz="4" w:space="0" w:color="auto"/>
              <w:right w:val="single" w:sz="4" w:space="0" w:color="auto"/>
            </w:tcBorders>
            <w:shd w:val="clear" w:color="auto" w:fill="auto"/>
            <w:noWrap/>
            <w:vAlign w:val="bottom"/>
            <w:hideMark/>
          </w:tcPr>
          <w:p w14:paraId="304B41A1"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(99.2)</w:t>
            </w:r>
          </w:p>
        </w:tc>
        <w:tc>
          <w:tcPr>
            <w:tcW w:w="0" w:type="auto"/>
            <w:tcBorders>
              <w:top w:val="nil"/>
              <w:left w:val="nil"/>
              <w:bottom w:val="single" w:sz="4" w:space="0" w:color="auto"/>
              <w:right w:val="single" w:sz="4" w:space="0" w:color="auto"/>
            </w:tcBorders>
            <w:shd w:val="clear" w:color="auto" w:fill="auto"/>
            <w:noWrap/>
            <w:vAlign w:val="bottom"/>
            <w:hideMark/>
          </w:tcPr>
          <w:p w14:paraId="522177DB"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6</w:t>
            </w:r>
          </w:p>
        </w:tc>
        <w:tc>
          <w:tcPr>
            <w:tcW w:w="0" w:type="auto"/>
            <w:tcBorders>
              <w:top w:val="nil"/>
              <w:left w:val="nil"/>
              <w:bottom w:val="single" w:sz="4" w:space="0" w:color="auto"/>
              <w:right w:val="single" w:sz="4" w:space="0" w:color="auto"/>
            </w:tcBorders>
            <w:shd w:val="clear" w:color="auto" w:fill="auto"/>
            <w:noWrap/>
            <w:vAlign w:val="bottom"/>
            <w:hideMark/>
          </w:tcPr>
          <w:p w14:paraId="68FFF981"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(0.8)</w:t>
            </w:r>
          </w:p>
        </w:tc>
        <w:tc>
          <w:tcPr>
            <w:tcW w:w="0" w:type="auto"/>
            <w:tcBorders>
              <w:top w:val="nil"/>
              <w:left w:val="nil"/>
              <w:bottom w:val="single" w:sz="4" w:space="0" w:color="auto"/>
              <w:right w:val="single" w:sz="4" w:space="0" w:color="auto"/>
            </w:tcBorders>
            <w:shd w:val="clear" w:color="auto" w:fill="auto"/>
            <w:noWrap/>
            <w:vAlign w:val="bottom"/>
            <w:hideMark/>
          </w:tcPr>
          <w:p w14:paraId="3F13A7C0"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70173B14"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46424F4C"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78E8F923"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1CAAAE73"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5AF339A2"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3FF6DD1C"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7C8D4C2A"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53AFF505"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55%</w:t>
            </w:r>
          </w:p>
        </w:tc>
      </w:tr>
      <w:tr w:rsidR="0067156B" w:rsidRPr="00BA48F1" w14:paraId="1C9A2B2B" w14:textId="77777777" w:rsidTr="0067156B">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FA644BB"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DUDLEY</w:t>
            </w:r>
          </w:p>
        </w:tc>
        <w:tc>
          <w:tcPr>
            <w:tcW w:w="0" w:type="auto"/>
            <w:tcBorders>
              <w:top w:val="nil"/>
              <w:left w:val="nil"/>
              <w:bottom w:val="single" w:sz="4" w:space="0" w:color="auto"/>
              <w:right w:val="single" w:sz="4" w:space="0" w:color="auto"/>
            </w:tcBorders>
            <w:shd w:val="clear" w:color="auto" w:fill="auto"/>
            <w:noWrap/>
            <w:vAlign w:val="bottom"/>
            <w:hideMark/>
          </w:tcPr>
          <w:p w14:paraId="08A7A59C"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340</w:t>
            </w:r>
          </w:p>
        </w:tc>
        <w:tc>
          <w:tcPr>
            <w:tcW w:w="0" w:type="auto"/>
            <w:tcBorders>
              <w:top w:val="nil"/>
              <w:left w:val="nil"/>
              <w:bottom w:val="single" w:sz="4" w:space="0" w:color="auto"/>
              <w:right w:val="single" w:sz="4" w:space="0" w:color="auto"/>
            </w:tcBorders>
            <w:shd w:val="clear" w:color="auto" w:fill="auto"/>
            <w:noWrap/>
            <w:vAlign w:val="bottom"/>
            <w:hideMark/>
          </w:tcPr>
          <w:p w14:paraId="228905D3"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232</w:t>
            </w:r>
          </w:p>
        </w:tc>
        <w:tc>
          <w:tcPr>
            <w:tcW w:w="0" w:type="auto"/>
            <w:tcBorders>
              <w:top w:val="nil"/>
              <w:left w:val="nil"/>
              <w:bottom w:val="single" w:sz="4" w:space="0" w:color="auto"/>
              <w:right w:val="single" w:sz="4" w:space="0" w:color="auto"/>
            </w:tcBorders>
            <w:shd w:val="clear" w:color="auto" w:fill="auto"/>
            <w:noWrap/>
            <w:vAlign w:val="bottom"/>
            <w:hideMark/>
          </w:tcPr>
          <w:p w14:paraId="7DB1334F"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68%</w:t>
            </w:r>
          </w:p>
        </w:tc>
        <w:tc>
          <w:tcPr>
            <w:tcW w:w="0" w:type="auto"/>
            <w:tcBorders>
              <w:top w:val="nil"/>
              <w:left w:val="nil"/>
              <w:bottom w:val="single" w:sz="4" w:space="0" w:color="auto"/>
              <w:right w:val="single" w:sz="4" w:space="0" w:color="auto"/>
            </w:tcBorders>
            <w:shd w:val="clear" w:color="auto" w:fill="auto"/>
            <w:noWrap/>
            <w:vAlign w:val="bottom"/>
            <w:hideMark/>
          </w:tcPr>
          <w:p w14:paraId="120A5EBB"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229</w:t>
            </w:r>
          </w:p>
        </w:tc>
        <w:tc>
          <w:tcPr>
            <w:tcW w:w="0" w:type="auto"/>
            <w:tcBorders>
              <w:top w:val="nil"/>
              <w:left w:val="nil"/>
              <w:bottom w:val="single" w:sz="4" w:space="0" w:color="auto"/>
              <w:right w:val="single" w:sz="4" w:space="0" w:color="auto"/>
            </w:tcBorders>
            <w:shd w:val="clear" w:color="auto" w:fill="auto"/>
            <w:noWrap/>
            <w:vAlign w:val="bottom"/>
            <w:hideMark/>
          </w:tcPr>
          <w:p w14:paraId="32E0D751"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(98.7)</w:t>
            </w:r>
          </w:p>
        </w:tc>
        <w:tc>
          <w:tcPr>
            <w:tcW w:w="0" w:type="auto"/>
            <w:tcBorders>
              <w:top w:val="nil"/>
              <w:left w:val="nil"/>
              <w:bottom w:val="single" w:sz="4" w:space="0" w:color="auto"/>
              <w:right w:val="single" w:sz="4" w:space="0" w:color="auto"/>
            </w:tcBorders>
            <w:shd w:val="clear" w:color="auto" w:fill="auto"/>
            <w:noWrap/>
            <w:vAlign w:val="bottom"/>
            <w:hideMark/>
          </w:tcPr>
          <w:p w14:paraId="76B11EC8"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03F6CF21"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2E74CAD4"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5195F670"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011C1536"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2D666906"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4CD7CBB2"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0DAE39B5"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6FE87BDD"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44E4C672"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179DD251"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65%</w:t>
            </w:r>
          </w:p>
        </w:tc>
      </w:tr>
      <w:tr w:rsidR="0067156B" w:rsidRPr="00BA48F1" w14:paraId="6E89F55A" w14:textId="77777777" w:rsidTr="0067156B">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176DDDF"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DUNSTABLE</w:t>
            </w:r>
          </w:p>
        </w:tc>
        <w:tc>
          <w:tcPr>
            <w:tcW w:w="0" w:type="auto"/>
            <w:tcBorders>
              <w:top w:val="nil"/>
              <w:left w:val="nil"/>
              <w:bottom w:val="single" w:sz="4" w:space="0" w:color="auto"/>
              <w:right w:val="single" w:sz="4" w:space="0" w:color="auto"/>
            </w:tcBorders>
            <w:shd w:val="clear" w:color="auto" w:fill="auto"/>
            <w:noWrap/>
            <w:vAlign w:val="bottom"/>
            <w:hideMark/>
          </w:tcPr>
          <w:p w14:paraId="282A9844"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65</w:t>
            </w:r>
          </w:p>
        </w:tc>
        <w:tc>
          <w:tcPr>
            <w:tcW w:w="0" w:type="auto"/>
            <w:tcBorders>
              <w:top w:val="nil"/>
              <w:left w:val="nil"/>
              <w:bottom w:val="single" w:sz="4" w:space="0" w:color="auto"/>
              <w:right w:val="single" w:sz="4" w:space="0" w:color="auto"/>
            </w:tcBorders>
            <w:shd w:val="clear" w:color="auto" w:fill="auto"/>
            <w:noWrap/>
            <w:vAlign w:val="bottom"/>
            <w:hideMark/>
          </w:tcPr>
          <w:p w14:paraId="052043E5"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66</w:t>
            </w:r>
          </w:p>
        </w:tc>
        <w:tc>
          <w:tcPr>
            <w:tcW w:w="0" w:type="auto"/>
            <w:tcBorders>
              <w:top w:val="nil"/>
              <w:left w:val="nil"/>
              <w:bottom w:val="single" w:sz="4" w:space="0" w:color="auto"/>
              <w:right w:val="single" w:sz="4" w:space="0" w:color="auto"/>
            </w:tcBorders>
            <w:shd w:val="clear" w:color="auto" w:fill="auto"/>
            <w:noWrap/>
            <w:vAlign w:val="bottom"/>
            <w:hideMark/>
          </w:tcPr>
          <w:p w14:paraId="41D95DD7"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&gt;99%</w:t>
            </w:r>
          </w:p>
        </w:tc>
        <w:tc>
          <w:tcPr>
            <w:tcW w:w="0" w:type="auto"/>
            <w:tcBorders>
              <w:top w:val="nil"/>
              <w:left w:val="nil"/>
              <w:bottom w:val="single" w:sz="4" w:space="0" w:color="auto"/>
              <w:right w:val="single" w:sz="4" w:space="0" w:color="auto"/>
            </w:tcBorders>
            <w:shd w:val="clear" w:color="auto" w:fill="auto"/>
            <w:noWrap/>
            <w:vAlign w:val="bottom"/>
            <w:hideMark/>
          </w:tcPr>
          <w:p w14:paraId="4AF1DD0B"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66</w:t>
            </w:r>
          </w:p>
        </w:tc>
        <w:tc>
          <w:tcPr>
            <w:tcW w:w="0" w:type="auto"/>
            <w:tcBorders>
              <w:top w:val="nil"/>
              <w:left w:val="nil"/>
              <w:bottom w:val="single" w:sz="4" w:space="0" w:color="auto"/>
              <w:right w:val="single" w:sz="4" w:space="0" w:color="auto"/>
            </w:tcBorders>
            <w:shd w:val="clear" w:color="auto" w:fill="auto"/>
            <w:noWrap/>
            <w:vAlign w:val="bottom"/>
            <w:hideMark/>
          </w:tcPr>
          <w:p w14:paraId="3BB9C3F7"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(100.0)</w:t>
            </w:r>
          </w:p>
        </w:tc>
        <w:tc>
          <w:tcPr>
            <w:tcW w:w="0" w:type="auto"/>
            <w:tcBorders>
              <w:top w:val="nil"/>
              <w:left w:val="nil"/>
              <w:bottom w:val="single" w:sz="4" w:space="0" w:color="auto"/>
              <w:right w:val="single" w:sz="4" w:space="0" w:color="auto"/>
            </w:tcBorders>
            <w:shd w:val="clear" w:color="auto" w:fill="auto"/>
            <w:noWrap/>
            <w:vAlign w:val="bottom"/>
            <w:hideMark/>
          </w:tcPr>
          <w:p w14:paraId="609FB3D2"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69C25800"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5FB6FA99"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09B8B06D"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0D550E35"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130EBB1B"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372CC8F6"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4C264A27"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73F78A43"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7A803335"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233976A9"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35%</w:t>
            </w:r>
          </w:p>
        </w:tc>
      </w:tr>
      <w:tr w:rsidR="0067156B" w:rsidRPr="00BA48F1" w14:paraId="6DEC029F" w14:textId="77777777" w:rsidTr="0067156B">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D96743B"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DUXBURY</w:t>
            </w:r>
          </w:p>
        </w:tc>
        <w:tc>
          <w:tcPr>
            <w:tcW w:w="0" w:type="auto"/>
            <w:tcBorders>
              <w:top w:val="nil"/>
              <w:left w:val="nil"/>
              <w:bottom w:val="single" w:sz="4" w:space="0" w:color="auto"/>
              <w:right w:val="single" w:sz="4" w:space="0" w:color="auto"/>
            </w:tcBorders>
            <w:shd w:val="clear" w:color="auto" w:fill="auto"/>
            <w:noWrap/>
            <w:vAlign w:val="bottom"/>
            <w:hideMark/>
          </w:tcPr>
          <w:p w14:paraId="4FF5E30F"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419</w:t>
            </w:r>
          </w:p>
        </w:tc>
        <w:tc>
          <w:tcPr>
            <w:tcW w:w="0" w:type="auto"/>
            <w:tcBorders>
              <w:top w:val="nil"/>
              <w:left w:val="nil"/>
              <w:bottom w:val="single" w:sz="4" w:space="0" w:color="auto"/>
              <w:right w:val="single" w:sz="4" w:space="0" w:color="auto"/>
            </w:tcBorders>
            <w:shd w:val="clear" w:color="auto" w:fill="auto"/>
            <w:noWrap/>
            <w:vAlign w:val="bottom"/>
            <w:hideMark/>
          </w:tcPr>
          <w:p w14:paraId="2714984F"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347</w:t>
            </w:r>
          </w:p>
        </w:tc>
        <w:tc>
          <w:tcPr>
            <w:tcW w:w="0" w:type="auto"/>
            <w:tcBorders>
              <w:top w:val="nil"/>
              <w:left w:val="nil"/>
              <w:bottom w:val="single" w:sz="4" w:space="0" w:color="auto"/>
              <w:right w:val="single" w:sz="4" w:space="0" w:color="auto"/>
            </w:tcBorders>
            <w:shd w:val="clear" w:color="auto" w:fill="auto"/>
            <w:noWrap/>
            <w:vAlign w:val="bottom"/>
            <w:hideMark/>
          </w:tcPr>
          <w:p w14:paraId="5C23CAB7"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83%</w:t>
            </w:r>
          </w:p>
        </w:tc>
        <w:tc>
          <w:tcPr>
            <w:tcW w:w="0" w:type="auto"/>
            <w:tcBorders>
              <w:top w:val="nil"/>
              <w:left w:val="nil"/>
              <w:bottom w:val="single" w:sz="4" w:space="0" w:color="auto"/>
              <w:right w:val="single" w:sz="4" w:space="0" w:color="auto"/>
            </w:tcBorders>
            <w:shd w:val="clear" w:color="auto" w:fill="auto"/>
            <w:noWrap/>
            <w:vAlign w:val="bottom"/>
            <w:hideMark/>
          </w:tcPr>
          <w:p w14:paraId="6424BB46"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347</w:t>
            </w:r>
          </w:p>
        </w:tc>
        <w:tc>
          <w:tcPr>
            <w:tcW w:w="0" w:type="auto"/>
            <w:tcBorders>
              <w:top w:val="nil"/>
              <w:left w:val="nil"/>
              <w:bottom w:val="single" w:sz="4" w:space="0" w:color="auto"/>
              <w:right w:val="single" w:sz="4" w:space="0" w:color="auto"/>
            </w:tcBorders>
            <w:shd w:val="clear" w:color="auto" w:fill="auto"/>
            <w:noWrap/>
            <w:vAlign w:val="bottom"/>
            <w:hideMark/>
          </w:tcPr>
          <w:p w14:paraId="703162BD"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(100.0)</w:t>
            </w:r>
          </w:p>
        </w:tc>
        <w:tc>
          <w:tcPr>
            <w:tcW w:w="0" w:type="auto"/>
            <w:tcBorders>
              <w:top w:val="nil"/>
              <w:left w:val="nil"/>
              <w:bottom w:val="single" w:sz="4" w:space="0" w:color="auto"/>
              <w:right w:val="single" w:sz="4" w:space="0" w:color="auto"/>
            </w:tcBorders>
            <w:shd w:val="clear" w:color="auto" w:fill="auto"/>
            <w:noWrap/>
            <w:vAlign w:val="bottom"/>
            <w:hideMark/>
          </w:tcPr>
          <w:p w14:paraId="31A5E598"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4465D8A7"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12354FBE"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2240F408"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30DE9FBD"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67A2DE6A"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6E3B70A8"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795DC94D"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1E007AF2"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13796604"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334B6199"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53%</w:t>
            </w:r>
          </w:p>
        </w:tc>
      </w:tr>
      <w:tr w:rsidR="0067156B" w:rsidRPr="00BA48F1" w14:paraId="6D9A17E7" w14:textId="77777777" w:rsidTr="0067156B">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22D7803"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EAST BRIDGEWATER</w:t>
            </w:r>
          </w:p>
        </w:tc>
        <w:tc>
          <w:tcPr>
            <w:tcW w:w="0" w:type="auto"/>
            <w:tcBorders>
              <w:top w:val="nil"/>
              <w:left w:val="nil"/>
              <w:bottom w:val="single" w:sz="4" w:space="0" w:color="auto"/>
              <w:right w:val="single" w:sz="4" w:space="0" w:color="auto"/>
            </w:tcBorders>
            <w:shd w:val="clear" w:color="auto" w:fill="auto"/>
            <w:noWrap/>
            <w:vAlign w:val="bottom"/>
            <w:hideMark/>
          </w:tcPr>
          <w:p w14:paraId="7561D471"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506</w:t>
            </w:r>
          </w:p>
        </w:tc>
        <w:tc>
          <w:tcPr>
            <w:tcW w:w="0" w:type="auto"/>
            <w:tcBorders>
              <w:top w:val="nil"/>
              <w:left w:val="nil"/>
              <w:bottom w:val="single" w:sz="4" w:space="0" w:color="auto"/>
              <w:right w:val="single" w:sz="4" w:space="0" w:color="auto"/>
            </w:tcBorders>
            <w:shd w:val="clear" w:color="auto" w:fill="auto"/>
            <w:noWrap/>
            <w:vAlign w:val="bottom"/>
            <w:hideMark/>
          </w:tcPr>
          <w:p w14:paraId="451FEC96"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359</w:t>
            </w:r>
          </w:p>
        </w:tc>
        <w:tc>
          <w:tcPr>
            <w:tcW w:w="0" w:type="auto"/>
            <w:tcBorders>
              <w:top w:val="nil"/>
              <w:left w:val="nil"/>
              <w:bottom w:val="single" w:sz="4" w:space="0" w:color="auto"/>
              <w:right w:val="single" w:sz="4" w:space="0" w:color="auto"/>
            </w:tcBorders>
            <w:shd w:val="clear" w:color="auto" w:fill="auto"/>
            <w:noWrap/>
            <w:vAlign w:val="bottom"/>
            <w:hideMark/>
          </w:tcPr>
          <w:p w14:paraId="74C401F1"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71%</w:t>
            </w:r>
          </w:p>
        </w:tc>
        <w:tc>
          <w:tcPr>
            <w:tcW w:w="0" w:type="auto"/>
            <w:tcBorders>
              <w:top w:val="nil"/>
              <w:left w:val="nil"/>
              <w:bottom w:val="single" w:sz="4" w:space="0" w:color="auto"/>
              <w:right w:val="single" w:sz="4" w:space="0" w:color="auto"/>
            </w:tcBorders>
            <w:shd w:val="clear" w:color="auto" w:fill="auto"/>
            <w:noWrap/>
            <w:vAlign w:val="bottom"/>
            <w:hideMark/>
          </w:tcPr>
          <w:p w14:paraId="1E8B7762"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357</w:t>
            </w:r>
          </w:p>
        </w:tc>
        <w:tc>
          <w:tcPr>
            <w:tcW w:w="0" w:type="auto"/>
            <w:tcBorders>
              <w:top w:val="nil"/>
              <w:left w:val="nil"/>
              <w:bottom w:val="single" w:sz="4" w:space="0" w:color="auto"/>
              <w:right w:val="single" w:sz="4" w:space="0" w:color="auto"/>
            </w:tcBorders>
            <w:shd w:val="clear" w:color="auto" w:fill="auto"/>
            <w:noWrap/>
            <w:vAlign w:val="bottom"/>
            <w:hideMark/>
          </w:tcPr>
          <w:p w14:paraId="676FB5C1"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(99.4)</w:t>
            </w:r>
          </w:p>
        </w:tc>
        <w:tc>
          <w:tcPr>
            <w:tcW w:w="0" w:type="auto"/>
            <w:tcBorders>
              <w:top w:val="nil"/>
              <w:left w:val="nil"/>
              <w:bottom w:val="single" w:sz="4" w:space="0" w:color="auto"/>
              <w:right w:val="single" w:sz="4" w:space="0" w:color="auto"/>
            </w:tcBorders>
            <w:shd w:val="clear" w:color="auto" w:fill="auto"/>
            <w:noWrap/>
            <w:vAlign w:val="bottom"/>
            <w:hideMark/>
          </w:tcPr>
          <w:p w14:paraId="439C8E12"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68032406"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5B89F210"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561841A1"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7B9A93F4"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742AE901"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2D39C4D3"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1C409710"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74F0146E"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394CB513"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4ECB7025"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61%</w:t>
            </w:r>
          </w:p>
        </w:tc>
      </w:tr>
      <w:tr w:rsidR="0067156B" w:rsidRPr="00BA48F1" w14:paraId="63C23407" w14:textId="77777777" w:rsidTr="0067156B">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B93D84D"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EAST BROOKFIELD</w:t>
            </w:r>
          </w:p>
        </w:tc>
        <w:tc>
          <w:tcPr>
            <w:tcW w:w="0" w:type="auto"/>
            <w:tcBorders>
              <w:top w:val="nil"/>
              <w:left w:val="nil"/>
              <w:bottom w:val="single" w:sz="4" w:space="0" w:color="auto"/>
              <w:right w:val="single" w:sz="4" w:space="0" w:color="auto"/>
            </w:tcBorders>
            <w:shd w:val="clear" w:color="auto" w:fill="auto"/>
            <w:noWrap/>
            <w:vAlign w:val="bottom"/>
            <w:hideMark/>
          </w:tcPr>
          <w:p w14:paraId="01DDE4A8"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63</w:t>
            </w:r>
          </w:p>
        </w:tc>
        <w:tc>
          <w:tcPr>
            <w:tcW w:w="0" w:type="auto"/>
            <w:tcBorders>
              <w:top w:val="nil"/>
              <w:left w:val="nil"/>
              <w:bottom w:val="single" w:sz="4" w:space="0" w:color="auto"/>
              <w:right w:val="single" w:sz="4" w:space="0" w:color="auto"/>
            </w:tcBorders>
            <w:shd w:val="clear" w:color="auto" w:fill="auto"/>
            <w:noWrap/>
            <w:vAlign w:val="bottom"/>
            <w:hideMark/>
          </w:tcPr>
          <w:p w14:paraId="3899BCFA"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48</w:t>
            </w:r>
          </w:p>
        </w:tc>
        <w:tc>
          <w:tcPr>
            <w:tcW w:w="0" w:type="auto"/>
            <w:tcBorders>
              <w:top w:val="nil"/>
              <w:left w:val="nil"/>
              <w:bottom w:val="single" w:sz="4" w:space="0" w:color="auto"/>
              <w:right w:val="single" w:sz="4" w:space="0" w:color="auto"/>
            </w:tcBorders>
            <w:shd w:val="clear" w:color="auto" w:fill="auto"/>
            <w:noWrap/>
            <w:vAlign w:val="bottom"/>
            <w:hideMark/>
          </w:tcPr>
          <w:p w14:paraId="7CF38249"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76%</w:t>
            </w:r>
          </w:p>
        </w:tc>
        <w:tc>
          <w:tcPr>
            <w:tcW w:w="0" w:type="auto"/>
            <w:tcBorders>
              <w:top w:val="nil"/>
              <w:left w:val="nil"/>
              <w:bottom w:val="single" w:sz="4" w:space="0" w:color="auto"/>
              <w:right w:val="single" w:sz="4" w:space="0" w:color="auto"/>
            </w:tcBorders>
            <w:shd w:val="clear" w:color="auto" w:fill="auto"/>
            <w:noWrap/>
            <w:vAlign w:val="bottom"/>
            <w:hideMark/>
          </w:tcPr>
          <w:p w14:paraId="24DA1598"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47</w:t>
            </w:r>
          </w:p>
        </w:tc>
        <w:tc>
          <w:tcPr>
            <w:tcW w:w="0" w:type="auto"/>
            <w:tcBorders>
              <w:top w:val="nil"/>
              <w:left w:val="nil"/>
              <w:bottom w:val="single" w:sz="4" w:space="0" w:color="auto"/>
              <w:right w:val="single" w:sz="4" w:space="0" w:color="auto"/>
            </w:tcBorders>
            <w:shd w:val="clear" w:color="auto" w:fill="auto"/>
            <w:noWrap/>
            <w:vAlign w:val="bottom"/>
            <w:hideMark/>
          </w:tcPr>
          <w:p w14:paraId="5D7B316C"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(97.9)</w:t>
            </w:r>
          </w:p>
        </w:tc>
        <w:tc>
          <w:tcPr>
            <w:tcW w:w="0" w:type="auto"/>
            <w:tcBorders>
              <w:top w:val="nil"/>
              <w:left w:val="nil"/>
              <w:bottom w:val="single" w:sz="4" w:space="0" w:color="auto"/>
              <w:right w:val="single" w:sz="4" w:space="0" w:color="auto"/>
            </w:tcBorders>
            <w:shd w:val="clear" w:color="auto" w:fill="auto"/>
            <w:noWrap/>
            <w:vAlign w:val="bottom"/>
            <w:hideMark/>
          </w:tcPr>
          <w:p w14:paraId="5A23E7D5"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2E81A9ED"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3F60B0E1"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7B6E8206"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597F1BA9"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7C55096B"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655744B5"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5FF3B0E3"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22D5EC34"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03D34469"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5AF4287D"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63%</w:t>
            </w:r>
          </w:p>
        </w:tc>
      </w:tr>
      <w:tr w:rsidR="0067156B" w:rsidRPr="00BA48F1" w14:paraId="7338BDCB" w14:textId="77777777" w:rsidTr="0067156B">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C52CA9C"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EAST LONGMEADOW</w:t>
            </w:r>
          </w:p>
        </w:tc>
        <w:tc>
          <w:tcPr>
            <w:tcW w:w="0" w:type="auto"/>
            <w:tcBorders>
              <w:top w:val="nil"/>
              <w:left w:val="nil"/>
              <w:bottom w:val="single" w:sz="4" w:space="0" w:color="auto"/>
              <w:right w:val="single" w:sz="4" w:space="0" w:color="auto"/>
            </w:tcBorders>
            <w:shd w:val="clear" w:color="auto" w:fill="auto"/>
            <w:noWrap/>
            <w:vAlign w:val="bottom"/>
            <w:hideMark/>
          </w:tcPr>
          <w:p w14:paraId="7F3382E2"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485</w:t>
            </w:r>
          </w:p>
        </w:tc>
        <w:tc>
          <w:tcPr>
            <w:tcW w:w="0" w:type="auto"/>
            <w:tcBorders>
              <w:top w:val="nil"/>
              <w:left w:val="nil"/>
              <w:bottom w:val="single" w:sz="4" w:space="0" w:color="auto"/>
              <w:right w:val="single" w:sz="4" w:space="0" w:color="auto"/>
            </w:tcBorders>
            <w:shd w:val="clear" w:color="auto" w:fill="auto"/>
            <w:noWrap/>
            <w:vAlign w:val="bottom"/>
            <w:hideMark/>
          </w:tcPr>
          <w:p w14:paraId="76310B7D"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315</w:t>
            </w:r>
          </w:p>
        </w:tc>
        <w:tc>
          <w:tcPr>
            <w:tcW w:w="0" w:type="auto"/>
            <w:tcBorders>
              <w:top w:val="nil"/>
              <w:left w:val="nil"/>
              <w:bottom w:val="single" w:sz="4" w:space="0" w:color="auto"/>
              <w:right w:val="single" w:sz="4" w:space="0" w:color="auto"/>
            </w:tcBorders>
            <w:shd w:val="clear" w:color="auto" w:fill="auto"/>
            <w:noWrap/>
            <w:vAlign w:val="bottom"/>
            <w:hideMark/>
          </w:tcPr>
          <w:p w14:paraId="5292B01F"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65%</w:t>
            </w:r>
          </w:p>
        </w:tc>
        <w:tc>
          <w:tcPr>
            <w:tcW w:w="0" w:type="auto"/>
            <w:tcBorders>
              <w:top w:val="nil"/>
              <w:left w:val="nil"/>
              <w:bottom w:val="single" w:sz="4" w:space="0" w:color="auto"/>
              <w:right w:val="single" w:sz="4" w:space="0" w:color="auto"/>
            </w:tcBorders>
            <w:shd w:val="clear" w:color="auto" w:fill="auto"/>
            <w:noWrap/>
            <w:vAlign w:val="bottom"/>
            <w:hideMark/>
          </w:tcPr>
          <w:p w14:paraId="607B7CE3"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312</w:t>
            </w:r>
          </w:p>
        </w:tc>
        <w:tc>
          <w:tcPr>
            <w:tcW w:w="0" w:type="auto"/>
            <w:tcBorders>
              <w:top w:val="nil"/>
              <w:left w:val="nil"/>
              <w:bottom w:val="single" w:sz="4" w:space="0" w:color="auto"/>
              <w:right w:val="single" w:sz="4" w:space="0" w:color="auto"/>
            </w:tcBorders>
            <w:shd w:val="clear" w:color="auto" w:fill="auto"/>
            <w:noWrap/>
            <w:vAlign w:val="bottom"/>
            <w:hideMark/>
          </w:tcPr>
          <w:p w14:paraId="7C72F251"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(99.0)</w:t>
            </w:r>
          </w:p>
        </w:tc>
        <w:tc>
          <w:tcPr>
            <w:tcW w:w="0" w:type="auto"/>
            <w:tcBorders>
              <w:top w:val="nil"/>
              <w:left w:val="nil"/>
              <w:bottom w:val="single" w:sz="4" w:space="0" w:color="auto"/>
              <w:right w:val="single" w:sz="4" w:space="0" w:color="auto"/>
            </w:tcBorders>
            <w:shd w:val="clear" w:color="auto" w:fill="auto"/>
            <w:noWrap/>
            <w:vAlign w:val="bottom"/>
            <w:hideMark/>
          </w:tcPr>
          <w:p w14:paraId="60C7162B"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50AA5C7E"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32AB24B1"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6AAB68C0"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4CDE6E68"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0C3E71C3"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529F017B"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3908BC00"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1F21308E"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57508848"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4789240C"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64%</w:t>
            </w:r>
          </w:p>
        </w:tc>
      </w:tr>
      <w:tr w:rsidR="0067156B" w:rsidRPr="00BA48F1" w14:paraId="54946FC7" w14:textId="77777777" w:rsidTr="0067156B">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2D601FD"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EASTHAM</w:t>
            </w:r>
          </w:p>
        </w:tc>
        <w:tc>
          <w:tcPr>
            <w:tcW w:w="0" w:type="auto"/>
            <w:tcBorders>
              <w:top w:val="nil"/>
              <w:left w:val="nil"/>
              <w:bottom w:val="single" w:sz="4" w:space="0" w:color="auto"/>
              <w:right w:val="single" w:sz="4" w:space="0" w:color="auto"/>
            </w:tcBorders>
            <w:shd w:val="clear" w:color="auto" w:fill="auto"/>
            <w:noWrap/>
            <w:vAlign w:val="bottom"/>
            <w:hideMark/>
          </w:tcPr>
          <w:p w14:paraId="471740D2"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62</w:t>
            </w:r>
          </w:p>
        </w:tc>
        <w:tc>
          <w:tcPr>
            <w:tcW w:w="0" w:type="auto"/>
            <w:tcBorders>
              <w:top w:val="nil"/>
              <w:left w:val="nil"/>
              <w:bottom w:val="single" w:sz="4" w:space="0" w:color="auto"/>
              <w:right w:val="single" w:sz="4" w:space="0" w:color="auto"/>
            </w:tcBorders>
            <w:shd w:val="clear" w:color="auto" w:fill="auto"/>
            <w:noWrap/>
            <w:vAlign w:val="bottom"/>
            <w:hideMark/>
          </w:tcPr>
          <w:p w14:paraId="621E8012"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51</w:t>
            </w:r>
          </w:p>
        </w:tc>
        <w:tc>
          <w:tcPr>
            <w:tcW w:w="0" w:type="auto"/>
            <w:tcBorders>
              <w:top w:val="nil"/>
              <w:left w:val="nil"/>
              <w:bottom w:val="single" w:sz="4" w:space="0" w:color="auto"/>
              <w:right w:val="single" w:sz="4" w:space="0" w:color="auto"/>
            </w:tcBorders>
            <w:shd w:val="clear" w:color="auto" w:fill="auto"/>
            <w:noWrap/>
            <w:vAlign w:val="bottom"/>
            <w:hideMark/>
          </w:tcPr>
          <w:p w14:paraId="47240CD4"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82%</w:t>
            </w:r>
          </w:p>
        </w:tc>
        <w:tc>
          <w:tcPr>
            <w:tcW w:w="0" w:type="auto"/>
            <w:tcBorders>
              <w:top w:val="nil"/>
              <w:left w:val="nil"/>
              <w:bottom w:val="single" w:sz="4" w:space="0" w:color="auto"/>
              <w:right w:val="single" w:sz="4" w:space="0" w:color="auto"/>
            </w:tcBorders>
            <w:shd w:val="clear" w:color="auto" w:fill="auto"/>
            <w:noWrap/>
            <w:vAlign w:val="bottom"/>
            <w:hideMark/>
          </w:tcPr>
          <w:p w14:paraId="4D0CF622"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50</w:t>
            </w:r>
          </w:p>
        </w:tc>
        <w:tc>
          <w:tcPr>
            <w:tcW w:w="0" w:type="auto"/>
            <w:tcBorders>
              <w:top w:val="nil"/>
              <w:left w:val="nil"/>
              <w:bottom w:val="single" w:sz="4" w:space="0" w:color="auto"/>
              <w:right w:val="single" w:sz="4" w:space="0" w:color="auto"/>
            </w:tcBorders>
            <w:shd w:val="clear" w:color="auto" w:fill="auto"/>
            <w:noWrap/>
            <w:vAlign w:val="bottom"/>
            <w:hideMark/>
          </w:tcPr>
          <w:p w14:paraId="054B5D62"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(98.0)</w:t>
            </w:r>
          </w:p>
        </w:tc>
        <w:tc>
          <w:tcPr>
            <w:tcW w:w="0" w:type="auto"/>
            <w:tcBorders>
              <w:top w:val="nil"/>
              <w:left w:val="nil"/>
              <w:bottom w:val="single" w:sz="4" w:space="0" w:color="auto"/>
              <w:right w:val="single" w:sz="4" w:space="0" w:color="auto"/>
            </w:tcBorders>
            <w:shd w:val="clear" w:color="auto" w:fill="auto"/>
            <w:noWrap/>
            <w:vAlign w:val="bottom"/>
            <w:hideMark/>
          </w:tcPr>
          <w:p w14:paraId="374A22B6"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32227D1B"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7026383E"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05488EA6"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4B952DFA"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3511A816"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016A2CC9"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6144D7DC"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2919FFA5"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65713162"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428071A4"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52%</w:t>
            </w:r>
          </w:p>
        </w:tc>
      </w:tr>
      <w:tr w:rsidR="0067156B" w:rsidRPr="00BA48F1" w14:paraId="11B7A101" w14:textId="77777777" w:rsidTr="0067156B">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D90FEE8"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EASTHAMPTON</w:t>
            </w:r>
          </w:p>
        </w:tc>
        <w:tc>
          <w:tcPr>
            <w:tcW w:w="0" w:type="auto"/>
            <w:tcBorders>
              <w:top w:val="nil"/>
              <w:left w:val="nil"/>
              <w:bottom w:val="single" w:sz="4" w:space="0" w:color="auto"/>
              <w:right w:val="single" w:sz="4" w:space="0" w:color="auto"/>
            </w:tcBorders>
            <w:shd w:val="clear" w:color="auto" w:fill="auto"/>
            <w:noWrap/>
            <w:vAlign w:val="bottom"/>
            <w:hideMark/>
          </w:tcPr>
          <w:p w14:paraId="1E8FED6A"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461</w:t>
            </w:r>
          </w:p>
        </w:tc>
        <w:tc>
          <w:tcPr>
            <w:tcW w:w="0" w:type="auto"/>
            <w:tcBorders>
              <w:top w:val="nil"/>
              <w:left w:val="nil"/>
              <w:bottom w:val="single" w:sz="4" w:space="0" w:color="auto"/>
              <w:right w:val="single" w:sz="4" w:space="0" w:color="auto"/>
            </w:tcBorders>
            <w:shd w:val="clear" w:color="auto" w:fill="auto"/>
            <w:noWrap/>
            <w:vAlign w:val="bottom"/>
            <w:hideMark/>
          </w:tcPr>
          <w:p w14:paraId="1293BAE6"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202</w:t>
            </w:r>
          </w:p>
        </w:tc>
        <w:tc>
          <w:tcPr>
            <w:tcW w:w="0" w:type="auto"/>
            <w:tcBorders>
              <w:top w:val="nil"/>
              <w:left w:val="nil"/>
              <w:bottom w:val="single" w:sz="4" w:space="0" w:color="auto"/>
              <w:right w:val="single" w:sz="4" w:space="0" w:color="auto"/>
            </w:tcBorders>
            <w:shd w:val="clear" w:color="auto" w:fill="auto"/>
            <w:noWrap/>
            <w:vAlign w:val="bottom"/>
            <w:hideMark/>
          </w:tcPr>
          <w:p w14:paraId="4875D6A8"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44%</w:t>
            </w:r>
          </w:p>
        </w:tc>
        <w:tc>
          <w:tcPr>
            <w:tcW w:w="0" w:type="auto"/>
            <w:tcBorders>
              <w:top w:val="nil"/>
              <w:left w:val="nil"/>
              <w:bottom w:val="single" w:sz="4" w:space="0" w:color="auto"/>
              <w:right w:val="single" w:sz="4" w:space="0" w:color="auto"/>
            </w:tcBorders>
            <w:shd w:val="clear" w:color="auto" w:fill="auto"/>
            <w:noWrap/>
            <w:vAlign w:val="bottom"/>
            <w:hideMark/>
          </w:tcPr>
          <w:p w14:paraId="6BB8C159"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201</w:t>
            </w:r>
          </w:p>
        </w:tc>
        <w:tc>
          <w:tcPr>
            <w:tcW w:w="0" w:type="auto"/>
            <w:tcBorders>
              <w:top w:val="nil"/>
              <w:left w:val="nil"/>
              <w:bottom w:val="single" w:sz="4" w:space="0" w:color="auto"/>
              <w:right w:val="single" w:sz="4" w:space="0" w:color="auto"/>
            </w:tcBorders>
            <w:shd w:val="clear" w:color="auto" w:fill="auto"/>
            <w:noWrap/>
            <w:vAlign w:val="bottom"/>
            <w:hideMark/>
          </w:tcPr>
          <w:p w14:paraId="29DE56C3"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(99.5)</w:t>
            </w:r>
          </w:p>
        </w:tc>
        <w:tc>
          <w:tcPr>
            <w:tcW w:w="0" w:type="auto"/>
            <w:tcBorders>
              <w:top w:val="nil"/>
              <w:left w:val="nil"/>
              <w:bottom w:val="single" w:sz="4" w:space="0" w:color="auto"/>
              <w:right w:val="single" w:sz="4" w:space="0" w:color="auto"/>
            </w:tcBorders>
            <w:shd w:val="clear" w:color="auto" w:fill="auto"/>
            <w:noWrap/>
            <w:vAlign w:val="bottom"/>
            <w:hideMark/>
          </w:tcPr>
          <w:p w14:paraId="51B3522D"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6764724B"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1381A14F"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6F16030D"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3A800222"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5BDEA84B"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07EB2C34"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640B6A08"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24EF9604"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165ADA84"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367DC33C"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71%</w:t>
            </w:r>
          </w:p>
        </w:tc>
      </w:tr>
      <w:tr w:rsidR="0067156B" w:rsidRPr="00BA48F1" w14:paraId="0BF56014" w14:textId="77777777" w:rsidTr="0067156B">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CA84C6C"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EASTON</w:t>
            </w:r>
          </w:p>
        </w:tc>
        <w:tc>
          <w:tcPr>
            <w:tcW w:w="0" w:type="auto"/>
            <w:tcBorders>
              <w:top w:val="nil"/>
              <w:left w:val="nil"/>
              <w:bottom w:val="single" w:sz="4" w:space="0" w:color="auto"/>
              <w:right w:val="single" w:sz="4" w:space="0" w:color="auto"/>
            </w:tcBorders>
            <w:shd w:val="clear" w:color="auto" w:fill="auto"/>
            <w:noWrap/>
            <w:vAlign w:val="bottom"/>
            <w:hideMark/>
          </w:tcPr>
          <w:p w14:paraId="6F88B9C0"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695</w:t>
            </w:r>
          </w:p>
        </w:tc>
        <w:tc>
          <w:tcPr>
            <w:tcW w:w="0" w:type="auto"/>
            <w:tcBorders>
              <w:top w:val="nil"/>
              <w:left w:val="nil"/>
              <w:bottom w:val="single" w:sz="4" w:space="0" w:color="auto"/>
              <w:right w:val="single" w:sz="4" w:space="0" w:color="auto"/>
            </w:tcBorders>
            <w:shd w:val="clear" w:color="auto" w:fill="auto"/>
            <w:noWrap/>
            <w:vAlign w:val="bottom"/>
            <w:hideMark/>
          </w:tcPr>
          <w:p w14:paraId="6B4AF7E1"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493</w:t>
            </w:r>
          </w:p>
        </w:tc>
        <w:tc>
          <w:tcPr>
            <w:tcW w:w="0" w:type="auto"/>
            <w:tcBorders>
              <w:top w:val="nil"/>
              <w:left w:val="nil"/>
              <w:bottom w:val="single" w:sz="4" w:space="0" w:color="auto"/>
              <w:right w:val="single" w:sz="4" w:space="0" w:color="auto"/>
            </w:tcBorders>
            <w:shd w:val="clear" w:color="auto" w:fill="auto"/>
            <w:noWrap/>
            <w:vAlign w:val="bottom"/>
            <w:hideMark/>
          </w:tcPr>
          <w:p w14:paraId="361459C4"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71%</w:t>
            </w:r>
          </w:p>
        </w:tc>
        <w:tc>
          <w:tcPr>
            <w:tcW w:w="0" w:type="auto"/>
            <w:tcBorders>
              <w:top w:val="nil"/>
              <w:left w:val="nil"/>
              <w:bottom w:val="single" w:sz="4" w:space="0" w:color="auto"/>
              <w:right w:val="single" w:sz="4" w:space="0" w:color="auto"/>
            </w:tcBorders>
            <w:shd w:val="clear" w:color="auto" w:fill="auto"/>
            <w:noWrap/>
            <w:vAlign w:val="bottom"/>
            <w:hideMark/>
          </w:tcPr>
          <w:p w14:paraId="45C484C0"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489</w:t>
            </w:r>
          </w:p>
        </w:tc>
        <w:tc>
          <w:tcPr>
            <w:tcW w:w="0" w:type="auto"/>
            <w:tcBorders>
              <w:top w:val="nil"/>
              <w:left w:val="nil"/>
              <w:bottom w:val="single" w:sz="4" w:space="0" w:color="auto"/>
              <w:right w:val="single" w:sz="4" w:space="0" w:color="auto"/>
            </w:tcBorders>
            <w:shd w:val="clear" w:color="auto" w:fill="auto"/>
            <w:noWrap/>
            <w:vAlign w:val="bottom"/>
            <w:hideMark/>
          </w:tcPr>
          <w:p w14:paraId="1F259DB5"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(99.2)</w:t>
            </w:r>
          </w:p>
        </w:tc>
        <w:tc>
          <w:tcPr>
            <w:tcW w:w="0" w:type="auto"/>
            <w:tcBorders>
              <w:top w:val="nil"/>
              <w:left w:val="nil"/>
              <w:bottom w:val="single" w:sz="4" w:space="0" w:color="auto"/>
              <w:right w:val="single" w:sz="4" w:space="0" w:color="auto"/>
            </w:tcBorders>
            <w:shd w:val="clear" w:color="auto" w:fill="auto"/>
            <w:noWrap/>
            <w:vAlign w:val="bottom"/>
            <w:hideMark/>
          </w:tcPr>
          <w:p w14:paraId="011FE813"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4016C0AC"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43EA60ED"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11952C42"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22CF9062"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0FE2C01E"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08F10170"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20D0E48E"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08DCDE47"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1C47F03C"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0ED7E83F"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53%</w:t>
            </w:r>
          </w:p>
        </w:tc>
      </w:tr>
      <w:tr w:rsidR="0067156B" w:rsidRPr="00BA48F1" w14:paraId="2A403625" w14:textId="77777777" w:rsidTr="0067156B">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F7392AA"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EDGARTOWN</w:t>
            </w:r>
          </w:p>
        </w:tc>
        <w:tc>
          <w:tcPr>
            <w:tcW w:w="0" w:type="auto"/>
            <w:tcBorders>
              <w:top w:val="nil"/>
              <w:left w:val="nil"/>
              <w:bottom w:val="single" w:sz="4" w:space="0" w:color="auto"/>
              <w:right w:val="single" w:sz="4" w:space="0" w:color="auto"/>
            </w:tcBorders>
            <w:shd w:val="clear" w:color="auto" w:fill="auto"/>
            <w:noWrap/>
            <w:vAlign w:val="bottom"/>
            <w:hideMark/>
          </w:tcPr>
          <w:p w14:paraId="6FCE74D2"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134</w:t>
            </w:r>
          </w:p>
        </w:tc>
        <w:tc>
          <w:tcPr>
            <w:tcW w:w="0" w:type="auto"/>
            <w:tcBorders>
              <w:top w:val="nil"/>
              <w:left w:val="nil"/>
              <w:bottom w:val="single" w:sz="4" w:space="0" w:color="auto"/>
              <w:right w:val="single" w:sz="4" w:space="0" w:color="auto"/>
            </w:tcBorders>
            <w:shd w:val="clear" w:color="auto" w:fill="auto"/>
            <w:noWrap/>
            <w:vAlign w:val="bottom"/>
            <w:hideMark/>
          </w:tcPr>
          <w:p w14:paraId="5E64A029"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79</w:t>
            </w:r>
          </w:p>
        </w:tc>
        <w:tc>
          <w:tcPr>
            <w:tcW w:w="0" w:type="auto"/>
            <w:tcBorders>
              <w:top w:val="nil"/>
              <w:left w:val="nil"/>
              <w:bottom w:val="single" w:sz="4" w:space="0" w:color="auto"/>
              <w:right w:val="single" w:sz="4" w:space="0" w:color="auto"/>
            </w:tcBorders>
            <w:shd w:val="clear" w:color="auto" w:fill="auto"/>
            <w:noWrap/>
            <w:vAlign w:val="bottom"/>
            <w:hideMark/>
          </w:tcPr>
          <w:p w14:paraId="5561391B"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59%</w:t>
            </w:r>
          </w:p>
        </w:tc>
        <w:tc>
          <w:tcPr>
            <w:tcW w:w="0" w:type="auto"/>
            <w:tcBorders>
              <w:top w:val="nil"/>
              <w:left w:val="nil"/>
              <w:bottom w:val="single" w:sz="4" w:space="0" w:color="auto"/>
              <w:right w:val="single" w:sz="4" w:space="0" w:color="auto"/>
            </w:tcBorders>
            <w:shd w:val="clear" w:color="auto" w:fill="auto"/>
            <w:noWrap/>
            <w:vAlign w:val="bottom"/>
            <w:hideMark/>
          </w:tcPr>
          <w:p w14:paraId="0DD8B673"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78</w:t>
            </w:r>
          </w:p>
        </w:tc>
        <w:tc>
          <w:tcPr>
            <w:tcW w:w="0" w:type="auto"/>
            <w:tcBorders>
              <w:top w:val="nil"/>
              <w:left w:val="nil"/>
              <w:bottom w:val="single" w:sz="4" w:space="0" w:color="auto"/>
              <w:right w:val="single" w:sz="4" w:space="0" w:color="auto"/>
            </w:tcBorders>
            <w:shd w:val="clear" w:color="auto" w:fill="auto"/>
            <w:noWrap/>
            <w:vAlign w:val="bottom"/>
            <w:hideMark/>
          </w:tcPr>
          <w:p w14:paraId="4DDC13FF"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(98.7)</w:t>
            </w:r>
          </w:p>
        </w:tc>
        <w:tc>
          <w:tcPr>
            <w:tcW w:w="0" w:type="auto"/>
            <w:tcBorders>
              <w:top w:val="nil"/>
              <w:left w:val="nil"/>
              <w:bottom w:val="single" w:sz="4" w:space="0" w:color="auto"/>
              <w:right w:val="single" w:sz="4" w:space="0" w:color="auto"/>
            </w:tcBorders>
            <w:shd w:val="clear" w:color="auto" w:fill="auto"/>
            <w:noWrap/>
            <w:vAlign w:val="bottom"/>
            <w:hideMark/>
          </w:tcPr>
          <w:p w14:paraId="0EF7FCA6"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5AA42C11"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673B781E"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6F7BFEF9"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02F17BC4"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0525B180"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12171DD3"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1BDFD31B"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74B26485"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7AC7433A"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496B08DF"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33%</w:t>
            </w:r>
          </w:p>
        </w:tc>
      </w:tr>
      <w:tr w:rsidR="0067156B" w:rsidRPr="00BA48F1" w14:paraId="07228DF8" w14:textId="77777777" w:rsidTr="0067156B">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C69E8D4"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EGREMONT</w:t>
            </w:r>
          </w:p>
        </w:tc>
        <w:tc>
          <w:tcPr>
            <w:tcW w:w="0" w:type="auto"/>
            <w:tcBorders>
              <w:top w:val="nil"/>
              <w:left w:val="nil"/>
              <w:bottom w:val="single" w:sz="4" w:space="0" w:color="auto"/>
              <w:right w:val="single" w:sz="4" w:space="0" w:color="auto"/>
            </w:tcBorders>
            <w:shd w:val="clear" w:color="auto" w:fill="auto"/>
            <w:noWrap/>
            <w:vAlign w:val="bottom"/>
            <w:hideMark/>
          </w:tcPr>
          <w:p w14:paraId="0616007C"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18</w:t>
            </w:r>
          </w:p>
        </w:tc>
        <w:tc>
          <w:tcPr>
            <w:tcW w:w="0" w:type="auto"/>
            <w:tcBorders>
              <w:top w:val="nil"/>
              <w:left w:val="nil"/>
              <w:bottom w:val="single" w:sz="4" w:space="0" w:color="auto"/>
              <w:right w:val="single" w:sz="4" w:space="0" w:color="auto"/>
            </w:tcBorders>
            <w:shd w:val="clear" w:color="auto" w:fill="auto"/>
            <w:noWrap/>
            <w:vAlign w:val="bottom"/>
            <w:hideMark/>
          </w:tcPr>
          <w:p w14:paraId="151D4514"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17</w:t>
            </w:r>
          </w:p>
        </w:tc>
        <w:tc>
          <w:tcPr>
            <w:tcW w:w="0" w:type="auto"/>
            <w:tcBorders>
              <w:top w:val="nil"/>
              <w:left w:val="nil"/>
              <w:bottom w:val="single" w:sz="4" w:space="0" w:color="auto"/>
              <w:right w:val="single" w:sz="4" w:space="0" w:color="auto"/>
            </w:tcBorders>
            <w:shd w:val="clear" w:color="auto" w:fill="auto"/>
            <w:noWrap/>
            <w:vAlign w:val="bottom"/>
            <w:hideMark/>
          </w:tcPr>
          <w:p w14:paraId="1EEFD44E"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94%</w:t>
            </w:r>
          </w:p>
        </w:tc>
        <w:tc>
          <w:tcPr>
            <w:tcW w:w="0" w:type="auto"/>
            <w:tcBorders>
              <w:top w:val="nil"/>
              <w:left w:val="nil"/>
              <w:bottom w:val="single" w:sz="4" w:space="0" w:color="auto"/>
              <w:right w:val="single" w:sz="4" w:space="0" w:color="auto"/>
            </w:tcBorders>
            <w:shd w:val="clear" w:color="auto" w:fill="auto"/>
            <w:noWrap/>
            <w:vAlign w:val="bottom"/>
            <w:hideMark/>
          </w:tcPr>
          <w:p w14:paraId="71B0651D"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16</w:t>
            </w:r>
          </w:p>
        </w:tc>
        <w:tc>
          <w:tcPr>
            <w:tcW w:w="0" w:type="auto"/>
            <w:tcBorders>
              <w:top w:val="nil"/>
              <w:left w:val="nil"/>
              <w:bottom w:val="single" w:sz="4" w:space="0" w:color="auto"/>
              <w:right w:val="single" w:sz="4" w:space="0" w:color="auto"/>
            </w:tcBorders>
            <w:shd w:val="clear" w:color="auto" w:fill="auto"/>
            <w:noWrap/>
            <w:vAlign w:val="bottom"/>
            <w:hideMark/>
          </w:tcPr>
          <w:p w14:paraId="1723ECE5"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(94.1)</w:t>
            </w:r>
          </w:p>
        </w:tc>
        <w:tc>
          <w:tcPr>
            <w:tcW w:w="0" w:type="auto"/>
            <w:tcBorders>
              <w:top w:val="nil"/>
              <w:left w:val="nil"/>
              <w:bottom w:val="single" w:sz="4" w:space="0" w:color="auto"/>
              <w:right w:val="single" w:sz="4" w:space="0" w:color="auto"/>
            </w:tcBorders>
            <w:shd w:val="clear" w:color="auto" w:fill="auto"/>
            <w:noWrap/>
            <w:vAlign w:val="bottom"/>
            <w:hideMark/>
          </w:tcPr>
          <w:p w14:paraId="5843BB45"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39743B1B"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3B0C4A02"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61800857"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07CCD4BD"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580A160C"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15FCBDD4"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1C0B1DF9"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71899685"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46606DF1"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7C6699AD"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65%</w:t>
            </w:r>
          </w:p>
        </w:tc>
      </w:tr>
      <w:tr w:rsidR="0067156B" w:rsidRPr="00BA48F1" w14:paraId="6E840336" w14:textId="77777777" w:rsidTr="0067156B">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3AD09FB"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ERVING</w:t>
            </w:r>
          </w:p>
        </w:tc>
        <w:tc>
          <w:tcPr>
            <w:tcW w:w="0" w:type="auto"/>
            <w:tcBorders>
              <w:top w:val="nil"/>
              <w:left w:val="nil"/>
              <w:bottom w:val="single" w:sz="4" w:space="0" w:color="auto"/>
              <w:right w:val="single" w:sz="4" w:space="0" w:color="auto"/>
            </w:tcBorders>
            <w:shd w:val="clear" w:color="auto" w:fill="auto"/>
            <w:noWrap/>
            <w:vAlign w:val="bottom"/>
            <w:hideMark/>
          </w:tcPr>
          <w:p w14:paraId="3064C670"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57</w:t>
            </w:r>
          </w:p>
        </w:tc>
        <w:tc>
          <w:tcPr>
            <w:tcW w:w="0" w:type="auto"/>
            <w:tcBorders>
              <w:top w:val="nil"/>
              <w:left w:val="nil"/>
              <w:bottom w:val="single" w:sz="4" w:space="0" w:color="auto"/>
              <w:right w:val="single" w:sz="4" w:space="0" w:color="auto"/>
            </w:tcBorders>
            <w:shd w:val="clear" w:color="auto" w:fill="auto"/>
            <w:noWrap/>
            <w:vAlign w:val="bottom"/>
            <w:hideMark/>
          </w:tcPr>
          <w:p w14:paraId="251D91E1"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26</w:t>
            </w:r>
          </w:p>
        </w:tc>
        <w:tc>
          <w:tcPr>
            <w:tcW w:w="0" w:type="auto"/>
            <w:tcBorders>
              <w:top w:val="nil"/>
              <w:left w:val="nil"/>
              <w:bottom w:val="single" w:sz="4" w:space="0" w:color="auto"/>
              <w:right w:val="single" w:sz="4" w:space="0" w:color="auto"/>
            </w:tcBorders>
            <w:shd w:val="clear" w:color="auto" w:fill="auto"/>
            <w:noWrap/>
            <w:vAlign w:val="bottom"/>
            <w:hideMark/>
          </w:tcPr>
          <w:p w14:paraId="7A721A62"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46%</w:t>
            </w:r>
          </w:p>
        </w:tc>
        <w:tc>
          <w:tcPr>
            <w:tcW w:w="0" w:type="auto"/>
            <w:tcBorders>
              <w:top w:val="nil"/>
              <w:left w:val="nil"/>
              <w:bottom w:val="single" w:sz="4" w:space="0" w:color="auto"/>
              <w:right w:val="single" w:sz="4" w:space="0" w:color="auto"/>
            </w:tcBorders>
            <w:shd w:val="clear" w:color="auto" w:fill="auto"/>
            <w:noWrap/>
            <w:vAlign w:val="bottom"/>
            <w:hideMark/>
          </w:tcPr>
          <w:p w14:paraId="066B23E8"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26</w:t>
            </w:r>
          </w:p>
        </w:tc>
        <w:tc>
          <w:tcPr>
            <w:tcW w:w="0" w:type="auto"/>
            <w:tcBorders>
              <w:top w:val="nil"/>
              <w:left w:val="nil"/>
              <w:bottom w:val="single" w:sz="4" w:space="0" w:color="auto"/>
              <w:right w:val="single" w:sz="4" w:space="0" w:color="auto"/>
            </w:tcBorders>
            <w:shd w:val="clear" w:color="auto" w:fill="auto"/>
            <w:noWrap/>
            <w:vAlign w:val="bottom"/>
            <w:hideMark/>
          </w:tcPr>
          <w:p w14:paraId="574D29F6"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(100.0)</w:t>
            </w:r>
          </w:p>
        </w:tc>
        <w:tc>
          <w:tcPr>
            <w:tcW w:w="0" w:type="auto"/>
            <w:tcBorders>
              <w:top w:val="nil"/>
              <w:left w:val="nil"/>
              <w:bottom w:val="single" w:sz="4" w:space="0" w:color="auto"/>
              <w:right w:val="single" w:sz="4" w:space="0" w:color="auto"/>
            </w:tcBorders>
            <w:shd w:val="clear" w:color="auto" w:fill="auto"/>
            <w:noWrap/>
            <w:vAlign w:val="bottom"/>
            <w:hideMark/>
          </w:tcPr>
          <w:p w14:paraId="464FA26D"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78170430"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2608A86A"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3531B177"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4E71FC98"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05F42F4F"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03C7A63F"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1D416960"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71743AF9"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13075E04"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1CAE8729"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73%</w:t>
            </w:r>
          </w:p>
        </w:tc>
      </w:tr>
      <w:tr w:rsidR="0067156B" w:rsidRPr="00BA48F1" w14:paraId="291E14C5" w14:textId="77777777" w:rsidTr="0067156B">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97C2E38"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ESSEX</w:t>
            </w:r>
          </w:p>
        </w:tc>
        <w:tc>
          <w:tcPr>
            <w:tcW w:w="0" w:type="auto"/>
            <w:tcBorders>
              <w:top w:val="nil"/>
              <w:left w:val="nil"/>
              <w:bottom w:val="single" w:sz="4" w:space="0" w:color="auto"/>
              <w:right w:val="single" w:sz="4" w:space="0" w:color="auto"/>
            </w:tcBorders>
            <w:shd w:val="clear" w:color="auto" w:fill="auto"/>
            <w:noWrap/>
            <w:vAlign w:val="bottom"/>
            <w:hideMark/>
          </w:tcPr>
          <w:p w14:paraId="0C060113"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111</w:t>
            </w:r>
          </w:p>
        </w:tc>
        <w:tc>
          <w:tcPr>
            <w:tcW w:w="0" w:type="auto"/>
            <w:tcBorders>
              <w:top w:val="nil"/>
              <w:left w:val="nil"/>
              <w:bottom w:val="single" w:sz="4" w:space="0" w:color="auto"/>
              <w:right w:val="single" w:sz="4" w:space="0" w:color="auto"/>
            </w:tcBorders>
            <w:shd w:val="clear" w:color="auto" w:fill="auto"/>
            <w:noWrap/>
            <w:vAlign w:val="bottom"/>
            <w:hideMark/>
          </w:tcPr>
          <w:p w14:paraId="5D63EA80"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78</w:t>
            </w:r>
          </w:p>
        </w:tc>
        <w:tc>
          <w:tcPr>
            <w:tcW w:w="0" w:type="auto"/>
            <w:tcBorders>
              <w:top w:val="nil"/>
              <w:left w:val="nil"/>
              <w:bottom w:val="single" w:sz="4" w:space="0" w:color="auto"/>
              <w:right w:val="single" w:sz="4" w:space="0" w:color="auto"/>
            </w:tcBorders>
            <w:shd w:val="clear" w:color="auto" w:fill="auto"/>
            <w:noWrap/>
            <w:vAlign w:val="bottom"/>
            <w:hideMark/>
          </w:tcPr>
          <w:p w14:paraId="5D281DF8"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70%</w:t>
            </w:r>
          </w:p>
        </w:tc>
        <w:tc>
          <w:tcPr>
            <w:tcW w:w="0" w:type="auto"/>
            <w:tcBorders>
              <w:top w:val="nil"/>
              <w:left w:val="nil"/>
              <w:bottom w:val="single" w:sz="4" w:space="0" w:color="auto"/>
              <w:right w:val="single" w:sz="4" w:space="0" w:color="auto"/>
            </w:tcBorders>
            <w:shd w:val="clear" w:color="auto" w:fill="auto"/>
            <w:noWrap/>
            <w:vAlign w:val="bottom"/>
            <w:hideMark/>
          </w:tcPr>
          <w:p w14:paraId="67129B64"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77</w:t>
            </w:r>
          </w:p>
        </w:tc>
        <w:tc>
          <w:tcPr>
            <w:tcW w:w="0" w:type="auto"/>
            <w:tcBorders>
              <w:top w:val="nil"/>
              <w:left w:val="nil"/>
              <w:bottom w:val="single" w:sz="4" w:space="0" w:color="auto"/>
              <w:right w:val="single" w:sz="4" w:space="0" w:color="auto"/>
            </w:tcBorders>
            <w:shd w:val="clear" w:color="auto" w:fill="auto"/>
            <w:noWrap/>
            <w:vAlign w:val="bottom"/>
            <w:hideMark/>
          </w:tcPr>
          <w:p w14:paraId="4FE04589"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(98.7)</w:t>
            </w:r>
          </w:p>
        </w:tc>
        <w:tc>
          <w:tcPr>
            <w:tcW w:w="0" w:type="auto"/>
            <w:tcBorders>
              <w:top w:val="nil"/>
              <w:left w:val="nil"/>
              <w:bottom w:val="single" w:sz="4" w:space="0" w:color="auto"/>
              <w:right w:val="single" w:sz="4" w:space="0" w:color="auto"/>
            </w:tcBorders>
            <w:shd w:val="clear" w:color="auto" w:fill="auto"/>
            <w:noWrap/>
            <w:vAlign w:val="bottom"/>
            <w:hideMark/>
          </w:tcPr>
          <w:p w14:paraId="69D87C6C"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312A2B67"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39CFE509"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77926335"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45F4D965"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5D44DC52"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35C50D75"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63A208E9"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5A3CB074"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654A3BDD"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6BE77270"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68%</w:t>
            </w:r>
          </w:p>
        </w:tc>
      </w:tr>
      <w:tr w:rsidR="0067156B" w:rsidRPr="00BA48F1" w14:paraId="069EBB97" w14:textId="77777777" w:rsidTr="0067156B">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20F9A91"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EVERETT</w:t>
            </w:r>
          </w:p>
        </w:tc>
        <w:tc>
          <w:tcPr>
            <w:tcW w:w="0" w:type="auto"/>
            <w:tcBorders>
              <w:top w:val="nil"/>
              <w:left w:val="nil"/>
              <w:bottom w:val="single" w:sz="4" w:space="0" w:color="auto"/>
              <w:right w:val="single" w:sz="4" w:space="0" w:color="auto"/>
            </w:tcBorders>
            <w:shd w:val="clear" w:color="auto" w:fill="auto"/>
            <w:noWrap/>
            <w:vAlign w:val="bottom"/>
            <w:hideMark/>
          </w:tcPr>
          <w:p w14:paraId="2BA96DB7"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2,228</w:t>
            </w:r>
          </w:p>
        </w:tc>
        <w:tc>
          <w:tcPr>
            <w:tcW w:w="0" w:type="auto"/>
            <w:tcBorders>
              <w:top w:val="nil"/>
              <w:left w:val="nil"/>
              <w:bottom w:val="single" w:sz="4" w:space="0" w:color="auto"/>
              <w:right w:val="single" w:sz="4" w:space="0" w:color="auto"/>
            </w:tcBorders>
            <w:shd w:val="clear" w:color="auto" w:fill="auto"/>
            <w:noWrap/>
            <w:vAlign w:val="bottom"/>
            <w:hideMark/>
          </w:tcPr>
          <w:p w14:paraId="1DE2D270"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1,331</w:t>
            </w:r>
          </w:p>
        </w:tc>
        <w:tc>
          <w:tcPr>
            <w:tcW w:w="0" w:type="auto"/>
            <w:tcBorders>
              <w:top w:val="nil"/>
              <w:left w:val="nil"/>
              <w:bottom w:val="single" w:sz="4" w:space="0" w:color="auto"/>
              <w:right w:val="single" w:sz="4" w:space="0" w:color="auto"/>
            </w:tcBorders>
            <w:shd w:val="clear" w:color="auto" w:fill="auto"/>
            <w:noWrap/>
            <w:vAlign w:val="bottom"/>
            <w:hideMark/>
          </w:tcPr>
          <w:p w14:paraId="21AFCBB6"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60%</w:t>
            </w:r>
          </w:p>
        </w:tc>
        <w:tc>
          <w:tcPr>
            <w:tcW w:w="0" w:type="auto"/>
            <w:tcBorders>
              <w:top w:val="nil"/>
              <w:left w:val="nil"/>
              <w:bottom w:val="single" w:sz="4" w:space="0" w:color="auto"/>
              <w:right w:val="single" w:sz="4" w:space="0" w:color="auto"/>
            </w:tcBorders>
            <w:shd w:val="clear" w:color="auto" w:fill="auto"/>
            <w:noWrap/>
            <w:vAlign w:val="bottom"/>
            <w:hideMark/>
          </w:tcPr>
          <w:p w14:paraId="7026C15B"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1,295</w:t>
            </w:r>
          </w:p>
        </w:tc>
        <w:tc>
          <w:tcPr>
            <w:tcW w:w="0" w:type="auto"/>
            <w:tcBorders>
              <w:top w:val="nil"/>
              <w:left w:val="nil"/>
              <w:bottom w:val="single" w:sz="4" w:space="0" w:color="auto"/>
              <w:right w:val="single" w:sz="4" w:space="0" w:color="auto"/>
            </w:tcBorders>
            <w:shd w:val="clear" w:color="auto" w:fill="auto"/>
            <w:noWrap/>
            <w:vAlign w:val="bottom"/>
            <w:hideMark/>
          </w:tcPr>
          <w:p w14:paraId="19D4C1C3"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(97.3)</w:t>
            </w:r>
          </w:p>
        </w:tc>
        <w:tc>
          <w:tcPr>
            <w:tcW w:w="0" w:type="auto"/>
            <w:tcBorders>
              <w:top w:val="nil"/>
              <w:left w:val="nil"/>
              <w:bottom w:val="single" w:sz="4" w:space="0" w:color="auto"/>
              <w:right w:val="single" w:sz="4" w:space="0" w:color="auto"/>
            </w:tcBorders>
            <w:shd w:val="clear" w:color="auto" w:fill="auto"/>
            <w:noWrap/>
            <w:vAlign w:val="bottom"/>
            <w:hideMark/>
          </w:tcPr>
          <w:p w14:paraId="121A1981"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31</w:t>
            </w:r>
          </w:p>
        </w:tc>
        <w:tc>
          <w:tcPr>
            <w:tcW w:w="0" w:type="auto"/>
            <w:tcBorders>
              <w:top w:val="nil"/>
              <w:left w:val="nil"/>
              <w:bottom w:val="single" w:sz="4" w:space="0" w:color="auto"/>
              <w:right w:val="single" w:sz="4" w:space="0" w:color="auto"/>
            </w:tcBorders>
            <w:shd w:val="clear" w:color="auto" w:fill="auto"/>
            <w:noWrap/>
            <w:vAlign w:val="bottom"/>
            <w:hideMark/>
          </w:tcPr>
          <w:p w14:paraId="0E511E2B"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(2.3)</w:t>
            </w:r>
          </w:p>
        </w:tc>
        <w:tc>
          <w:tcPr>
            <w:tcW w:w="0" w:type="auto"/>
            <w:tcBorders>
              <w:top w:val="nil"/>
              <w:left w:val="nil"/>
              <w:bottom w:val="single" w:sz="4" w:space="0" w:color="auto"/>
              <w:right w:val="single" w:sz="4" w:space="0" w:color="auto"/>
            </w:tcBorders>
            <w:shd w:val="clear" w:color="auto" w:fill="auto"/>
            <w:noWrap/>
            <w:vAlign w:val="bottom"/>
            <w:hideMark/>
          </w:tcPr>
          <w:p w14:paraId="58FF02DB"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3</w:t>
            </w:r>
          </w:p>
        </w:tc>
        <w:tc>
          <w:tcPr>
            <w:tcW w:w="0" w:type="auto"/>
            <w:tcBorders>
              <w:top w:val="nil"/>
              <w:left w:val="nil"/>
              <w:bottom w:val="single" w:sz="4" w:space="0" w:color="auto"/>
              <w:right w:val="single" w:sz="4" w:space="0" w:color="auto"/>
            </w:tcBorders>
            <w:shd w:val="clear" w:color="auto" w:fill="auto"/>
            <w:noWrap/>
            <w:vAlign w:val="bottom"/>
            <w:hideMark/>
          </w:tcPr>
          <w:p w14:paraId="4A1D5DFB"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(0.2)</w:t>
            </w:r>
          </w:p>
        </w:tc>
        <w:tc>
          <w:tcPr>
            <w:tcW w:w="0" w:type="auto"/>
            <w:tcBorders>
              <w:top w:val="nil"/>
              <w:left w:val="nil"/>
              <w:bottom w:val="single" w:sz="4" w:space="0" w:color="auto"/>
              <w:right w:val="single" w:sz="4" w:space="0" w:color="auto"/>
            </w:tcBorders>
            <w:shd w:val="clear" w:color="auto" w:fill="auto"/>
            <w:noWrap/>
            <w:vAlign w:val="bottom"/>
            <w:hideMark/>
          </w:tcPr>
          <w:p w14:paraId="63AB3887"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2</w:t>
            </w:r>
          </w:p>
        </w:tc>
        <w:tc>
          <w:tcPr>
            <w:tcW w:w="0" w:type="auto"/>
            <w:tcBorders>
              <w:top w:val="nil"/>
              <w:left w:val="nil"/>
              <w:bottom w:val="single" w:sz="4" w:space="0" w:color="auto"/>
              <w:right w:val="single" w:sz="4" w:space="0" w:color="auto"/>
            </w:tcBorders>
            <w:shd w:val="clear" w:color="auto" w:fill="auto"/>
            <w:noWrap/>
            <w:vAlign w:val="bottom"/>
            <w:hideMark/>
          </w:tcPr>
          <w:p w14:paraId="3AA484C9"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(0.2)</w:t>
            </w:r>
          </w:p>
        </w:tc>
        <w:tc>
          <w:tcPr>
            <w:tcW w:w="0" w:type="auto"/>
            <w:tcBorders>
              <w:top w:val="nil"/>
              <w:left w:val="nil"/>
              <w:bottom w:val="single" w:sz="4" w:space="0" w:color="auto"/>
              <w:right w:val="single" w:sz="4" w:space="0" w:color="auto"/>
            </w:tcBorders>
            <w:shd w:val="clear" w:color="auto" w:fill="auto"/>
            <w:noWrap/>
            <w:vAlign w:val="bottom"/>
            <w:hideMark/>
          </w:tcPr>
          <w:p w14:paraId="5486E284"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28</w:t>
            </w:r>
          </w:p>
        </w:tc>
        <w:tc>
          <w:tcPr>
            <w:tcW w:w="0" w:type="auto"/>
            <w:tcBorders>
              <w:top w:val="nil"/>
              <w:left w:val="nil"/>
              <w:bottom w:val="single" w:sz="4" w:space="0" w:color="auto"/>
              <w:right w:val="single" w:sz="4" w:space="0" w:color="auto"/>
            </w:tcBorders>
            <w:shd w:val="clear" w:color="auto" w:fill="auto"/>
            <w:noWrap/>
            <w:vAlign w:val="bottom"/>
            <w:hideMark/>
          </w:tcPr>
          <w:p w14:paraId="55ACD771"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(2.1)</w:t>
            </w:r>
          </w:p>
        </w:tc>
        <w:tc>
          <w:tcPr>
            <w:tcW w:w="0" w:type="auto"/>
            <w:tcBorders>
              <w:top w:val="nil"/>
              <w:left w:val="nil"/>
              <w:bottom w:val="single" w:sz="4" w:space="0" w:color="auto"/>
              <w:right w:val="single" w:sz="4" w:space="0" w:color="auto"/>
            </w:tcBorders>
            <w:shd w:val="clear" w:color="auto" w:fill="auto"/>
            <w:noWrap/>
            <w:vAlign w:val="bottom"/>
            <w:hideMark/>
          </w:tcPr>
          <w:p w14:paraId="62D1DCB2"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5</w:t>
            </w:r>
          </w:p>
        </w:tc>
        <w:tc>
          <w:tcPr>
            <w:tcW w:w="0" w:type="auto"/>
            <w:tcBorders>
              <w:top w:val="nil"/>
              <w:left w:val="nil"/>
              <w:bottom w:val="single" w:sz="4" w:space="0" w:color="auto"/>
              <w:right w:val="single" w:sz="4" w:space="0" w:color="auto"/>
            </w:tcBorders>
            <w:shd w:val="clear" w:color="auto" w:fill="auto"/>
            <w:noWrap/>
            <w:vAlign w:val="bottom"/>
            <w:hideMark/>
          </w:tcPr>
          <w:p w14:paraId="280C7FEB"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(0.4)</w:t>
            </w:r>
          </w:p>
        </w:tc>
        <w:tc>
          <w:tcPr>
            <w:tcW w:w="0" w:type="auto"/>
            <w:tcBorders>
              <w:top w:val="nil"/>
              <w:left w:val="nil"/>
              <w:bottom w:val="single" w:sz="4" w:space="0" w:color="auto"/>
              <w:right w:val="single" w:sz="4" w:space="0" w:color="auto"/>
            </w:tcBorders>
            <w:shd w:val="clear" w:color="auto" w:fill="auto"/>
            <w:noWrap/>
            <w:vAlign w:val="bottom"/>
            <w:hideMark/>
          </w:tcPr>
          <w:p w14:paraId="02941964"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86%</w:t>
            </w:r>
          </w:p>
        </w:tc>
      </w:tr>
      <w:tr w:rsidR="0067156B" w:rsidRPr="00BA48F1" w14:paraId="7971DE5B" w14:textId="77777777" w:rsidTr="0067156B">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28F546C"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FAIRHAVEN</w:t>
            </w:r>
          </w:p>
        </w:tc>
        <w:tc>
          <w:tcPr>
            <w:tcW w:w="0" w:type="auto"/>
            <w:tcBorders>
              <w:top w:val="nil"/>
              <w:left w:val="nil"/>
              <w:bottom w:val="single" w:sz="4" w:space="0" w:color="auto"/>
              <w:right w:val="single" w:sz="4" w:space="0" w:color="auto"/>
            </w:tcBorders>
            <w:shd w:val="clear" w:color="auto" w:fill="auto"/>
            <w:noWrap/>
            <w:vAlign w:val="bottom"/>
            <w:hideMark/>
          </w:tcPr>
          <w:p w14:paraId="1FA65F0F"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399</w:t>
            </w:r>
          </w:p>
        </w:tc>
        <w:tc>
          <w:tcPr>
            <w:tcW w:w="0" w:type="auto"/>
            <w:tcBorders>
              <w:top w:val="nil"/>
              <w:left w:val="nil"/>
              <w:bottom w:val="single" w:sz="4" w:space="0" w:color="auto"/>
              <w:right w:val="single" w:sz="4" w:space="0" w:color="auto"/>
            </w:tcBorders>
            <w:shd w:val="clear" w:color="auto" w:fill="auto"/>
            <w:noWrap/>
            <w:vAlign w:val="bottom"/>
            <w:hideMark/>
          </w:tcPr>
          <w:p w14:paraId="4C999701"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305</w:t>
            </w:r>
          </w:p>
        </w:tc>
        <w:tc>
          <w:tcPr>
            <w:tcW w:w="0" w:type="auto"/>
            <w:tcBorders>
              <w:top w:val="nil"/>
              <w:left w:val="nil"/>
              <w:bottom w:val="single" w:sz="4" w:space="0" w:color="auto"/>
              <w:right w:val="single" w:sz="4" w:space="0" w:color="auto"/>
            </w:tcBorders>
            <w:shd w:val="clear" w:color="auto" w:fill="auto"/>
            <w:noWrap/>
            <w:vAlign w:val="bottom"/>
            <w:hideMark/>
          </w:tcPr>
          <w:p w14:paraId="3B42EDAC"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76%</w:t>
            </w:r>
          </w:p>
        </w:tc>
        <w:tc>
          <w:tcPr>
            <w:tcW w:w="0" w:type="auto"/>
            <w:tcBorders>
              <w:top w:val="nil"/>
              <w:left w:val="nil"/>
              <w:bottom w:val="single" w:sz="4" w:space="0" w:color="auto"/>
              <w:right w:val="single" w:sz="4" w:space="0" w:color="auto"/>
            </w:tcBorders>
            <w:shd w:val="clear" w:color="auto" w:fill="auto"/>
            <w:noWrap/>
            <w:vAlign w:val="bottom"/>
            <w:hideMark/>
          </w:tcPr>
          <w:p w14:paraId="11A4BBA6"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294</w:t>
            </w:r>
          </w:p>
        </w:tc>
        <w:tc>
          <w:tcPr>
            <w:tcW w:w="0" w:type="auto"/>
            <w:tcBorders>
              <w:top w:val="nil"/>
              <w:left w:val="nil"/>
              <w:bottom w:val="single" w:sz="4" w:space="0" w:color="auto"/>
              <w:right w:val="single" w:sz="4" w:space="0" w:color="auto"/>
            </w:tcBorders>
            <w:shd w:val="clear" w:color="auto" w:fill="auto"/>
            <w:noWrap/>
            <w:vAlign w:val="bottom"/>
            <w:hideMark/>
          </w:tcPr>
          <w:p w14:paraId="77BF92D0"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(96.4)</w:t>
            </w:r>
          </w:p>
        </w:tc>
        <w:tc>
          <w:tcPr>
            <w:tcW w:w="0" w:type="auto"/>
            <w:tcBorders>
              <w:top w:val="nil"/>
              <w:left w:val="nil"/>
              <w:bottom w:val="single" w:sz="4" w:space="0" w:color="auto"/>
              <w:right w:val="single" w:sz="4" w:space="0" w:color="auto"/>
            </w:tcBorders>
            <w:shd w:val="clear" w:color="auto" w:fill="auto"/>
            <w:noWrap/>
            <w:vAlign w:val="bottom"/>
            <w:hideMark/>
          </w:tcPr>
          <w:p w14:paraId="0B7028A8"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9</w:t>
            </w:r>
          </w:p>
        </w:tc>
        <w:tc>
          <w:tcPr>
            <w:tcW w:w="0" w:type="auto"/>
            <w:tcBorders>
              <w:top w:val="nil"/>
              <w:left w:val="nil"/>
              <w:bottom w:val="single" w:sz="4" w:space="0" w:color="auto"/>
              <w:right w:val="single" w:sz="4" w:space="0" w:color="auto"/>
            </w:tcBorders>
            <w:shd w:val="clear" w:color="auto" w:fill="auto"/>
            <w:noWrap/>
            <w:vAlign w:val="bottom"/>
            <w:hideMark/>
          </w:tcPr>
          <w:p w14:paraId="68D46881"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(3.0)</w:t>
            </w:r>
          </w:p>
        </w:tc>
        <w:tc>
          <w:tcPr>
            <w:tcW w:w="0" w:type="auto"/>
            <w:tcBorders>
              <w:top w:val="nil"/>
              <w:left w:val="nil"/>
              <w:bottom w:val="single" w:sz="4" w:space="0" w:color="auto"/>
              <w:right w:val="single" w:sz="4" w:space="0" w:color="auto"/>
            </w:tcBorders>
            <w:shd w:val="clear" w:color="auto" w:fill="auto"/>
            <w:noWrap/>
            <w:vAlign w:val="bottom"/>
            <w:hideMark/>
          </w:tcPr>
          <w:p w14:paraId="37BA14E6"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78C094F1"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0F1ED624"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2D09EED5"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711C2D5B"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8</w:t>
            </w:r>
          </w:p>
        </w:tc>
        <w:tc>
          <w:tcPr>
            <w:tcW w:w="0" w:type="auto"/>
            <w:tcBorders>
              <w:top w:val="nil"/>
              <w:left w:val="nil"/>
              <w:bottom w:val="single" w:sz="4" w:space="0" w:color="auto"/>
              <w:right w:val="single" w:sz="4" w:space="0" w:color="auto"/>
            </w:tcBorders>
            <w:shd w:val="clear" w:color="auto" w:fill="auto"/>
            <w:noWrap/>
            <w:vAlign w:val="bottom"/>
            <w:hideMark/>
          </w:tcPr>
          <w:p w14:paraId="6104DCF0"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(2.6)</w:t>
            </w:r>
          </w:p>
        </w:tc>
        <w:tc>
          <w:tcPr>
            <w:tcW w:w="0" w:type="auto"/>
            <w:tcBorders>
              <w:top w:val="nil"/>
              <w:left w:val="nil"/>
              <w:bottom w:val="single" w:sz="4" w:space="0" w:color="auto"/>
              <w:right w:val="single" w:sz="4" w:space="0" w:color="auto"/>
            </w:tcBorders>
            <w:shd w:val="clear" w:color="auto" w:fill="auto"/>
            <w:noWrap/>
            <w:vAlign w:val="bottom"/>
            <w:hideMark/>
          </w:tcPr>
          <w:p w14:paraId="129CDE26"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27030E0E"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3B3EF60B"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80%</w:t>
            </w:r>
          </w:p>
        </w:tc>
      </w:tr>
      <w:tr w:rsidR="0067156B" w:rsidRPr="00BA48F1" w14:paraId="59D52B02" w14:textId="77777777" w:rsidTr="0067156B">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06C4B83"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FALL RIVER</w:t>
            </w:r>
          </w:p>
        </w:tc>
        <w:tc>
          <w:tcPr>
            <w:tcW w:w="0" w:type="auto"/>
            <w:tcBorders>
              <w:top w:val="nil"/>
              <w:left w:val="nil"/>
              <w:bottom w:val="single" w:sz="4" w:space="0" w:color="auto"/>
              <w:right w:val="single" w:sz="4" w:space="0" w:color="auto"/>
            </w:tcBorders>
            <w:shd w:val="clear" w:color="auto" w:fill="auto"/>
            <w:noWrap/>
            <w:vAlign w:val="bottom"/>
            <w:hideMark/>
          </w:tcPr>
          <w:p w14:paraId="75999D34"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3,544</w:t>
            </w:r>
          </w:p>
        </w:tc>
        <w:tc>
          <w:tcPr>
            <w:tcW w:w="0" w:type="auto"/>
            <w:tcBorders>
              <w:top w:val="nil"/>
              <w:left w:val="nil"/>
              <w:bottom w:val="single" w:sz="4" w:space="0" w:color="auto"/>
              <w:right w:val="single" w:sz="4" w:space="0" w:color="auto"/>
            </w:tcBorders>
            <w:shd w:val="clear" w:color="auto" w:fill="auto"/>
            <w:noWrap/>
            <w:vAlign w:val="bottom"/>
            <w:hideMark/>
          </w:tcPr>
          <w:p w14:paraId="2130D212"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2,384</w:t>
            </w:r>
          </w:p>
        </w:tc>
        <w:tc>
          <w:tcPr>
            <w:tcW w:w="0" w:type="auto"/>
            <w:tcBorders>
              <w:top w:val="nil"/>
              <w:left w:val="nil"/>
              <w:bottom w:val="single" w:sz="4" w:space="0" w:color="auto"/>
              <w:right w:val="single" w:sz="4" w:space="0" w:color="auto"/>
            </w:tcBorders>
            <w:shd w:val="clear" w:color="auto" w:fill="auto"/>
            <w:noWrap/>
            <w:vAlign w:val="bottom"/>
            <w:hideMark/>
          </w:tcPr>
          <w:p w14:paraId="68F7D1E1"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67%</w:t>
            </w:r>
          </w:p>
        </w:tc>
        <w:tc>
          <w:tcPr>
            <w:tcW w:w="0" w:type="auto"/>
            <w:tcBorders>
              <w:top w:val="nil"/>
              <w:left w:val="nil"/>
              <w:bottom w:val="single" w:sz="4" w:space="0" w:color="auto"/>
              <w:right w:val="single" w:sz="4" w:space="0" w:color="auto"/>
            </w:tcBorders>
            <w:shd w:val="clear" w:color="auto" w:fill="auto"/>
            <w:noWrap/>
            <w:vAlign w:val="bottom"/>
            <w:hideMark/>
          </w:tcPr>
          <w:p w14:paraId="063BA0AC"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2,315</w:t>
            </w:r>
          </w:p>
        </w:tc>
        <w:tc>
          <w:tcPr>
            <w:tcW w:w="0" w:type="auto"/>
            <w:tcBorders>
              <w:top w:val="nil"/>
              <w:left w:val="nil"/>
              <w:bottom w:val="single" w:sz="4" w:space="0" w:color="auto"/>
              <w:right w:val="single" w:sz="4" w:space="0" w:color="auto"/>
            </w:tcBorders>
            <w:shd w:val="clear" w:color="auto" w:fill="auto"/>
            <w:noWrap/>
            <w:vAlign w:val="bottom"/>
            <w:hideMark/>
          </w:tcPr>
          <w:p w14:paraId="388FAA98"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(97.1)</w:t>
            </w:r>
          </w:p>
        </w:tc>
        <w:tc>
          <w:tcPr>
            <w:tcW w:w="0" w:type="auto"/>
            <w:tcBorders>
              <w:top w:val="nil"/>
              <w:left w:val="nil"/>
              <w:bottom w:val="single" w:sz="4" w:space="0" w:color="auto"/>
              <w:right w:val="single" w:sz="4" w:space="0" w:color="auto"/>
            </w:tcBorders>
            <w:shd w:val="clear" w:color="auto" w:fill="auto"/>
            <w:noWrap/>
            <w:vAlign w:val="bottom"/>
            <w:hideMark/>
          </w:tcPr>
          <w:p w14:paraId="7A906753"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51</w:t>
            </w:r>
          </w:p>
        </w:tc>
        <w:tc>
          <w:tcPr>
            <w:tcW w:w="0" w:type="auto"/>
            <w:tcBorders>
              <w:top w:val="nil"/>
              <w:left w:val="nil"/>
              <w:bottom w:val="single" w:sz="4" w:space="0" w:color="auto"/>
              <w:right w:val="single" w:sz="4" w:space="0" w:color="auto"/>
            </w:tcBorders>
            <w:shd w:val="clear" w:color="auto" w:fill="auto"/>
            <w:noWrap/>
            <w:vAlign w:val="bottom"/>
            <w:hideMark/>
          </w:tcPr>
          <w:p w14:paraId="10D8E0C1"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(2.1)</w:t>
            </w:r>
          </w:p>
        </w:tc>
        <w:tc>
          <w:tcPr>
            <w:tcW w:w="0" w:type="auto"/>
            <w:tcBorders>
              <w:top w:val="nil"/>
              <w:left w:val="nil"/>
              <w:bottom w:val="single" w:sz="4" w:space="0" w:color="auto"/>
              <w:right w:val="single" w:sz="4" w:space="0" w:color="auto"/>
            </w:tcBorders>
            <w:shd w:val="clear" w:color="auto" w:fill="auto"/>
            <w:noWrap/>
            <w:vAlign w:val="bottom"/>
            <w:hideMark/>
          </w:tcPr>
          <w:p w14:paraId="6B32FA7E"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16</w:t>
            </w:r>
          </w:p>
        </w:tc>
        <w:tc>
          <w:tcPr>
            <w:tcW w:w="0" w:type="auto"/>
            <w:tcBorders>
              <w:top w:val="nil"/>
              <w:left w:val="nil"/>
              <w:bottom w:val="single" w:sz="4" w:space="0" w:color="auto"/>
              <w:right w:val="single" w:sz="4" w:space="0" w:color="auto"/>
            </w:tcBorders>
            <w:shd w:val="clear" w:color="auto" w:fill="auto"/>
            <w:noWrap/>
            <w:vAlign w:val="bottom"/>
            <w:hideMark/>
          </w:tcPr>
          <w:p w14:paraId="1DC09E53"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(0.7)</w:t>
            </w:r>
          </w:p>
        </w:tc>
        <w:tc>
          <w:tcPr>
            <w:tcW w:w="0" w:type="auto"/>
            <w:tcBorders>
              <w:top w:val="nil"/>
              <w:left w:val="nil"/>
              <w:bottom w:val="single" w:sz="4" w:space="0" w:color="auto"/>
              <w:right w:val="single" w:sz="4" w:space="0" w:color="auto"/>
            </w:tcBorders>
            <w:shd w:val="clear" w:color="auto" w:fill="auto"/>
            <w:noWrap/>
            <w:vAlign w:val="bottom"/>
            <w:hideMark/>
          </w:tcPr>
          <w:p w14:paraId="01869505"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2</w:t>
            </w:r>
          </w:p>
        </w:tc>
        <w:tc>
          <w:tcPr>
            <w:tcW w:w="0" w:type="auto"/>
            <w:tcBorders>
              <w:top w:val="nil"/>
              <w:left w:val="nil"/>
              <w:bottom w:val="single" w:sz="4" w:space="0" w:color="auto"/>
              <w:right w:val="single" w:sz="4" w:space="0" w:color="auto"/>
            </w:tcBorders>
            <w:shd w:val="clear" w:color="auto" w:fill="auto"/>
            <w:noWrap/>
            <w:vAlign w:val="bottom"/>
            <w:hideMark/>
          </w:tcPr>
          <w:p w14:paraId="230FA381"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(0.1)</w:t>
            </w:r>
          </w:p>
        </w:tc>
        <w:tc>
          <w:tcPr>
            <w:tcW w:w="0" w:type="auto"/>
            <w:tcBorders>
              <w:top w:val="nil"/>
              <w:left w:val="nil"/>
              <w:bottom w:val="single" w:sz="4" w:space="0" w:color="auto"/>
              <w:right w:val="single" w:sz="4" w:space="0" w:color="auto"/>
            </w:tcBorders>
            <w:shd w:val="clear" w:color="auto" w:fill="auto"/>
            <w:noWrap/>
            <w:vAlign w:val="bottom"/>
            <w:hideMark/>
          </w:tcPr>
          <w:p w14:paraId="2A0058AB"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53</w:t>
            </w:r>
          </w:p>
        </w:tc>
        <w:tc>
          <w:tcPr>
            <w:tcW w:w="0" w:type="auto"/>
            <w:tcBorders>
              <w:top w:val="nil"/>
              <w:left w:val="nil"/>
              <w:bottom w:val="single" w:sz="4" w:space="0" w:color="auto"/>
              <w:right w:val="single" w:sz="4" w:space="0" w:color="auto"/>
            </w:tcBorders>
            <w:shd w:val="clear" w:color="auto" w:fill="auto"/>
            <w:noWrap/>
            <w:vAlign w:val="bottom"/>
            <w:hideMark/>
          </w:tcPr>
          <w:p w14:paraId="6A565E10"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(2.2)</w:t>
            </w:r>
          </w:p>
        </w:tc>
        <w:tc>
          <w:tcPr>
            <w:tcW w:w="0" w:type="auto"/>
            <w:tcBorders>
              <w:top w:val="nil"/>
              <w:left w:val="nil"/>
              <w:bottom w:val="single" w:sz="4" w:space="0" w:color="auto"/>
              <w:right w:val="single" w:sz="4" w:space="0" w:color="auto"/>
            </w:tcBorders>
            <w:shd w:val="clear" w:color="auto" w:fill="auto"/>
            <w:noWrap/>
            <w:vAlign w:val="bottom"/>
            <w:hideMark/>
          </w:tcPr>
          <w:p w14:paraId="0E638E61"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18</w:t>
            </w:r>
          </w:p>
        </w:tc>
        <w:tc>
          <w:tcPr>
            <w:tcW w:w="0" w:type="auto"/>
            <w:tcBorders>
              <w:top w:val="nil"/>
              <w:left w:val="nil"/>
              <w:bottom w:val="single" w:sz="4" w:space="0" w:color="auto"/>
              <w:right w:val="single" w:sz="4" w:space="0" w:color="auto"/>
            </w:tcBorders>
            <w:shd w:val="clear" w:color="auto" w:fill="auto"/>
            <w:noWrap/>
            <w:vAlign w:val="bottom"/>
            <w:hideMark/>
          </w:tcPr>
          <w:p w14:paraId="1C59D317"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(0.8)</w:t>
            </w:r>
          </w:p>
        </w:tc>
        <w:tc>
          <w:tcPr>
            <w:tcW w:w="0" w:type="auto"/>
            <w:tcBorders>
              <w:top w:val="nil"/>
              <w:left w:val="nil"/>
              <w:bottom w:val="single" w:sz="4" w:space="0" w:color="auto"/>
              <w:right w:val="single" w:sz="4" w:space="0" w:color="auto"/>
            </w:tcBorders>
            <w:shd w:val="clear" w:color="auto" w:fill="auto"/>
            <w:noWrap/>
            <w:vAlign w:val="bottom"/>
            <w:hideMark/>
          </w:tcPr>
          <w:p w14:paraId="3D03E782"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82%</w:t>
            </w:r>
          </w:p>
        </w:tc>
      </w:tr>
      <w:tr w:rsidR="0067156B" w:rsidRPr="00BA48F1" w14:paraId="1EE17352" w14:textId="77777777" w:rsidTr="0067156B">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1DFE230"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FALMOUTH</w:t>
            </w:r>
          </w:p>
        </w:tc>
        <w:tc>
          <w:tcPr>
            <w:tcW w:w="0" w:type="auto"/>
            <w:tcBorders>
              <w:top w:val="nil"/>
              <w:left w:val="nil"/>
              <w:bottom w:val="single" w:sz="4" w:space="0" w:color="auto"/>
              <w:right w:val="single" w:sz="4" w:space="0" w:color="auto"/>
            </w:tcBorders>
            <w:shd w:val="clear" w:color="auto" w:fill="auto"/>
            <w:noWrap/>
            <w:vAlign w:val="bottom"/>
            <w:hideMark/>
          </w:tcPr>
          <w:p w14:paraId="64F52BF1"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771</w:t>
            </w:r>
          </w:p>
        </w:tc>
        <w:tc>
          <w:tcPr>
            <w:tcW w:w="0" w:type="auto"/>
            <w:tcBorders>
              <w:top w:val="nil"/>
              <w:left w:val="nil"/>
              <w:bottom w:val="single" w:sz="4" w:space="0" w:color="auto"/>
              <w:right w:val="single" w:sz="4" w:space="0" w:color="auto"/>
            </w:tcBorders>
            <w:shd w:val="clear" w:color="auto" w:fill="auto"/>
            <w:noWrap/>
            <w:vAlign w:val="bottom"/>
            <w:hideMark/>
          </w:tcPr>
          <w:p w14:paraId="2CA3BAF5"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507</w:t>
            </w:r>
          </w:p>
        </w:tc>
        <w:tc>
          <w:tcPr>
            <w:tcW w:w="0" w:type="auto"/>
            <w:tcBorders>
              <w:top w:val="nil"/>
              <w:left w:val="nil"/>
              <w:bottom w:val="single" w:sz="4" w:space="0" w:color="auto"/>
              <w:right w:val="single" w:sz="4" w:space="0" w:color="auto"/>
            </w:tcBorders>
            <w:shd w:val="clear" w:color="auto" w:fill="auto"/>
            <w:noWrap/>
            <w:vAlign w:val="bottom"/>
            <w:hideMark/>
          </w:tcPr>
          <w:p w14:paraId="20480CE4"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66%</w:t>
            </w:r>
          </w:p>
        </w:tc>
        <w:tc>
          <w:tcPr>
            <w:tcW w:w="0" w:type="auto"/>
            <w:tcBorders>
              <w:top w:val="nil"/>
              <w:left w:val="nil"/>
              <w:bottom w:val="single" w:sz="4" w:space="0" w:color="auto"/>
              <w:right w:val="single" w:sz="4" w:space="0" w:color="auto"/>
            </w:tcBorders>
            <w:shd w:val="clear" w:color="auto" w:fill="auto"/>
            <w:noWrap/>
            <w:vAlign w:val="bottom"/>
            <w:hideMark/>
          </w:tcPr>
          <w:p w14:paraId="07235009"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502</w:t>
            </w:r>
          </w:p>
        </w:tc>
        <w:tc>
          <w:tcPr>
            <w:tcW w:w="0" w:type="auto"/>
            <w:tcBorders>
              <w:top w:val="nil"/>
              <w:left w:val="nil"/>
              <w:bottom w:val="single" w:sz="4" w:space="0" w:color="auto"/>
              <w:right w:val="single" w:sz="4" w:space="0" w:color="auto"/>
            </w:tcBorders>
            <w:shd w:val="clear" w:color="auto" w:fill="auto"/>
            <w:noWrap/>
            <w:vAlign w:val="bottom"/>
            <w:hideMark/>
          </w:tcPr>
          <w:p w14:paraId="70C22E80"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(99.0)</w:t>
            </w:r>
          </w:p>
        </w:tc>
        <w:tc>
          <w:tcPr>
            <w:tcW w:w="0" w:type="auto"/>
            <w:tcBorders>
              <w:top w:val="nil"/>
              <w:left w:val="nil"/>
              <w:bottom w:val="single" w:sz="4" w:space="0" w:color="auto"/>
              <w:right w:val="single" w:sz="4" w:space="0" w:color="auto"/>
            </w:tcBorders>
            <w:shd w:val="clear" w:color="auto" w:fill="auto"/>
            <w:noWrap/>
            <w:vAlign w:val="bottom"/>
            <w:hideMark/>
          </w:tcPr>
          <w:p w14:paraId="647EDE68"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722729FF"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63832341"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38EC6C20"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60FCD699"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5EC196A7"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43BD7429"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561E2D86"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5EC54558"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51022EBD"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5BC7E678"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60%</w:t>
            </w:r>
          </w:p>
        </w:tc>
      </w:tr>
      <w:tr w:rsidR="0067156B" w:rsidRPr="00BA48F1" w14:paraId="14774F6D" w14:textId="77777777" w:rsidTr="0067156B">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A11CF94"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FITCHBURG</w:t>
            </w:r>
          </w:p>
        </w:tc>
        <w:tc>
          <w:tcPr>
            <w:tcW w:w="0" w:type="auto"/>
            <w:tcBorders>
              <w:top w:val="nil"/>
              <w:left w:val="nil"/>
              <w:bottom w:val="single" w:sz="4" w:space="0" w:color="auto"/>
              <w:right w:val="single" w:sz="4" w:space="0" w:color="auto"/>
            </w:tcBorders>
            <w:shd w:val="clear" w:color="auto" w:fill="auto"/>
            <w:noWrap/>
            <w:vAlign w:val="bottom"/>
            <w:hideMark/>
          </w:tcPr>
          <w:p w14:paraId="285542D9"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1,836</w:t>
            </w:r>
          </w:p>
        </w:tc>
        <w:tc>
          <w:tcPr>
            <w:tcW w:w="0" w:type="auto"/>
            <w:tcBorders>
              <w:top w:val="nil"/>
              <w:left w:val="nil"/>
              <w:bottom w:val="single" w:sz="4" w:space="0" w:color="auto"/>
              <w:right w:val="single" w:sz="4" w:space="0" w:color="auto"/>
            </w:tcBorders>
            <w:shd w:val="clear" w:color="auto" w:fill="auto"/>
            <w:noWrap/>
            <w:vAlign w:val="bottom"/>
            <w:hideMark/>
          </w:tcPr>
          <w:p w14:paraId="69F24FC1"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1,029</w:t>
            </w:r>
          </w:p>
        </w:tc>
        <w:tc>
          <w:tcPr>
            <w:tcW w:w="0" w:type="auto"/>
            <w:tcBorders>
              <w:top w:val="nil"/>
              <w:left w:val="nil"/>
              <w:bottom w:val="single" w:sz="4" w:space="0" w:color="auto"/>
              <w:right w:val="single" w:sz="4" w:space="0" w:color="auto"/>
            </w:tcBorders>
            <w:shd w:val="clear" w:color="auto" w:fill="auto"/>
            <w:noWrap/>
            <w:vAlign w:val="bottom"/>
            <w:hideMark/>
          </w:tcPr>
          <w:p w14:paraId="0FEA7F8D"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56%</w:t>
            </w:r>
          </w:p>
        </w:tc>
        <w:tc>
          <w:tcPr>
            <w:tcW w:w="0" w:type="auto"/>
            <w:tcBorders>
              <w:top w:val="nil"/>
              <w:left w:val="nil"/>
              <w:bottom w:val="single" w:sz="4" w:space="0" w:color="auto"/>
              <w:right w:val="single" w:sz="4" w:space="0" w:color="auto"/>
            </w:tcBorders>
            <w:shd w:val="clear" w:color="auto" w:fill="auto"/>
            <w:noWrap/>
            <w:vAlign w:val="bottom"/>
            <w:hideMark/>
          </w:tcPr>
          <w:p w14:paraId="322BEEEF"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999</w:t>
            </w:r>
          </w:p>
        </w:tc>
        <w:tc>
          <w:tcPr>
            <w:tcW w:w="0" w:type="auto"/>
            <w:tcBorders>
              <w:top w:val="nil"/>
              <w:left w:val="nil"/>
              <w:bottom w:val="single" w:sz="4" w:space="0" w:color="auto"/>
              <w:right w:val="single" w:sz="4" w:space="0" w:color="auto"/>
            </w:tcBorders>
            <w:shd w:val="clear" w:color="auto" w:fill="auto"/>
            <w:noWrap/>
            <w:vAlign w:val="bottom"/>
            <w:hideMark/>
          </w:tcPr>
          <w:p w14:paraId="5A7A0ED4"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(97.1)</w:t>
            </w:r>
          </w:p>
        </w:tc>
        <w:tc>
          <w:tcPr>
            <w:tcW w:w="0" w:type="auto"/>
            <w:tcBorders>
              <w:top w:val="nil"/>
              <w:left w:val="nil"/>
              <w:bottom w:val="single" w:sz="4" w:space="0" w:color="auto"/>
              <w:right w:val="single" w:sz="4" w:space="0" w:color="auto"/>
            </w:tcBorders>
            <w:shd w:val="clear" w:color="auto" w:fill="auto"/>
            <w:noWrap/>
            <w:vAlign w:val="bottom"/>
            <w:hideMark/>
          </w:tcPr>
          <w:p w14:paraId="1797CA36"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28</w:t>
            </w:r>
          </w:p>
        </w:tc>
        <w:tc>
          <w:tcPr>
            <w:tcW w:w="0" w:type="auto"/>
            <w:tcBorders>
              <w:top w:val="nil"/>
              <w:left w:val="nil"/>
              <w:bottom w:val="single" w:sz="4" w:space="0" w:color="auto"/>
              <w:right w:val="single" w:sz="4" w:space="0" w:color="auto"/>
            </w:tcBorders>
            <w:shd w:val="clear" w:color="auto" w:fill="auto"/>
            <w:noWrap/>
            <w:vAlign w:val="bottom"/>
            <w:hideMark/>
          </w:tcPr>
          <w:p w14:paraId="35354260"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(2.7)</w:t>
            </w:r>
          </w:p>
        </w:tc>
        <w:tc>
          <w:tcPr>
            <w:tcW w:w="0" w:type="auto"/>
            <w:tcBorders>
              <w:top w:val="nil"/>
              <w:left w:val="nil"/>
              <w:bottom w:val="single" w:sz="4" w:space="0" w:color="auto"/>
              <w:right w:val="single" w:sz="4" w:space="0" w:color="auto"/>
            </w:tcBorders>
            <w:shd w:val="clear" w:color="auto" w:fill="auto"/>
            <w:noWrap/>
            <w:vAlign w:val="bottom"/>
            <w:hideMark/>
          </w:tcPr>
          <w:p w14:paraId="57401EA9"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51E525AA"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5EE2D6A7"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3F51B416"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3C768DA7"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20</w:t>
            </w:r>
          </w:p>
        </w:tc>
        <w:tc>
          <w:tcPr>
            <w:tcW w:w="0" w:type="auto"/>
            <w:tcBorders>
              <w:top w:val="nil"/>
              <w:left w:val="nil"/>
              <w:bottom w:val="single" w:sz="4" w:space="0" w:color="auto"/>
              <w:right w:val="single" w:sz="4" w:space="0" w:color="auto"/>
            </w:tcBorders>
            <w:shd w:val="clear" w:color="auto" w:fill="auto"/>
            <w:noWrap/>
            <w:vAlign w:val="bottom"/>
            <w:hideMark/>
          </w:tcPr>
          <w:p w14:paraId="2B251B75"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(1.9)</w:t>
            </w:r>
          </w:p>
        </w:tc>
        <w:tc>
          <w:tcPr>
            <w:tcW w:w="0" w:type="auto"/>
            <w:tcBorders>
              <w:top w:val="nil"/>
              <w:left w:val="nil"/>
              <w:bottom w:val="single" w:sz="4" w:space="0" w:color="auto"/>
              <w:right w:val="single" w:sz="4" w:space="0" w:color="auto"/>
            </w:tcBorders>
            <w:shd w:val="clear" w:color="auto" w:fill="auto"/>
            <w:noWrap/>
            <w:vAlign w:val="bottom"/>
            <w:hideMark/>
          </w:tcPr>
          <w:p w14:paraId="499B1E89"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5EEF4F1A"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1DBA706A"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77%</w:t>
            </w:r>
          </w:p>
        </w:tc>
      </w:tr>
      <w:tr w:rsidR="0067156B" w:rsidRPr="00BA48F1" w14:paraId="278BDF40" w14:textId="77777777" w:rsidTr="0067156B">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02ED5ED"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FLORIDA</w:t>
            </w:r>
          </w:p>
        </w:tc>
        <w:tc>
          <w:tcPr>
            <w:tcW w:w="0" w:type="auto"/>
            <w:tcBorders>
              <w:top w:val="nil"/>
              <w:left w:val="nil"/>
              <w:bottom w:val="single" w:sz="4" w:space="0" w:color="auto"/>
              <w:right w:val="single" w:sz="4" w:space="0" w:color="auto"/>
            </w:tcBorders>
            <w:shd w:val="clear" w:color="auto" w:fill="auto"/>
            <w:noWrap/>
            <w:vAlign w:val="bottom"/>
            <w:hideMark/>
          </w:tcPr>
          <w:p w14:paraId="5FD1A9F5"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29</w:t>
            </w:r>
          </w:p>
        </w:tc>
        <w:tc>
          <w:tcPr>
            <w:tcW w:w="0" w:type="auto"/>
            <w:tcBorders>
              <w:top w:val="nil"/>
              <w:left w:val="nil"/>
              <w:bottom w:val="single" w:sz="4" w:space="0" w:color="auto"/>
              <w:right w:val="single" w:sz="4" w:space="0" w:color="auto"/>
            </w:tcBorders>
            <w:shd w:val="clear" w:color="auto" w:fill="auto"/>
            <w:noWrap/>
            <w:vAlign w:val="bottom"/>
            <w:hideMark/>
          </w:tcPr>
          <w:p w14:paraId="0971F313"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10</w:t>
            </w:r>
          </w:p>
        </w:tc>
        <w:tc>
          <w:tcPr>
            <w:tcW w:w="0" w:type="auto"/>
            <w:tcBorders>
              <w:top w:val="nil"/>
              <w:left w:val="nil"/>
              <w:bottom w:val="single" w:sz="4" w:space="0" w:color="auto"/>
              <w:right w:val="single" w:sz="4" w:space="0" w:color="auto"/>
            </w:tcBorders>
            <w:shd w:val="clear" w:color="auto" w:fill="auto"/>
            <w:noWrap/>
            <w:vAlign w:val="bottom"/>
            <w:hideMark/>
          </w:tcPr>
          <w:p w14:paraId="7386D5EC"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34%</w:t>
            </w:r>
          </w:p>
        </w:tc>
        <w:tc>
          <w:tcPr>
            <w:tcW w:w="0" w:type="auto"/>
            <w:tcBorders>
              <w:top w:val="nil"/>
              <w:left w:val="nil"/>
              <w:bottom w:val="single" w:sz="4" w:space="0" w:color="auto"/>
              <w:right w:val="single" w:sz="4" w:space="0" w:color="auto"/>
            </w:tcBorders>
            <w:shd w:val="clear" w:color="auto" w:fill="auto"/>
            <w:noWrap/>
            <w:vAlign w:val="bottom"/>
            <w:hideMark/>
          </w:tcPr>
          <w:p w14:paraId="16C9BD84"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9</w:t>
            </w:r>
          </w:p>
        </w:tc>
        <w:tc>
          <w:tcPr>
            <w:tcW w:w="0" w:type="auto"/>
            <w:tcBorders>
              <w:top w:val="nil"/>
              <w:left w:val="nil"/>
              <w:bottom w:val="single" w:sz="4" w:space="0" w:color="auto"/>
              <w:right w:val="single" w:sz="4" w:space="0" w:color="auto"/>
            </w:tcBorders>
            <w:shd w:val="clear" w:color="auto" w:fill="auto"/>
            <w:noWrap/>
            <w:vAlign w:val="bottom"/>
            <w:hideMark/>
          </w:tcPr>
          <w:p w14:paraId="54783151"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(90.0)</w:t>
            </w:r>
          </w:p>
        </w:tc>
        <w:tc>
          <w:tcPr>
            <w:tcW w:w="0" w:type="auto"/>
            <w:tcBorders>
              <w:top w:val="nil"/>
              <w:left w:val="nil"/>
              <w:bottom w:val="single" w:sz="4" w:space="0" w:color="auto"/>
              <w:right w:val="single" w:sz="4" w:space="0" w:color="auto"/>
            </w:tcBorders>
            <w:shd w:val="clear" w:color="auto" w:fill="auto"/>
            <w:noWrap/>
            <w:vAlign w:val="bottom"/>
            <w:hideMark/>
          </w:tcPr>
          <w:p w14:paraId="2208CB64"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466F826F"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3EEBC4A0"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75E301F7"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20CF6AC0"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503F11B4"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1E970AF2"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238BB69D"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41E97090"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339021C0"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3B6B89A2"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61%</w:t>
            </w:r>
          </w:p>
        </w:tc>
      </w:tr>
      <w:tr w:rsidR="0067156B" w:rsidRPr="00BA48F1" w14:paraId="21E9FAF7" w14:textId="77777777" w:rsidTr="0067156B">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C005418"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FOXBOROUGH</w:t>
            </w:r>
          </w:p>
        </w:tc>
        <w:tc>
          <w:tcPr>
            <w:tcW w:w="0" w:type="auto"/>
            <w:tcBorders>
              <w:top w:val="nil"/>
              <w:left w:val="nil"/>
              <w:bottom w:val="single" w:sz="4" w:space="0" w:color="auto"/>
              <w:right w:val="single" w:sz="4" w:space="0" w:color="auto"/>
            </w:tcBorders>
            <w:shd w:val="clear" w:color="auto" w:fill="auto"/>
            <w:noWrap/>
            <w:vAlign w:val="bottom"/>
            <w:hideMark/>
          </w:tcPr>
          <w:p w14:paraId="73A6FF3F"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665</w:t>
            </w:r>
          </w:p>
        </w:tc>
        <w:tc>
          <w:tcPr>
            <w:tcW w:w="0" w:type="auto"/>
            <w:tcBorders>
              <w:top w:val="nil"/>
              <w:left w:val="nil"/>
              <w:bottom w:val="single" w:sz="4" w:space="0" w:color="auto"/>
              <w:right w:val="single" w:sz="4" w:space="0" w:color="auto"/>
            </w:tcBorders>
            <w:shd w:val="clear" w:color="auto" w:fill="auto"/>
            <w:noWrap/>
            <w:vAlign w:val="bottom"/>
            <w:hideMark/>
          </w:tcPr>
          <w:p w14:paraId="689B0E9E"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468</w:t>
            </w:r>
          </w:p>
        </w:tc>
        <w:tc>
          <w:tcPr>
            <w:tcW w:w="0" w:type="auto"/>
            <w:tcBorders>
              <w:top w:val="nil"/>
              <w:left w:val="nil"/>
              <w:bottom w:val="single" w:sz="4" w:space="0" w:color="auto"/>
              <w:right w:val="single" w:sz="4" w:space="0" w:color="auto"/>
            </w:tcBorders>
            <w:shd w:val="clear" w:color="auto" w:fill="auto"/>
            <w:noWrap/>
            <w:vAlign w:val="bottom"/>
            <w:hideMark/>
          </w:tcPr>
          <w:p w14:paraId="1F8CB19F"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70%</w:t>
            </w:r>
          </w:p>
        </w:tc>
        <w:tc>
          <w:tcPr>
            <w:tcW w:w="0" w:type="auto"/>
            <w:tcBorders>
              <w:top w:val="nil"/>
              <w:left w:val="nil"/>
              <w:bottom w:val="single" w:sz="4" w:space="0" w:color="auto"/>
              <w:right w:val="single" w:sz="4" w:space="0" w:color="auto"/>
            </w:tcBorders>
            <w:shd w:val="clear" w:color="auto" w:fill="auto"/>
            <w:noWrap/>
            <w:vAlign w:val="bottom"/>
            <w:hideMark/>
          </w:tcPr>
          <w:p w14:paraId="7386DBA7"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465</w:t>
            </w:r>
          </w:p>
        </w:tc>
        <w:tc>
          <w:tcPr>
            <w:tcW w:w="0" w:type="auto"/>
            <w:tcBorders>
              <w:top w:val="nil"/>
              <w:left w:val="nil"/>
              <w:bottom w:val="single" w:sz="4" w:space="0" w:color="auto"/>
              <w:right w:val="single" w:sz="4" w:space="0" w:color="auto"/>
            </w:tcBorders>
            <w:shd w:val="clear" w:color="auto" w:fill="auto"/>
            <w:noWrap/>
            <w:vAlign w:val="bottom"/>
            <w:hideMark/>
          </w:tcPr>
          <w:p w14:paraId="17A58D08"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(99.4)</w:t>
            </w:r>
          </w:p>
        </w:tc>
        <w:tc>
          <w:tcPr>
            <w:tcW w:w="0" w:type="auto"/>
            <w:tcBorders>
              <w:top w:val="nil"/>
              <w:left w:val="nil"/>
              <w:bottom w:val="single" w:sz="4" w:space="0" w:color="auto"/>
              <w:right w:val="single" w:sz="4" w:space="0" w:color="auto"/>
            </w:tcBorders>
            <w:shd w:val="clear" w:color="auto" w:fill="auto"/>
            <w:noWrap/>
            <w:vAlign w:val="bottom"/>
            <w:hideMark/>
          </w:tcPr>
          <w:p w14:paraId="45202D05"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7E6BECBC"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0D65D2EC"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16596D7F"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7FCA58BB"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10BAF599"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6F6CA534"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360AA5B1"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51833D0F"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32CA4669"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14FBFB72"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57%</w:t>
            </w:r>
          </w:p>
        </w:tc>
      </w:tr>
      <w:tr w:rsidR="0067156B" w:rsidRPr="00BA48F1" w14:paraId="44E353E5" w14:textId="77777777" w:rsidTr="0067156B">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84D9233"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FRAMINGHAM</w:t>
            </w:r>
          </w:p>
        </w:tc>
        <w:tc>
          <w:tcPr>
            <w:tcW w:w="0" w:type="auto"/>
            <w:tcBorders>
              <w:top w:val="nil"/>
              <w:left w:val="nil"/>
              <w:bottom w:val="single" w:sz="4" w:space="0" w:color="auto"/>
              <w:right w:val="single" w:sz="4" w:space="0" w:color="auto"/>
            </w:tcBorders>
            <w:shd w:val="clear" w:color="auto" w:fill="auto"/>
            <w:noWrap/>
            <w:vAlign w:val="bottom"/>
            <w:hideMark/>
          </w:tcPr>
          <w:p w14:paraId="42EE7868"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3,192</w:t>
            </w:r>
          </w:p>
        </w:tc>
        <w:tc>
          <w:tcPr>
            <w:tcW w:w="0" w:type="auto"/>
            <w:tcBorders>
              <w:top w:val="nil"/>
              <w:left w:val="nil"/>
              <w:bottom w:val="single" w:sz="4" w:space="0" w:color="auto"/>
              <w:right w:val="single" w:sz="4" w:space="0" w:color="auto"/>
            </w:tcBorders>
            <w:shd w:val="clear" w:color="auto" w:fill="auto"/>
            <w:noWrap/>
            <w:vAlign w:val="bottom"/>
            <w:hideMark/>
          </w:tcPr>
          <w:p w14:paraId="518E0B5E"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1,874</w:t>
            </w:r>
          </w:p>
        </w:tc>
        <w:tc>
          <w:tcPr>
            <w:tcW w:w="0" w:type="auto"/>
            <w:tcBorders>
              <w:top w:val="nil"/>
              <w:left w:val="nil"/>
              <w:bottom w:val="single" w:sz="4" w:space="0" w:color="auto"/>
              <w:right w:val="single" w:sz="4" w:space="0" w:color="auto"/>
            </w:tcBorders>
            <w:shd w:val="clear" w:color="auto" w:fill="auto"/>
            <w:noWrap/>
            <w:vAlign w:val="bottom"/>
            <w:hideMark/>
          </w:tcPr>
          <w:p w14:paraId="5156E9F7"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59%</w:t>
            </w:r>
          </w:p>
        </w:tc>
        <w:tc>
          <w:tcPr>
            <w:tcW w:w="0" w:type="auto"/>
            <w:tcBorders>
              <w:top w:val="nil"/>
              <w:left w:val="nil"/>
              <w:bottom w:val="single" w:sz="4" w:space="0" w:color="auto"/>
              <w:right w:val="single" w:sz="4" w:space="0" w:color="auto"/>
            </w:tcBorders>
            <w:shd w:val="clear" w:color="auto" w:fill="auto"/>
            <w:noWrap/>
            <w:vAlign w:val="bottom"/>
            <w:hideMark/>
          </w:tcPr>
          <w:p w14:paraId="0E5A9A40"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1,853</w:t>
            </w:r>
          </w:p>
        </w:tc>
        <w:tc>
          <w:tcPr>
            <w:tcW w:w="0" w:type="auto"/>
            <w:tcBorders>
              <w:top w:val="nil"/>
              <w:left w:val="nil"/>
              <w:bottom w:val="single" w:sz="4" w:space="0" w:color="auto"/>
              <w:right w:val="single" w:sz="4" w:space="0" w:color="auto"/>
            </w:tcBorders>
            <w:shd w:val="clear" w:color="auto" w:fill="auto"/>
            <w:noWrap/>
            <w:vAlign w:val="bottom"/>
            <w:hideMark/>
          </w:tcPr>
          <w:p w14:paraId="44DC43D8"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(98.9)</w:t>
            </w:r>
          </w:p>
        </w:tc>
        <w:tc>
          <w:tcPr>
            <w:tcW w:w="0" w:type="auto"/>
            <w:tcBorders>
              <w:top w:val="nil"/>
              <w:left w:val="nil"/>
              <w:bottom w:val="single" w:sz="4" w:space="0" w:color="auto"/>
              <w:right w:val="single" w:sz="4" w:space="0" w:color="auto"/>
            </w:tcBorders>
            <w:shd w:val="clear" w:color="auto" w:fill="auto"/>
            <w:noWrap/>
            <w:vAlign w:val="bottom"/>
            <w:hideMark/>
          </w:tcPr>
          <w:p w14:paraId="512390F5"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14</w:t>
            </w:r>
          </w:p>
        </w:tc>
        <w:tc>
          <w:tcPr>
            <w:tcW w:w="0" w:type="auto"/>
            <w:tcBorders>
              <w:top w:val="nil"/>
              <w:left w:val="nil"/>
              <w:bottom w:val="single" w:sz="4" w:space="0" w:color="auto"/>
              <w:right w:val="single" w:sz="4" w:space="0" w:color="auto"/>
            </w:tcBorders>
            <w:shd w:val="clear" w:color="auto" w:fill="auto"/>
            <w:noWrap/>
            <w:vAlign w:val="bottom"/>
            <w:hideMark/>
          </w:tcPr>
          <w:p w14:paraId="5C7CD886"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(0.7)</w:t>
            </w:r>
          </w:p>
        </w:tc>
        <w:tc>
          <w:tcPr>
            <w:tcW w:w="0" w:type="auto"/>
            <w:tcBorders>
              <w:top w:val="nil"/>
              <w:left w:val="nil"/>
              <w:bottom w:val="single" w:sz="4" w:space="0" w:color="auto"/>
              <w:right w:val="single" w:sz="4" w:space="0" w:color="auto"/>
            </w:tcBorders>
            <w:shd w:val="clear" w:color="auto" w:fill="auto"/>
            <w:noWrap/>
            <w:vAlign w:val="bottom"/>
            <w:hideMark/>
          </w:tcPr>
          <w:p w14:paraId="3C8B7E7F"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6</w:t>
            </w:r>
          </w:p>
        </w:tc>
        <w:tc>
          <w:tcPr>
            <w:tcW w:w="0" w:type="auto"/>
            <w:tcBorders>
              <w:top w:val="nil"/>
              <w:left w:val="nil"/>
              <w:bottom w:val="single" w:sz="4" w:space="0" w:color="auto"/>
              <w:right w:val="single" w:sz="4" w:space="0" w:color="auto"/>
            </w:tcBorders>
            <w:shd w:val="clear" w:color="auto" w:fill="auto"/>
            <w:noWrap/>
            <w:vAlign w:val="bottom"/>
            <w:hideMark/>
          </w:tcPr>
          <w:p w14:paraId="4E80A49A"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(0.3)</w:t>
            </w:r>
          </w:p>
        </w:tc>
        <w:tc>
          <w:tcPr>
            <w:tcW w:w="0" w:type="auto"/>
            <w:tcBorders>
              <w:top w:val="nil"/>
              <w:left w:val="nil"/>
              <w:bottom w:val="single" w:sz="4" w:space="0" w:color="auto"/>
              <w:right w:val="single" w:sz="4" w:space="0" w:color="auto"/>
            </w:tcBorders>
            <w:shd w:val="clear" w:color="auto" w:fill="auto"/>
            <w:noWrap/>
            <w:vAlign w:val="bottom"/>
            <w:hideMark/>
          </w:tcPr>
          <w:p w14:paraId="38379950"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1</w:t>
            </w:r>
          </w:p>
        </w:tc>
        <w:tc>
          <w:tcPr>
            <w:tcW w:w="0" w:type="auto"/>
            <w:tcBorders>
              <w:top w:val="nil"/>
              <w:left w:val="nil"/>
              <w:bottom w:val="single" w:sz="4" w:space="0" w:color="auto"/>
              <w:right w:val="single" w:sz="4" w:space="0" w:color="auto"/>
            </w:tcBorders>
            <w:shd w:val="clear" w:color="auto" w:fill="auto"/>
            <w:noWrap/>
            <w:vAlign w:val="bottom"/>
            <w:hideMark/>
          </w:tcPr>
          <w:p w14:paraId="48016515"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(0.1)</w:t>
            </w:r>
          </w:p>
        </w:tc>
        <w:tc>
          <w:tcPr>
            <w:tcW w:w="0" w:type="auto"/>
            <w:tcBorders>
              <w:top w:val="nil"/>
              <w:left w:val="nil"/>
              <w:bottom w:val="single" w:sz="4" w:space="0" w:color="auto"/>
              <w:right w:val="single" w:sz="4" w:space="0" w:color="auto"/>
            </w:tcBorders>
            <w:shd w:val="clear" w:color="auto" w:fill="auto"/>
            <w:noWrap/>
            <w:vAlign w:val="bottom"/>
            <w:hideMark/>
          </w:tcPr>
          <w:p w14:paraId="788FBA5B"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18</w:t>
            </w:r>
          </w:p>
        </w:tc>
        <w:tc>
          <w:tcPr>
            <w:tcW w:w="0" w:type="auto"/>
            <w:tcBorders>
              <w:top w:val="nil"/>
              <w:left w:val="nil"/>
              <w:bottom w:val="single" w:sz="4" w:space="0" w:color="auto"/>
              <w:right w:val="single" w:sz="4" w:space="0" w:color="auto"/>
            </w:tcBorders>
            <w:shd w:val="clear" w:color="auto" w:fill="auto"/>
            <w:noWrap/>
            <w:vAlign w:val="bottom"/>
            <w:hideMark/>
          </w:tcPr>
          <w:p w14:paraId="3CED2C32"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(1.0)</w:t>
            </w:r>
          </w:p>
        </w:tc>
        <w:tc>
          <w:tcPr>
            <w:tcW w:w="0" w:type="auto"/>
            <w:tcBorders>
              <w:top w:val="nil"/>
              <w:left w:val="nil"/>
              <w:bottom w:val="single" w:sz="4" w:space="0" w:color="auto"/>
              <w:right w:val="single" w:sz="4" w:space="0" w:color="auto"/>
            </w:tcBorders>
            <w:shd w:val="clear" w:color="auto" w:fill="auto"/>
            <w:noWrap/>
            <w:vAlign w:val="bottom"/>
            <w:hideMark/>
          </w:tcPr>
          <w:p w14:paraId="71C54CCF"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7</w:t>
            </w:r>
          </w:p>
        </w:tc>
        <w:tc>
          <w:tcPr>
            <w:tcW w:w="0" w:type="auto"/>
            <w:tcBorders>
              <w:top w:val="nil"/>
              <w:left w:val="nil"/>
              <w:bottom w:val="single" w:sz="4" w:space="0" w:color="auto"/>
              <w:right w:val="single" w:sz="4" w:space="0" w:color="auto"/>
            </w:tcBorders>
            <w:shd w:val="clear" w:color="auto" w:fill="auto"/>
            <w:noWrap/>
            <w:vAlign w:val="bottom"/>
            <w:hideMark/>
          </w:tcPr>
          <w:p w14:paraId="39208873"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(0.4)</w:t>
            </w:r>
          </w:p>
        </w:tc>
        <w:tc>
          <w:tcPr>
            <w:tcW w:w="0" w:type="auto"/>
            <w:tcBorders>
              <w:top w:val="nil"/>
              <w:left w:val="nil"/>
              <w:bottom w:val="single" w:sz="4" w:space="0" w:color="auto"/>
              <w:right w:val="single" w:sz="4" w:space="0" w:color="auto"/>
            </w:tcBorders>
            <w:shd w:val="clear" w:color="auto" w:fill="auto"/>
            <w:noWrap/>
            <w:vAlign w:val="bottom"/>
            <w:hideMark/>
          </w:tcPr>
          <w:p w14:paraId="301F894E"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76%</w:t>
            </w:r>
          </w:p>
        </w:tc>
      </w:tr>
      <w:tr w:rsidR="0067156B" w:rsidRPr="00BA48F1" w14:paraId="04659621" w14:textId="77777777" w:rsidTr="0067156B">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0165ADF"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FRANKLIN</w:t>
            </w:r>
          </w:p>
        </w:tc>
        <w:tc>
          <w:tcPr>
            <w:tcW w:w="0" w:type="auto"/>
            <w:tcBorders>
              <w:top w:val="nil"/>
              <w:left w:val="nil"/>
              <w:bottom w:val="single" w:sz="4" w:space="0" w:color="auto"/>
              <w:right w:val="single" w:sz="4" w:space="0" w:color="auto"/>
            </w:tcBorders>
            <w:shd w:val="clear" w:color="auto" w:fill="auto"/>
            <w:noWrap/>
            <w:vAlign w:val="bottom"/>
            <w:hideMark/>
          </w:tcPr>
          <w:p w14:paraId="54A8FF51"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1,308</w:t>
            </w:r>
          </w:p>
        </w:tc>
        <w:tc>
          <w:tcPr>
            <w:tcW w:w="0" w:type="auto"/>
            <w:tcBorders>
              <w:top w:val="nil"/>
              <w:left w:val="nil"/>
              <w:bottom w:val="single" w:sz="4" w:space="0" w:color="auto"/>
              <w:right w:val="single" w:sz="4" w:space="0" w:color="auto"/>
            </w:tcBorders>
            <w:shd w:val="clear" w:color="auto" w:fill="auto"/>
            <w:noWrap/>
            <w:vAlign w:val="bottom"/>
            <w:hideMark/>
          </w:tcPr>
          <w:p w14:paraId="7257AC40"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625</w:t>
            </w:r>
          </w:p>
        </w:tc>
        <w:tc>
          <w:tcPr>
            <w:tcW w:w="0" w:type="auto"/>
            <w:tcBorders>
              <w:top w:val="nil"/>
              <w:left w:val="nil"/>
              <w:bottom w:val="single" w:sz="4" w:space="0" w:color="auto"/>
              <w:right w:val="single" w:sz="4" w:space="0" w:color="auto"/>
            </w:tcBorders>
            <w:shd w:val="clear" w:color="auto" w:fill="auto"/>
            <w:noWrap/>
            <w:vAlign w:val="bottom"/>
            <w:hideMark/>
          </w:tcPr>
          <w:p w14:paraId="28780DAF"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48%</w:t>
            </w:r>
          </w:p>
        </w:tc>
        <w:tc>
          <w:tcPr>
            <w:tcW w:w="0" w:type="auto"/>
            <w:tcBorders>
              <w:top w:val="nil"/>
              <w:left w:val="nil"/>
              <w:bottom w:val="single" w:sz="4" w:space="0" w:color="auto"/>
              <w:right w:val="single" w:sz="4" w:space="0" w:color="auto"/>
            </w:tcBorders>
            <w:shd w:val="clear" w:color="auto" w:fill="auto"/>
            <w:noWrap/>
            <w:vAlign w:val="bottom"/>
            <w:hideMark/>
          </w:tcPr>
          <w:p w14:paraId="20B1C4EC"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620</w:t>
            </w:r>
          </w:p>
        </w:tc>
        <w:tc>
          <w:tcPr>
            <w:tcW w:w="0" w:type="auto"/>
            <w:tcBorders>
              <w:top w:val="nil"/>
              <w:left w:val="nil"/>
              <w:bottom w:val="single" w:sz="4" w:space="0" w:color="auto"/>
              <w:right w:val="single" w:sz="4" w:space="0" w:color="auto"/>
            </w:tcBorders>
            <w:shd w:val="clear" w:color="auto" w:fill="auto"/>
            <w:noWrap/>
            <w:vAlign w:val="bottom"/>
            <w:hideMark/>
          </w:tcPr>
          <w:p w14:paraId="5EDC5D1C"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(99.2)</w:t>
            </w:r>
          </w:p>
        </w:tc>
        <w:tc>
          <w:tcPr>
            <w:tcW w:w="0" w:type="auto"/>
            <w:tcBorders>
              <w:top w:val="nil"/>
              <w:left w:val="nil"/>
              <w:bottom w:val="single" w:sz="4" w:space="0" w:color="auto"/>
              <w:right w:val="single" w:sz="4" w:space="0" w:color="auto"/>
            </w:tcBorders>
            <w:shd w:val="clear" w:color="auto" w:fill="auto"/>
            <w:noWrap/>
            <w:vAlign w:val="bottom"/>
            <w:hideMark/>
          </w:tcPr>
          <w:p w14:paraId="46ECF109"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0AE7B566"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7626B656"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462DE87E"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6A3D0F4D"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4380DB88"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4172D316"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6D18D54C"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6CBBAA6F"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76865ED4"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1BF0EA9F"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39%</w:t>
            </w:r>
          </w:p>
        </w:tc>
      </w:tr>
      <w:tr w:rsidR="0067156B" w:rsidRPr="00BA48F1" w14:paraId="49940418" w14:textId="77777777" w:rsidTr="0067156B">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83D2496"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FREETOWN</w:t>
            </w:r>
          </w:p>
        </w:tc>
        <w:tc>
          <w:tcPr>
            <w:tcW w:w="0" w:type="auto"/>
            <w:tcBorders>
              <w:top w:val="nil"/>
              <w:left w:val="nil"/>
              <w:bottom w:val="single" w:sz="4" w:space="0" w:color="auto"/>
              <w:right w:val="single" w:sz="4" w:space="0" w:color="auto"/>
            </w:tcBorders>
            <w:shd w:val="clear" w:color="auto" w:fill="auto"/>
            <w:noWrap/>
            <w:vAlign w:val="bottom"/>
            <w:hideMark/>
          </w:tcPr>
          <w:p w14:paraId="6CB17BF6"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212</w:t>
            </w:r>
          </w:p>
        </w:tc>
        <w:tc>
          <w:tcPr>
            <w:tcW w:w="0" w:type="auto"/>
            <w:tcBorders>
              <w:top w:val="nil"/>
              <w:left w:val="nil"/>
              <w:bottom w:val="single" w:sz="4" w:space="0" w:color="auto"/>
              <w:right w:val="single" w:sz="4" w:space="0" w:color="auto"/>
            </w:tcBorders>
            <w:shd w:val="clear" w:color="auto" w:fill="auto"/>
            <w:noWrap/>
            <w:vAlign w:val="bottom"/>
            <w:hideMark/>
          </w:tcPr>
          <w:p w14:paraId="6FED74AA"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186</w:t>
            </w:r>
          </w:p>
        </w:tc>
        <w:tc>
          <w:tcPr>
            <w:tcW w:w="0" w:type="auto"/>
            <w:tcBorders>
              <w:top w:val="nil"/>
              <w:left w:val="nil"/>
              <w:bottom w:val="single" w:sz="4" w:space="0" w:color="auto"/>
              <w:right w:val="single" w:sz="4" w:space="0" w:color="auto"/>
            </w:tcBorders>
            <w:shd w:val="clear" w:color="auto" w:fill="auto"/>
            <w:noWrap/>
            <w:vAlign w:val="bottom"/>
            <w:hideMark/>
          </w:tcPr>
          <w:p w14:paraId="03A197F8"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88%</w:t>
            </w:r>
          </w:p>
        </w:tc>
        <w:tc>
          <w:tcPr>
            <w:tcW w:w="0" w:type="auto"/>
            <w:tcBorders>
              <w:top w:val="nil"/>
              <w:left w:val="nil"/>
              <w:bottom w:val="single" w:sz="4" w:space="0" w:color="auto"/>
              <w:right w:val="single" w:sz="4" w:space="0" w:color="auto"/>
            </w:tcBorders>
            <w:shd w:val="clear" w:color="auto" w:fill="auto"/>
            <w:noWrap/>
            <w:vAlign w:val="bottom"/>
            <w:hideMark/>
          </w:tcPr>
          <w:p w14:paraId="694FC275"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184</w:t>
            </w:r>
          </w:p>
        </w:tc>
        <w:tc>
          <w:tcPr>
            <w:tcW w:w="0" w:type="auto"/>
            <w:tcBorders>
              <w:top w:val="nil"/>
              <w:left w:val="nil"/>
              <w:bottom w:val="single" w:sz="4" w:space="0" w:color="auto"/>
              <w:right w:val="single" w:sz="4" w:space="0" w:color="auto"/>
            </w:tcBorders>
            <w:shd w:val="clear" w:color="auto" w:fill="auto"/>
            <w:noWrap/>
            <w:vAlign w:val="bottom"/>
            <w:hideMark/>
          </w:tcPr>
          <w:p w14:paraId="33E3F9A4"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(98.9)</w:t>
            </w:r>
          </w:p>
        </w:tc>
        <w:tc>
          <w:tcPr>
            <w:tcW w:w="0" w:type="auto"/>
            <w:tcBorders>
              <w:top w:val="nil"/>
              <w:left w:val="nil"/>
              <w:bottom w:val="single" w:sz="4" w:space="0" w:color="auto"/>
              <w:right w:val="single" w:sz="4" w:space="0" w:color="auto"/>
            </w:tcBorders>
            <w:shd w:val="clear" w:color="auto" w:fill="auto"/>
            <w:noWrap/>
            <w:vAlign w:val="bottom"/>
            <w:hideMark/>
          </w:tcPr>
          <w:p w14:paraId="4BECDB13"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589D4137"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23DBC89A"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41AB8BD2"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6D1FC2E4"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7684893B"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5591858F"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4ABD92CB"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65B55966"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79338E38"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49E3F753"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54%</w:t>
            </w:r>
          </w:p>
        </w:tc>
      </w:tr>
      <w:tr w:rsidR="0067156B" w:rsidRPr="00BA48F1" w14:paraId="75AFD60D" w14:textId="77777777" w:rsidTr="0067156B">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E6DD77F"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GARDNER</w:t>
            </w:r>
          </w:p>
        </w:tc>
        <w:tc>
          <w:tcPr>
            <w:tcW w:w="0" w:type="auto"/>
            <w:tcBorders>
              <w:top w:val="nil"/>
              <w:left w:val="nil"/>
              <w:bottom w:val="single" w:sz="4" w:space="0" w:color="auto"/>
              <w:right w:val="single" w:sz="4" w:space="0" w:color="auto"/>
            </w:tcBorders>
            <w:shd w:val="clear" w:color="auto" w:fill="auto"/>
            <w:noWrap/>
            <w:vAlign w:val="bottom"/>
            <w:hideMark/>
          </w:tcPr>
          <w:p w14:paraId="66F1079D"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772</w:t>
            </w:r>
          </w:p>
        </w:tc>
        <w:tc>
          <w:tcPr>
            <w:tcW w:w="0" w:type="auto"/>
            <w:tcBorders>
              <w:top w:val="nil"/>
              <w:left w:val="nil"/>
              <w:bottom w:val="single" w:sz="4" w:space="0" w:color="auto"/>
              <w:right w:val="single" w:sz="4" w:space="0" w:color="auto"/>
            </w:tcBorders>
            <w:shd w:val="clear" w:color="auto" w:fill="auto"/>
            <w:noWrap/>
            <w:vAlign w:val="bottom"/>
            <w:hideMark/>
          </w:tcPr>
          <w:p w14:paraId="47BE0221"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380</w:t>
            </w:r>
          </w:p>
        </w:tc>
        <w:tc>
          <w:tcPr>
            <w:tcW w:w="0" w:type="auto"/>
            <w:tcBorders>
              <w:top w:val="nil"/>
              <w:left w:val="nil"/>
              <w:bottom w:val="single" w:sz="4" w:space="0" w:color="auto"/>
              <w:right w:val="single" w:sz="4" w:space="0" w:color="auto"/>
            </w:tcBorders>
            <w:shd w:val="clear" w:color="auto" w:fill="auto"/>
            <w:noWrap/>
            <w:vAlign w:val="bottom"/>
            <w:hideMark/>
          </w:tcPr>
          <w:p w14:paraId="5F647BA3"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49%</w:t>
            </w:r>
          </w:p>
        </w:tc>
        <w:tc>
          <w:tcPr>
            <w:tcW w:w="0" w:type="auto"/>
            <w:tcBorders>
              <w:top w:val="nil"/>
              <w:left w:val="nil"/>
              <w:bottom w:val="single" w:sz="4" w:space="0" w:color="auto"/>
              <w:right w:val="single" w:sz="4" w:space="0" w:color="auto"/>
            </w:tcBorders>
            <w:shd w:val="clear" w:color="auto" w:fill="auto"/>
            <w:noWrap/>
            <w:vAlign w:val="bottom"/>
            <w:hideMark/>
          </w:tcPr>
          <w:p w14:paraId="2CE7F947"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369</w:t>
            </w:r>
          </w:p>
        </w:tc>
        <w:tc>
          <w:tcPr>
            <w:tcW w:w="0" w:type="auto"/>
            <w:tcBorders>
              <w:top w:val="nil"/>
              <w:left w:val="nil"/>
              <w:bottom w:val="single" w:sz="4" w:space="0" w:color="auto"/>
              <w:right w:val="single" w:sz="4" w:space="0" w:color="auto"/>
            </w:tcBorders>
            <w:shd w:val="clear" w:color="auto" w:fill="auto"/>
            <w:noWrap/>
            <w:vAlign w:val="bottom"/>
            <w:hideMark/>
          </w:tcPr>
          <w:p w14:paraId="5A52E332"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(97.1)</w:t>
            </w:r>
          </w:p>
        </w:tc>
        <w:tc>
          <w:tcPr>
            <w:tcW w:w="0" w:type="auto"/>
            <w:tcBorders>
              <w:top w:val="nil"/>
              <w:left w:val="nil"/>
              <w:bottom w:val="single" w:sz="4" w:space="0" w:color="auto"/>
              <w:right w:val="single" w:sz="4" w:space="0" w:color="auto"/>
            </w:tcBorders>
            <w:shd w:val="clear" w:color="auto" w:fill="auto"/>
            <w:noWrap/>
            <w:vAlign w:val="bottom"/>
            <w:hideMark/>
          </w:tcPr>
          <w:p w14:paraId="38E2DD2A"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10</w:t>
            </w:r>
          </w:p>
        </w:tc>
        <w:tc>
          <w:tcPr>
            <w:tcW w:w="0" w:type="auto"/>
            <w:tcBorders>
              <w:top w:val="nil"/>
              <w:left w:val="nil"/>
              <w:bottom w:val="single" w:sz="4" w:space="0" w:color="auto"/>
              <w:right w:val="single" w:sz="4" w:space="0" w:color="auto"/>
            </w:tcBorders>
            <w:shd w:val="clear" w:color="auto" w:fill="auto"/>
            <w:noWrap/>
            <w:vAlign w:val="bottom"/>
            <w:hideMark/>
          </w:tcPr>
          <w:p w14:paraId="724B7297"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(2.6)</w:t>
            </w:r>
          </w:p>
        </w:tc>
        <w:tc>
          <w:tcPr>
            <w:tcW w:w="0" w:type="auto"/>
            <w:tcBorders>
              <w:top w:val="nil"/>
              <w:left w:val="nil"/>
              <w:bottom w:val="single" w:sz="4" w:space="0" w:color="auto"/>
              <w:right w:val="single" w:sz="4" w:space="0" w:color="auto"/>
            </w:tcBorders>
            <w:shd w:val="clear" w:color="auto" w:fill="auto"/>
            <w:noWrap/>
            <w:vAlign w:val="bottom"/>
            <w:hideMark/>
          </w:tcPr>
          <w:p w14:paraId="5377FEFE"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3D7E4518"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302D75FF"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5B148E07"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3E998CF1"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8</w:t>
            </w:r>
          </w:p>
        </w:tc>
        <w:tc>
          <w:tcPr>
            <w:tcW w:w="0" w:type="auto"/>
            <w:tcBorders>
              <w:top w:val="nil"/>
              <w:left w:val="nil"/>
              <w:bottom w:val="single" w:sz="4" w:space="0" w:color="auto"/>
              <w:right w:val="single" w:sz="4" w:space="0" w:color="auto"/>
            </w:tcBorders>
            <w:shd w:val="clear" w:color="auto" w:fill="auto"/>
            <w:noWrap/>
            <w:vAlign w:val="bottom"/>
            <w:hideMark/>
          </w:tcPr>
          <w:p w14:paraId="23C0D0B2"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(2.1)</w:t>
            </w:r>
          </w:p>
        </w:tc>
        <w:tc>
          <w:tcPr>
            <w:tcW w:w="0" w:type="auto"/>
            <w:tcBorders>
              <w:top w:val="nil"/>
              <w:left w:val="nil"/>
              <w:bottom w:val="single" w:sz="4" w:space="0" w:color="auto"/>
              <w:right w:val="single" w:sz="4" w:space="0" w:color="auto"/>
            </w:tcBorders>
            <w:shd w:val="clear" w:color="auto" w:fill="auto"/>
            <w:noWrap/>
            <w:vAlign w:val="bottom"/>
            <w:hideMark/>
          </w:tcPr>
          <w:p w14:paraId="3712F9A8"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6E007653"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22C83541"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76%</w:t>
            </w:r>
          </w:p>
        </w:tc>
      </w:tr>
      <w:tr w:rsidR="0067156B" w:rsidRPr="00BA48F1" w14:paraId="6246B82D" w14:textId="77777777" w:rsidTr="0067156B">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5B3AFF3"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GAYHEAD/AQUINNAH</w:t>
            </w:r>
          </w:p>
        </w:tc>
        <w:tc>
          <w:tcPr>
            <w:tcW w:w="0" w:type="auto"/>
            <w:tcBorders>
              <w:top w:val="nil"/>
              <w:left w:val="nil"/>
              <w:bottom w:val="single" w:sz="4" w:space="0" w:color="auto"/>
              <w:right w:val="single" w:sz="4" w:space="0" w:color="auto"/>
            </w:tcBorders>
            <w:shd w:val="clear" w:color="auto" w:fill="auto"/>
            <w:noWrap/>
            <w:vAlign w:val="bottom"/>
            <w:hideMark/>
          </w:tcPr>
          <w:p w14:paraId="0971E79B"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12</w:t>
            </w:r>
          </w:p>
        </w:tc>
        <w:tc>
          <w:tcPr>
            <w:tcW w:w="0" w:type="auto"/>
            <w:tcBorders>
              <w:top w:val="nil"/>
              <w:left w:val="nil"/>
              <w:bottom w:val="single" w:sz="4" w:space="0" w:color="auto"/>
              <w:right w:val="single" w:sz="4" w:space="0" w:color="auto"/>
            </w:tcBorders>
            <w:shd w:val="clear" w:color="auto" w:fill="auto"/>
            <w:noWrap/>
            <w:vAlign w:val="bottom"/>
            <w:hideMark/>
          </w:tcPr>
          <w:p w14:paraId="71CECF31"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3</w:t>
            </w:r>
          </w:p>
        </w:tc>
        <w:tc>
          <w:tcPr>
            <w:tcW w:w="0" w:type="auto"/>
            <w:tcBorders>
              <w:top w:val="nil"/>
              <w:left w:val="nil"/>
              <w:bottom w:val="single" w:sz="4" w:space="0" w:color="auto"/>
              <w:right w:val="single" w:sz="4" w:space="0" w:color="auto"/>
            </w:tcBorders>
            <w:shd w:val="clear" w:color="auto" w:fill="auto"/>
            <w:noWrap/>
            <w:vAlign w:val="bottom"/>
            <w:hideMark/>
          </w:tcPr>
          <w:p w14:paraId="25EF793F"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25%</w:t>
            </w:r>
          </w:p>
        </w:tc>
        <w:tc>
          <w:tcPr>
            <w:tcW w:w="0" w:type="auto"/>
            <w:tcBorders>
              <w:top w:val="nil"/>
              <w:left w:val="nil"/>
              <w:bottom w:val="single" w:sz="4" w:space="0" w:color="auto"/>
              <w:right w:val="single" w:sz="4" w:space="0" w:color="auto"/>
            </w:tcBorders>
            <w:shd w:val="clear" w:color="auto" w:fill="auto"/>
            <w:noWrap/>
            <w:vAlign w:val="bottom"/>
            <w:hideMark/>
          </w:tcPr>
          <w:p w14:paraId="6F0B35D5"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1C1D2551"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252D4E7F"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56292F35"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0504F2A1"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29DCACF5"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11E3FBC3"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723E29A0"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55CFCB65"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1FBACDAA"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5C70C2C8"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6CED4C31"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6690F653"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41%</w:t>
            </w:r>
          </w:p>
        </w:tc>
      </w:tr>
      <w:tr w:rsidR="0067156B" w:rsidRPr="00BA48F1" w14:paraId="1C0EDDD7" w14:textId="77777777" w:rsidTr="0067156B">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E147103"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GEORGETOWN</w:t>
            </w:r>
          </w:p>
        </w:tc>
        <w:tc>
          <w:tcPr>
            <w:tcW w:w="0" w:type="auto"/>
            <w:tcBorders>
              <w:top w:val="nil"/>
              <w:left w:val="nil"/>
              <w:bottom w:val="single" w:sz="4" w:space="0" w:color="auto"/>
              <w:right w:val="single" w:sz="4" w:space="0" w:color="auto"/>
            </w:tcBorders>
            <w:shd w:val="clear" w:color="auto" w:fill="auto"/>
            <w:noWrap/>
            <w:vAlign w:val="bottom"/>
            <w:hideMark/>
          </w:tcPr>
          <w:p w14:paraId="014051B1"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327</w:t>
            </w:r>
          </w:p>
        </w:tc>
        <w:tc>
          <w:tcPr>
            <w:tcW w:w="0" w:type="auto"/>
            <w:tcBorders>
              <w:top w:val="nil"/>
              <w:left w:val="nil"/>
              <w:bottom w:val="single" w:sz="4" w:space="0" w:color="auto"/>
              <w:right w:val="single" w:sz="4" w:space="0" w:color="auto"/>
            </w:tcBorders>
            <w:shd w:val="clear" w:color="auto" w:fill="auto"/>
            <w:noWrap/>
            <w:vAlign w:val="bottom"/>
            <w:hideMark/>
          </w:tcPr>
          <w:p w14:paraId="1B8A9F5C"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205</w:t>
            </w:r>
          </w:p>
        </w:tc>
        <w:tc>
          <w:tcPr>
            <w:tcW w:w="0" w:type="auto"/>
            <w:tcBorders>
              <w:top w:val="nil"/>
              <w:left w:val="nil"/>
              <w:bottom w:val="single" w:sz="4" w:space="0" w:color="auto"/>
              <w:right w:val="single" w:sz="4" w:space="0" w:color="auto"/>
            </w:tcBorders>
            <w:shd w:val="clear" w:color="auto" w:fill="auto"/>
            <w:noWrap/>
            <w:vAlign w:val="bottom"/>
            <w:hideMark/>
          </w:tcPr>
          <w:p w14:paraId="30105EC5"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63%</w:t>
            </w:r>
          </w:p>
        </w:tc>
        <w:tc>
          <w:tcPr>
            <w:tcW w:w="0" w:type="auto"/>
            <w:tcBorders>
              <w:top w:val="nil"/>
              <w:left w:val="nil"/>
              <w:bottom w:val="single" w:sz="4" w:space="0" w:color="auto"/>
              <w:right w:val="single" w:sz="4" w:space="0" w:color="auto"/>
            </w:tcBorders>
            <w:shd w:val="clear" w:color="auto" w:fill="auto"/>
            <w:noWrap/>
            <w:vAlign w:val="bottom"/>
            <w:hideMark/>
          </w:tcPr>
          <w:p w14:paraId="7F108271"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202</w:t>
            </w:r>
          </w:p>
        </w:tc>
        <w:tc>
          <w:tcPr>
            <w:tcW w:w="0" w:type="auto"/>
            <w:tcBorders>
              <w:top w:val="nil"/>
              <w:left w:val="nil"/>
              <w:bottom w:val="single" w:sz="4" w:space="0" w:color="auto"/>
              <w:right w:val="single" w:sz="4" w:space="0" w:color="auto"/>
            </w:tcBorders>
            <w:shd w:val="clear" w:color="auto" w:fill="auto"/>
            <w:noWrap/>
            <w:vAlign w:val="bottom"/>
            <w:hideMark/>
          </w:tcPr>
          <w:p w14:paraId="37692D90"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(98.5)</w:t>
            </w:r>
          </w:p>
        </w:tc>
        <w:tc>
          <w:tcPr>
            <w:tcW w:w="0" w:type="auto"/>
            <w:tcBorders>
              <w:top w:val="nil"/>
              <w:left w:val="nil"/>
              <w:bottom w:val="single" w:sz="4" w:space="0" w:color="auto"/>
              <w:right w:val="single" w:sz="4" w:space="0" w:color="auto"/>
            </w:tcBorders>
            <w:shd w:val="clear" w:color="auto" w:fill="auto"/>
            <w:noWrap/>
            <w:vAlign w:val="bottom"/>
            <w:hideMark/>
          </w:tcPr>
          <w:p w14:paraId="5905BCF6"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4C2F066D"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4316745D"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4F7AFBC9"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3C1A2C5B"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53246CD5"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3770160D"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620AAF10"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4EEAD772"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22581A11"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28ECB600"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57%</w:t>
            </w:r>
          </w:p>
        </w:tc>
      </w:tr>
      <w:tr w:rsidR="0067156B" w:rsidRPr="00BA48F1" w14:paraId="70CA0274" w14:textId="77777777" w:rsidTr="005E6FB1">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16151A8"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GILL</w:t>
            </w:r>
          </w:p>
        </w:tc>
        <w:tc>
          <w:tcPr>
            <w:tcW w:w="0" w:type="auto"/>
            <w:tcBorders>
              <w:top w:val="nil"/>
              <w:left w:val="nil"/>
              <w:bottom w:val="single" w:sz="4" w:space="0" w:color="auto"/>
              <w:right w:val="single" w:sz="4" w:space="0" w:color="auto"/>
            </w:tcBorders>
            <w:shd w:val="clear" w:color="auto" w:fill="auto"/>
            <w:noWrap/>
            <w:vAlign w:val="bottom"/>
            <w:hideMark/>
          </w:tcPr>
          <w:p w14:paraId="0D8657A0"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26</w:t>
            </w:r>
          </w:p>
        </w:tc>
        <w:tc>
          <w:tcPr>
            <w:tcW w:w="0" w:type="auto"/>
            <w:tcBorders>
              <w:top w:val="nil"/>
              <w:left w:val="nil"/>
              <w:bottom w:val="single" w:sz="4" w:space="0" w:color="auto"/>
              <w:right w:val="single" w:sz="4" w:space="0" w:color="auto"/>
            </w:tcBorders>
            <w:shd w:val="clear" w:color="auto" w:fill="auto"/>
            <w:noWrap/>
            <w:vAlign w:val="bottom"/>
            <w:hideMark/>
          </w:tcPr>
          <w:p w14:paraId="75DC5470"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17</w:t>
            </w:r>
          </w:p>
        </w:tc>
        <w:tc>
          <w:tcPr>
            <w:tcW w:w="0" w:type="auto"/>
            <w:tcBorders>
              <w:top w:val="nil"/>
              <w:left w:val="nil"/>
              <w:bottom w:val="single" w:sz="4" w:space="0" w:color="auto"/>
              <w:right w:val="single" w:sz="4" w:space="0" w:color="auto"/>
            </w:tcBorders>
            <w:shd w:val="clear" w:color="auto" w:fill="auto"/>
            <w:noWrap/>
            <w:vAlign w:val="bottom"/>
            <w:hideMark/>
          </w:tcPr>
          <w:p w14:paraId="20A044B0"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65%</w:t>
            </w:r>
          </w:p>
        </w:tc>
        <w:tc>
          <w:tcPr>
            <w:tcW w:w="0" w:type="auto"/>
            <w:tcBorders>
              <w:top w:val="nil"/>
              <w:left w:val="nil"/>
              <w:bottom w:val="single" w:sz="4" w:space="0" w:color="auto"/>
              <w:right w:val="single" w:sz="4" w:space="0" w:color="auto"/>
            </w:tcBorders>
            <w:shd w:val="clear" w:color="auto" w:fill="auto"/>
            <w:noWrap/>
            <w:vAlign w:val="bottom"/>
            <w:hideMark/>
          </w:tcPr>
          <w:p w14:paraId="3F77D6B3"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17</w:t>
            </w:r>
          </w:p>
        </w:tc>
        <w:tc>
          <w:tcPr>
            <w:tcW w:w="0" w:type="auto"/>
            <w:tcBorders>
              <w:top w:val="nil"/>
              <w:left w:val="nil"/>
              <w:bottom w:val="single" w:sz="4" w:space="0" w:color="auto"/>
              <w:right w:val="single" w:sz="4" w:space="0" w:color="auto"/>
            </w:tcBorders>
            <w:shd w:val="clear" w:color="auto" w:fill="auto"/>
            <w:noWrap/>
            <w:vAlign w:val="bottom"/>
            <w:hideMark/>
          </w:tcPr>
          <w:p w14:paraId="737464CB"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(100.0)</w:t>
            </w:r>
          </w:p>
        </w:tc>
        <w:tc>
          <w:tcPr>
            <w:tcW w:w="0" w:type="auto"/>
            <w:tcBorders>
              <w:top w:val="nil"/>
              <w:left w:val="nil"/>
              <w:bottom w:val="single" w:sz="4" w:space="0" w:color="auto"/>
              <w:right w:val="single" w:sz="4" w:space="0" w:color="auto"/>
            </w:tcBorders>
            <w:shd w:val="clear" w:color="auto" w:fill="auto"/>
            <w:noWrap/>
            <w:vAlign w:val="bottom"/>
            <w:hideMark/>
          </w:tcPr>
          <w:p w14:paraId="534BC2CB"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1C7CDA1D"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7CC84161"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298124F2"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5A731162"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0B6EC2A8"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332E69A5"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1697A4C7"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529924DB"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5827D919"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0BC0715F"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64%</w:t>
            </w:r>
          </w:p>
        </w:tc>
      </w:tr>
      <w:tr w:rsidR="0067156B" w:rsidRPr="00BA48F1" w14:paraId="130588EE" w14:textId="77777777" w:rsidTr="005E6FB1">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CD1E25"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GLOUCESTER</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280A2A9D"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745</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29119337"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662</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22497814"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89%</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77905B99"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640</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7816EF98"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(96.7)</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22F29388"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21</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4F127EE1"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(3.2)</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139A599A"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236C36F3"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0984BF21"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44A506F7"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0A09117E"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16</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18F0C77F"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(2.4)</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682219DE"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7F474577"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6C40F50B"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76%</w:t>
            </w:r>
          </w:p>
        </w:tc>
      </w:tr>
      <w:tr w:rsidR="0067156B" w:rsidRPr="00BA48F1" w14:paraId="6497B512" w14:textId="77777777" w:rsidTr="005E6FB1">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62D585"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GOSHEN</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28A63EF6"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31</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0CCA2F93"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8</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438FC377"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26%</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7D4A7462"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8</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2C5FD0BC"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(100.0)</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72D77CF5"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4FE1B9D7"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21A34A3E"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1063FDE6"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67101E12"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705E773F"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73119C80"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05ADDB02"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79B77C9E"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0F34AFA3"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7342CBF7"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69%</w:t>
            </w:r>
          </w:p>
        </w:tc>
      </w:tr>
      <w:tr w:rsidR="0067156B" w:rsidRPr="00BA48F1" w14:paraId="2C451D58" w14:textId="77777777" w:rsidTr="0067156B">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0A5493"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lastRenderedPageBreak/>
              <w:t>GOSNOLD</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465B477F"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36D2A08A"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1</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496599F6"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59D04550"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25FFEAD3"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65E0758B"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6F0A4DFA"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795E7304"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376F62C1"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472C5B28"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0BB1ED98"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43F48E73"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1809AE64"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4673F949"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6A2F3FE1"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31B29D31"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80%</w:t>
            </w:r>
          </w:p>
        </w:tc>
      </w:tr>
      <w:tr w:rsidR="0067156B" w:rsidRPr="00BA48F1" w14:paraId="403FBFB1" w14:textId="77777777" w:rsidTr="0067156B">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28389D0"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GRAFTON</w:t>
            </w:r>
          </w:p>
        </w:tc>
        <w:tc>
          <w:tcPr>
            <w:tcW w:w="0" w:type="auto"/>
            <w:tcBorders>
              <w:top w:val="nil"/>
              <w:left w:val="nil"/>
              <w:bottom w:val="single" w:sz="4" w:space="0" w:color="auto"/>
              <w:right w:val="single" w:sz="4" w:space="0" w:color="auto"/>
            </w:tcBorders>
            <w:shd w:val="clear" w:color="auto" w:fill="auto"/>
            <w:noWrap/>
            <w:vAlign w:val="bottom"/>
            <w:hideMark/>
          </w:tcPr>
          <w:p w14:paraId="3B4AF064"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791</w:t>
            </w:r>
          </w:p>
        </w:tc>
        <w:tc>
          <w:tcPr>
            <w:tcW w:w="0" w:type="auto"/>
            <w:tcBorders>
              <w:top w:val="nil"/>
              <w:left w:val="nil"/>
              <w:bottom w:val="single" w:sz="4" w:space="0" w:color="auto"/>
              <w:right w:val="single" w:sz="4" w:space="0" w:color="auto"/>
            </w:tcBorders>
            <w:shd w:val="clear" w:color="auto" w:fill="auto"/>
            <w:noWrap/>
            <w:vAlign w:val="bottom"/>
            <w:hideMark/>
          </w:tcPr>
          <w:p w14:paraId="44F501AC"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461</w:t>
            </w:r>
          </w:p>
        </w:tc>
        <w:tc>
          <w:tcPr>
            <w:tcW w:w="0" w:type="auto"/>
            <w:tcBorders>
              <w:top w:val="nil"/>
              <w:left w:val="nil"/>
              <w:bottom w:val="single" w:sz="4" w:space="0" w:color="auto"/>
              <w:right w:val="single" w:sz="4" w:space="0" w:color="auto"/>
            </w:tcBorders>
            <w:shd w:val="clear" w:color="auto" w:fill="auto"/>
            <w:noWrap/>
            <w:vAlign w:val="bottom"/>
            <w:hideMark/>
          </w:tcPr>
          <w:p w14:paraId="064DF90E"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58%</w:t>
            </w:r>
          </w:p>
        </w:tc>
        <w:tc>
          <w:tcPr>
            <w:tcW w:w="0" w:type="auto"/>
            <w:tcBorders>
              <w:top w:val="nil"/>
              <w:left w:val="nil"/>
              <w:bottom w:val="single" w:sz="4" w:space="0" w:color="auto"/>
              <w:right w:val="single" w:sz="4" w:space="0" w:color="auto"/>
            </w:tcBorders>
            <w:shd w:val="clear" w:color="auto" w:fill="auto"/>
            <w:noWrap/>
            <w:vAlign w:val="bottom"/>
            <w:hideMark/>
          </w:tcPr>
          <w:p w14:paraId="78585231"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456</w:t>
            </w:r>
          </w:p>
        </w:tc>
        <w:tc>
          <w:tcPr>
            <w:tcW w:w="0" w:type="auto"/>
            <w:tcBorders>
              <w:top w:val="nil"/>
              <w:left w:val="nil"/>
              <w:bottom w:val="single" w:sz="4" w:space="0" w:color="auto"/>
              <w:right w:val="single" w:sz="4" w:space="0" w:color="auto"/>
            </w:tcBorders>
            <w:shd w:val="clear" w:color="auto" w:fill="auto"/>
            <w:noWrap/>
            <w:vAlign w:val="bottom"/>
            <w:hideMark/>
          </w:tcPr>
          <w:p w14:paraId="6F562645"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(98.9)</w:t>
            </w:r>
          </w:p>
        </w:tc>
        <w:tc>
          <w:tcPr>
            <w:tcW w:w="0" w:type="auto"/>
            <w:tcBorders>
              <w:top w:val="nil"/>
              <w:left w:val="nil"/>
              <w:bottom w:val="single" w:sz="4" w:space="0" w:color="auto"/>
              <w:right w:val="single" w:sz="4" w:space="0" w:color="auto"/>
            </w:tcBorders>
            <w:shd w:val="clear" w:color="auto" w:fill="auto"/>
            <w:noWrap/>
            <w:vAlign w:val="bottom"/>
            <w:hideMark/>
          </w:tcPr>
          <w:p w14:paraId="57072AAA"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48FC9080"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1C40690D"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6E0AD66F"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30D161CD"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6BA1CA84"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38E30A03"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7903E9D5"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262E7AEE"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602EBB53"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7BD54833"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49%</w:t>
            </w:r>
          </w:p>
        </w:tc>
      </w:tr>
      <w:tr w:rsidR="0067156B" w:rsidRPr="00BA48F1" w14:paraId="210ED3E4" w14:textId="77777777" w:rsidTr="0067156B">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8A9CA2E"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GRANBY</w:t>
            </w:r>
          </w:p>
        </w:tc>
        <w:tc>
          <w:tcPr>
            <w:tcW w:w="0" w:type="auto"/>
            <w:tcBorders>
              <w:top w:val="nil"/>
              <w:left w:val="nil"/>
              <w:bottom w:val="single" w:sz="4" w:space="0" w:color="auto"/>
              <w:right w:val="single" w:sz="4" w:space="0" w:color="auto"/>
            </w:tcBorders>
            <w:shd w:val="clear" w:color="auto" w:fill="auto"/>
            <w:noWrap/>
            <w:vAlign w:val="bottom"/>
            <w:hideMark/>
          </w:tcPr>
          <w:p w14:paraId="54BE4198"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141</w:t>
            </w:r>
          </w:p>
        </w:tc>
        <w:tc>
          <w:tcPr>
            <w:tcW w:w="0" w:type="auto"/>
            <w:tcBorders>
              <w:top w:val="nil"/>
              <w:left w:val="nil"/>
              <w:bottom w:val="single" w:sz="4" w:space="0" w:color="auto"/>
              <w:right w:val="single" w:sz="4" w:space="0" w:color="auto"/>
            </w:tcBorders>
            <w:shd w:val="clear" w:color="auto" w:fill="auto"/>
            <w:noWrap/>
            <w:vAlign w:val="bottom"/>
            <w:hideMark/>
          </w:tcPr>
          <w:p w14:paraId="21E739DD"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94</w:t>
            </w:r>
          </w:p>
        </w:tc>
        <w:tc>
          <w:tcPr>
            <w:tcW w:w="0" w:type="auto"/>
            <w:tcBorders>
              <w:top w:val="nil"/>
              <w:left w:val="nil"/>
              <w:bottom w:val="single" w:sz="4" w:space="0" w:color="auto"/>
              <w:right w:val="single" w:sz="4" w:space="0" w:color="auto"/>
            </w:tcBorders>
            <w:shd w:val="clear" w:color="auto" w:fill="auto"/>
            <w:noWrap/>
            <w:vAlign w:val="bottom"/>
            <w:hideMark/>
          </w:tcPr>
          <w:p w14:paraId="3EA39E5D"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67%</w:t>
            </w:r>
          </w:p>
        </w:tc>
        <w:tc>
          <w:tcPr>
            <w:tcW w:w="0" w:type="auto"/>
            <w:tcBorders>
              <w:top w:val="nil"/>
              <w:left w:val="nil"/>
              <w:bottom w:val="single" w:sz="4" w:space="0" w:color="auto"/>
              <w:right w:val="single" w:sz="4" w:space="0" w:color="auto"/>
            </w:tcBorders>
            <w:shd w:val="clear" w:color="auto" w:fill="auto"/>
            <w:noWrap/>
            <w:vAlign w:val="bottom"/>
            <w:hideMark/>
          </w:tcPr>
          <w:p w14:paraId="25FF2FC7"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93</w:t>
            </w:r>
          </w:p>
        </w:tc>
        <w:tc>
          <w:tcPr>
            <w:tcW w:w="0" w:type="auto"/>
            <w:tcBorders>
              <w:top w:val="nil"/>
              <w:left w:val="nil"/>
              <w:bottom w:val="single" w:sz="4" w:space="0" w:color="auto"/>
              <w:right w:val="single" w:sz="4" w:space="0" w:color="auto"/>
            </w:tcBorders>
            <w:shd w:val="clear" w:color="auto" w:fill="auto"/>
            <w:noWrap/>
            <w:vAlign w:val="bottom"/>
            <w:hideMark/>
          </w:tcPr>
          <w:p w14:paraId="49D89E8A"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(98.9)</w:t>
            </w:r>
          </w:p>
        </w:tc>
        <w:tc>
          <w:tcPr>
            <w:tcW w:w="0" w:type="auto"/>
            <w:tcBorders>
              <w:top w:val="nil"/>
              <w:left w:val="nil"/>
              <w:bottom w:val="single" w:sz="4" w:space="0" w:color="auto"/>
              <w:right w:val="single" w:sz="4" w:space="0" w:color="auto"/>
            </w:tcBorders>
            <w:shd w:val="clear" w:color="auto" w:fill="auto"/>
            <w:noWrap/>
            <w:vAlign w:val="bottom"/>
            <w:hideMark/>
          </w:tcPr>
          <w:p w14:paraId="1646E548"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38D6CA22"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23153F10"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012111F2"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6CBA2F2D"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3DB0CF61"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43108F2F"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6D51DAD5"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784518A2"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0DCEF76A"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57F65B06"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59%</w:t>
            </w:r>
          </w:p>
        </w:tc>
      </w:tr>
      <w:tr w:rsidR="0067156B" w:rsidRPr="00BA48F1" w14:paraId="1E5D05A8" w14:textId="77777777" w:rsidTr="0067156B">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0E39C15"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GRANVILLE</w:t>
            </w:r>
          </w:p>
        </w:tc>
        <w:tc>
          <w:tcPr>
            <w:tcW w:w="0" w:type="auto"/>
            <w:tcBorders>
              <w:top w:val="nil"/>
              <w:left w:val="nil"/>
              <w:bottom w:val="single" w:sz="4" w:space="0" w:color="auto"/>
              <w:right w:val="single" w:sz="4" w:space="0" w:color="auto"/>
            </w:tcBorders>
            <w:shd w:val="clear" w:color="auto" w:fill="auto"/>
            <w:noWrap/>
            <w:vAlign w:val="bottom"/>
            <w:hideMark/>
          </w:tcPr>
          <w:p w14:paraId="46E7ABB1"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35</w:t>
            </w:r>
          </w:p>
        </w:tc>
        <w:tc>
          <w:tcPr>
            <w:tcW w:w="0" w:type="auto"/>
            <w:tcBorders>
              <w:top w:val="nil"/>
              <w:left w:val="nil"/>
              <w:bottom w:val="single" w:sz="4" w:space="0" w:color="auto"/>
              <w:right w:val="single" w:sz="4" w:space="0" w:color="auto"/>
            </w:tcBorders>
            <w:shd w:val="clear" w:color="auto" w:fill="auto"/>
            <w:noWrap/>
            <w:vAlign w:val="bottom"/>
            <w:hideMark/>
          </w:tcPr>
          <w:p w14:paraId="40B28BE1"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24</w:t>
            </w:r>
          </w:p>
        </w:tc>
        <w:tc>
          <w:tcPr>
            <w:tcW w:w="0" w:type="auto"/>
            <w:tcBorders>
              <w:top w:val="nil"/>
              <w:left w:val="nil"/>
              <w:bottom w:val="single" w:sz="4" w:space="0" w:color="auto"/>
              <w:right w:val="single" w:sz="4" w:space="0" w:color="auto"/>
            </w:tcBorders>
            <w:shd w:val="clear" w:color="auto" w:fill="auto"/>
            <w:noWrap/>
            <w:vAlign w:val="bottom"/>
            <w:hideMark/>
          </w:tcPr>
          <w:p w14:paraId="1CAD03C4"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69%</w:t>
            </w:r>
          </w:p>
        </w:tc>
        <w:tc>
          <w:tcPr>
            <w:tcW w:w="0" w:type="auto"/>
            <w:tcBorders>
              <w:top w:val="nil"/>
              <w:left w:val="nil"/>
              <w:bottom w:val="single" w:sz="4" w:space="0" w:color="auto"/>
              <w:right w:val="single" w:sz="4" w:space="0" w:color="auto"/>
            </w:tcBorders>
            <w:shd w:val="clear" w:color="auto" w:fill="auto"/>
            <w:noWrap/>
            <w:vAlign w:val="bottom"/>
            <w:hideMark/>
          </w:tcPr>
          <w:p w14:paraId="3476458E"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23</w:t>
            </w:r>
          </w:p>
        </w:tc>
        <w:tc>
          <w:tcPr>
            <w:tcW w:w="0" w:type="auto"/>
            <w:tcBorders>
              <w:top w:val="nil"/>
              <w:left w:val="nil"/>
              <w:bottom w:val="single" w:sz="4" w:space="0" w:color="auto"/>
              <w:right w:val="single" w:sz="4" w:space="0" w:color="auto"/>
            </w:tcBorders>
            <w:shd w:val="clear" w:color="auto" w:fill="auto"/>
            <w:noWrap/>
            <w:vAlign w:val="bottom"/>
            <w:hideMark/>
          </w:tcPr>
          <w:p w14:paraId="385719C6"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(95.8)</w:t>
            </w:r>
          </w:p>
        </w:tc>
        <w:tc>
          <w:tcPr>
            <w:tcW w:w="0" w:type="auto"/>
            <w:tcBorders>
              <w:top w:val="nil"/>
              <w:left w:val="nil"/>
              <w:bottom w:val="single" w:sz="4" w:space="0" w:color="auto"/>
              <w:right w:val="single" w:sz="4" w:space="0" w:color="auto"/>
            </w:tcBorders>
            <w:shd w:val="clear" w:color="auto" w:fill="auto"/>
            <w:noWrap/>
            <w:vAlign w:val="bottom"/>
            <w:hideMark/>
          </w:tcPr>
          <w:p w14:paraId="00849BD2"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7A5A876D"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7E0A4D04"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6C3997E6"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78853FB9"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2AEA8F13"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037F90EA"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4FE71FA6"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70B5F772"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0FE2CFF2"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0B503063"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61%</w:t>
            </w:r>
          </w:p>
        </w:tc>
      </w:tr>
      <w:tr w:rsidR="0067156B" w:rsidRPr="00BA48F1" w14:paraId="0842E3B6" w14:textId="77777777" w:rsidTr="0067156B">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1AEC0A4"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GREAT BARRINGTON</w:t>
            </w:r>
          </w:p>
        </w:tc>
        <w:tc>
          <w:tcPr>
            <w:tcW w:w="0" w:type="auto"/>
            <w:tcBorders>
              <w:top w:val="nil"/>
              <w:left w:val="nil"/>
              <w:bottom w:val="single" w:sz="4" w:space="0" w:color="auto"/>
              <w:right w:val="single" w:sz="4" w:space="0" w:color="auto"/>
            </w:tcBorders>
            <w:shd w:val="clear" w:color="auto" w:fill="auto"/>
            <w:noWrap/>
            <w:vAlign w:val="bottom"/>
            <w:hideMark/>
          </w:tcPr>
          <w:p w14:paraId="58213FC6"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136</w:t>
            </w:r>
          </w:p>
        </w:tc>
        <w:tc>
          <w:tcPr>
            <w:tcW w:w="0" w:type="auto"/>
            <w:tcBorders>
              <w:top w:val="nil"/>
              <w:left w:val="nil"/>
              <w:bottom w:val="single" w:sz="4" w:space="0" w:color="auto"/>
              <w:right w:val="single" w:sz="4" w:space="0" w:color="auto"/>
            </w:tcBorders>
            <w:shd w:val="clear" w:color="auto" w:fill="auto"/>
            <w:noWrap/>
            <w:vAlign w:val="bottom"/>
            <w:hideMark/>
          </w:tcPr>
          <w:p w14:paraId="0E9873DD"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81</w:t>
            </w:r>
          </w:p>
        </w:tc>
        <w:tc>
          <w:tcPr>
            <w:tcW w:w="0" w:type="auto"/>
            <w:tcBorders>
              <w:top w:val="nil"/>
              <w:left w:val="nil"/>
              <w:bottom w:val="single" w:sz="4" w:space="0" w:color="auto"/>
              <w:right w:val="single" w:sz="4" w:space="0" w:color="auto"/>
            </w:tcBorders>
            <w:shd w:val="clear" w:color="auto" w:fill="auto"/>
            <w:noWrap/>
            <w:vAlign w:val="bottom"/>
            <w:hideMark/>
          </w:tcPr>
          <w:p w14:paraId="09A18C1A"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60%</w:t>
            </w:r>
          </w:p>
        </w:tc>
        <w:tc>
          <w:tcPr>
            <w:tcW w:w="0" w:type="auto"/>
            <w:tcBorders>
              <w:top w:val="nil"/>
              <w:left w:val="nil"/>
              <w:bottom w:val="single" w:sz="4" w:space="0" w:color="auto"/>
              <w:right w:val="single" w:sz="4" w:space="0" w:color="auto"/>
            </w:tcBorders>
            <w:shd w:val="clear" w:color="auto" w:fill="auto"/>
            <w:noWrap/>
            <w:vAlign w:val="bottom"/>
            <w:hideMark/>
          </w:tcPr>
          <w:p w14:paraId="1588785F"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76</w:t>
            </w:r>
          </w:p>
        </w:tc>
        <w:tc>
          <w:tcPr>
            <w:tcW w:w="0" w:type="auto"/>
            <w:tcBorders>
              <w:top w:val="nil"/>
              <w:left w:val="nil"/>
              <w:bottom w:val="single" w:sz="4" w:space="0" w:color="auto"/>
              <w:right w:val="single" w:sz="4" w:space="0" w:color="auto"/>
            </w:tcBorders>
            <w:shd w:val="clear" w:color="auto" w:fill="auto"/>
            <w:noWrap/>
            <w:vAlign w:val="bottom"/>
            <w:hideMark/>
          </w:tcPr>
          <w:p w14:paraId="2F7E8D75"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(93.8)</w:t>
            </w:r>
          </w:p>
        </w:tc>
        <w:tc>
          <w:tcPr>
            <w:tcW w:w="0" w:type="auto"/>
            <w:tcBorders>
              <w:top w:val="nil"/>
              <w:left w:val="nil"/>
              <w:bottom w:val="single" w:sz="4" w:space="0" w:color="auto"/>
              <w:right w:val="single" w:sz="4" w:space="0" w:color="auto"/>
            </w:tcBorders>
            <w:shd w:val="clear" w:color="auto" w:fill="auto"/>
            <w:noWrap/>
            <w:vAlign w:val="bottom"/>
            <w:hideMark/>
          </w:tcPr>
          <w:p w14:paraId="25059D25"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636A4D89"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002D6A59"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6955892F"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117CBA67"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7907B99C"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38689EB7"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209DB4DD"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5D3048B7"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20628ACB"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7F736050"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75%</w:t>
            </w:r>
          </w:p>
        </w:tc>
      </w:tr>
      <w:tr w:rsidR="0067156B" w:rsidRPr="00BA48F1" w14:paraId="189E7DE2" w14:textId="77777777" w:rsidTr="0067156B">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9268055"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GREENFIELD</w:t>
            </w:r>
          </w:p>
        </w:tc>
        <w:tc>
          <w:tcPr>
            <w:tcW w:w="0" w:type="auto"/>
            <w:tcBorders>
              <w:top w:val="nil"/>
              <w:left w:val="nil"/>
              <w:bottom w:val="single" w:sz="4" w:space="0" w:color="auto"/>
              <w:right w:val="single" w:sz="4" w:space="0" w:color="auto"/>
            </w:tcBorders>
            <w:shd w:val="clear" w:color="auto" w:fill="auto"/>
            <w:noWrap/>
            <w:vAlign w:val="bottom"/>
            <w:hideMark/>
          </w:tcPr>
          <w:p w14:paraId="2515EDBC"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568</w:t>
            </w:r>
          </w:p>
        </w:tc>
        <w:tc>
          <w:tcPr>
            <w:tcW w:w="0" w:type="auto"/>
            <w:tcBorders>
              <w:top w:val="nil"/>
              <w:left w:val="nil"/>
              <w:bottom w:val="single" w:sz="4" w:space="0" w:color="auto"/>
              <w:right w:val="single" w:sz="4" w:space="0" w:color="auto"/>
            </w:tcBorders>
            <w:shd w:val="clear" w:color="auto" w:fill="auto"/>
            <w:noWrap/>
            <w:vAlign w:val="bottom"/>
            <w:hideMark/>
          </w:tcPr>
          <w:p w14:paraId="554E0942"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236</w:t>
            </w:r>
          </w:p>
        </w:tc>
        <w:tc>
          <w:tcPr>
            <w:tcW w:w="0" w:type="auto"/>
            <w:tcBorders>
              <w:top w:val="nil"/>
              <w:left w:val="nil"/>
              <w:bottom w:val="single" w:sz="4" w:space="0" w:color="auto"/>
              <w:right w:val="single" w:sz="4" w:space="0" w:color="auto"/>
            </w:tcBorders>
            <w:shd w:val="clear" w:color="auto" w:fill="auto"/>
            <w:noWrap/>
            <w:vAlign w:val="bottom"/>
            <w:hideMark/>
          </w:tcPr>
          <w:p w14:paraId="2DC5F927"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42%</w:t>
            </w:r>
          </w:p>
        </w:tc>
        <w:tc>
          <w:tcPr>
            <w:tcW w:w="0" w:type="auto"/>
            <w:tcBorders>
              <w:top w:val="nil"/>
              <w:left w:val="nil"/>
              <w:bottom w:val="single" w:sz="4" w:space="0" w:color="auto"/>
              <w:right w:val="single" w:sz="4" w:space="0" w:color="auto"/>
            </w:tcBorders>
            <w:shd w:val="clear" w:color="auto" w:fill="auto"/>
            <w:noWrap/>
            <w:vAlign w:val="bottom"/>
            <w:hideMark/>
          </w:tcPr>
          <w:p w14:paraId="1EF40E48"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228</w:t>
            </w:r>
          </w:p>
        </w:tc>
        <w:tc>
          <w:tcPr>
            <w:tcW w:w="0" w:type="auto"/>
            <w:tcBorders>
              <w:top w:val="nil"/>
              <w:left w:val="nil"/>
              <w:bottom w:val="single" w:sz="4" w:space="0" w:color="auto"/>
              <w:right w:val="single" w:sz="4" w:space="0" w:color="auto"/>
            </w:tcBorders>
            <w:shd w:val="clear" w:color="auto" w:fill="auto"/>
            <w:noWrap/>
            <w:vAlign w:val="bottom"/>
            <w:hideMark/>
          </w:tcPr>
          <w:p w14:paraId="13D4B414"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(96.6)</w:t>
            </w:r>
          </w:p>
        </w:tc>
        <w:tc>
          <w:tcPr>
            <w:tcW w:w="0" w:type="auto"/>
            <w:tcBorders>
              <w:top w:val="nil"/>
              <w:left w:val="nil"/>
              <w:bottom w:val="single" w:sz="4" w:space="0" w:color="auto"/>
              <w:right w:val="single" w:sz="4" w:space="0" w:color="auto"/>
            </w:tcBorders>
            <w:shd w:val="clear" w:color="auto" w:fill="auto"/>
            <w:noWrap/>
            <w:vAlign w:val="bottom"/>
            <w:hideMark/>
          </w:tcPr>
          <w:p w14:paraId="620D2786"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6</w:t>
            </w:r>
          </w:p>
        </w:tc>
        <w:tc>
          <w:tcPr>
            <w:tcW w:w="0" w:type="auto"/>
            <w:tcBorders>
              <w:top w:val="nil"/>
              <w:left w:val="nil"/>
              <w:bottom w:val="single" w:sz="4" w:space="0" w:color="auto"/>
              <w:right w:val="single" w:sz="4" w:space="0" w:color="auto"/>
            </w:tcBorders>
            <w:shd w:val="clear" w:color="auto" w:fill="auto"/>
            <w:noWrap/>
            <w:vAlign w:val="bottom"/>
            <w:hideMark/>
          </w:tcPr>
          <w:p w14:paraId="2DB22BBA"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(2.5)</w:t>
            </w:r>
          </w:p>
        </w:tc>
        <w:tc>
          <w:tcPr>
            <w:tcW w:w="0" w:type="auto"/>
            <w:tcBorders>
              <w:top w:val="nil"/>
              <w:left w:val="nil"/>
              <w:bottom w:val="single" w:sz="4" w:space="0" w:color="auto"/>
              <w:right w:val="single" w:sz="4" w:space="0" w:color="auto"/>
            </w:tcBorders>
            <w:shd w:val="clear" w:color="auto" w:fill="auto"/>
            <w:noWrap/>
            <w:vAlign w:val="bottom"/>
            <w:hideMark/>
          </w:tcPr>
          <w:p w14:paraId="27445590"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03934ABC"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44A6C478"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4CCC15F2"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4C72C366"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7</w:t>
            </w:r>
          </w:p>
        </w:tc>
        <w:tc>
          <w:tcPr>
            <w:tcW w:w="0" w:type="auto"/>
            <w:tcBorders>
              <w:top w:val="nil"/>
              <w:left w:val="nil"/>
              <w:bottom w:val="single" w:sz="4" w:space="0" w:color="auto"/>
              <w:right w:val="single" w:sz="4" w:space="0" w:color="auto"/>
            </w:tcBorders>
            <w:shd w:val="clear" w:color="auto" w:fill="auto"/>
            <w:noWrap/>
            <w:vAlign w:val="bottom"/>
            <w:hideMark/>
          </w:tcPr>
          <w:p w14:paraId="69BEFBC4"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(3.0)</w:t>
            </w:r>
          </w:p>
        </w:tc>
        <w:tc>
          <w:tcPr>
            <w:tcW w:w="0" w:type="auto"/>
            <w:tcBorders>
              <w:top w:val="nil"/>
              <w:left w:val="nil"/>
              <w:bottom w:val="single" w:sz="4" w:space="0" w:color="auto"/>
              <w:right w:val="single" w:sz="4" w:space="0" w:color="auto"/>
            </w:tcBorders>
            <w:shd w:val="clear" w:color="auto" w:fill="auto"/>
            <w:noWrap/>
            <w:vAlign w:val="bottom"/>
            <w:hideMark/>
          </w:tcPr>
          <w:p w14:paraId="5ECD74A1"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0B0029F2"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2055DA25"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79%</w:t>
            </w:r>
          </w:p>
        </w:tc>
      </w:tr>
      <w:tr w:rsidR="0067156B" w:rsidRPr="00BA48F1" w14:paraId="2E2CC92F" w14:textId="77777777" w:rsidTr="0067156B">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35002AC"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GROTON</w:t>
            </w:r>
          </w:p>
        </w:tc>
        <w:tc>
          <w:tcPr>
            <w:tcW w:w="0" w:type="auto"/>
            <w:tcBorders>
              <w:top w:val="nil"/>
              <w:left w:val="nil"/>
              <w:bottom w:val="single" w:sz="4" w:space="0" w:color="auto"/>
              <w:right w:val="single" w:sz="4" w:space="0" w:color="auto"/>
            </w:tcBorders>
            <w:shd w:val="clear" w:color="auto" w:fill="auto"/>
            <w:noWrap/>
            <w:vAlign w:val="bottom"/>
            <w:hideMark/>
          </w:tcPr>
          <w:p w14:paraId="7F834377"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366</w:t>
            </w:r>
          </w:p>
        </w:tc>
        <w:tc>
          <w:tcPr>
            <w:tcW w:w="0" w:type="auto"/>
            <w:tcBorders>
              <w:top w:val="nil"/>
              <w:left w:val="nil"/>
              <w:bottom w:val="single" w:sz="4" w:space="0" w:color="auto"/>
              <w:right w:val="single" w:sz="4" w:space="0" w:color="auto"/>
            </w:tcBorders>
            <w:shd w:val="clear" w:color="auto" w:fill="auto"/>
            <w:noWrap/>
            <w:vAlign w:val="bottom"/>
            <w:hideMark/>
          </w:tcPr>
          <w:p w14:paraId="69C03B44"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219</w:t>
            </w:r>
          </w:p>
        </w:tc>
        <w:tc>
          <w:tcPr>
            <w:tcW w:w="0" w:type="auto"/>
            <w:tcBorders>
              <w:top w:val="nil"/>
              <w:left w:val="nil"/>
              <w:bottom w:val="single" w:sz="4" w:space="0" w:color="auto"/>
              <w:right w:val="single" w:sz="4" w:space="0" w:color="auto"/>
            </w:tcBorders>
            <w:shd w:val="clear" w:color="auto" w:fill="auto"/>
            <w:noWrap/>
            <w:vAlign w:val="bottom"/>
            <w:hideMark/>
          </w:tcPr>
          <w:p w14:paraId="0EAE9678"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60%</w:t>
            </w:r>
          </w:p>
        </w:tc>
        <w:tc>
          <w:tcPr>
            <w:tcW w:w="0" w:type="auto"/>
            <w:tcBorders>
              <w:top w:val="nil"/>
              <w:left w:val="nil"/>
              <w:bottom w:val="single" w:sz="4" w:space="0" w:color="auto"/>
              <w:right w:val="single" w:sz="4" w:space="0" w:color="auto"/>
            </w:tcBorders>
            <w:shd w:val="clear" w:color="auto" w:fill="auto"/>
            <w:noWrap/>
            <w:vAlign w:val="bottom"/>
            <w:hideMark/>
          </w:tcPr>
          <w:p w14:paraId="5ACF293F"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219</w:t>
            </w:r>
          </w:p>
        </w:tc>
        <w:tc>
          <w:tcPr>
            <w:tcW w:w="0" w:type="auto"/>
            <w:tcBorders>
              <w:top w:val="nil"/>
              <w:left w:val="nil"/>
              <w:bottom w:val="single" w:sz="4" w:space="0" w:color="auto"/>
              <w:right w:val="single" w:sz="4" w:space="0" w:color="auto"/>
            </w:tcBorders>
            <w:shd w:val="clear" w:color="auto" w:fill="auto"/>
            <w:noWrap/>
            <w:vAlign w:val="bottom"/>
            <w:hideMark/>
          </w:tcPr>
          <w:p w14:paraId="586E43CE"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(100.0)</w:t>
            </w:r>
          </w:p>
        </w:tc>
        <w:tc>
          <w:tcPr>
            <w:tcW w:w="0" w:type="auto"/>
            <w:tcBorders>
              <w:top w:val="nil"/>
              <w:left w:val="nil"/>
              <w:bottom w:val="single" w:sz="4" w:space="0" w:color="auto"/>
              <w:right w:val="single" w:sz="4" w:space="0" w:color="auto"/>
            </w:tcBorders>
            <w:shd w:val="clear" w:color="auto" w:fill="auto"/>
            <w:noWrap/>
            <w:vAlign w:val="bottom"/>
            <w:hideMark/>
          </w:tcPr>
          <w:p w14:paraId="192C2196"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4D11329C"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27CF7093"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5C1E9270"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1BE4C721"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32B7FACE"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571D850E"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22864A39"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14DA21E9"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0F5399C6"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153F0844"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45%</w:t>
            </w:r>
          </w:p>
        </w:tc>
      </w:tr>
      <w:tr w:rsidR="0067156B" w:rsidRPr="00BA48F1" w14:paraId="3FB62B4E" w14:textId="77777777" w:rsidTr="0067156B">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72ED78F"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GROVELAND</w:t>
            </w:r>
          </w:p>
        </w:tc>
        <w:tc>
          <w:tcPr>
            <w:tcW w:w="0" w:type="auto"/>
            <w:tcBorders>
              <w:top w:val="nil"/>
              <w:left w:val="nil"/>
              <w:bottom w:val="single" w:sz="4" w:space="0" w:color="auto"/>
              <w:right w:val="single" w:sz="4" w:space="0" w:color="auto"/>
            </w:tcBorders>
            <w:shd w:val="clear" w:color="auto" w:fill="auto"/>
            <w:noWrap/>
            <w:vAlign w:val="bottom"/>
            <w:hideMark/>
          </w:tcPr>
          <w:p w14:paraId="2B10475E"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190</w:t>
            </w:r>
          </w:p>
        </w:tc>
        <w:tc>
          <w:tcPr>
            <w:tcW w:w="0" w:type="auto"/>
            <w:tcBorders>
              <w:top w:val="nil"/>
              <w:left w:val="nil"/>
              <w:bottom w:val="single" w:sz="4" w:space="0" w:color="auto"/>
              <w:right w:val="single" w:sz="4" w:space="0" w:color="auto"/>
            </w:tcBorders>
            <w:shd w:val="clear" w:color="auto" w:fill="auto"/>
            <w:noWrap/>
            <w:vAlign w:val="bottom"/>
            <w:hideMark/>
          </w:tcPr>
          <w:p w14:paraId="2A8EA064"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143</w:t>
            </w:r>
          </w:p>
        </w:tc>
        <w:tc>
          <w:tcPr>
            <w:tcW w:w="0" w:type="auto"/>
            <w:tcBorders>
              <w:top w:val="nil"/>
              <w:left w:val="nil"/>
              <w:bottom w:val="single" w:sz="4" w:space="0" w:color="auto"/>
              <w:right w:val="single" w:sz="4" w:space="0" w:color="auto"/>
            </w:tcBorders>
            <w:shd w:val="clear" w:color="auto" w:fill="auto"/>
            <w:noWrap/>
            <w:vAlign w:val="bottom"/>
            <w:hideMark/>
          </w:tcPr>
          <w:p w14:paraId="3CABDB7E"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75%</w:t>
            </w:r>
          </w:p>
        </w:tc>
        <w:tc>
          <w:tcPr>
            <w:tcW w:w="0" w:type="auto"/>
            <w:tcBorders>
              <w:top w:val="nil"/>
              <w:left w:val="nil"/>
              <w:bottom w:val="single" w:sz="4" w:space="0" w:color="auto"/>
              <w:right w:val="single" w:sz="4" w:space="0" w:color="auto"/>
            </w:tcBorders>
            <w:shd w:val="clear" w:color="auto" w:fill="auto"/>
            <w:noWrap/>
            <w:vAlign w:val="bottom"/>
            <w:hideMark/>
          </w:tcPr>
          <w:p w14:paraId="28104F56"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137</w:t>
            </w:r>
          </w:p>
        </w:tc>
        <w:tc>
          <w:tcPr>
            <w:tcW w:w="0" w:type="auto"/>
            <w:tcBorders>
              <w:top w:val="nil"/>
              <w:left w:val="nil"/>
              <w:bottom w:val="single" w:sz="4" w:space="0" w:color="auto"/>
              <w:right w:val="single" w:sz="4" w:space="0" w:color="auto"/>
            </w:tcBorders>
            <w:shd w:val="clear" w:color="auto" w:fill="auto"/>
            <w:noWrap/>
            <w:vAlign w:val="bottom"/>
            <w:hideMark/>
          </w:tcPr>
          <w:p w14:paraId="14C05290"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(95.8)</w:t>
            </w:r>
          </w:p>
        </w:tc>
        <w:tc>
          <w:tcPr>
            <w:tcW w:w="0" w:type="auto"/>
            <w:tcBorders>
              <w:top w:val="nil"/>
              <w:left w:val="nil"/>
              <w:bottom w:val="single" w:sz="4" w:space="0" w:color="auto"/>
              <w:right w:val="single" w:sz="4" w:space="0" w:color="auto"/>
            </w:tcBorders>
            <w:shd w:val="clear" w:color="auto" w:fill="auto"/>
            <w:noWrap/>
            <w:vAlign w:val="bottom"/>
            <w:hideMark/>
          </w:tcPr>
          <w:p w14:paraId="312C1A42"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03F81572"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5F5B641E"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501CCB75"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7BB62B4E"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16A84D71"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51AFB680"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5CF92D28"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5E463D82"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47B2863C"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26D475C1"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64%</w:t>
            </w:r>
          </w:p>
        </w:tc>
      </w:tr>
      <w:tr w:rsidR="0067156B" w:rsidRPr="00BA48F1" w14:paraId="56C24B0E" w14:textId="77777777" w:rsidTr="0067156B">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AA82009"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HADLEY</w:t>
            </w:r>
          </w:p>
        </w:tc>
        <w:tc>
          <w:tcPr>
            <w:tcW w:w="0" w:type="auto"/>
            <w:tcBorders>
              <w:top w:val="nil"/>
              <w:left w:val="nil"/>
              <w:bottom w:val="single" w:sz="4" w:space="0" w:color="auto"/>
              <w:right w:val="single" w:sz="4" w:space="0" w:color="auto"/>
            </w:tcBorders>
            <w:shd w:val="clear" w:color="auto" w:fill="auto"/>
            <w:noWrap/>
            <w:vAlign w:val="bottom"/>
            <w:hideMark/>
          </w:tcPr>
          <w:p w14:paraId="2EE1C4CC"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125</w:t>
            </w:r>
          </w:p>
        </w:tc>
        <w:tc>
          <w:tcPr>
            <w:tcW w:w="0" w:type="auto"/>
            <w:tcBorders>
              <w:top w:val="nil"/>
              <w:left w:val="nil"/>
              <w:bottom w:val="single" w:sz="4" w:space="0" w:color="auto"/>
              <w:right w:val="single" w:sz="4" w:space="0" w:color="auto"/>
            </w:tcBorders>
            <w:shd w:val="clear" w:color="auto" w:fill="auto"/>
            <w:noWrap/>
            <w:vAlign w:val="bottom"/>
            <w:hideMark/>
          </w:tcPr>
          <w:p w14:paraId="2647A38C"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61</w:t>
            </w:r>
          </w:p>
        </w:tc>
        <w:tc>
          <w:tcPr>
            <w:tcW w:w="0" w:type="auto"/>
            <w:tcBorders>
              <w:top w:val="nil"/>
              <w:left w:val="nil"/>
              <w:bottom w:val="single" w:sz="4" w:space="0" w:color="auto"/>
              <w:right w:val="single" w:sz="4" w:space="0" w:color="auto"/>
            </w:tcBorders>
            <w:shd w:val="clear" w:color="auto" w:fill="auto"/>
            <w:noWrap/>
            <w:vAlign w:val="bottom"/>
            <w:hideMark/>
          </w:tcPr>
          <w:p w14:paraId="2559F8BE"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49%</w:t>
            </w:r>
          </w:p>
        </w:tc>
        <w:tc>
          <w:tcPr>
            <w:tcW w:w="0" w:type="auto"/>
            <w:tcBorders>
              <w:top w:val="nil"/>
              <w:left w:val="nil"/>
              <w:bottom w:val="single" w:sz="4" w:space="0" w:color="auto"/>
              <w:right w:val="single" w:sz="4" w:space="0" w:color="auto"/>
            </w:tcBorders>
            <w:shd w:val="clear" w:color="auto" w:fill="auto"/>
            <w:noWrap/>
            <w:vAlign w:val="bottom"/>
            <w:hideMark/>
          </w:tcPr>
          <w:p w14:paraId="07A8646C"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61</w:t>
            </w:r>
          </w:p>
        </w:tc>
        <w:tc>
          <w:tcPr>
            <w:tcW w:w="0" w:type="auto"/>
            <w:tcBorders>
              <w:top w:val="nil"/>
              <w:left w:val="nil"/>
              <w:bottom w:val="single" w:sz="4" w:space="0" w:color="auto"/>
              <w:right w:val="single" w:sz="4" w:space="0" w:color="auto"/>
            </w:tcBorders>
            <w:shd w:val="clear" w:color="auto" w:fill="auto"/>
            <w:noWrap/>
            <w:vAlign w:val="bottom"/>
            <w:hideMark/>
          </w:tcPr>
          <w:p w14:paraId="62213D14"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(100.0)</w:t>
            </w:r>
          </w:p>
        </w:tc>
        <w:tc>
          <w:tcPr>
            <w:tcW w:w="0" w:type="auto"/>
            <w:tcBorders>
              <w:top w:val="nil"/>
              <w:left w:val="nil"/>
              <w:bottom w:val="single" w:sz="4" w:space="0" w:color="auto"/>
              <w:right w:val="single" w:sz="4" w:space="0" w:color="auto"/>
            </w:tcBorders>
            <w:shd w:val="clear" w:color="auto" w:fill="auto"/>
            <w:noWrap/>
            <w:vAlign w:val="bottom"/>
            <w:hideMark/>
          </w:tcPr>
          <w:p w14:paraId="30310ACC"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6478087A"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6BEA1E63"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0F9CB5A7"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09F17A8C"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0FF70D27"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13C03ECD"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513609B3"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211EFFF5"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3D4E0B02"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76091D9F"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59%</w:t>
            </w:r>
          </w:p>
        </w:tc>
      </w:tr>
      <w:tr w:rsidR="0067156B" w:rsidRPr="00BA48F1" w14:paraId="57BB4CFA" w14:textId="77777777" w:rsidTr="0067156B">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6C6404F"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HALIFAX</w:t>
            </w:r>
          </w:p>
        </w:tc>
        <w:tc>
          <w:tcPr>
            <w:tcW w:w="0" w:type="auto"/>
            <w:tcBorders>
              <w:top w:val="nil"/>
              <w:left w:val="nil"/>
              <w:bottom w:val="single" w:sz="4" w:space="0" w:color="auto"/>
              <w:right w:val="single" w:sz="4" w:space="0" w:color="auto"/>
            </w:tcBorders>
            <w:shd w:val="clear" w:color="auto" w:fill="auto"/>
            <w:noWrap/>
            <w:vAlign w:val="bottom"/>
            <w:hideMark/>
          </w:tcPr>
          <w:p w14:paraId="2E9E09F1"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248</w:t>
            </w:r>
          </w:p>
        </w:tc>
        <w:tc>
          <w:tcPr>
            <w:tcW w:w="0" w:type="auto"/>
            <w:tcBorders>
              <w:top w:val="nil"/>
              <w:left w:val="nil"/>
              <w:bottom w:val="single" w:sz="4" w:space="0" w:color="auto"/>
              <w:right w:val="single" w:sz="4" w:space="0" w:color="auto"/>
            </w:tcBorders>
            <w:shd w:val="clear" w:color="auto" w:fill="auto"/>
            <w:noWrap/>
            <w:vAlign w:val="bottom"/>
            <w:hideMark/>
          </w:tcPr>
          <w:p w14:paraId="7FF0241C"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183</w:t>
            </w:r>
          </w:p>
        </w:tc>
        <w:tc>
          <w:tcPr>
            <w:tcW w:w="0" w:type="auto"/>
            <w:tcBorders>
              <w:top w:val="nil"/>
              <w:left w:val="nil"/>
              <w:bottom w:val="single" w:sz="4" w:space="0" w:color="auto"/>
              <w:right w:val="single" w:sz="4" w:space="0" w:color="auto"/>
            </w:tcBorders>
            <w:shd w:val="clear" w:color="auto" w:fill="auto"/>
            <w:noWrap/>
            <w:vAlign w:val="bottom"/>
            <w:hideMark/>
          </w:tcPr>
          <w:p w14:paraId="3AA643E7"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74%</w:t>
            </w:r>
          </w:p>
        </w:tc>
        <w:tc>
          <w:tcPr>
            <w:tcW w:w="0" w:type="auto"/>
            <w:tcBorders>
              <w:top w:val="nil"/>
              <w:left w:val="nil"/>
              <w:bottom w:val="single" w:sz="4" w:space="0" w:color="auto"/>
              <w:right w:val="single" w:sz="4" w:space="0" w:color="auto"/>
            </w:tcBorders>
            <w:shd w:val="clear" w:color="auto" w:fill="auto"/>
            <w:noWrap/>
            <w:vAlign w:val="bottom"/>
            <w:hideMark/>
          </w:tcPr>
          <w:p w14:paraId="1787C6F8"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183</w:t>
            </w:r>
          </w:p>
        </w:tc>
        <w:tc>
          <w:tcPr>
            <w:tcW w:w="0" w:type="auto"/>
            <w:tcBorders>
              <w:top w:val="nil"/>
              <w:left w:val="nil"/>
              <w:bottom w:val="single" w:sz="4" w:space="0" w:color="auto"/>
              <w:right w:val="single" w:sz="4" w:space="0" w:color="auto"/>
            </w:tcBorders>
            <w:shd w:val="clear" w:color="auto" w:fill="auto"/>
            <w:noWrap/>
            <w:vAlign w:val="bottom"/>
            <w:hideMark/>
          </w:tcPr>
          <w:p w14:paraId="4EE8C799"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(100.0)</w:t>
            </w:r>
          </w:p>
        </w:tc>
        <w:tc>
          <w:tcPr>
            <w:tcW w:w="0" w:type="auto"/>
            <w:tcBorders>
              <w:top w:val="nil"/>
              <w:left w:val="nil"/>
              <w:bottom w:val="single" w:sz="4" w:space="0" w:color="auto"/>
              <w:right w:val="single" w:sz="4" w:space="0" w:color="auto"/>
            </w:tcBorders>
            <w:shd w:val="clear" w:color="auto" w:fill="auto"/>
            <w:noWrap/>
            <w:vAlign w:val="bottom"/>
            <w:hideMark/>
          </w:tcPr>
          <w:p w14:paraId="533E1890"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1041404E"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324CAAB5"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423DA856"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526FC920"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2583C152"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4A9C2175"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62BC67F5"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70ED15C4"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5268F265"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1F27DFA4"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50%</w:t>
            </w:r>
          </w:p>
        </w:tc>
      </w:tr>
      <w:tr w:rsidR="0067156B" w:rsidRPr="00BA48F1" w14:paraId="64BFC107" w14:textId="77777777" w:rsidTr="0067156B">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784E7B7"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HAMILTON</w:t>
            </w:r>
          </w:p>
        </w:tc>
        <w:tc>
          <w:tcPr>
            <w:tcW w:w="0" w:type="auto"/>
            <w:tcBorders>
              <w:top w:val="nil"/>
              <w:left w:val="nil"/>
              <w:bottom w:val="single" w:sz="4" w:space="0" w:color="auto"/>
              <w:right w:val="single" w:sz="4" w:space="0" w:color="auto"/>
            </w:tcBorders>
            <w:shd w:val="clear" w:color="auto" w:fill="auto"/>
            <w:noWrap/>
            <w:vAlign w:val="bottom"/>
            <w:hideMark/>
          </w:tcPr>
          <w:p w14:paraId="50BA299A"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266</w:t>
            </w:r>
          </w:p>
        </w:tc>
        <w:tc>
          <w:tcPr>
            <w:tcW w:w="0" w:type="auto"/>
            <w:tcBorders>
              <w:top w:val="nil"/>
              <w:left w:val="nil"/>
              <w:bottom w:val="single" w:sz="4" w:space="0" w:color="auto"/>
              <w:right w:val="single" w:sz="4" w:space="0" w:color="auto"/>
            </w:tcBorders>
            <w:shd w:val="clear" w:color="auto" w:fill="auto"/>
            <w:noWrap/>
            <w:vAlign w:val="bottom"/>
            <w:hideMark/>
          </w:tcPr>
          <w:p w14:paraId="10DAD5C9"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222</w:t>
            </w:r>
          </w:p>
        </w:tc>
        <w:tc>
          <w:tcPr>
            <w:tcW w:w="0" w:type="auto"/>
            <w:tcBorders>
              <w:top w:val="nil"/>
              <w:left w:val="nil"/>
              <w:bottom w:val="single" w:sz="4" w:space="0" w:color="auto"/>
              <w:right w:val="single" w:sz="4" w:space="0" w:color="auto"/>
            </w:tcBorders>
            <w:shd w:val="clear" w:color="auto" w:fill="auto"/>
            <w:noWrap/>
            <w:vAlign w:val="bottom"/>
            <w:hideMark/>
          </w:tcPr>
          <w:p w14:paraId="36483585"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83%</w:t>
            </w:r>
          </w:p>
        </w:tc>
        <w:tc>
          <w:tcPr>
            <w:tcW w:w="0" w:type="auto"/>
            <w:tcBorders>
              <w:top w:val="nil"/>
              <w:left w:val="nil"/>
              <w:bottom w:val="single" w:sz="4" w:space="0" w:color="auto"/>
              <w:right w:val="single" w:sz="4" w:space="0" w:color="auto"/>
            </w:tcBorders>
            <w:shd w:val="clear" w:color="auto" w:fill="auto"/>
            <w:noWrap/>
            <w:vAlign w:val="bottom"/>
            <w:hideMark/>
          </w:tcPr>
          <w:p w14:paraId="0B39FD52"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221</w:t>
            </w:r>
          </w:p>
        </w:tc>
        <w:tc>
          <w:tcPr>
            <w:tcW w:w="0" w:type="auto"/>
            <w:tcBorders>
              <w:top w:val="nil"/>
              <w:left w:val="nil"/>
              <w:bottom w:val="single" w:sz="4" w:space="0" w:color="auto"/>
              <w:right w:val="single" w:sz="4" w:space="0" w:color="auto"/>
            </w:tcBorders>
            <w:shd w:val="clear" w:color="auto" w:fill="auto"/>
            <w:noWrap/>
            <w:vAlign w:val="bottom"/>
            <w:hideMark/>
          </w:tcPr>
          <w:p w14:paraId="4AB7E9A3"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(99.5)</w:t>
            </w:r>
          </w:p>
        </w:tc>
        <w:tc>
          <w:tcPr>
            <w:tcW w:w="0" w:type="auto"/>
            <w:tcBorders>
              <w:top w:val="nil"/>
              <w:left w:val="nil"/>
              <w:bottom w:val="single" w:sz="4" w:space="0" w:color="auto"/>
              <w:right w:val="single" w:sz="4" w:space="0" w:color="auto"/>
            </w:tcBorders>
            <w:shd w:val="clear" w:color="auto" w:fill="auto"/>
            <w:noWrap/>
            <w:vAlign w:val="bottom"/>
            <w:hideMark/>
          </w:tcPr>
          <w:p w14:paraId="0C8AEA8F"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48552958"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061FF40E"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12E283D2"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16E7D4C0"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56D98BD6"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72D67285"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27F45A18"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64311545"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4A09EE01"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79FC7274"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75%</w:t>
            </w:r>
          </w:p>
        </w:tc>
      </w:tr>
      <w:tr w:rsidR="0067156B" w:rsidRPr="00BA48F1" w14:paraId="7720768D" w14:textId="77777777" w:rsidTr="0067156B">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B5D112C"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HAMPDEN</w:t>
            </w:r>
          </w:p>
        </w:tc>
        <w:tc>
          <w:tcPr>
            <w:tcW w:w="0" w:type="auto"/>
            <w:tcBorders>
              <w:top w:val="nil"/>
              <w:left w:val="nil"/>
              <w:bottom w:val="single" w:sz="4" w:space="0" w:color="auto"/>
              <w:right w:val="single" w:sz="4" w:space="0" w:color="auto"/>
            </w:tcBorders>
            <w:shd w:val="clear" w:color="auto" w:fill="auto"/>
            <w:noWrap/>
            <w:vAlign w:val="bottom"/>
            <w:hideMark/>
          </w:tcPr>
          <w:p w14:paraId="2C68807B"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106</w:t>
            </w:r>
          </w:p>
        </w:tc>
        <w:tc>
          <w:tcPr>
            <w:tcW w:w="0" w:type="auto"/>
            <w:tcBorders>
              <w:top w:val="nil"/>
              <w:left w:val="nil"/>
              <w:bottom w:val="single" w:sz="4" w:space="0" w:color="auto"/>
              <w:right w:val="single" w:sz="4" w:space="0" w:color="auto"/>
            </w:tcBorders>
            <w:shd w:val="clear" w:color="auto" w:fill="auto"/>
            <w:noWrap/>
            <w:vAlign w:val="bottom"/>
            <w:hideMark/>
          </w:tcPr>
          <w:p w14:paraId="4015AAB4"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61</w:t>
            </w:r>
          </w:p>
        </w:tc>
        <w:tc>
          <w:tcPr>
            <w:tcW w:w="0" w:type="auto"/>
            <w:tcBorders>
              <w:top w:val="nil"/>
              <w:left w:val="nil"/>
              <w:bottom w:val="single" w:sz="4" w:space="0" w:color="auto"/>
              <w:right w:val="single" w:sz="4" w:space="0" w:color="auto"/>
            </w:tcBorders>
            <w:shd w:val="clear" w:color="auto" w:fill="auto"/>
            <w:noWrap/>
            <w:vAlign w:val="bottom"/>
            <w:hideMark/>
          </w:tcPr>
          <w:p w14:paraId="1A4281D3"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58%</w:t>
            </w:r>
          </w:p>
        </w:tc>
        <w:tc>
          <w:tcPr>
            <w:tcW w:w="0" w:type="auto"/>
            <w:tcBorders>
              <w:top w:val="nil"/>
              <w:left w:val="nil"/>
              <w:bottom w:val="single" w:sz="4" w:space="0" w:color="auto"/>
              <w:right w:val="single" w:sz="4" w:space="0" w:color="auto"/>
            </w:tcBorders>
            <w:shd w:val="clear" w:color="auto" w:fill="auto"/>
            <w:noWrap/>
            <w:vAlign w:val="bottom"/>
            <w:hideMark/>
          </w:tcPr>
          <w:p w14:paraId="047B4B9B"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61</w:t>
            </w:r>
          </w:p>
        </w:tc>
        <w:tc>
          <w:tcPr>
            <w:tcW w:w="0" w:type="auto"/>
            <w:tcBorders>
              <w:top w:val="nil"/>
              <w:left w:val="nil"/>
              <w:bottom w:val="single" w:sz="4" w:space="0" w:color="auto"/>
              <w:right w:val="single" w:sz="4" w:space="0" w:color="auto"/>
            </w:tcBorders>
            <w:shd w:val="clear" w:color="auto" w:fill="auto"/>
            <w:noWrap/>
            <w:vAlign w:val="bottom"/>
            <w:hideMark/>
          </w:tcPr>
          <w:p w14:paraId="09102585"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(100.0)</w:t>
            </w:r>
          </w:p>
        </w:tc>
        <w:tc>
          <w:tcPr>
            <w:tcW w:w="0" w:type="auto"/>
            <w:tcBorders>
              <w:top w:val="nil"/>
              <w:left w:val="nil"/>
              <w:bottom w:val="single" w:sz="4" w:space="0" w:color="auto"/>
              <w:right w:val="single" w:sz="4" w:space="0" w:color="auto"/>
            </w:tcBorders>
            <w:shd w:val="clear" w:color="auto" w:fill="auto"/>
            <w:noWrap/>
            <w:vAlign w:val="bottom"/>
            <w:hideMark/>
          </w:tcPr>
          <w:p w14:paraId="4B7C193C"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72E0FC4B"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3C3BBFDC"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5B3C2314"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2D1A8D09"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6EA152C8"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3DF1AB8E"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7B4F4BD0"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2C1C539D"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55C07AFC"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543B044A"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75%</w:t>
            </w:r>
          </w:p>
        </w:tc>
      </w:tr>
      <w:tr w:rsidR="0067156B" w:rsidRPr="00BA48F1" w14:paraId="30D734DC" w14:textId="77777777" w:rsidTr="0067156B">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371001A"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HANCOCK</w:t>
            </w:r>
          </w:p>
        </w:tc>
        <w:tc>
          <w:tcPr>
            <w:tcW w:w="0" w:type="auto"/>
            <w:tcBorders>
              <w:top w:val="nil"/>
              <w:left w:val="nil"/>
              <w:bottom w:val="single" w:sz="4" w:space="0" w:color="auto"/>
              <w:right w:val="single" w:sz="4" w:space="0" w:color="auto"/>
            </w:tcBorders>
            <w:shd w:val="clear" w:color="auto" w:fill="auto"/>
            <w:noWrap/>
            <w:vAlign w:val="bottom"/>
            <w:hideMark/>
          </w:tcPr>
          <w:p w14:paraId="111DA91C"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18</w:t>
            </w:r>
          </w:p>
        </w:tc>
        <w:tc>
          <w:tcPr>
            <w:tcW w:w="0" w:type="auto"/>
            <w:tcBorders>
              <w:top w:val="nil"/>
              <w:left w:val="nil"/>
              <w:bottom w:val="single" w:sz="4" w:space="0" w:color="auto"/>
              <w:right w:val="single" w:sz="4" w:space="0" w:color="auto"/>
            </w:tcBorders>
            <w:shd w:val="clear" w:color="auto" w:fill="auto"/>
            <w:noWrap/>
            <w:vAlign w:val="bottom"/>
            <w:hideMark/>
          </w:tcPr>
          <w:p w14:paraId="39ED4B79"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11</w:t>
            </w:r>
          </w:p>
        </w:tc>
        <w:tc>
          <w:tcPr>
            <w:tcW w:w="0" w:type="auto"/>
            <w:tcBorders>
              <w:top w:val="nil"/>
              <w:left w:val="nil"/>
              <w:bottom w:val="single" w:sz="4" w:space="0" w:color="auto"/>
              <w:right w:val="single" w:sz="4" w:space="0" w:color="auto"/>
            </w:tcBorders>
            <w:shd w:val="clear" w:color="auto" w:fill="auto"/>
            <w:noWrap/>
            <w:vAlign w:val="bottom"/>
            <w:hideMark/>
          </w:tcPr>
          <w:p w14:paraId="5F75328D"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61%</w:t>
            </w:r>
          </w:p>
        </w:tc>
        <w:tc>
          <w:tcPr>
            <w:tcW w:w="0" w:type="auto"/>
            <w:tcBorders>
              <w:top w:val="nil"/>
              <w:left w:val="nil"/>
              <w:bottom w:val="single" w:sz="4" w:space="0" w:color="auto"/>
              <w:right w:val="single" w:sz="4" w:space="0" w:color="auto"/>
            </w:tcBorders>
            <w:shd w:val="clear" w:color="auto" w:fill="auto"/>
            <w:noWrap/>
            <w:vAlign w:val="bottom"/>
            <w:hideMark/>
          </w:tcPr>
          <w:p w14:paraId="2E214402"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11</w:t>
            </w:r>
          </w:p>
        </w:tc>
        <w:tc>
          <w:tcPr>
            <w:tcW w:w="0" w:type="auto"/>
            <w:tcBorders>
              <w:top w:val="nil"/>
              <w:left w:val="nil"/>
              <w:bottom w:val="single" w:sz="4" w:space="0" w:color="auto"/>
              <w:right w:val="single" w:sz="4" w:space="0" w:color="auto"/>
            </w:tcBorders>
            <w:shd w:val="clear" w:color="auto" w:fill="auto"/>
            <w:noWrap/>
            <w:vAlign w:val="bottom"/>
            <w:hideMark/>
          </w:tcPr>
          <w:p w14:paraId="4D3AD313"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(100.0)</w:t>
            </w:r>
          </w:p>
        </w:tc>
        <w:tc>
          <w:tcPr>
            <w:tcW w:w="0" w:type="auto"/>
            <w:tcBorders>
              <w:top w:val="nil"/>
              <w:left w:val="nil"/>
              <w:bottom w:val="single" w:sz="4" w:space="0" w:color="auto"/>
              <w:right w:val="single" w:sz="4" w:space="0" w:color="auto"/>
            </w:tcBorders>
            <w:shd w:val="clear" w:color="auto" w:fill="auto"/>
            <w:noWrap/>
            <w:vAlign w:val="bottom"/>
            <w:hideMark/>
          </w:tcPr>
          <w:p w14:paraId="64C04B47"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4014D8A8"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7AC87427"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771CF52D"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2CF6A6AD"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0D6500E9"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76E097C0"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212A87EE"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77AD6D94"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5351C8D7"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0392C689"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42%</w:t>
            </w:r>
          </w:p>
        </w:tc>
      </w:tr>
      <w:tr w:rsidR="0067156B" w:rsidRPr="00BA48F1" w14:paraId="63B9F224" w14:textId="77777777" w:rsidTr="0067156B">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B13B383"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HANOVER</w:t>
            </w:r>
          </w:p>
        </w:tc>
        <w:tc>
          <w:tcPr>
            <w:tcW w:w="0" w:type="auto"/>
            <w:tcBorders>
              <w:top w:val="nil"/>
              <w:left w:val="nil"/>
              <w:bottom w:val="single" w:sz="4" w:space="0" w:color="auto"/>
              <w:right w:val="single" w:sz="4" w:space="0" w:color="auto"/>
            </w:tcBorders>
            <w:shd w:val="clear" w:color="auto" w:fill="auto"/>
            <w:noWrap/>
            <w:vAlign w:val="bottom"/>
            <w:hideMark/>
          </w:tcPr>
          <w:p w14:paraId="4DDA8F64"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473</w:t>
            </w:r>
          </w:p>
        </w:tc>
        <w:tc>
          <w:tcPr>
            <w:tcW w:w="0" w:type="auto"/>
            <w:tcBorders>
              <w:top w:val="nil"/>
              <w:left w:val="nil"/>
              <w:bottom w:val="single" w:sz="4" w:space="0" w:color="auto"/>
              <w:right w:val="single" w:sz="4" w:space="0" w:color="auto"/>
            </w:tcBorders>
            <w:shd w:val="clear" w:color="auto" w:fill="auto"/>
            <w:noWrap/>
            <w:vAlign w:val="bottom"/>
            <w:hideMark/>
          </w:tcPr>
          <w:p w14:paraId="54BBD142"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394</w:t>
            </w:r>
          </w:p>
        </w:tc>
        <w:tc>
          <w:tcPr>
            <w:tcW w:w="0" w:type="auto"/>
            <w:tcBorders>
              <w:top w:val="nil"/>
              <w:left w:val="nil"/>
              <w:bottom w:val="single" w:sz="4" w:space="0" w:color="auto"/>
              <w:right w:val="single" w:sz="4" w:space="0" w:color="auto"/>
            </w:tcBorders>
            <w:shd w:val="clear" w:color="auto" w:fill="auto"/>
            <w:noWrap/>
            <w:vAlign w:val="bottom"/>
            <w:hideMark/>
          </w:tcPr>
          <w:p w14:paraId="4457BA53"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83%</w:t>
            </w:r>
          </w:p>
        </w:tc>
        <w:tc>
          <w:tcPr>
            <w:tcW w:w="0" w:type="auto"/>
            <w:tcBorders>
              <w:top w:val="nil"/>
              <w:left w:val="nil"/>
              <w:bottom w:val="single" w:sz="4" w:space="0" w:color="auto"/>
              <w:right w:val="single" w:sz="4" w:space="0" w:color="auto"/>
            </w:tcBorders>
            <w:shd w:val="clear" w:color="auto" w:fill="auto"/>
            <w:noWrap/>
            <w:vAlign w:val="bottom"/>
            <w:hideMark/>
          </w:tcPr>
          <w:p w14:paraId="7493EAD3"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390</w:t>
            </w:r>
          </w:p>
        </w:tc>
        <w:tc>
          <w:tcPr>
            <w:tcW w:w="0" w:type="auto"/>
            <w:tcBorders>
              <w:top w:val="nil"/>
              <w:left w:val="nil"/>
              <w:bottom w:val="single" w:sz="4" w:space="0" w:color="auto"/>
              <w:right w:val="single" w:sz="4" w:space="0" w:color="auto"/>
            </w:tcBorders>
            <w:shd w:val="clear" w:color="auto" w:fill="auto"/>
            <w:noWrap/>
            <w:vAlign w:val="bottom"/>
            <w:hideMark/>
          </w:tcPr>
          <w:p w14:paraId="69A49756"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(99.0)</w:t>
            </w:r>
          </w:p>
        </w:tc>
        <w:tc>
          <w:tcPr>
            <w:tcW w:w="0" w:type="auto"/>
            <w:tcBorders>
              <w:top w:val="nil"/>
              <w:left w:val="nil"/>
              <w:bottom w:val="single" w:sz="4" w:space="0" w:color="auto"/>
              <w:right w:val="single" w:sz="4" w:space="0" w:color="auto"/>
            </w:tcBorders>
            <w:shd w:val="clear" w:color="auto" w:fill="auto"/>
            <w:noWrap/>
            <w:vAlign w:val="bottom"/>
            <w:hideMark/>
          </w:tcPr>
          <w:p w14:paraId="6A4EB3A7"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684EFFB5"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39B4AE20"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6388E6A0"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160482A3"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46145A04"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15CE2B24"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2159B5D5"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09A1773C"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1267FDE2"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3A838CB6"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64%</w:t>
            </w:r>
          </w:p>
        </w:tc>
      </w:tr>
      <w:tr w:rsidR="0067156B" w:rsidRPr="00BA48F1" w14:paraId="08314F70" w14:textId="77777777" w:rsidTr="0067156B">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F8B289D"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HANSON</w:t>
            </w:r>
          </w:p>
        </w:tc>
        <w:tc>
          <w:tcPr>
            <w:tcW w:w="0" w:type="auto"/>
            <w:tcBorders>
              <w:top w:val="nil"/>
              <w:left w:val="nil"/>
              <w:bottom w:val="single" w:sz="4" w:space="0" w:color="auto"/>
              <w:right w:val="single" w:sz="4" w:space="0" w:color="auto"/>
            </w:tcBorders>
            <w:shd w:val="clear" w:color="auto" w:fill="auto"/>
            <w:noWrap/>
            <w:vAlign w:val="bottom"/>
            <w:hideMark/>
          </w:tcPr>
          <w:p w14:paraId="48A2118F"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335</w:t>
            </w:r>
          </w:p>
        </w:tc>
        <w:tc>
          <w:tcPr>
            <w:tcW w:w="0" w:type="auto"/>
            <w:tcBorders>
              <w:top w:val="nil"/>
              <w:left w:val="nil"/>
              <w:bottom w:val="single" w:sz="4" w:space="0" w:color="auto"/>
              <w:right w:val="single" w:sz="4" w:space="0" w:color="auto"/>
            </w:tcBorders>
            <w:shd w:val="clear" w:color="auto" w:fill="auto"/>
            <w:noWrap/>
            <w:vAlign w:val="bottom"/>
            <w:hideMark/>
          </w:tcPr>
          <w:p w14:paraId="0C8884FA"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230</w:t>
            </w:r>
          </w:p>
        </w:tc>
        <w:tc>
          <w:tcPr>
            <w:tcW w:w="0" w:type="auto"/>
            <w:tcBorders>
              <w:top w:val="nil"/>
              <w:left w:val="nil"/>
              <w:bottom w:val="single" w:sz="4" w:space="0" w:color="auto"/>
              <w:right w:val="single" w:sz="4" w:space="0" w:color="auto"/>
            </w:tcBorders>
            <w:shd w:val="clear" w:color="auto" w:fill="auto"/>
            <w:noWrap/>
            <w:vAlign w:val="bottom"/>
            <w:hideMark/>
          </w:tcPr>
          <w:p w14:paraId="6C621F1E"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69%</w:t>
            </w:r>
          </w:p>
        </w:tc>
        <w:tc>
          <w:tcPr>
            <w:tcW w:w="0" w:type="auto"/>
            <w:tcBorders>
              <w:top w:val="nil"/>
              <w:left w:val="nil"/>
              <w:bottom w:val="single" w:sz="4" w:space="0" w:color="auto"/>
              <w:right w:val="single" w:sz="4" w:space="0" w:color="auto"/>
            </w:tcBorders>
            <w:shd w:val="clear" w:color="auto" w:fill="auto"/>
            <w:noWrap/>
            <w:vAlign w:val="bottom"/>
            <w:hideMark/>
          </w:tcPr>
          <w:p w14:paraId="0B50B9DD"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228</w:t>
            </w:r>
          </w:p>
        </w:tc>
        <w:tc>
          <w:tcPr>
            <w:tcW w:w="0" w:type="auto"/>
            <w:tcBorders>
              <w:top w:val="nil"/>
              <w:left w:val="nil"/>
              <w:bottom w:val="single" w:sz="4" w:space="0" w:color="auto"/>
              <w:right w:val="single" w:sz="4" w:space="0" w:color="auto"/>
            </w:tcBorders>
            <w:shd w:val="clear" w:color="auto" w:fill="auto"/>
            <w:noWrap/>
            <w:vAlign w:val="bottom"/>
            <w:hideMark/>
          </w:tcPr>
          <w:p w14:paraId="32F6FF6B"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(99.1)</w:t>
            </w:r>
          </w:p>
        </w:tc>
        <w:tc>
          <w:tcPr>
            <w:tcW w:w="0" w:type="auto"/>
            <w:tcBorders>
              <w:top w:val="nil"/>
              <w:left w:val="nil"/>
              <w:bottom w:val="single" w:sz="4" w:space="0" w:color="auto"/>
              <w:right w:val="single" w:sz="4" w:space="0" w:color="auto"/>
            </w:tcBorders>
            <w:shd w:val="clear" w:color="auto" w:fill="auto"/>
            <w:noWrap/>
            <w:vAlign w:val="bottom"/>
            <w:hideMark/>
          </w:tcPr>
          <w:p w14:paraId="48B1852F"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5D4F49B1"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45CB018A"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1806D6BD"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5968CEB3"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24CE9227"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23C9B5F1"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0C5594E1"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4A3D234D"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26801738"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1B077572"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62%</w:t>
            </w:r>
          </w:p>
        </w:tc>
      </w:tr>
      <w:tr w:rsidR="0067156B" w:rsidRPr="00BA48F1" w14:paraId="3A627462" w14:textId="77777777" w:rsidTr="0067156B">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6C137EE"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HARDWICK</w:t>
            </w:r>
          </w:p>
        </w:tc>
        <w:tc>
          <w:tcPr>
            <w:tcW w:w="0" w:type="auto"/>
            <w:tcBorders>
              <w:top w:val="nil"/>
              <w:left w:val="nil"/>
              <w:bottom w:val="single" w:sz="4" w:space="0" w:color="auto"/>
              <w:right w:val="single" w:sz="4" w:space="0" w:color="auto"/>
            </w:tcBorders>
            <w:shd w:val="clear" w:color="auto" w:fill="auto"/>
            <w:noWrap/>
            <w:vAlign w:val="bottom"/>
            <w:hideMark/>
          </w:tcPr>
          <w:p w14:paraId="1D8B80CD"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124</w:t>
            </w:r>
          </w:p>
        </w:tc>
        <w:tc>
          <w:tcPr>
            <w:tcW w:w="0" w:type="auto"/>
            <w:tcBorders>
              <w:top w:val="nil"/>
              <w:left w:val="nil"/>
              <w:bottom w:val="single" w:sz="4" w:space="0" w:color="auto"/>
              <w:right w:val="single" w:sz="4" w:space="0" w:color="auto"/>
            </w:tcBorders>
            <w:shd w:val="clear" w:color="auto" w:fill="auto"/>
            <w:noWrap/>
            <w:vAlign w:val="bottom"/>
            <w:hideMark/>
          </w:tcPr>
          <w:p w14:paraId="0BD8FC10"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35</w:t>
            </w:r>
          </w:p>
        </w:tc>
        <w:tc>
          <w:tcPr>
            <w:tcW w:w="0" w:type="auto"/>
            <w:tcBorders>
              <w:top w:val="nil"/>
              <w:left w:val="nil"/>
              <w:bottom w:val="single" w:sz="4" w:space="0" w:color="auto"/>
              <w:right w:val="single" w:sz="4" w:space="0" w:color="auto"/>
            </w:tcBorders>
            <w:shd w:val="clear" w:color="auto" w:fill="auto"/>
            <w:noWrap/>
            <w:vAlign w:val="bottom"/>
            <w:hideMark/>
          </w:tcPr>
          <w:p w14:paraId="1E4A9F26"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28%</w:t>
            </w:r>
          </w:p>
        </w:tc>
        <w:tc>
          <w:tcPr>
            <w:tcW w:w="0" w:type="auto"/>
            <w:tcBorders>
              <w:top w:val="nil"/>
              <w:left w:val="nil"/>
              <w:bottom w:val="single" w:sz="4" w:space="0" w:color="auto"/>
              <w:right w:val="single" w:sz="4" w:space="0" w:color="auto"/>
            </w:tcBorders>
            <w:shd w:val="clear" w:color="auto" w:fill="auto"/>
            <w:noWrap/>
            <w:vAlign w:val="bottom"/>
            <w:hideMark/>
          </w:tcPr>
          <w:p w14:paraId="2FC82429"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35</w:t>
            </w:r>
          </w:p>
        </w:tc>
        <w:tc>
          <w:tcPr>
            <w:tcW w:w="0" w:type="auto"/>
            <w:tcBorders>
              <w:top w:val="nil"/>
              <w:left w:val="nil"/>
              <w:bottom w:val="single" w:sz="4" w:space="0" w:color="auto"/>
              <w:right w:val="single" w:sz="4" w:space="0" w:color="auto"/>
            </w:tcBorders>
            <w:shd w:val="clear" w:color="auto" w:fill="auto"/>
            <w:noWrap/>
            <w:vAlign w:val="bottom"/>
            <w:hideMark/>
          </w:tcPr>
          <w:p w14:paraId="2C200AF1"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(100.0)</w:t>
            </w:r>
          </w:p>
        </w:tc>
        <w:tc>
          <w:tcPr>
            <w:tcW w:w="0" w:type="auto"/>
            <w:tcBorders>
              <w:top w:val="nil"/>
              <w:left w:val="nil"/>
              <w:bottom w:val="single" w:sz="4" w:space="0" w:color="auto"/>
              <w:right w:val="single" w:sz="4" w:space="0" w:color="auto"/>
            </w:tcBorders>
            <w:shd w:val="clear" w:color="auto" w:fill="auto"/>
            <w:noWrap/>
            <w:vAlign w:val="bottom"/>
            <w:hideMark/>
          </w:tcPr>
          <w:p w14:paraId="6450956B"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028109DC"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2B63E430"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3235BFCF"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530C45C9"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18DE04D7"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186C7743"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1427FFF0"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5D924F4F"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50F98195"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0EED22F3"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67%</w:t>
            </w:r>
          </w:p>
        </w:tc>
      </w:tr>
      <w:tr w:rsidR="0067156B" w:rsidRPr="00BA48F1" w14:paraId="19D9C3C8" w14:textId="77777777" w:rsidTr="0067156B">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E179E9A"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HARVARD</w:t>
            </w:r>
          </w:p>
        </w:tc>
        <w:tc>
          <w:tcPr>
            <w:tcW w:w="0" w:type="auto"/>
            <w:tcBorders>
              <w:top w:val="nil"/>
              <w:left w:val="nil"/>
              <w:bottom w:val="single" w:sz="4" w:space="0" w:color="auto"/>
              <w:right w:val="single" w:sz="4" w:space="0" w:color="auto"/>
            </w:tcBorders>
            <w:shd w:val="clear" w:color="auto" w:fill="auto"/>
            <w:noWrap/>
            <w:vAlign w:val="bottom"/>
            <w:hideMark/>
          </w:tcPr>
          <w:p w14:paraId="1B2C7355"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112</w:t>
            </w:r>
          </w:p>
        </w:tc>
        <w:tc>
          <w:tcPr>
            <w:tcW w:w="0" w:type="auto"/>
            <w:tcBorders>
              <w:top w:val="nil"/>
              <w:left w:val="nil"/>
              <w:bottom w:val="single" w:sz="4" w:space="0" w:color="auto"/>
              <w:right w:val="single" w:sz="4" w:space="0" w:color="auto"/>
            </w:tcBorders>
            <w:shd w:val="clear" w:color="auto" w:fill="auto"/>
            <w:noWrap/>
            <w:vAlign w:val="bottom"/>
            <w:hideMark/>
          </w:tcPr>
          <w:p w14:paraId="13514140"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81</w:t>
            </w:r>
          </w:p>
        </w:tc>
        <w:tc>
          <w:tcPr>
            <w:tcW w:w="0" w:type="auto"/>
            <w:tcBorders>
              <w:top w:val="nil"/>
              <w:left w:val="nil"/>
              <w:bottom w:val="single" w:sz="4" w:space="0" w:color="auto"/>
              <w:right w:val="single" w:sz="4" w:space="0" w:color="auto"/>
            </w:tcBorders>
            <w:shd w:val="clear" w:color="auto" w:fill="auto"/>
            <w:noWrap/>
            <w:vAlign w:val="bottom"/>
            <w:hideMark/>
          </w:tcPr>
          <w:p w14:paraId="2F40DEA9"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72%</w:t>
            </w:r>
          </w:p>
        </w:tc>
        <w:tc>
          <w:tcPr>
            <w:tcW w:w="0" w:type="auto"/>
            <w:tcBorders>
              <w:top w:val="nil"/>
              <w:left w:val="nil"/>
              <w:bottom w:val="single" w:sz="4" w:space="0" w:color="auto"/>
              <w:right w:val="single" w:sz="4" w:space="0" w:color="auto"/>
            </w:tcBorders>
            <w:shd w:val="clear" w:color="auto" w:fill="auto"/>
            <w:noWrap/>
            <w:vAlign w:val="bottom"/>
            <w:hideMark/>
          </w:tcPr>
          <w:p w14:paraId="66AACBE3"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80</w:t>
            </w:r>
          </w:p>
        </w:tc>
        <w:tc>
          <w:tcPr>
            <w:tcW w:w="0" w:type="auto"/>
            <w:tcBorders>
              <w:top w:val="nil"/>
              <w:left w:val="nil"/>
              <w:bottom w:val="single" w:sz="4" w:space="0" w:color="auto"/>
              <w:right w:val="single" w:sz="4" w:space="0" w:color="auto"/>
            </w:tcBorders>
            <w:shd w:val="clear" w:color="auto" w:fill="auto"/>
            <w:noWrap/>
            <w:vAlign w:val="bottom"/>
            <w:hideMark/>
          </w:tcPr>
          <w:p w14:paraId="415CC325"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(98.8)</w:t>
            </w:r>
          </w:p>
        </w:tc>
        <w:tc>
          <w:tcPr>
            <w:tcW w:w="0" w:type="auto"/>
            <w:tcBorders>
              <w:top w:val="nil"/>
              <w:left w:val="nil"/>
              <w:bottom w:val="single" w:sz="4" w:space="0" w:color="auto"/>
              <w:right w:val="single" w:sz="4" w:space="0" w:color="auto"/>
            </w:tcBorders>
            <w:shd w:val="clear" w:color="auto" w:fill="auto"/>
            <w:noWrap/>
            <w:vAlign w:val="bottom"/>
            <w:hideMark/>
          </w:tcPr>
          <w:p w14:paraId="1EB729B3"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73C787E6"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48B57485"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7443F6CB"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6E5FB9D6"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69693CC1"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054C9541"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6606899F"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23DA7CA5"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0FEC7E4A"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7EB5A722"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65%</w:t>
            </w:r>
          </w:p>
        </w:tc>
      </w:tr>
      <w:tr w:rsidR="0067156B" w:rsidRPr="00BA48F1" w14:paraId="42F6D258" w14:textId="77777777" w:rsidTr="0067156B">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2389005"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HARWICH</w:t>
            </w:r>
          </w:p>
        </w:tc>
        <w:tc>
          <w:tcPr>
            <w:tcW w:w="0" w:type="auto"/>
            <w:tcBorders>
              <w:top w:val="nil"/>
              <w:left w:val="nil"/>
              <w:bottom w:val="single" w:sz="4" w:space="0" w:color="auto"/>
              <w:right w:val="single" w:sz="4" w:space="0" w:color="auto"/>
            </w:tcBorders>
            <w:shd w:val="clear" w:color="auto" w:fill="auto"/>
            <w:noWrap/>
            <w:vAlign w:val="bottom"/>
            <w:hideMark/>
          </w:tcPr>
          <w:p w14:paraId="5EF9EAC7"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272</w:t>
            </w:r>
          </w:p>
        </w:tc>
        <w:tc>
          <w:tcPr>
            <w:tcW w:w="0" w:type="auto"/>
            <w:tcBorders>
              <w:top w:val="nil"/>
              <w:left w:val="nil"/>
              <w:bottom w:val="single" w:sz="4" w:space="0" w:color="auto"/>
              <w:right w:val="single" w:sz="4" w:space="0" w:color="auto"/>
            </w:tcBorders>
            <w:shd w:val="clear" w:color="auto" w:fill="auto"/>
            <w:noWrap/>
            <w:vAlign w:val="bottom"/>
            <w:hideMark/>
          </w:tcPr>
          <w:p w14:paraId="34B0C1C4"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165</w:t>
            </w:r>
          </w:p>
        </w:tc>
        <w:tc>
          <w:tcPr>
            <w:tcW w:w="0" w:type="auto"/>
            <w:tcBorders>
              <w:top w:val="nil"/>
              <w:left w:val="nil"/>
              <w:bottom w:val="single" w:sz="4" w:space="0" w:color="auto"/>
              <w:right w:val="single" w:sz="4" w:space="0" w:color="auto"/>
            </w:tcBorders>
            <w:shd w:val="clear" w:color="auto" w:fill="auto"/>
            <w:noWrap/>
            <w:vAlign w:val="bottom"/>
            <w:hideMark/>
          </w:tcPr>
          <w:p w14:paraId="7C063E23"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61%</w:t>
            </w:r>
          </w:p>
        </w:tc>
        <w:tc>
          <w:tcPr>
            <w:tcW w:w="0" w:type="auto"/>
            <w:tcBorders>
              <w:top w:val="nil"/>
              <w:left w:val="nil"/>
              <w:bottom w:val="single" w:sz="4" w:space="0" w:color="auto"/>
              <w:right w:val="single" w:sz="4" w:space="0" w:color="auto"/>
            </w:tcBorders>
            <w:shd w:val="clear" w:color="auto" w:fill="auto"/>
            <w:noWrap/>
            <w:vAlign w:val="bottom"/>
            <w:hideMark/>
          </w:tcPr>
          <w:p w14:paraId="168ABEED"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159</w:t>
            </w:r>
          </w:p>
        </w:tc>
        <w:tc>
          <w:tcPr>
            <w:tcW w:w="0" w:type="auto"/>
            <w:tcBorders>
              <w:top w:val="nil"/>
              <w:left w:val="nil"/>
              <w:bottom w:val="single" w:sz="4" w:space="0" w:color="auto"/>
              <w:right w:val="single" w:sz="4" w:space="0" w:color="auto"/>
            </w:tcBorders>
            <w:shd w:val="clear" w:color="auto" w:fill="auto"/>
            <w:noWrap/>
            <w:vAlign w:val="bottom"/>
            <w:hideMark/>
          </w:tcPr>
          <w:p w14:paraId="63CB4776"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(96.4)</w:t>
            </w:r>
          </w:p>
        </w:tc>
        <w:tc>
          <w:tcPr>
            <w:tcW w:w="0" w:type="auto"/>
            <w:tcBorders>
              <w:top w:val="nil"/>
              <w:left w:val="nil"/>
              <w:bottom w:val="single" w:sz="4" w:space="0" w:color="auto"/>
              <w:right w:val="single" w:sz="4" w:space="0" w:color="auto"/>
            </w:tcBorders>
            <w:shd w:val="clear" w:color="auto" w:fill="auto"/>
            <w:noWrap/>
            <w:vAlign w:val="bottom"/>
            <w:hideMark/>
          </w:tcPr>
          <w:p w14:paraId="08817102"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68D905DB"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68C2A23C"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0DD6C56C"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036069C0"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24C58FFE"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4A31C150"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71D2032F"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20D11C36"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1133FA18"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120E2038"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57%</w:t>
            </w:r>
          </w:p>
        </w:tc>
      </w:tr>
      <w:tr w:rsidR="0067156B" w:rsidRPr="00BA48F1" w14:paraId="2DEB183A" w14:textId="77777777" w:rsidTr="0067156B">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1F0572F"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HATFIELD</w:t>
            </w:r>
          </w:p>
        </w:tc>
        <w:tc>
          <w:tcPr>
            <w:tcW w:w="0" w:type="auto"/>
            <w:tcBorders>
              <w:top w:val="nil"/>
              <w:left w:val="nil"/>
              <w:bottom w:val="single" w:sz="4" w:space="0" w:color="auto"/>
              <w:right w:val="single" w:sz="4" w:space="0" w:color="auto"/>
            </w:tcBorders>
            <w:shd w:val="clear" w:color="auto" w:fill="auto"/>
            <w:noWrap/>
            <w:vAlign w:val="bottom"/>
            <w:hideMark/>
          </w:tcPr>
          <w:p w14:paraId="4C4D580D"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64</w:t>
            </w:r>
          </w:p>
        </w:tc>
        <w:tc>
          <w:tcPr>
            <w:tcW w:w="0" w:type="auto"/>
            <w:tcBorders>
              <w:top w:val="nil"/>
              <w:left w:val="nil"/>
              <w:bottom w:val="single" w:sz="4" w:space="0" w:color="auto"/>
              <w:right w:val="single" w:sz="4" w:space="0" w:color="auto"/>
            </w:tcBorders>
            <w:shd w:val="clear" w:color="auto" w:fill="auto"/>
            <w:noWrap/>
            <w:vAlign w:val="bottom"/>
            <w:hideMark/>
          </w:tcPr>
          <w:p w14:paraId="4E37CA7B"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37</w:t>
            </w:r>
          </w:p>
        </w:tc>
        <w:tc>
          <w:tcPr>
            <w:tcW w:w="0" w:type="auto"/>
            <w:tcBorders>
              <w:top w:val="nil"/>
              <w:left w:val="nil"/>
              <w:bottom w:val="single" w:sz="4" w:space="0" w:color="auto"/>
              <w:right w:val="single" w:sz="4" w:space="0" w:color="auto"/>
            </w:tcBorders>
            <w:shd w:val="clear" w:color="auto" w:fill="auto"/>
            <w:noWrap/>
            <w:vAlign w:val="bottom"/>
            <w:hideMark/>
          </w:tcPr>
          <w:p w14:paraId="4D5FAFC4"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58%</w:t>
            </w:r>
          </w:p>
        </w:tc>
        <w:tc>
          <w:tcPr>
            <w:tcW w:w="0" w:type="auto"/>
            <w:tcBorders>
              <w:top w:val="nil"/>
              <w:left w:val="nil"/>
              <w:bottom w:val="single" w:sz="4" w:space="0" w:color="auto"/>
              <w:right w:val="single" w:sz="4" w:space="0" w:color="auto"/>
            </w:tcBorders>
            <w:shd w:val="clear" w:color="auto" w:fill="auto"/>
            <w:noWrap/>
            <w:vAlign w:val="bottom"/>
            <w:hideMark/>
          </w:tcPr>
          <w:p w14:paraId="6AE6DF4C"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37</w:t>
            </w:r>
          </w:p>
        </w:tc>
        <w:tc>
          <w:tcPr>
            <w:tcW w:w="0" w:type="auto"/>
            <w:tcBorders>
              <w:top w:val="nil"/>
              <w:left w:val="nil"/>
              <w:bottom w:val="single" w:sz="4" w:space="0" w:color="auto"/>
              <w:right w:val="single" w:sz="4" w:space="0" w:color="auto"/>
            </w:tcBorders>
            <w:shd w:val="clear" w:color="auto" w:fill="auto"/>
            <w:noWrap/>
            <w:vAlign w:val="bottom"/>
            <w:hideMark/>
          </w:tcPr>
          <w:p w14:paraId="3611526F"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(100.0)</w:t>
            </w:r>
          </w:p>
        </w:tc>
        <w:tc>
          <w:tcPr>
            <w:tcW w:w="0" w:type="auto"/>
            <w:tcBorders>
              <w:top w:val="nil"/>
              <w:left w:val="nil"/>
              <w:bottom w:val="single" w:sz="4" w:space="0" w:color="auto"/>
              <w:right w:val="single" w:sz="4" w:space="0" w:color="auto"/>
            </w:tcBorders>
            <w:shd w:val="clear" w:color="auto" w:fill="auto"/>
            <w:noWrap/>
            <w:vAlign w:val="bottom"/>
            <w:hideMark/>
          </w:tcPr>
          <w:p w14:paraId="51942E7C"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3CC833CC"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6777F066"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7F4E6A58"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7E52A461"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43792B87"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1A87B17D"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62B0BAE9"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30FF66D2"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51184886"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2BA32C66"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74%</w:t>
            </w:r>
          </w:p>
        </w:tc>
      </w:tr>
      <w:tr w:rsidR="0067156B" w:rsidRPr="00BA48F1" w14:paraId="73A121DD" w14:textId="77777777" w:rsidTr="0067156B">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F0D3460"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HAVERHILL</w:t>
            </w:r>
          </w:p>
        </w:tc>
        <w:tc>
          <w:tcPr>
            <w:tcW w:w="0" w:type="auto"/>
            <w:tcBorders>
              <w:top w:val="nil"/>
              <w:left w:val="nil"/>
              <w:bottom w:val="single" w:sz="4" w:space="0" w:color="auto"/>
              <w:right w:val="single" w:sz="4" w:space="0" w:color="auto"/>
            </w:tcBorders>
            <w:shd w:val="clear" w:color="auto" w:fill="auto"/>
            <w:noWrap/>
            <w:vAlign w:val="bottom"/>
            <w:hideMark/>
          </w:tcPr>
          <w:p w14:paraId="289F0F68"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2,975</w:t>
            </w:r>
          </w:p>
        </w:tc>
        <w:tc>
          <w:tcPr>
            <w:tcW w:w="0" w:type="auto"/>
            <w:tcBorders>
              <w:top w:val="nil"/>
              <w:left w:val="nil"/>
              <w:bottom w:val="single" w:sz="4" w:space="0" w:color="auto"/>
              <w:right w:val="single" w:sz="4" w:space="0" w:color="auto"/>
            </w:tcBorders>
            <w:shd w:val="clear" w:color="auto" w:fill="auto"/>
            <w:noWrap/>
            <w:vAlign w:val="bottom"/>
            <w:hideMark/>
          </w:tcPr>
          <w:p w14:paraId="791EDC06"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1,656</w:t>
            </w:r>
          </w:p>
        </w:tc>
        <w:tc>
          <w:tcPr>
            <w:tcW w:w="0" w:type="auto"/>
            <w:tcBorders>
              <w:top w:val="nil"/>
              <w:left w:val="nil"/>
              <w:bottom w:val="single" w:sz="4" w:space="0" w:color="auto"/>
              <w:right w:val="single" w:sz="4" w:space="0" w:color="auto"/>
            </w:tcBorders>
            <w:shd w:val="clear" w:color="auto" w:fill="auto"/>
            <w:noWrap/>
            <w:vAlign w:val="bottom"/>
            <w:hideMark/>
          </w:tcPr>
          <w:p w14:paraId="2FEBCAD1"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56%</w:t>
            </w:r>
          </w:p>
        </w:tc>
        <w:tc>
          <w:tcPr>
            <w:tcW w:w="0" w:type="auto"/>
            <w:tcBorders>
              <w:top w:val="nil"/>
              <w:left w:val="nil"/>
              <w:bottom w:val="single" w:sz="4" w:space="0" w:color="auto"/>
              <w:right w:val="single" w:sz="4" w:space="0" w:color="auto"/>
            </w:tcBorders>
            <w:shd w:val="clear" w:color="auto" w:fill="auto"/>
            <w:noWrap/>
            <w:vAlign w:val="bottom"/>
            <w:hideMark/>
          </w:tcPr>
          <w:p w14:paraId="03D0787D"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1,625</w:t>
            </w:r>
          </w:p>
        </w:tc>
        <w:tc>
          <w:tcPr>
            <w:tcW w:w="0" w:type="auto"/>
            <w:tcBorders>
              <w:top w:val="nil"/>
              <w:left w:val="nil"/>
              <w:bottom w:val="single" w:sz="4" w:space="0" w:color="auto"/>
              <w:right w:val="single" w:sz="4" w:space="0" w:color="auto"/>
            </w:tcBorders>
            <w:shd w:val="clear" w:color="auto" w:fill="auto"/>
            <w:noWrap/>
            <w:vAlign w:val="bottom"/>
            <w:hideMark/>
          </w:tcPr>
          <w:p w14:paraId="6FAB0E9A"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(98.1)</w:t>
            </w:r>
          </w:p>
        </w:tc>
        <w:tc>
          <w:tcPr>
            <w:tcW w:w="0" w:type="auto"/>
            <w:tcBorders>
              <w:top w:val="nil"/>
              <w:left w:val="nil"/>
              <w:bottom w:val="single" w:sz="4" w:space="0" w:color="auto"/>
              <w:right w:val="single" w:sz="4" w:space="0" w:color="auto"/>
            </w:tcBorders>
            <w:shd w:val="clear" w:color="auto" w:fill="auto"/>
            <w:noWrap/>
            <w:vAlign w:val="bottom"/>
            <w:hideMark/>
          </w:tcPr>
          <w:p w14:paraId="105C16D2"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27</w:t>
            </w:r>
          </w:p>
        </w:tc>
        <w:tc>
          <w:tcPr>
            <w:tcW w:w="0" w:type="auto"/>
            <w:tcBorders>
              <w:top w:val="nil"/>
              <w:left w:val="nil"/>
              <w:bottom w:val="single" w:sz="4" w:space="0" w:color="auto"/>
              <w:right w:val="single" w:sz="4" w:space="0" w:color="auto"/>
            </w:tcBorders>
            <w:shd w:val="clear" w:color="auto" w:fill="auto"/>
            <w:noWrap/>
            <w:vAlign w:val="bottom"/>
            <w:hideMark/>
          </w:tcPr>
          <w:p w14:paraId="37E426EB"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(1.6)</w:t>
            </w:r>
          </w:p>
        </w:tc>
        <w:tc>
          <w:tcPr>
            <w:tcW w:w="0" w:type="auto"/>
            <w:tcBorders>
              <w:top w:val="nil"/>
              <w:left w:val="nil"/>
              <w:bottom w:val="single" w:sz="4" w:space="0" w:color="auto"/>
              <w:right w:val="single" w:sz="4" w:space="0" w:color="auto"/>
            </w:tcBorders>
            <w:shd w:val="clear" w:color="auto" w:fill="auto"/>
            <w:noWrap/>
            <w:vAlign w:val="bottom"/>
            <w:hideMark/>
          </w:tcPr>
          <w:p w14:paraId="46B5DACA"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4</w:t>
            </w:r>
          </w:p>
        </w:tc>
        <w:tc>
          <w:tcPr>
            <w:tcW w:w="0" w:type="auto"/>
            <w:tcBorders>
              <w:top w:val="nil"/>
              <w:left w:val="nil"/>
              <w:bottom w:val="single" w:sz="4" w:space="0" w:color="auto"/>
              <w:right w:val="single" w:sz="4" w:space="0" w:color="auto"/>
            </w:tcBorders>
            <w:shd w:val="clear" w:color="auto" w:fill="auto"/>
            <w:noWrap/>
            <w:vAlign w:val="bottom"/>
            <w:hideMark/>
          </w:tcPr>
          <w:p w14:paraId="499753EB"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(0.2)</w:t>
            </w:r>
          </w:p>
        </w:tc>
        <w:tc>
          <w:tcPr>
            <w:tcW w:w="0" w:type="auto"/>
            <w:tcBorders>
              <w:top w:val="nil"/>
              <w:left w:val="nil"/>
              <w:bottom w:val="single" w:sz="4" w:space="0" w:color="auto"/>
              <w:right w:val="single" w:sz="4" w:space="0" w:color="auto"/>
            </w:tcBorders>
            <w:shd w:val="clear" w:color="auto" w:fill="auto"/>
            <w:noWrap/>
            <w:vAlign w:val="bottom"/>
            <w:hideMark/>
          </w:tcPr>
          <w:p w14:paraId="4D7B44B9"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0D084BB2"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124CA104"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24</w:t>
            </w:r>
          </w:p>
        </w:tc>
        <w:tc>
          <w:tcPr>
            <w:tcW w:w="0" w:type="auto"/>
            <w:tcBorders>
              <w:top w:val="nil"/>
              <w:left w:val="nil"/>
              <w:bottom w:val="single" w:sz="4" w:space="0" w:color="auto"/>
              <w:right w:val="single" w:sz="4" w:space="0" w:color="auto"/>
            </w:tcBorders>
            <w:shd w:val="clear" w:color="auto" w:fill="auto"/>
            <w:noWrap/>
            <w:vAlign w:val="bottom"/>
            <w:hideMark/>
          </w:tcPr>
          <w:p w14:paraId="20C9D685"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(1.4)</w:t>
            </w:r>
          </w:p>
        </w:tc>
        <w:tc>
          <w:tcPr>
            <w:tcW w:w="0" w:type="auto"/>
            <w:tcBorders>
              <w:top w:val="nil"/>
              <w:left w:val="nil"/>
              <w:bottom w:val="single" w:sz="4" w:space="0" w:color="auto"/>
              <w:right w:val="single" w:sz="4" w:space="0" w:color="auto"/>
            </w:tcBorders>
            <w:shd w:val="clear" w:color="auto" w:fill="auto"/>
            <w:noWrap/>
            <w:vAlign w:val="bottom"/>
            <w:hideMark/>
          </w:tcPr>
          <w:p w14:paraId="7A376B67"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4</w:t>
            </w:r>
          </w:p>
        </w:tc>
        <w:tc>
          <w:tcPr>
            <w:tcW w:w="0" w:type="auto"/>
            <w:tcBorders>
              <w:top w:val="nil"/>
              <w:left w:val="nil"/>
              <w:bottom w:val="single" w:sz="4" w:space="0" w:color="auto"/>
              <w:right w:val="single" w:sz="4" w:space="0" w:color="auto"/>
            </w:tcBorders>
            <w:shd w:val="clear" w:color="auto" w:fill="auto"/>
            <w:noWrap/>
            <w:vAlign w:val="bottom"/>
            <w:hideMark/>
          </w:tcPr>
          <w:p w14:paraId="3B204C60"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(0.2)</w:t>
            </w:r>
          </w:p>
        </w:tc>
        <w:tc>
          <w:tcPr>
            <w:tcW w:w="0" w:type="auto"/>
            <w:tcBorders>
              <w:top w:val="nil"/>
              <w:left w:val="nil"/>
              <w:bottom w:val="single" w:sz="4" w:space="0" w:color="auto"/>
              <w:right w:val="single" w:sz="4" w:space="0" w:color="auto"/>
            </w:tcBorders>
            <w:shd w:val="clear" w:color="auto" w:fill="auto"/>
            <w:noWrap/>
            <w:vAlign w:val="bottom"/>
            <w:hideMark/>
          </w:tcPr>
          <w:p w14:paraId="611EBF63"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65%</w:t>
            </w:r>
          </w:p>
        </w:tc>
      </w:tr>
      <w:tr w:rsidR="0067156B" w:rsidRPr="00BA48F1" w14:paraId="6DCDE129" w14:textId="77777777" w:rsidTr="0067156B">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79D0084"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HAWLEY</w:t>
            </w:r>
          </w:p>
        </w:tc>
        <w:tc>
          <w:tcPr>
            <w:tcW w:w="0" w:type="auto"/>
            <w:tcBorders>
              <w:top w:val="nil"/>
              <w:left w:val="nil"/>
              <w:bottom w:val="single" w:sz="4" w:space="0" w:color="auto"/>
              <w:right w:val="single" w:sz="4" w:space="0" w:color="auto"/>
            </w:tcBorders>
            <w:shd w:val="clear" w:color="auto" w:fill="auto"/>
            <w:noWrap/>
            <w:vAlign w:val="bottom"/>
            <w:hideMark/>
          </w:tcPr>
          <w:p w14:paraId="2D298AB7"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7</w:t>
            </w:r>
          </w:p>
        </w:tc>
        <w:tc>
          <w:tcPr>
            <w:tcW w:w="0" w:type="auto"/>
            <w:tcBorders>
              <w:top w:val="nil"/>
              <w:left w:val="nil"/>
              <w:bottom w:val="single" w:sz="4" w:space="0" w:color="auto"/>
              <w:right w:val="single" w:sz="4" w:space="0" w:color="auto"/>
            </w:tcBorders>
            <w:shd w:val="clear" w:color="auto" w:fill="auto"/>
            <w:noWrap/>
            <w:vAlign w:val="bottom"/>
            <w:hideMark/>
          </w:tcPr>
          <w:p w14:paraId="2DBB6240"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1</w:t>
            </w:r>
          </w:p>
        </w:tc>
        <w:tc>
          <w:tcPr>
            <w:tcW w:w="0" w:type="auto"/>
            <w:tcBorders>
              <w:top w:val="nil"/>
              <w:left w:val="nil"/>
              <w:bottom w:val="single" w:sz="4" w:space="0" w:color="auto"/>
              <w:right w:val="single" w:sz="4" w:space="0" w:color="auto"/>
            </w:tcBorders>
            <w:shd w:val="clear" w:color="auto" w:fill="auto"/>
            <w:noWrap/>
            <w:vAlign w:val="bottom"/>
            <w:hideMark/>
          </w:tcPr>
          <w:p w14:paraId="08B50DF1"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14%</w:t>
            </w:r>
          </w:p>
        </w:tc>
        <w:tc>
          <w:tcPr>
            <w:tcW w:w="0" w:type="auto"/>
            <w:tcBorders>
              <w:top w:val="nil"/>
              <w:left w:val="nil"/>
              <w:bottom w:val="single" w:sz="4" w:space="0" w:color="auto"/>
              <w:right w:val="single" w:sz="4" w:space="0" w:color="auto"/>
            </w:tcBorders>
            <w:shd w:val="clear" w:color="auto" w:fill="auto"/>
            <w:noWrap/>
            <w:vAlign w:val="bottom"/>
            <w:hideMark/>
          </w:tcPr>
          <w:p w14:paraId="24E47E1D"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6CC6F4C6"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27A952C2"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25D895A6"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00F1CB7D"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57182724"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54A27AC7"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784CFC68"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3C7C1300"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7EF1AC28"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18666D79"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2C828703"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26823F94"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57%</w:t>
            </w:r>
          </w:p>
        </w:tc>
      </w:tr>
      <w:tr w:rsidR="0067156B" w:rsidRPr="00BA48F1" w14:paraId="098089EB" w14:textId="77777777" w:rsidTr="0067156B">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E43DE47"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HEATH</w:t>
            </w:r>
          </w:p>
        </w:tc>
        <w:tc>
          <w:tcPr>
            <w:tcW w:w="0" w:type="auto"/>
            <w:tcBorders>
              <w:top w:val="nil"/>
              <w:left w:val="nil"/>
              <w:bottom w:val="single" w:sz="4" w:space="0" w:color="auto"/>
              <w:right w:val="single" w:sz="4" w:space="0" w:color="auto"/>
            </w:tcBorders>
            <w:shd w:val="clear" w:color="auto" w:fill="auto"/>
            <w:noWrap/>
            <w:vAlign w:val="bottom"/>
            <w:hideMark/>
          </w:tcPr>
          <w:p w14:paraId="5CB31159"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10</w:t>
            </w:r>
          </w:p>
        </w:tc>
        <w:tc>
          <w:tcPr>
            <w:tcW w:w="0" w:type="auto"/>
            <w:tcBorders>
              <w:top w:val="nil"/>
              <w:left w:val="nil"/>
              <w:bottom w:val="single" w:sz="4" w:space="0" w:color="auto"/>
              <w:right w:val="single" w:sz="4" w:space="0" w:color="auto"/>
            </w:tcBorders>
            <w:shd w:val="clear" w:color="auto" w:fill="auto"/>
            <w:noWrap/>
            <w:vAlign w:val="bottom"/>
            <w:hideMark/>
          </w:tcPr>
          <w:p w14:paraId="5CAD6F14"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6</w:t>
            </w:r>
          </w:p>
        </w:tc>
        <w:tc>
          <w:tcPr>
            <w:tcW w:w="0" w:type="auto"/>
            <w:tcBorders>
              <w:top w:val="nil"/>
              <w:left w:val="nil"/>
              <w:bottom w:val="single" w:sz="4" w:space="0" w:color="auto"/>
              <w:right w:val="single" w:sz="4" w:space="0" w:color="auto"/>
            </w:tcBorders>
            <w:shd w:val="clear" w:color="auto" w:fill="auto"/>
            <w:noWrap/>
            <w:vAlign w:val="bottom"/>
            <w:hideMark/>
          </w:tcPr>
          <w:p w14:paraId="048B33C0"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60%</w:t>
            </w:r>
          </w:p>
        </w:tc>
        <w:tc>
          <w:tcPr>
            <w:tcW w:w="0" w:type="auto"/>
            <w:tcBorders>
              <w:top w:val="nil"/>
              <w:left w:val="nil"/>
              <w:bottom w:val="single" w:sz="4" w:space="0" w:color="auto"/>
              <w:right w:val="single" w:sz="4" w:space="0" w:color="auto"/>
            </w:tcBorders>
            <w:shd w:val="clear" w:color="auto" w:fill="auto"/>
            <w:noWrap/>
            <w:vAlign w:val="bottom"/>
            <w:hideMark/>
          </w:tcPr>
          <w:p w14:paraId="6B4D0C49"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05DD4DED"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160324E3"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11AADD41"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62F6B059"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2CD826D7"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7B56DE25"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4E951BB0"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49541EA8"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3B28E634"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2B142432"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3EBD5AB2"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014D31EA"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59%</w:t>
            </w:r>
          </w:p>
        </w:tc>
      </w:tr>
      <w:tr w:rsidR="0067156B" w:rsidRPr="00BA48F1" w14:paraId="5A521453" w14:textId="77777777" w:rsidTr="0067156B">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337C0C9"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HINGHAM</w:t>
            </w:r>
          </w:p>
        </w:tc>
        <w:tc>
          <w:tcPr>
            <w:tcW w:w="0" w:type="auto"/>
            <w:tcBorders>
              <w:top w:val="nil"/>
              <w:left w:val="nil"/>
              <w:bottom w:val="single" w:sz="4" w:space="0" w:color="auto"/>
              <w:right w:val="single" w:sz="4" w:space="0" w:color="auto"/>
            </w:tcBorders>
            <w:shd w:val="clear" w:color="auto" w:fill="auto"/>
            <w:noWrap/>
            <w:vAlign w:val="bottom"/>
            <w:hideMark/>
          </w:tcPr>
          <w:p w14:paraId="2CEB97C7"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891</w:t>
            </w:r>
          </w:p>
        </w:tc>
        <w:tc>
          <w:tcPr>
            <w:tcW w:w="0" w:type="auto"/>
            <w:tcBorders>
              <w:top w:val="nil"/>
              <w:left w:val="nil"/>
              <w:bottom w:val="single" w:sz="4" w:space="0" w:color="auto"/>
              <w:right w:val="single" w:sz="4" w:space="0" w:color="auto"/>
            </w:tcBorders>
            <w:shd w:val="clear" w:color="auto" w:fill="auto"/>
            <w:noWrap/>
            <w:vAlign w:val="bottom"/>
            <w:hideMark/>
          </w:tcPr>
          <w:p w14:paraId="652A8AB0"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608</w:t>
            </w:r>
          </w:p>
        </w:tc>
        <w:tc>
          <w:tcPr>
            <w:tcW w:w="0" w:type="auto"/>
            <w:tcBorders>
              <w:top w:val="nil"/>
              <w:left w:val="nil"/>
              <w:bottom w:val="single" w:sz="4" w:space="0" w:color="auto"/>
              <w:right w:val="single" w:sz="4" w:space="0" w:color="auto"/>
            </w:tcBorders>
            <w:shd w:val="clear" w:color="auto" w:fill="auto"/>
            <w:noWrap/>
            <w:vAlign w:val="bottom"/>
            <w:hideMark/>
          </w:tcPr>
          <w:p w14:paraId="2C177EE2"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68%</w:t>
            </w:r>
          </w:p>
        </w:tc>
        <w:tc>
          <w:tcPr>
            <w:tcW w:w="0" w:type="auto"/>
            <w:tcBorders>
              <w:top w:val="nil"/>
              <w:left w:val="nil"/>
              <w:bottom w:val="single" w:sz="4" w:space="0" w:color="auto"/>
              <w:right w:val="single" w:sz="4" w:space="0" w:color="auto"/>
            </w:tcBorders>
            <w:shd w:val="clear" w:color="auto" w:fill="auto"/>
            <w:noWrap/>
            <w:vAlign w:val="bottom"/>
            <w:hideMark/>
          </w:tcPr>
          <w:p w14:paraId="1C6B6657"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606</w:t>
            </w:r>
          </w:p>
        </w:tc>
        <w:tc>
          <w:tcPr>
            <w:tcW w:w="0" w:type="auto"/>
            <w:tcBorders>
              <w:top w:val="nil"/>
              <w:left w:val="nil"/>
              <w:bottom w:val="single" w:sz="4" w:space="0" w:color="auto"/>
              <w:right w:val="single" w:sz="4" w:space="0" w:color="auto"/>
            </w:tcBorders>
            <w:shd w:val="clear" w:color="auto" w:fill="auto"/>
            <w:noWrap/>
            <w:vAlign w:val="bottom"/>
            <w:hideMark/>
          </w:tcPr>
          <w:p w14:paraId="5F41E0F5"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(99.7)</w:t>
            </w:r>
          </w:p>
        </w:tc>
        <w:tc>
          <w:tcPr>
            <w:tcW w:w="0" w:type="auto"/>
            <w:tcBorders>
              <w:top w:val="nil"/>
              <w:left w:val="nil"/>
              <w:bottom w:val="single" w:sz="4" w:space="0" w:color="auto"/>
              <w:right w:val="single" w:sz="4" w:space="0" w:color="auto"/>
            </w:tcBorders>
            <w:shd w:val="clear" w:color="auto" w:fill="auto"/>
            <w:noWrap/>
            <w:vAlign w:val="bottom"/>
            <w:hideMark/>
          </w:tcPr>
          <w:p w14:paraId="7D601089"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6967496F"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3A79164B"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52591575"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3E991E05"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13216A9B"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0403660C"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116E9482"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5A43F0E7"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7B7DB82A"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210F12D4"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63%</w:t>
            </w:r>
          </w:p>
        </w:tc>
      </w:tr>
      <w:tr w:rsidR="0067156B" w:rsidRPr="00BA48F1" w14:paraId="0DE974B6" w14:textId="77777777" w:rsidTr="0067156B">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9E28EAB"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HINSDALE</w:t>
            </w:r>
          </w:p>
        </w:tc>
        <w:tc>
          <w:tcPr>
            <w:tcW w:w="0" w:type="auto"/>
            <w:tcBorders>
              <w:top w:val="nil"/>
              <w:left w:val="nil"/>
              <w:bottom w:val="single" w:sz="4" w:space="0" w:color="auto"/>
              <w:right w:val="single" w:sz="4" w:space="0" w:color="auto"/>
            </w:tcBorders>
            <w:shd w:val="clear" w:color="auto" w:fill="auto"/>
            <w:noWrap/>
            <w:vAlign w:val="bottom"/>
            <w:hideMark/>
          </w:tcPr>
          <w:p w14:paraId="2387F9C9"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34</w:t>
            </w:r>
          </w:p>
        </w:tc>
        <w:tc>
          <w:tcPr>
            <w:tcW w:w="0" w:type="auto"/>
            <w:tcBorders>
              <w:top w:val="nil"/>
              <w:left w:val="nil"/>
              <w:bottom w:val="single" w:sz="4" w:space="0" w:color="auto"/>
              <w:right w:val="single" w:sz="4" w:space="0" w:color="auto"/>
            </w:tcBorders>
            <w:shd w:val="clear" w:color="auto" w:fill="auto"/>
            <w:noWrap/>
            <w:vAlign w:val="bottom"/>
            <w:hideMark/>
          </w:tcPr>
          <w:p w14:paraId="32864852"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40</w:t>
            </w:r>
          </w:p>
        </w:tc>
        <w:tc>
          <w:tcPr>
            <w:tcW w:w="0" w:type="auto"/>
            <w:tcBorders>
              <w:top w:val="nil"/>
              <w:left w:val="nil"/>
              <w:bottom w:val="single" w:sz="4" w:space="0" w:color="auto"/>
              <w:right w:val="single" w:sz="4" w:space="0" w:color="auto"/>
            </w:tcBorders>
            <w:shd w:val="clear" w:color="auto" w:fill="auto"/>
            <w:noWrap/>
            <w:vAlign w:val="bottom"/>
            <w:hideMark/>
          </w:tcPr>
          <w:p w14:paraId="64914362"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&gt;99%</w:t>
            </w:r>
          </w:p>
        </w:tc>
        <w:tc>
          <w:tcPr>
            <w:tcW w:w="0" w:type="auto"/>
            <w:tcBorders>
              <w:top w:val="nil"/>
              <w:left w:val="nil"/>
              <w:bottom w:val="single" w:sz="4" w:space="0" w:color="auto"/>
              <w:right w:val="single" w:sz="4" w:space="0" w:color="auto"/>
            </w:tcBorders>
            <w:shd w:val="clear" w:color="auto" w:fill="auto"/>
            <w:noWrap/>
            <w:vAlign w:val="bottom"/>
            <w:hideMark/>
          </w:tcPr>
          <w:p w14:paraId="33D2FF63"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37</w:t>
            </w:r>
          </w:p>
        </w:tc>
        <w:tc>
          <w:tcPr>
            <w:tcW w:w="0" w:type="auto"/>
            <w:tcBorders>
              <w:top w:val="nil"/>
              <w:left w:val="nil"/>
              <w:bottom w:val="single" w:sz="4" w:space="0" w:color="auto"/>
              <w:right w:val="single" w:sz="4" w:space="0" w:color="auto"/>
            </w:tcBorders>
            <w:shd w:val="clear" w:color="auto" w:fill="auto"/>
            <w:noWrap/>
            <w:vAlign w:val="bottom"/>
            <w:hideMark/>
          </w:tcPr>
          <w:p w14:paraId="409C4B50"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(92.5)</w:t>
            </w:r>
          </w:p>
        </w:tc>
        <w:tc>
          <w:tcPr>
            <w:tcW w:w="0" w:type="auto"/>
            <w:tcBorders>
              <w:top w:val="nil"/>
              <w:left w:val="nil"/>
              <w:bottom w:val="single" w:sz="4" w:space="0" w:color="auto"/>
              <w:right w:val="single" w:sz="4" w:space="0" w:color="auto"/>
            </w:tcBorders>
            <w:shd w:val="clear" w:color="auto" w:fill="auto"/>
            <w:noWrap/>
            <w:vAlign w:val="bottom"/>
            <w:hideMark/>
          </w:tcPr>
          <w:p w14:paraId="47020771"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33E4498D"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57E67559"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3F30A9FA"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48F5C312"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17496EEB"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7730FDFE"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2D8CE433"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111B33CC"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5B9EE695"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7A00DB49"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62%</w:t>
            </w:r>
          </w:p>
        </w:tc>
      </w:tr>
      <w:tr w:rsidR="0067156B" w:rsidRPr="00BA48F1" w14:paraId="0EB183A1" w14:textId="77777777" w:rsidTr="0067156B">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02F20E4"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HOLBROOK</w:t>
            </w:r>
          </w:p>
        </w:tc>
        <w:tc>
          <w:tcPr>
            <w:tcW w:w="0" w:type="auto"/>
            <w:tcBorders>
              <w:top w:val="nil"/>
              <w:left w:val="nil"/>
              <w:bottom w:val="single" w:sz="4" w:space="0" w:color="auto"/>
              <w:right w:val="single" w:sz="4" w:space="0" w:color="auto"/>
            </w:tcBorders>
            <w:shd w:val="clear" w:color="auto" w:fill="auto"/>
            <w:noWrap/>
            <w:vAlign w:val="bottom"/>
            <w:hideMark/>
          </w:tcPr>
          <w:p w14:paraId="3B0D9C33"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405</w:t>
            </w:r>
          </w:p>
        </w:tc>
        <w:tc>
          <w:tcPr>
            <w:tcW w:w="0" w:type="auto"/>
            <w:tcBorders>
              <w:top w:val="nil"/>
              <w:left w:val="nil"/>
              <w:bottom w:val="single" w:sz="4" w:space="0" w:color="auto"/>
              <w:right w:val="single" w:sz="4" w:space="0" w:color="auto"/>
            </w:tcBorders>
            <w:shd w:val="clear" w:color="auto" w:fill="auto"/>
            <w:noWrap/>
            <w:vAlign w:val="bottom"/>
            <w:hideMark/>
          </w:tcPr>
          <w:p w14:paraId="142E3469"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311</w:t>
            </w:r>
          </w:p>
        </w:tc>
        <w:tc>
          <w:tcPr>
            <w:tcW w:w="0" w:type="auto"/>
            <w:tcBorders>
              <w:top w:val="nil"/>
              <w:left w:val="nil"/>
              <w:bottom w:val="single" w:sz="4" w:space="0" w:color="auto"/>
              <w:right w:val="single" w:sz="4" w:space="0" w:color="auto"/>
            </w:tcBorders>
            <w:shd w:val="clear" w:color="auto" w:fill="auto"/>
            <w:noWrap/>
            <w:vAlign w:val="bottom"/>
            <w:hideMark/>
          </w:tcPr>
          <w:p w14:paraId="4B9D587D"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77%</w:t>
            </w:r>
          </w:p>
        </w:tc>
        <w:tc>
          <w:tcPr>
            <w:tcW w:w="0" w:type="auto"/>
            <w:tcBorders>
              <w:top w:val="nil"/>
              <w:left w:val="nil"/>
              <w:bottom w:val="single" w:sz="4" w:space="0" w:color="auto"/>
              <w:right w:val="single" w:sz="4" w:space="0" w:color="auto"/>
            </w:tcBorders>
            <w:shd w:val="clear" w:color="auto" w:fill="auto"/>
            <w:noWrap/>
            <w:vAlign w:val="bottom"/>
            <w:hideMark/>
          </w:tcPr>
          <w:p w14:paraId="6E58A406"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308</w:t>
            </w:r>
          </w:p>
        </w:tc>
        <w:tc>
          <w:tcPr>
            <w:tcW w:w="0" w:type="auto"/>
            <w:tcBorders>
              <w:top w:val="nil"/>
              <w:left w:val="nil"/>
              <w:bottom w:val="single" w:sz="4" w:space="0" w:color="auto"/>
              <w:right w:val="single" w:sz="4" w:space="0" w:color="auto"/>
            </w:tcBorders>
            <w:shd w:val="clear" w:color="auto" w:fill="auto"/>
            <w:noWrap/>
            <w:vAlign w:val="bottom"/>
            <w:hideMark/>
          </w:tcPr>
          <w:p w14:paraId="59997A9B"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(99.0)</w:t>
            </w:r>
          </w:p>
        </w:tc>
        <w:tc>
          <w:tcPr>
            <w:tcW w:w="0" w:type="auto"/>
            <w:tcBorders>
              <w:top w:val="nil"/>
              <w:left w:val="nil"/>
              <w:bottom w:val="single" w:sz="4" w:space="0" w:color="auto"/>
              <w:right w:val="single" w:sz="4" w:space="0" w:color="auto"/>
            </w:tcBorders>
            <w:shd w:val="clear" w:color="auto" w:fill="auto"/>
            <w:noWrap/>
            <w:vAlign w:val="bottom"/>
            <w:hideMark/>
          </w:tcPr>
          <w:p w14:paraId="70017308"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02A6FB3D"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5B00F40D"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4E9F8CF6"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59EF9BF9"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583F7ACB"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1656A7B3"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156C2B5D"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71C83E23"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2A04BD20"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12D84A92"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76%</w:t>
            </w:r>
          </w:p>
        </w:tc>
      </w:tr>
      <w:tr w:rsidR="0067156B" w:rsidRPr="00BA48F1" w14:paraId="5C37F972" w14:textId="77777777" w:rsidTr="0067156B">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B1380FE"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HOLDEN</w:t>
            </w:r>
          </w:p>
        </w:tc>
        <w:tc>
          <w:tcPr>
            <w:tcW w:w="0" w:type="auto"/>
            <w:tcBorders>
              <w:top w:val="nil"/>
              <w:left w:val="nil"/>
              <w:bottom w:val="single" w:sz="4" w:space="0" w:color="auto"/>
              <w:right w:val="single" w:sz="4" w:space="0" w:color="auto"/>
            </w:tcBorders>
            <w:shd w:val="clear" w:color="auto" w:fill="auto"/>
            <w:noWrap/>
            <w:vAlign w:val="bottom"/>
            <w:hideMark/>
          </w:tcPr>
          <w:p w14:paraId="46487161"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685</w:t>
            </w:r>
          </w:p>
        </w:tc>
        <w:tc>
          <w:tcPr>
            <w:tcW w:w="0" w:type="auto"/>
            <w:tcBorders>
              <w:top w:val="nil"/>
              <w:left w:val="nil"/>
              <w:bottom w:val="single" w:sz="4" w:space="0" w:color="auto"/>
              <w:right w:val="single" w:sz="4" w:space="0" w:color="auto"/>
            </w:tcBorders>
            <w:shd w:val="clear" w:color="auto" w:fill="auto"/>
            <w:noWrap/>
            <w:vAlign w:val="bottom"/>
            <w:hideMark/>
          </w:tcPr>
          <w:p w14:paraId="64327FA9"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420</w:t>
            </w:r>
          </w:p>
        </w:tc>
        <w:tc>
          <w:tcPr>
            <w:tcW w:w="0" w:type="auto"/>
            <w:tcBorders>
              <w:top w:val="nil"/>
              <w:left w:val="nil"/>
              <w:bottom w:val="single" w:sz="4" w:space="0" w:color="auto"/>
              <w:right w:val="single" w:sz="4" w:space="0" w:color="auto"/>
            </w:tcBorders>
            <w:shd w:val="clear" w:color="auto" w:fill="auto"/>
            <w:noWrap/>
            <w:vAlign w:val="bottom"/>
            <w:hideMark/>
          </w:tcPr>
          <w:p w14:paraId="0058660B"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61%</w:t>
            </w:r>
          </w:p>
        </w:tc>
        <w:tc>
          <w:tcPr>
            <w:tcW w:w="0" w:type="auto"/>
            <w:tcBorders>
              <w:top w:val="nil"/>
              <w:left w:val="nil"/>
              <w:bottom w:val="single" w:sz="4" w:space="0" w:color="auto"/>
              <w:right w:val="single" w:sz="4" w:space="0" w:color="auto"/>
            </w:tcBorders>
            <w:shd w:val="clear" w:color="auto" w:fill="auto"/>
            <w:noWrap/>
            <w:vAlign w:val="bottom"/>
            <w:hideMark/>
          </w:tcPr>
          <w:p w14:paraId="5A4F59D5"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417</w:t>
            </w:r>
          </w:p>
        </w:tc>
        <w:tc>
          <w:tcPr>
            <w:tcW w:w="0" w:type="auto"/>
            <w:tcBorders>
              <w:top w:val="nil"/>
              <w:left w:val="nil"/>
              <w:bottom w:val="single" w:sz="4" w:space="0" w:color="auto"/>
              <w:right w:val="single" w:sz="4" w:space="0" w:color="auto"/>
            </w:tcBorders>
            <w:shd w:val="clear" w:color="auto" w:fill="auto"/>
            <w:noWrap/>
            <w:vAlign w:val="bottom"/>
            <w:hideMark/>
          </w:tcPr>
          <w:p w14:paraId="3136362B"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(99.3)</w:t>
            </w:r>
          </w:p>
        </w:tc>
        <w:tc>
          <w:tcPr>
            <w:tcW w:w="0" w:type="auto"/>
            <w:tcBorders>
              <w:top w:val="nil"/>
              <w:left w:val="nil"/>
              <w:bottom w:val="single" w:sz="4" w:space="0" w:color="auto"/>
              <w:right w:val="single" w:sz="4" w:space="0" w:color="auto"/>
            </w:tcBorders>
            <w:shd w:val="clear" w:color="auto" w:fill="auto"/>
            <w:noWrap/>
            <w:vAlign w:val="bottom"/>
            <w:hideMark/>
          </w:tcPr>
          <w:p w14:paraId="07C8E62B"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4132AB3B"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4FDFC555"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56A231FB"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27645DCD"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506F3F5D"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56DEADF9"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37C50578"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1C6FA889"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02A13E61"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7EE2C1F6"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60%</w:t>
            </w:r>
          </w:p>
        </w:tc>
      </w:tr>
      <w:tr w:rsidR="0067156B" w:rsidRPr="00BA48F1" w14:paraId="0EFD5BF5" w14:textId="77777777" w:rsidTr="0067156B">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A697DBA"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HOLLAND</w:t>
            </w:r>
          </w:p>
        </w:tc>
        <w:tc>
          <w:tcPr>
            <w:tcW w:w="0" w:type="auto"/>
            <w:tcBorders>
              <w:top w:val="nil"/>
              <w:left w:val="nil"/>
              <w:bottom w:val="single" w:sz="4" w:space="0" w:color="auto"/>
              <w:right w:val="single" w:sz="4" w:space="0" w:color="auto"/>
            </w:tcBorders>
            <w:shd w:val="clear" w:color="auto" w:fill="auto"/>
            <w:noWrap/>
            <w:vAlign w:val="bottom"/>
            <w:hideMark/>
          </w:tcPr>
          <w:p w14:paraId="6C093750"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68</w:t>
            </w:r>
          </w:p>
        </w:tc>
        <w:tc>
          <w:tcPr>
            <w:tcW w:w="0" w:type="auto"/>
            <w:tcBorders>
              <w:top w:val="nil"/>
              <w:left w:val="nil"/>
              <w:bottom w:val="single" w:sz="4" w:space="0" w:color="auto"/>
              <w:right w:val="single" w:sz="4" w:space="0" w:color="auto"/>
            </w:tcBorders>
            <w:shd w:val="clear" w:color="auto" w:fill="auto"/>
            <w:noWrap/>
            <w:vAlign w:val="bottom"/>
            <w:hideMark/>
          </w:tcPr>
          <w:p w14:paraId="389BE3BC"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50</w:t>
            </w:r>
          </w:p>
        </w:tc>
        <w:tc>
          <w:tcPr>
            <w:tcW w:w="0" w:type="auto"/>
            <w:tcBorders>
              <w:top w:val="nil"/>
              <w:left w:val="nil"/>
              <w:bottom w:val="single" w:sz="4" w:space="0" w:color="auto"/>
              <w:right w:val="single" w:sz="4" w:space="0" w:color="auto"/>
            </w:tcBorders>
            <w:shd w:val="clear" w:color="auto" w:fill="auto"/>
            <w:noWrap/>
            <w:vAlign w:val="bottom"/>
            <w:hideMark/>
          </w:tcPr>
          <w:p w14:paraId="4F7C7DE2"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74%</w:t>
            </w:r>
          </w:p>
        </w:tc>
        <w:tc>
          <w:tcPr>
            <w:tcW w:w="0" w:type="auto"/>
            <w:tcBorders>
              <w:top w:val="nil"/>
              <w:left w:val="nil"/>
              <w:bottom w:val="single" w:sz="4" w:space="0" w:color="auto"/>
              <w:right w:val="single" w:sz="4" w:space="0" w:color="auto"/>
            </w:tcBorders>
            <w:shd w:val="clear" w:color="auto" w:fill="auto"/>
            <w:noWrap/>
            <w:vAlign w:val="bottom"/>
            <w:hideMark/>
          </w:tcPr>
          <w:p w14:paraId="75F63817"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50</w:t>
            </w:r>
          </w:p>
        </w:tc>
        <w:tc>
          <w:tcPr>
            <w:tcW w:w="0" w:type="auto"/>
            <w:tcBorders>
              <w:top w:val="nil"/>
              <w:left w:val="nil"/>
              <w:bottom w:val="single" w:sz="4" w:space="0" w:color="auto"/>
              <w:right w:val="single" w:sz="4" w:space="0" w:color="auto"/>
            </w:tcBorders>
            <w:shd w:val="clear" w:color="auto" w:fill="auto"/>
            <w:noWrap/>
            <w:vAlign w:val="bottom"/>
            <w:hideMark/>
          </w:tcPr>
          <w:p w14:paraId="01D2C744"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(100.0)</w:t>
            </w:r>
          </w:p>
        </w:tc>
        <w:tc>
          <w:tcPr>
            <w:tcW w:w="0" w:type="auto"/>
            <w:tcBorders>
              <w:top w:val="nil"/>
              <w:left w:val="nil"/>
              <w:bottom w:val="single" w:sz="4" w:space="0" w:color="auto"/>
              <w:right w:val="single" w:sz="4" w:space="0" w:color="auto"/>
            </w:tcBorders>
            <w:shd w:val="clear" w:color="auto" w:fill="auto"/>
            <w:noWrap/>
            <w:vAlign w:val="bottom"/>
            <w:hideMark/>
          </w:tcPr>
          <w:p w14:paraId="0E332764"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5B7AD6D5"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1290A05E"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5164FAB5"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29F2D350"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63A16A91"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428239F5"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18F63A75"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392D54CD"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1B1AFC17"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7545B9FF"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57%</w:t>
            </w:r>
          </w:p>
        </w:tc>
      </w:tr>
      <w:tr w:rsidR="0067156B" w:rsidRPr="00BA48F1" w14:paraId="01B4A2F3" w14:textId="77777777" w:rsidTr="0067156B">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8BD8445"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HOLLISTON</w:t>
            </w:r>
          </w:p>
        </w:tc>
        <w:tc>
          <w:tcPr>
            <w:tcW w:w="0" w:type="auto"/>
            <w:tcBorders>
              <w:top w:val="nil"/>
              <w:left w:val="nil"/>
              <w:bottom w:val="single" w:sz="4" w:space="0" w:color="auto"/>
              <w:right w:val="single" w:sz="4" w:space="0" w:color="auto"/>
            </w:tcBorders>
            <w:shd w:val="clear" w:color="auto" w:fill="auto"/>
            <w:noWrap/>
            <w:vAlign w:val="bottom"/>
            <w:hideMark/>
          </w:tcPr>
          <w:p w14:paraId="098822BC"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467</w:t>
            </w:r>
          </w:p>
        </w:tc>
        <w:tc>
          <w:tcPr>
            <w:tcW w:w="0" w:type="auto"/>
            <w:tcBorders>
              <w:top w:val="nil"/>
              <w:left w:val="nil"/>
              <w:bottom w:val="single" w:sz="4" w:space="0" w:color="auto"/>
              <w:right w:val="single" w:sz="4" w:space="0" w:color="auto"/>
            </w:tcBorders>
            <w:shd w:val="clear" w:color="auto" w:fill="auto"/>
            <w:noWrap/>
            <w:vAlign w:val="bottom"/>
            <w:hideMark/>
          </w:tcPr>
          <w:p w14:paraId="46A94DB4"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306</w:t>
            </w:r>
          </w:p>
        </w:tc>
        <w:tc>
          <w:tcPr>
            <w:tcW w:w="0" w:type="auto"/>
            <w:tcBorders>
              <w:top w:val="nil"/>
              <w:left w:val="nil"/>
              <w:bottom w:val="single" w:sz="4" w:space="0" w:color="auto"/>
              <w:right w:val="single" w:sz="4" w:space="0" w:color="auto"/>
            </w:tcBorders>
            <w:shd w:val="clear" w:color="auto" w:fill="auto"/>
            <w:noWrap/>
            <w:vAlign w:val="bottom"/>
            <w:hideMark/>
          </w:tcPr>
          <w:p w14:paraId="6816D033"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66%</w:t>
            </w:r>
          </w:p>
        </w:tc>
        <w:tc>
          <w:tcPr>
            <w:tcW w:w="0" w:type="auto"/>
            <w:tcBorders>
              <w:top w:val="nil"/>
              <w:left w:val="nil"/>
              <w:bottom w:val="single" w:sz="4" w:space="0" w:color="auto"/>
              <w:right w:val="single" w:sz="4" w:space="0" w:color="auto"/>
            </w:tcBorders>
            <w:shd w:val="clear" w:color="auto" w:fill="auto"/>
            <w:noWrap/>
            <w:vAlign w:val="bottom"/>
            <w:hideMark/>
          </w:tcPr>
          <w:p w14:paraId="4E3E1E40"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301</w:t>
            </w:r>
          </w:p>
        </w:tc>
        <w:tc>
          <w:tcPr>
            <w:tcW w:w="0" w:type="auto"/>
            <w:tcBorders>
              <w:top w:val="nil"/>
              <w:left w:val="nil"/>
              <w:bottom w:val="single" w:sz="4" w:space="0" w:color="auto"/>
              <w:right w:val="single" w:sz="4" w:space="0" w:color="auto"/>
            </w:tcBorders>
            <w:shd w:val="clear" w:color="auto" w:fill="auto"/>
            <w:noWrap/>
            <w:vAlign w:val="bottom"/>
            <w:hideMark/>
          </w:tcPr>
          <w:p w14:paraId="401B6267"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(98.4)</w:t>
            </w:r>
          </w:p>
        </w:tc>
        <w:tc>
          <w:tcPr>
            <w:tcW w:w="0" w:type="auto"/>
            <w:tcBorders>
              <w:top w:val="nil"/>
              <w:left w:val="nil"/>
              <w:bottom w:val="single" w:sz="4" w:space="0" w:color="auto"/>
              <w:right w:val="single" w:sz="4" w:space="0" w:color="auto"/>
            </w:tcBorders>
            <w:shd w:val="clear" w:color="auto" w:fill="auto"/>
            <w:noWrap/>
            <w:vAlign w:val="bottom"/>
            <w:hideMark/>
          </w:tcPr>
          <w:p w14:paraId="759AEB7F"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53495E6C"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40B835AB"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75EFB231"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0793F02D"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517190E4"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0CD04A8E"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2DC8E741"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0F5C6EE6"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68172F90"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5C88A87D"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70%</w:t>
            </w:r>
          </w:p>
        </w:tc>
      </w:tr>
      <w:tr w:rsidR="0067156B" w:rsidRPr="00BA48F1" w14:paraId="600FE054" w14:textId="77777777" w:rsidTr="0067156B">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9DBE819"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HOLYOKE</w:t>
            </w:r>
          </w:p>
        </w:tc>
        <w:tc>
          <w:tcPr>
            <w:tcW w:w="0" w:type="auto"/>
            <w:tcBorders>
              <w:top w:val="nil"/>
              <w:left w:val="nil"/>
              <w:bottom w:val="single" w:sz="4" w:space="0" w:color="auto"/>
              <w:right w:val="single" w:sz="4" w:space="0" w:color="auto"/>
            </w:tcBorders>
            <w:shd w:val="clear" w:color="auto" w:fill="auto"/>
            <w:noWrap/>
            <w:vAlign w:val="bottom"/>
            <w:hideMark/>
          </w:tcPr>
          <w:p w14:paraId="5463B3D1"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1,878</w:t>
            </w:r>
          </w:p>
        </w:tc>
        <w:tc>
          <w:tcPr>
            <w:tcW w:w="0" w:type="auto"/>
            <w:tcBorders>
              <w:top w:val="nil"/>
              <w:left w:val="nil"/>
              <w:bottom w:val="single" w:sz="4" w:space="0" w:color="auto"/>
              <w:right w:val="single" w:sz="4" w:space="0" w:color="auto"/>
            </w:tcBorders>
            <w:shd w:val="clear" w:color="auto" w:fill="auto"/>
            <w:noWrap/>
            <w:vAlign w:val="bottom"/>
            <w:hideMark/>
          </w:tcPr>
          <w:p w14:paraId="0FF63442"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949</w:t>
            </w:r>
          </w:p>
        </w:tc>
        <w:tc>
          <w:tcPr>
            <w:tcW w:w="0" w:type="auto"/>
            <w:tcBorders>
              <w:top w:val="nil"/>
              <w:left w:val="nil"/>
              <w:bottom w:val="single" w:sz="4" w:space="0" w:color="auto"/>
              <w:right w:val="single" w:sz="4" w:space="0" w:color="auto"/>
            </w:tcBorders>
            <w:shd w:val="clear" w:color="auto" w:fill="auto"/>
            <w:noWrap/>
            <w:vAlign w:val="bottom"/>
            <w:hideMark/>
          </w:tcPr>
          <w:p w14:paraId="733F7C46"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51%</w:t>
            </w:r>
          </w:p>
        </w:tc>
        <w:tc>
          <w:tcPr>
            <w:tcW w:w="0" w:type="auto"/>
            <w:tcBorders>
              <w:top w:val="nil"/>
              <w:left w:val="nil"/>
              <w:bottom w:val="single" w:sz="4" w:space="0" w:color="auto"/>
              <w:right w:val="single" w:sz="4" w:space="0" w:color="auto"/>
            </w:tcBorders>
            <w:shd w:val="clear" w:color="auto" w:fill="auto"/>
            <w:noWrap/>
            <w:vAlign w:val="bottom"/>
            <w:hideMark/>
          </w:tcPr>
          <w:p w14:paraId="658F8163"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932</w:t>
            </w:r>
          </w:p>
        </w:tc>
        <w:tc>
          <w:tcPr>
            <w:tcW w:w="0" w:type="auto"/>
            <w:tcBorders>
              <w:top w:val="nil"/>
              <w:left w:val="nil"/>
              <w:bottom w:val="single" w:sz="4" w:space="0" w:color="auto"/>
              <w:right w:val="single" w:sz="4" w:space="0" w:color="auto"/>
            </w:tcBorders>
            <w:shd w:val="clear" w:color="auto" w:fill="auto"/>
            <w:noWrap/>
            <w:vAlign w:val="bottom"/>
            <w:hideMark/>
          </w:tcPr>
          <w:p w14:paraId="4D63ABD3"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(98.2)</w:t>
            </w:r>
          </w:p>
        </w:tc>
        <w:tc>
          <w:tcPr>
            <w:tcW w:w="0" w:type="auto"/>
            <w:tcBorders>
              <w:top w:val="nil"/>
              <w:left w:val="nil"/>
              <w:bottom w:val="single" w:sz="4" w:space="0" w:color="auto"/>
              <w:right w:val="single" w:sz="4" w:space="0" w:color="auto"/>
            </w:tcBorders>
            <w:shd w:val="clear" w:color="auto" w:fill="auto"/>
            <w:noWrap/>
            <w:vAlign w:val="bottom"/>
            <w:hideMark/>
          </w:tcPr>
          <w:p w14:paraId="03C396F9"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13</w:t>
            </w:r>
          </w:p>
        </w:tc>
        <w:tc>
          <w:tcPr>
            <w:tcW w:w="0" w:type="auto"/>
            <w:tcBorders>
              <w:top w:val="nil"/>
              <w:left w:val="nil"/>
              <w:bottom w:val="single" w:sz="4" w:space="0" w:color="auto"/>
              <w:right w:val="single" w:sz="4" w:space="0" w:color="auto"/>
            </w:tcBorders>
            <w:shd w:val="clear" w:color="auto" w:fill="auto"/>
            <w:noWrap/>
            <w:vAlign w:val="bottom"/>
            <w:hideMark/>
          </w:tcPr>
          <w:p w14:paraId="01836F5B"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(1.4)</w:t>
            </w:r>
          </w:p>
        </w:tc>
        <w:tc>
          <w:tcPr>
            <w:tcW w:w="0" w:type="auto"/>
            <w:tcBorders>
              <w:top w:val="nil"/>
              <w:left w:val="nil"/>
              <w:bottom w:val="single" w:sz="4" w:space="0" w:color="auto"/>
              <w:right w:val="single" w:sz="4" w:space="0" w:color="auto"/>
            </w:tcBorders>
            <w:shd w:val="clear" w:color="auto" w:fill="auto"/>
            <w:noWrap/>
            <w:vAlign w:val="bottom"/>
            <w:hideMark/>
          </w:tcPr>
          <w:p w14:paraId="2A539F92"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651D6FA4"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3550D67C"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7941246A"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531F00C0"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15</w:t>
            </w:r>
          </w:p>
        </w:tc>
        <w:tc>
          <w:tcPr>
            <w:tcW w:w="0" w:type="auto"/>
            <w:tcBorders>
              <w:top w:val="nil"/>
              <w:left w:val="nil"/>
              <w:bottom w:val="single" w:sz="4" w:space="0" w:color="auto"/>
              <w:right w:val="single" w:sz="4" w:space="0" w:color="auto"/>
            </w:tcBorders>
            <w:shd w:val="clear" w:color="auto" w:fill="auto"/>
            <w:noWrap/>
            <w:vAlign w:val="bottom"/>
            <w:hideMark/>
          </w:tcPr>
          <w:p w14:paraId="676CA488"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(1.6)</w:t>
            </w:r>
          </w:p>
        </w:tc>
        <w:tc>
          <w:tcPr>
            <w:tcW w:w="0" w:type="auto"/>
            <w:tcBorders>
              <w:top w:val="nil"/>
              <w:left w:val="nil"/>
              <w:bottom w:val="single" w:sz="4" w:space="0" w:color="auto"/>
              <w:right w:val="single" w:sz="4" w:space="0" w:color="auto"/>
            </w:tcBorders>
            <w:shd w:val="clear" w:color="auto" w:fill="auto"/>
            <w:noWrap/>
            <w:vAlign w:val="bottom"/>
            <w:hideMark/>
          </w:tcPr>
          <w:p w14:paraId="4DF0ECFE"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2EC0A238"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2F1BFEEF"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81%</w:t>
            </w:r>
          </w:p>
        </w:tc>
      </w:tr>
      <w:tr w:rsidR="0067156B" w:rsidRPr="00BA48F1" w14:paraId="410277B1" w14:textId="77777777" w:rsidTr="0067156B">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C1DD79F"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HOPEDALE</w:t>
            </w:r>
          </w:p>
        </w:tc>
        <w:tc>
          <w:tcPr>
            <w:tcW w:w="0" w:type="auto"/>
            <w:tcBorders>
              <w:top w:val="nil"/>
              <w:left w:val="nil"/>
              <w:bottom w:val="single" w:sz="4" w:space="0" w:color="auto"/>
              <w:right w:val="single" w:sz="4" w:space="0" w:color="auto"/>
            </w:tcBorders>
            <w:shd w:val="clear" w:color="auto" w:fill="auto"/>
            <w:noWrap/>
            <w:vAlign w:val="bottom"/>
            <w:hideMark/>
          </w:tcPr>
          <w:p w14:paraId="7FE5D82F"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173</w:t>
            </w:r>
          </w:p>
        </w:tc>
        <w:tc>
          <w:tcPr>
            <w:tcW w:w="0" w:type="auto"/>
            <w:tcBorders>
              <w:top w:val="nil"/>
              <w:left w:val="nil"/>
              <w:bottom w:val="single" w:sz="4" w:space="0" w:color="auto"/>
              <w:right w:val="single" w:sz="4" w:space="0" w:color="auto"/>
            </w:tcBorders>
            <w:shd w:val="clear" w:color="auto" w:fill="auto"/>
            <w:noWrap/>
            <w:vAlign w:val="bottom"/>
            <w:hideMark/>
          </w:tcPr>
          <w:p w14:paraId="2FA372B8"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112</w:t>
            </w:r>
          </w:p>
        </w:tc>
        <w:tc>
          <w:tcPr>
            <w:tcW w:w="0" w:type="auto"/>
            <w:tcBorders>
              <w:top w:val="nil"/>
              <w:left w:val="nil"/>
              <w:bottom w:val="single" w:sz="4" w:space="0" w:color="auto"/>
              <w:right w:val="single" w:sz="4" w:space="0" w:color="auto"/>
            </w:tcBorders>
            <w:shd w:val="clear" w:color="auto" w:fill="auto"/>
            <w:noWrap/>
            <w:vAlign w:val="bottom"/>
            <w:hideMark/>
          </w:tcPr>
          <w:p w14:paraId="2C74C932"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65%</w:t>
            </w:r>
          </w:p>
        </w:tc>
        <w:tc>
          <w:tcPr>
            <w:tcW w:w="0" w:type="auto"/>
            <w:tcBorders>
              <w:top w:val="nil"/>
              <w:left w:val="nil"/>
              <w:bottom w:val="single" w:sz="4" w:space="0" w:color="auto"/>
              <w:right w:val="single" w:sz="4" w:space="0" w:color="auto"/>
            </w:tcBorders>
            <w:shd w:val="clear" w:color="auto" w:fill="auto"/>
            <w:noWrap/>
            <w:vAlign w:val="bottom"/>
            <w:hideMark/>
          </w:tcPr>
          <w:p w14:paraId="17576087"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106</w:t>
            </w:r>
          </w:p>
        </w:tc>
        <w:tc>
          <w:tcPr>
            <w:tcW w:w="0" w:type="auto"/>
            <w:tcBorders>
              <w:top w:val="nil"/>
              <w:left w:val="nil"/>
              <w:bottom w:val="single" w:sz="4" w:space="0" w:color="auto"/>
              <w:right w:val="single" w:sz="4" w:space="0" w:color="auto"/>
            </w:tcBorders>
            <w:shd w:val="clear" w:color="auto" w:fill="auto"/>
            <w:noWrap/>
            <w:vAlign w:val="bottom"/>
            <w:hideMark/>
          </w:tcPr>
          <w:p w14:paraId="0E1EDAF6"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(94.6)</w:t>
            </w:r>
          </w:p>
        </w:tc>
        <w:tc>
          <w:tcPr>
            <w:tcW w:w="0" w:type="auto"/>
            <w:tcBorders>
              <w:top w:val="nil"/>
              <w:left w:val="nil"/>
              <w:bottom w:val="single" w:sz="4" w:space="0" w:color="auto"/>
              <w:right w:val="single" w:sz="4" w:space="0" w:color="auto"/>
            </w:tcBorders>
            <w:shd w:val="clear" w:color="auto" w:fill="auto"/>
            <w:noWrap/>
            <w:vAlign w:val="bottom"/>
            <w:hideMark/>
          </w:tcPr>
          <w:p w14:paraId="50C2C085"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6</w:t>
            </w:r>
          </w:p>
        </w:tc>
        <w:tc>
          <w:tcPr>
            <w:tcW w:w="0" w:type="auto"/>
            <w:tcBorders>
              <w:top w:val="nil"/>
              <w:left w:val="nil"/>
              <w:bottom w:val="single" w:sz="4" w:space="0" w:color="auto"/>
              <w:right w:val="single" w:sz="4" w:space="0" w:color="auto"/>
            </w:tcBorders>
            <w:shd w:val="clear" w:color="auto" w:fill="auto"/>
            <w:noWrap/>
            <w:vAlign w:val="bottom"/>
            <w:hideMark/>
          </w:tcPr>
          <w:p w14:paraId="5A608E26"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(5.4)</w:t>
            </w:r>
          </w:p>
        </w:tc>
        <w:tc>
          <w:tcPr>
            <w:tcW w:w="0" w:type="auto"/>
            <w:tcBorders>
              <w:top w:val="nil"/>
              <w:left w:val="nil"/>
              <w:bottom w:val="single" w:sz="4" w:space="0" w:color="auto"/>
              <w:right w:val="single" w:sz="4" w:space="0" w:color="auto"/>
            </w:tcBorders>
            <w:shd w:val="clear" w:color="auto" w:fill="auto"/>
            <w:noWrap/>
            <w:vAlign w:val="bottom"/>
            <w:hideMark/>
          </w:tcPr>
          <w:p w14:paraId="453A2DDB"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63FE1388"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2540349B"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2B2EDCE0"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3FDC4A8D"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0124E083"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7EC5BA88"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0291F569"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348081DB"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59%</w:t>
            </w:r>
          </w:p>
        </w:tc>
      </w:tr>
      <w:tr w:rsidR="0067156B" w:rsidRPr="00BA48F1" w14:paraId="2A23C967" w14:textId="77777777" w:rsidTr="0067156B">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6B69692"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HOPKINTON</w:t>
            </w:r>
          </w:p>
        </w:tc>
        <w:tc>
          <w:tcPr>
            <w:tcW w:w="0" w:type="auto"/>
            <w:tcBorders>
              <w:top w:val="nil"/>
              <w:left w:val="nil"/>
              <w:bottom w:val="single" w:sz="4" w:space="0" w:color="auto"/>
              <w:right w:val="single" w:sz="4" w:space="0" w:color="auto"/>
            </w:tcBorders>
            <w:shd w:val="clear" w:color="auto" w:fill="auto"/>
            <w:noWrap/>
            <w:vAlign w:val="bottom"/>
            <w:hideMark/>
          </w:tcPr>
          <w:p w14:paraId="75BB2DA3"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593</w:t>
            </w:r>
          </w:p>
        </w:tc>
        <w:tc>
          <w:tcPr>
            <w:tcW w:w="0" w:type="auto"/>
            <w:tcBorders>
              <w:top w:val="nil"/>
              <w:left w:val="nil"/>
              <w:bottom w:val="single" w:sz="4" w:space="0" w:color="auto"/>
              <w:right w:val="single" w:sz="4" w:space="0" w:color="auto"/>
            </w:tcBorders>
            <w:shd w:val="clear" w:color="auto" w:fill="auto"/>
            <w:noWrap/>
            <w:vAlign w:val="bottom"/>
            <w:hideMark/>
          </w:tcPr>
          <w:p w14:paraId="28D2B4D0"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493</w:t>
            </w:r>
          </w:p>
        </w:tc>
        <w:tc>
          <w:tcPr>
            <w:tcW w:w="0" w:type="auto"/>
            <w:tcBorders>
              <w:top w:val="nil"/>
              <w:left w:val="nil"/>
              <w:bottom w:val="single" w:sz="4" w:space="0" w:color="auto"/>
              <w:right w:val="single" w:sz="4" w:space="0" w:color="auto"/>
            </w:tcBorders>
            <w:shd w:val="clear" w:color="auto" w:fill="auto"/>
            <w:noWrap/>
            <w:vAlign w:val="bottom"/>
            <w:hideMark/>
          </w:tcPr>
          <w:p w14:paraId="366F46EF"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83%</w:t>
            </w:r>
          </w:p>
        </w:tc>
        <w:tc>
          <w:tcPr>
            <w:tcW w:w="0" w:type="auto"/>
            <w:tcBorders>
              <w:top w:val="nil"/>
              <w:left w:val="nil"/>
              <w:bottom w:val="single" w:sz="4" w:space="0" w:color="auto"/>
              <w:right w:val="single" w:sz="4" w:space="0" w:color="auto"/>
            </w:tcBorders>
            <w:shd w:val="clear" w:color="auto" w:fill="auto"/>
            <w:noWrap/>
            <w:vAlign w:val="bottom"/>
            <w:hideMark/>
          </w:tcPr>
          <w:p w14:paraId="66012194"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487</w:t>
            </w:r>
          </w:p>
        </w:tc>
        <w:tc>
          <w:tcPr>
            <w:tcW w:w="0" w:type="auto"/>
            <w:tcBorders>
              <w:top w:val="nil"/>
              <w:left w:val="nil"/>
              <w:bottom w:val="single" w:sz="4" w:space="0" w:color="auto"/>
              <w:right w:val="single" w:sz="4" w:space="0" w:color="auto"/>
            </w:tcBorders>
            <w:shd w:val="clear" w:color="auto" w:fill="auto"/>
            <w:noWrap/>
            <w:vAlign w:val="bottom"/>
            <w:hideMark/>
          </w:tcPr>
          <w:p w14:paraId="5472140A"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(98.8)</w:t>
            </w:r>
          </w:p>
        </w:tc>
        <w:tc>
          <w:tcPr>
            <w:tcW w:w="0" w:type="auto"/>
            <w:tcBorders>
              <w:top w:val="nil"/>
              <w:left w:val="nil"/>
              <w:bottom w:val="single" w:sz="4" w:space="0" w:color="auto"/>
              <w:right w:val="single" w:sz="4" w:space="0" w:color="auto"/>
            </w:tcBorders>
            <w:shd w:val="clear" w:color="auto" w:fill="auto"/>
            <w:noWrap/>
            <w:vAlign w:val="bottom"/>
            <w:hideMark/>
          </w:tcPr>
          <w:p w14:paraId="3777A557"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040ECF0E"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4729F466"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2F91BC41"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04EFE33B"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01ED0B34"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7DD38947"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37465C43"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214E3D4D"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519266F9"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78853A8A"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38%</w:t>
            </w:r>
          </w:p>
        </w:tc>
      </w:tr>
      <w:tr w:rsidR="0067156B" w:rsidRPr="00BA48F1" w14:paraId="03963A91" w14:textId="77777777" w:rsidTr="0067156B">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9F24544"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HUBBARDSTON</w:t>
            </w:r>
          </w:p>
        </w:tc>
        <w:tc>
          <w:tcPr>
            <w:tcW w:w="0" w:type="auto"/>
            <w:tcBorders>
              <w:top w:val="nil"/>
              <w:left w:val="nil"/>
              <w:bottom w:val="single" w:sz="4" w:space="0" w:color="auto"/>
              <w:right w:val="single" w:sz="4" w:space="0" w:color="auto"/>
            </w:tcBorders>
            <w:shd w:val="clear" w:color="auto" w:fill="auto"/>
            <w:noWrap/>
            <w:vAlign w:val="bottom"/>
            <w:hideMark/>
          </w:tcPr>
          <w:p w14:paraId="1E581B2B"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135</w:t>
            </w:r>
          </w:p>
        </w:tc>
        <w:tc>
          <w:tcPr>
            <w:tcW w:w="0" w:type="auto"/>
            <w:tcBorders>
              <w:top w:val="nil"/>
              <w:left w:val="nil"/>
              <w:bottom w:val="single" w:sz="4" w:space="0" w:color="auto"/>
              <w:right w:val="single" w:sz="4" w:space="0" w:color="auto"/>
            </w:tcBorders>
            <w:shd w:val="clear" w:color="auto" w:fill="auto"/>
            <w:noWrap/>
            <w:vAlign w:val="bottom"/>
            <w:hideMark/>
          </w:tcPr>
          <w:p w14:paraId="351715D1"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69</w:t>
            </w:r>
          </w:p>
        </w:tc>
        <w:tc>
          <w:tcPr>
            <w:tcW w:w="0" w:type="auto"/>
            <w:tcBorders>
              <w:top w:val="nil"/>
              <w:left w:val="nil"/>
              <w:bottom w:val="single" w:sz="4" w:space="0" w:color="auto"/>
              <w:right w:val="single" w:sz="4" w:space="0" w:color="auto"/>
            </w:tcBorders>
            <w:shd w:val="clear" w:color="auto" w:fill="auto"/>
            <w:noWrap/>
            <w:vAlign w:val="bottom"/>
            <w:hideMark/>
          </w:tcPr>
          <w:p w14:paraId="51ACBA8E"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51%</w:t>
            </w:r>
          </w:p>
        </w:tc>
        <w:tc>
          <w:tcPr>
            <w:tcW w:w="0" w:type="auto"/>
            <w:tcBorders>
              <w:top w:val="nil"/>
              <w:left w:val="nil"/>
              <w:bottom w:val="single" w:sz="4" w:space="0" w:color="auto"/>
              <w:right w:val="single" w:sz="4" w:space="0" w:color="auto"/>
            </w:tcBorders>
            <w:shd w:val="clear" w:color="auto" w:fill="auto"/>
            <w:noWrap/>
            <w:vAlign w:val="bottom"/>
            <w:hideMark/>
          </w:tcPr>
          <w:p w14:paraId="6A7DCC4D"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67</w:t>
            </w:r>
          </w:p>
        </w:tc>
        <w:tc>
          <w:tcPr>
            <w:tcW w:w="0" w:type="auto"/>
            <w:tcBorders>
              <w:top w:val="nil"/>
              <w:left w:val="nil"/>
              <w:bottom w:val="single" w:sz="4" w:space="0" w:color="auto"/>
              <w:right w:val="single" w:sz="4" w:space="0" w:color="auto"/>
            </w:tcBorders>
            <w:shd w:val="clear" w:color="auto" w:fill="auto"/>
            <w:noWrap/>
            <w:vAlign w:val="bottom"/>
            <w:hideMark/>
          </w:tcPr>
          <w:p w14:paraId="77138355"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(97.1)</w:t>
            </w:r>
          </w:p>
        </w:tc>
        <w:tc>
          <w:tcPr>
            <w:tcW w:w="0" w:type="auto"/>
            <w:tcBorders>
              <w:top w:val="nil"/>
              <w:left w:val="nil"/>
              <w:bottom w:val="single" w:sz="4" w:space="0" w:color="auto"/>
              <w:right w:val="single" w:sz="4" w:space="0" w:color="auto"/>
            </w:tcBorders>
            <w:shd w:val="clear" w:color="auto" w:fill="auto"/>
            <w:noWrap/>
            <w:vAlign w:val="bottom"/>
            <w:hideMark/>
          </w:tcPr>
          <w:p w14:paraId="42A23A28"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649DE81F"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18DED411"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377A4BBF"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69B8A15F"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6B13A22F"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6B41DBC2"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589896E3"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70E17494"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1442441C"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4D3BA0D7"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30%</w:t>
            </w:r>
          </w:p>
        </w:tc>
      </w:tr>
      <w:tr w:rsidR="0067156B" w:rsidRPr="00BA48F1" w14:paraId="50EB8F99" w14:textId="77777777" w:rsidTr="0067156B">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55173B7"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HUDSON</w:t>
            </w:r>
          </w:p>
        </w:tc>
        <w:tc>
          <w:tcPr>
            <w:tcW w:w="0" w:type="auto"/>
            <w:tcBorders>
              <w:top w:val="nil"/>
              <w:left w:val="nil"/>
              <w:bottom w:val="single" w:sz="4" w:space="0" w:color="auto"/>
              <w:right w:val="single" w:sz="4" w:space="0" w:color="auto"/>
            </w:tcBorders>
            <w:shd w:val="clear" w:color="auto" w:fill="auto"/>
            <w:noWrap/>
            <w:vAlign w:val="bottom"/>
            <w:hideMark/>
          </w:tcPr>
          <w:p w14:paraId="10D0FF50"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747</w:t>
            </w:r>
          </w:p>
        </w:tc>
        <w:tc>
          <w:tcPr>
            <w:tcW w:w="0" w:type="auto"/>
            <w:tcBorders>
              <w:top w:val="nil"/>
              <w:left w:val="nil"/>
              <w:bottom w:val="single" w:sz="4" w:space="0" w:color="auto"/>
              <w:right w:val="single" w:sz="4" w:space="0" w:color="auto"/>
            </w:tcBorders>
            <w:shd w:val="clear" w:color="auto" w:fill="auto"/>
            <w:noWrap/>
            <w:vAlign w:val="bottom"/>
            <w:hideMark/>
          </w:tcPr>
          <w:p w14:paraId="3CDF4CA5"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482</w:t>
            </w:r>
          </w:p>
        </w:tc>
        <w:tc>
          <w:tcPr>
            <w:tcW w:w="0" w:type="auto"/>
            <w:tcBorders>
              <w:top w:val="nil"/>
              <w:left w:val="nil"/>
              <w:bottom w:val="single" w:sz="4" w:space="0" w:color="auto"/>
              <w:right w:val="single" w:sz="4" w:space="0" w:color="auto"/>
            </w:tcBorders>
            <w:shd w:val="clear" w:color="auto" w:fill="auto"/>
            <w:noWrap/>
            <w:vAlign w:val="bottom"/>
            <w:hideMark/>
          </w:tcPr>
          <w:p w14:paraId="5D8C32B3"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65%</w:t>
            </w:r>
          </w:p>
        </w:tc>
        <w:tc>
          <w:tcPr>
            <w:tcW w:w="0" w:type="auto"/>
            <w:tcBorders>
              <w:top w:val="nil"/>
              <w:left w:val="nil"/>
              <w:bottom w:val="single" w:sz="4" w:space="0" w:color="auto"/>
              <w:right w:val="single" w:sz="4" w:space="0" w:color="auto"/>
            </w:tcBorders>
            <w:shd w:val="clear" w:color="auto" w:fill="auto"/>
            <w:noWrap/>
            <w:vAlign w:val="bottom"/>
            <w:hideMark/>
          </w:tcPr>
          <w:p w14:paraId="6681F848"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475</w:t>
            </w:r>
          </w:p>
        </w:tc>
        <w:tc>
          <w:tcPr>
            <w:tcW w:w="0" w:type="auto"/>
            <w:tcBorders>
              <w:top w:val="nil"/>
              <w:left w:val="nil"/>
              <w:bottom w:val="single" w:sz="4" w:space="0" w:color="auto"/>
              <w:right w:val="single" w:sz="4" w:space="0" w:color="auto"/>
            </w:tcBorders>
            <w:shd w:val="clear" w:color="auto" w:fill="auto"/>
            <w:noWrap/>
            <w:vAlign w:val="bottom"/>
            <w:hideMark/>
          </w:tcPr>
          <w:p w14:paraId="231EDAA5"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(98.5)</w:t>
            </w:r>
          </w:p>
        </w:tc>
        <w:tc>
          <w:tcPr>
            <w:tcW w:w="0" w:type="auto"/>
            <w:tcBorders>
              <w:top w:val="nil"/>
              <w:left w:val="nil"/>
              <w:bottom w:val="single" w:sz="4" w:space="0" w:color="auto"/>
              <w:right w:val="single" w:sz="4" w:space="0" w:color="auto"/>
            </w:tcBorders>
            <w:shd w:val="clear" w:color="auto" w:fill="auto"/>
            <w:noWrap/>
            <w:vAlign w:val="bottom"/>
            <w:hideMark/>
          </w:tcPr>
          <w:p w14:paraId="71B6A269"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6</w:t>
            </w:r>
          </w:p>
        </w:tc>
        <w:tc>
          <w:tcPr>
            <w:tcW w:w="0" w:type="auto"/>
            <w:tcBorders>
              <w:top w:val="nil"/>
              <w:left w:val="nil"/>
              <w:bottom w:val="single" w:sz="4" w:space="0" w:color="auto"/>
              <w:right w:val="single" w:sz="4" w:space="0" w:color="auto"/>
            </w:tcBorders>
            <w:shd w:val="clear" w:color="auto" w:fill="auto"/>
            <w:noWrap/>
            <w:vAlign w:val="bottom"/>
            <w:hideMark/>
          </w:tcPr>
          <w:p w14:paraId="06819860"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(1.2)</w:t>
            </w:r>
          </w:p>
        </w:tc>
        <w:tc>
          <w:tcPr>
            <w:tcW w:w="0" w:type="auto"/>
            <w:tcBorders>
              <w:top w:val="nil"/>
              <w:left w:val="nil"/>
              <w:bottom w:val="single" w:sz="4" w:space="0" w:color="auto"/>
              <w:right w:val="single" w:sz="4" w:space="0" w:color="auto"/>
            </w:tcBorders>
            <w:shd w:val="clear" w:color="auto" w:fill="auto"/>
            <w:noWrap/>
            <w:vAlign w:val="bottom"/>
            <w:hideMark/>
          </w:tcPr>
          <w:p w14:paraId="34BF42AA"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286D388B"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011EFC99"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1CCD33BB"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07463E9E"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6</w:t>
            </w:r>
          </w:p>
        </w:tc>
        <w:tc>
          <w:tcPr>
            <w:tcW w:w="0" w:type="auto"/>
            <w:tcBorders>
              <w:top w:val="nil"/>
              <w:left w:val="nil"/>
              <w:bottom w:val="single" w:sz="4" w:space="0" w:color="auto"/>
              <w:right w:val="single" w:sz="4" w:space="0" w:color="auto"/>
            </w:tcBorders>
            <w:shd w:val="clear" w:color="auto" w:fill="auto"/>
            <w:noWrap/>
            <w:vAlign w:val="bottom"/>
            <w:hideMark/>
          </w:tcPr>
          <w:p w14:paraId="2CDCDC6C"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(1.2)</w:t>
            </w:r>
          </w:p>
        </w:tc>
        <w:tc>
          <w:tcPr>
            <w:tcW w:w="0" w:type="auto"/>
            <w:tcBorders>
              <w:top w:val="nil"/>
              <w:left w:val="nil"/>
              <w:bottom w:val="single" w:sz="4" w:space="0" w:color="auto"/>
              <w:right w:val="single" w:sz="4" w:space="0" w:color="auto"/>
            </w:tcBorders>
            <w:shd w:val="clear" w:color="auto" w:fill="auto"/>
            <w:noWrap/>
            <w:vAlign w:val="bottom"/>
            <w:hideMark/>
          </w:tcPr>
          <w:p w14:paraId="3000F317"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2F7A7F01"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096709B1"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57%</w:t>
            </w:r>
          </w:p>
        </w:tc>
      </w:tr>
      <w:tr w:rsidR="0067156B" w:rsidRPr="00BA48F1" w14:paraId="28B0B59B" w14:textId="77777777" w:rsidTr="0067156B">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7F0BCEE"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HULL</w:t>
            </w:r>
          </w:p>
        </w:tc>
        <w:tc>
          <w:tcPr>
            <w:tcW w:w="0" w:type="auto"/>
            <w:tcBorders>
              <w:top w:val="nil"/>
              <w:left w:val="nil"/>
              <w:bottom w:val="single" w:sz="4" w:space="0" w:color="auto"/>
              <w:right w:val="single" w:sz="4" w:space="0" w:color="auto"/>
            </w:tcBorders>
            <w:shd w:val="clear" w:color="auto" w:fill="auto"/>
            <w:noWrap/>
            <w:vAlign w:val="bottom"/>
            <w:hideMark/>
          </w:tcPr>
          <w:p w14:paraId="698CDE9C"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240</w:t>
            </w:r>
          </w:p>
        </w:tc>
        <w:tc>
          <w:tcPr>
            <w:tcW w:w="0" w:type="auto"/>
            <w:tcBorders>
              <w:top w:val="nil"/>
              <w:left w:val="nil"/>
              <w:bottom w:val="single" w:sz="4" w:space="0" w:color="auto"/>
              <w:right w:val="single" w:sz="4" w:space="0" w:color="auto"/>
            </w:tcBorders>
            <w:shd w:val="clear" w:color="auto" w:fill="auto"/>
            <w:noWrap/>
            <w:vAlign w:val="bottom"/>
            <w:hideMark/>
          </w:tcPr>
          <w:p w14:paraId="5C44F317"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130</w:t>
            </w:r>
          </w:p>
        </w:tc>
        <w:tc>
          <w:tcPr>
            <w:tcW w:w="0" w:type="auto"/>
            <w:tcBorders>
              <w:top w:val="nil"/>
              <w:left w:val="nil"/>
              <w:bottom w:val="single" w:sz="4" w:space="0" w:color="auto"/>
              <w:right w:val="single" w:sz="4" w:space="0" w:color="auto"/>
            </w:tcBorders>
            <w:shd w:val="clear" w:color="auto" w:fill="auto"/>
            <w:noWrap/>
            <w:vAlign w:val="bottom"/>
            <w:hideMark/>
          </w:tcPr>
          <w:p w14:paraId="5C2EB330"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54%</w:t>
            </w:r>
          </w:p>
        </w:tc>
        <w:tc>
          <w:tcPr>
            <w:tcW w:w="0" w:type="auto"/>
            <w:tcBorders>
              <w:top w:val="nil"/>
              <w:left w:val="nil"/>
              <w:bottom w:val="single" w:sz="4" w:space="0" w:color="auto"/>
              <w:right w:val="single" w:sz="4" w:space="0" w:color="auto"/>
            </w:tcBorders>
            <w:shd w:val="clear" w:color="auto" w:fill="auto"/>
            <w:noWrap/>
            <w:vAlign w:val="bottom"/>
            <w:hideMark/>
          </w:tcPr>
          <w:p w14:paraId="069D1F9E"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128</w:t>
            </w:r>
          </w:p>
        </w:tc>
        <w:tc>
          <w:tcPr>
            <w:tcW w:w="0" w:type="auto"/>
            <w:tcBorders>
              <w:top w:val="nil"/>
              <w:left w:val="nil"/>
              <w:bottom w:val="single" w:sz="4" w:space="0" w:color="auto"/>
              <w:right w:val="single" w:sz="4" w:space="0" w:color="auto"/>
            </w:tcBorders>
            <w:shd w:val="clear" w:color="auto" w:fill="auto"/>
            <w:noWrap/>
            <w:vAlign w:val="bottom"/>
            <w:hideMark/>
          </w:tcPr>
          <w:p w14:paraId="54D2A872"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(98.5)</w:t>
            </w:r>
          </w:p>
        </w:tc>
        <w:tc>
          <w:tcPr>
            <w:tcW w:w="0" w:type="auto"/>
            <w:tcBorders>
              <w:top w:val="nil"/>
              <w:left w:val="nil"/>
              <w:bottom w:val="single" w:sz="4" w:space="0" w:color="auto"/>
              <w:right w:val="single" w:sz="4" w:space="0" w:color="auto"/>
            </w:tcBorders>
            <w:shd w:val="clear" w:color="auto" w:fill="auto"/>
            <w:noWrap/>
            <w:vAlign w:val="bottom"/>
            <w:hideMark/>
          </w:tcPr>
          <w:p w14:paraId="3094F229"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5D1AD314"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69208B57"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208E8A15"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17541CAD"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10DCD28C"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0285F318"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67CB95F7"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0845120F"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5CD26E16"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0FD63B61"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77%</w:t>
            </w:r>
          </w:p>
        </w:tc>
      </w:tr>
      <w:tr w:rsidR="0067156B" w:rsidRPr="00BA48F1" w14:paraId="2F889E74" w14:textId="77777777" w:rsidTr="0067156B">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E33CC15"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HUNTINGTON</w:t>
            </w:r>
          </w:p>
        </w:tc>
        <w:tc>
          <w:tcPr>
            <w:tcW w:w="0" w:type="auto"/>
            <w:tcBorders>
              <w:top w:val="nil"/>
              <w:left w:val="nil"/>
              <w:bottom w:val="single" w:sz="4" w:space="0" w:color="auto"/>
              <w:right w:val="single" w:sz="4" w:space="0" w:color="auto"/>
            </w:tcBorders>
            <w:shd w:val="clear" w:color="auto" w:fill="auto"/>
            <w:noWrap/>
            <w:vAlign w:val="bottom"/>
            <w:hideMark/>
          </w:tcPr>
          <w:p w14:paraId="44291420"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56</w:t>
            </w:r>
          </w:p>
        </w:tc>
        <w:tc>
          <w:tcPr>
            <w:tcW w:w="0" w:type="auto"/>
            <w:tcBorders>
              <w:top w:val="nil"/>
              <w:left w:val="nil"/>
              <w:bottom w:val="single" w:sz="4" w:space="0" w:color="auto"/>
              <w:right w:val="single" w:sz="4" w:space="0" w:color="auto"/>
            </w:tcBorders>
            <w:shd w:val="clear" w:color="auto" w:fill="auto"/>
            <w:noWrap/>
            <w:vAlign w:val="bottom"/>
            <w:hideMark/>
          </w:tcPr>
          <w:p w14:paraId="76F5E8F0"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27</w:t>
            </w:r>
          </w:p>
        </w:tc>
        <w:tc>
          <w:tcPr>
            <w:tcW w:w="0" w:type="auto"/>
            <w:tcBorders>
              <w:top w:val="nil"/>
              <w:left w:val="nil"/>
              <w:bottom w:val="single" w:sz="4" w:space="0" w:color="auto"/>
              <w:right w:val="single" w:sz="4" w:space="0" w:color="auto"/>
            </w:tcBorders>
            <w:shd w:val="clear" w:color="auto" w:fill="auto"/>
            <w:noWrap/>
            <w:vAlign w:val="bottom"/>
            <w:hideMark/>
          </w:tcPr>
          <w:p w14:paraId="52F62CCF"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48%</w:t>
            </w:r>
          </w:p>
        </w:tc>
        <w:tc>
          <w:tcPr>
            <w:tcW w:w="0" w:type="auto"/>
            <w:tcBorders>
              <w:top w:val="nil"/>
              <w:left w:val="nil"/>
              <w:bottom w:val="single" w:sz="4" w:space="0" w:color="auto"/>
              <w:right w:val="single" w:sz="4" w:space="0" w:color="auto"/>
            </w:tcBorders>
            <w:shd w:val="clear" w:color="auto" w:fill="auto"/>
            <w:noWrap/>
            <w:vAlign w:val="bottom"/>
            <w:hideMark/>
          </w:tcPr>
          <w:p w14:paraId="4921D126"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24</w:t>
            </w:r>
          </w:p>
        </w:tc>
        <w:tc>
          <w:tcPr>
            <w:tcW w:w="0" w:type="auto"/>
            <w:tcBorders>
              <w:top w:val="nil"/>
              <w:left w:val="nil"/>
              <w:bottom w:val="single" w:sz="4" w:space="0" w:color="auto"/>
              <w:right w:val="single" w:sz="4" w:space="0" w:color="auto"/>
            </w:tcBorders>
            <w:shd w:val="clear" w:color="auto" w:fill="auto"/>
            <w:noWrap/>
            <w:vAlign w:val="bottom"/>
            <w:hideMark/>
          </w:tcPr>
          <w:p w14:paraId="31617160"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(88.9)</w:t>
            </w:r>
          </w:p>
        </w:tc>
        <w:tc>
          <w:tcPr>
            <w:tcW w:w="0" w:type="auto"/>
            <w:tcBorders>
              <w:top w:val="nil"/>
              <w:left w:val="nil"/>
              <w:bottom w:val="single" w:sz="4" w:space="0" w:color="auto"/>
              <w:right w:val="single" w:sz="4" w:space="0" w:color="auto"/>
            </w:tcBorders>
            <w:shd w:val="clear" w:color="auto" w:fill="auto"/>
            <w:noWrap/>
            <w:vAlign w:val="bottom"/>
            <w:hideMark/>
          </w:tcPr>
          <w:p w14:paraId="02475029"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04DAF809"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5F6A1B28"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04A0AC9C"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230A941F"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67E12C9F"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4479B4EA"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0C1E5718"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02FFDE48"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2CFF2A3A"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5403C425"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68%</w:t>
            </w:r>
          </w:p>
        </w:tc>
      </w:tr>
      <w:tr w:rsidR="0067156B" w:rsidRPr="00BA48F1" w14:paraId="20A4A33E" w14:textId="77777777" w:rsidTr="005E6FB1">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73387E8"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IPSWICH</w:t>
            </w:r>
          </w:p>
        </w:tc>
        <w:tc>
          <w:tcPr>
            <w:tcW w:w="0" w:type="auto"/>
            <w:tcBorders>
              <w:top w:val="nil"/>
              <w:left w:val="nil"/>
              <w:bottom w:val="single" w:sz="4" w:space="0" w:color="auto"/>
              <w:right w:val="single" w:sz="4" w:space="0" w:color="auto"/>
            </w:tcBorders>
            <w:shd w:val="clear" w:color="auto" w:fill="auto"/>
            <w:noWrap/>
            <w:vAlign w:val="bottom"/>
            <w:hideMark/>
          </w:tcPr>
          <w:p w14:paraId="7EF198DB"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338</w:t>
            </w:r>
          </w:p>
        </w:tc>
        <w:tc>
          <w:tcPr>
            <w:tcW w:w="0" w:type="auto"/>
            <w:tcBorders>
              <w:top w:val="nil"/>
              <w:left w:val="nil"/>
              <w:bottom w:val="single" w:sz="4" w:space="0" w:color="auto"/>
              <w:right w:val="single" w:sz="4" w:space="0" w:color="auto"/>
            </w:tcBorders>
            <w:shd w:val="clear" w:color="auto" w:fill="auto"/>
            <w:noWrap/>
            <w:vAlign w:val="bottom"/>
            <w:hideMark/>
          </w:tcPr>
          <w:p w14:paraId="15821800"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207</w:t>
            </w:r>
          </w:p>
        </w:tc>
        <w:tc>
          <w:tcPr>
            <w:tcW w:w="0" w:type="auto"/>
            <w:tcBorders>
              <w:top w:val="nil"/>
              <w:left w:val="nil"/>
              <w:bottom w:val="single" w:sz="4" w:space="0" w:color="auto"/>
              <w:right w:val="single" w:sz="4" w:space="0" w:color="auto"/>
            </w:tcBorders>
            <w:shd w:val="clear" w:color="auto" w:fill="auto"/>
            <w:noWrap/>
            <w:vAlign w:val="bottom"/>
            <w:hideMark/>
          </w:tcPr>
          <w:p w14:paraId="3ADF7704"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61%</w:t>
            </w:r>
          </w:p>
        </w:tc>
        <w:tc>
          <w:tcPr>
            <w:tcW w:w="0" w:type="auto"/>
            <w:tcBorders>
              <w:top w:val="nil"/>
              <w:left w:val="nil"/>
              <w:bottom w:val="single" w:sz="4" w:space="0" w:color="auto"/>
              <w:right w:val="single" w:sz="4" w:space="0" w:color="auto"/>
            </w:tcBorders>
            <w:shd w:val="clear" w:color="auto" w:fill="auto"/>
            <w:noWrap/>
            <w:vAlign w:val="bottom"/>
            <w:hideMark/>
          </w:tcPr>
          <w:p w14:paraId="29E5A514"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200</w:t>
            </w:r>
          </w:p>
        </w:tc>
        <w:tc>
          <w:tcPr>
            <w:tcW w:w="0" w:type="auto"/>
            <w:tcBorders>
              <w:top w:val="nil"/>
              <w:left w:val="nil"/>
              <w:bottom w:val="single" w:sz="4" w:space="0" w:color="auto"/>
              <w:right w:val="single" w:sz="4" w:space="0" w:color="auto"/>
            </w:tcBorders>
            <w:shd w:val="clear" w:color="auto" w:fill="auto"/>
            <w:noWrap/>
            <w:vAlign w:val="bottom"/>
            <w:hideMark/>
          </w:tcPr>
          <w:p w14:paraId="69FAB4D3"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(96.6)</w:t>
            </w:r>
          </w:p>
        </w:tc>
        <w:tc>
          <w:tcPr>
            <w:tcW w:w="0" w:type="auto"/>
            <w:tcBorders>
              <w:top w:val="nil"/>
              <w:left w:val="nil"/>
              <w:bottom w:val="single" w:sz="4" w:space="0" w:color="auto"/>
              <w:right w:val="single" w:sz="4" w:space="0" w:color="auto"/>
            </w:tcBorders>
            <w:shd w:val="clear" w:color="auto" w:fill="auto"/>
            <w:noWrap/>
            <w:vAlign w:val="bottom"/>
            <w:hideMark/>
          </w:tcPr>
          <w:p w14:paraId="51F7E435"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6</w:t>
            </w:r>
          </w:p>
        </w:tc>
        <w:tc>
          <w:tcPr>
            <w:tcW w:w="0" w:type="auto"/>
            <w:tcBorders>
              <w:top w:val="nil"/>
              <w:left w:val="nil"/>
              <w:bottom w:val="single" w:sz="4" w:space="0" w:color="auto"/>
              <w:right w:val="single" w:sz="4" w:space="0" w:color="auto"/>
            </w:tcBorders>
            <w:shd w:val="clear" w:color="auto" w:fill="auto"/>
            <w:noWrap/>
            <w:vAlign w:val="bottom"/>
            <w:hideMark/>
          </w:tcPr>
          <w:p w14:paraId="2DFAB220"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(2.9)</w:t>
            </w:r>
          </w:p>
        </w:tc>
        <w:tc>
          <w:tcPr>
            <w:tcW w:w="0" w:type="auto"/>
            <w:tcBorders>
              <w:top w:val="nil"/>
              <w:left w:val="nil"/>
              <w:bottom w:val="single" w:sz="4" w:space="0" w:color="auto"/>
              <w:right w:val="single" w:sz="4" w:space="0" w:color="auto"/>
            </w:tcBorders>
            <w:shd w:val="clear" w:color="auto" w:fill="auto"/>
            <w:noWrap/>
            <w:vAlign w:val="bottom"/>
            <w:hideMark/>
          </w:tcPr>
          <w:p w14:paraId="05904C8C"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0BD53EF3"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0EDCAA93"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42888904"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0AFD4077"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309EB8D3"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542534D8"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3269132B"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04112427"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63%</w:t>
            </w:r>
          </w:p>
        </w:tc>
      </w:tr>
      <w:tr w:rsidR="0067156B" w:rsidRPr="00BA48F1" w14:paraId="2DD5CB14" w14:textId="77777777" w:rsidTr="005E6FB1">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174867"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KINGSTON</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0341912E"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450</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056B4B8F"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279</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003E6920"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62%</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75538F42"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277</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21ABD317"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(99.3)</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57CDDAEB"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0F5440BE"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2E44648F"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10D289E2"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780064F6"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422E249B"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7F3F363B"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3710732A"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0D1EE44F"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75295A33"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4E765CE0"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53%</w:t>
            </w:r>
          </w:p>
        </w:tc>
      </w:tr>
      <w:tr w:rsidR="0067156B" w:rsidRPr="00BA48F1" w14:paraId="571DC079" w14:textId="77777777" w:rsidTr="005E6FB1">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DC7F9A"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LAKEVILLE</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0F181FC6"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347</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2B87A6E7"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258</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0E1AB9B2"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74%</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3252A9F9"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256</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284F73CD"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(99.2)</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0B1A37BF"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07D95DAD"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38EB6DAC"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3ADB1F53"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034D83B4"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4FC24DFB"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6C367BDC"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013AAA6D"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42A8C2AE"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5F41780F"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6DA7BD80"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46%</w:t>
            </w:r>
          </w:p>
        </w:tc>
      </w:tr>
      <w:tr w:rsidR="0067156B" w:rsidRPr="00BA48F1" w14:paraId="189BAA4F" w14:textId="77777777" w:rsidTr="0067156B">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6DCE3B"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lastRenderedPageBreak/>
              <w:t>LANCASTER</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2E8D72F8"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185</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03805D27"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145</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6E825876"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78%</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1988A905"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145</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2AC8EBED"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(100.0)</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790FA508"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683B1E1D"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3EFF2244"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5CD25B79"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0D0C29D2"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26AD103E"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5854E1C7"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4B668588"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371D7E03"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0177F722"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7250961C"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70%</w:t>
            </w:r>
          </w:p>
        </w:tc>
      </w:tr>
      <w:tr w:rsidR="0067156B" w:rsidRPr="00BA48F1" w14:paraId="75110F11" w14:textId="77777777" w:rsidTr="0067156B">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6E15A90"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LANESBOROUGH</w:t>
            </w:r>
          </w:p>
        </w:tc>
        <w:tc>
          <w:tcPr>
            <w:tcW w:w="0" w:type="auto"/>
            <w:tcBorders>
              <w:top w:val="nil"/>
              <w:left w:val="nil"/>
              <w:bottom w:val="single" w:sz="4" w:space="0" w:color="auto"/>
              <w:right w:val="single" w:sz="4" w:space="0" w:color="auto"/>
            </w:tcBorders>
            <w:shd w:val="clear" w:color="auto" w:fill="auto"/>
            <w:noWrap/>
            <w:vAlign w:val="bottom"/>
            <w:hideMark/>
          </w:tcPr>
          <w:p w14:paraId="2E5C1331"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68</w:t>
            </w:r>
          </w:p>
        </w:tc>
        <w:tc>
          <w:tcPr>
            <w:tcW w:w="0" w:type="auto"/>
            <w:tcBorders>
              <w:top w:val="nil"/>
              <w:left w:val="nil"/>
              <w:bottom w:val="single" w:sz="4" w:space="0" w:color="auto"/>
              <w:right w:val="single" w:sz="4" w:space="0" w:color="auto"/>
            </w:tcBorders>
            <w:shd w:val="clear" w:color="auto" w:fill="auto"/>
            <w:noWrap/>
            <w:vAlign w:val="bottom"/>
            <w:hideMark/>
          </w:tcPr>
          <w:p w14:paraId="1D590037"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55</w:t>
            </w:r>
          </w:p>
        </w:tc>
        <w:tc>
          <w:tcPr>
            <w:tcW w:w="0" w:type="auto"/>
            <w:tcBorders>
              <w:top w:val="nil"/>
              <w:left w:val="nil"/>
              <w:bottom w:val="single" w:sz="4" w:space="0" w:color="auto"/>
              <w:right w:val="single" w:sz="4" w:space="0" w:color="auto"/>
            </w:tcBorders>
            <w:shd w:val="clear" w:color="auto" w:fill="auto"/>
            <w:noWrap/>
            <w:vAlign w:val="bottom"/>
            <w:hideMark/>
          </w:tcPr>
          <w:p w14:paraId="7A6A0768"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81%</w:t>
            </w:r>
          </w:p>
        </w:tc>
        <w:tc>
          <w:tcPr>
            <w:tcW w:w="0" w:type="auto"/>
            <w:tcBorders>
              <w:top w:val="nil"/>
              <w:left w:val="nil"/>
              <w:bottom w:val="single" w:sz="4" w:space="0" w:color="auto"/>
              <w:right w:val="single" w:sz="4" w:space="0" w:color="auto"/>
            </w:tcBorders>
            <w:shd w:val="clear" w:color="auto" w:fill="auto"/>
            <w:noWrap/>
            <w:vAlign w:val="bottom"/>
            <w:hideMark/>
          </w:tcPr>
          <w:p w14:paraId="50AB2148"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54</w:t>
            </w:r>
          </w:p>
        </w:tc>
        <w:tc>
          <w:tcPr>
            <w:tcW w:w="0" w:type="auto"/>
            <w:tcBorders>
              <w:top w:val="nil"/>
              <w:left w:val="nil"/>
              <w:bottom w:val="single" w:sz="4" w:space="0" w:color="auto"/>
              <w:right w:val="single" w:sz="4" w:space="0" w:color="auto"/>
            </w:tcBorders>
            <w:shd w:val="clear" w:color="auto" w:fill="auto"/>
            <w:noWrap/>
            <w:vAlign w:val="bottom"/>
            <w:hideMark/>
          </w:tcPr>
          <w:p w14:paraId="5028B4C7"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(98.2)</w:t>
            </w:r>
          </w:p>
        </w:tc>
        <w:tc>
          <w:tcPr>
            <w:tcW w:w="0" w:type="auto"/>
            <w:tcBorders>
              <w:top w:val="nil"/>
              <w:left w:val="nil"/>
              <w:bottom w:val="single" w:sz="4" w:space="0" w:color="auto"/>
              <w:right w:val="single" w:sz="4" w:space="0" w:color="auto"/>
            </w:tcBorders>
            <w:shd w:val="clear" w:color="auto" w:fill="auto"/>
            <w:noWrap/>
            <w:vAlign w:val="bottom"/>
            <w:hideMark/>
          </w:tcPr>
          <w:p w14:paraId="44AC062B"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16756B3A"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319F4E1D"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4784714C"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3EFB4461"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487B19ED"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359E6706"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18E3276D"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5D6C36B2"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1B7B2A0D"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5F08F0F7"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67%</w:t>
            </w:r>
          </w:p>
        </w:tc>
      </w:tr>
      <w:tr w:rsidR="0067156B" w:rsidRPr="00BA48F1" w14:paraId="20077AB9" w14:textId="77777777" w:rsidTr="0067156B">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A7BE920"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LAWRENCE</w:t>
            </w:r>
          </w:p>
        </w:tc>
        <w:tc>
          <w:tcPr>
            <w:tcW w:w="0" w:type="auto"/>
            <w:tcBorders>
              <w:top w:val="nil"/>
              <w:left w:val="nil"/>
              <w:bottom w:val="single" w:sz="4" w:space="0" w:color="auto"/>
              <w:right w:val="single" w:sz="4" w:space="0" w:color="auto"/>
            </w:tcBorders>
            <w:shd w:val="clear" w:color="auto" w:fill="auto"/>
            <w:noWrap/>
            <w:vAlign w:val="bottom"/>
            <w:hideMark/>
          </w:tcPr>
          <w:p w14:paraId="6EAB4478"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4,808</w:t>
            </w:r>
          </w:p>
        </w:tc>
        <w:tc>
          <w:tcPr>
            <w:tcW w:w="0" w:type="auto"/>
            <w:tcBorders>
              <w:top w:val="nil"/>
              <w:left w:val="nil"/>
              <w:bottom w:val="single" w:sz="4" w:space="0" w:color="auto"/>
              <w:right w:val="single" w:sz="4" w:space="0" w:color="auto"/>
            </w:tcBorders>
            <w:shd w:val="clear" w:color="auto" w:fill="auto"/>
            <w:noWrap/>
            <w:vAlign w:val="bottom"/>
            <w:hideMark/>
          </w:tcPr>
          <w:p w14:paraId="3B6E9340"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2,670</w:t>
            </w:r>
          </w:p>
        </w:tc>
        <w:tc>
          <w:tcPr>
            <w:tcW w:w="0" w:type="auto"/>
            <w:tcBorders>
              <w:top w:val="nil"/>
              <w:left w:val="nil"/>
              <w:bottom w:val="single" w:sz="4" w:space="0" w:color="auto"/>
              <w:right w:val="single" w:sz="4" w:space="0" w:color="auto"/>
            </w:tcBorders>
            <w:shd w:val="clear" w:color="auto" w:fill="auto"/>
            <w:noWrap/>
            <w:vAlign w:val="bottom"/>
            <w:hideMark/>
          </w:tcPr>
          <w:p w14:paraId="1C13C835"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56%</w:t>
            </w:r>
          </w:p>
        </w:tc>
        <w:tc>
          <w:tcPr>
            <w:tcW w:w="0" w:type="auto"/>
            <w:tcBorders>
              <w:top w:val="nil"/>
              <w:left w:val="nil"/>
              <w:bottom w:val="single" w:sz="4" w:space="0" w:color="auto"/>
              <w:right w:val="single" w:sz="4" w:space="0" w:color="auto"/>
            </w:tcBorders>
            <w:shd w:val="clear" w:color="auto" w:fill="auto"/>
            <w:noWrap/>
            <w:vAlign w:val="bottom"/>
            <w:hideMark/>
          </w:tcPr>
          <w:p w14:paraId="3DF45772"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2,638</w:t>
            </w:r>
          </w:p>
        </w:tc>
        <w:tc>
          <w:tcPr>
            <w:tcW w:w="0" w:type="auto"/>
            <w:tcBorders>
              <w:top w:val="nil"/>
              <w:left w:val="nil"/>
              <w:bottom w:val="single" w:sz="4" w:space="0" w:color="auto"/>
              <w:right w:val="single" w:sz="4" w:space="0" w:color="auto"/>
            </w:tcBorders>
            <w:shd w:val="clear" w:color="auto" w:fill="auto"/>
            <w:noWrap/>
            <w:vAlign w:val="bottom"/>
            <w:hideMark/>
          </w:tcPr>
          <w:p w14:paraId="61CB811C"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(98.8)</w:t>
            </w:r>
          </w:p>
        </w:tc>
        <w:tc>
          <w:tcPr>
            <w:tcW w:w="0" w:type="auto"/>
            <w:tcBorders>
              <w:top w:val="nil"/>
              <w:left w:val="nil"/>
              <w:bottom w:val="single" w:sz="4" w:space="0" w:color="auto"/>
              <w:right w:val="single" w:sz="4" w:space="0" w:color="auto"/>
            </w:tcBorders>
            <w:shd w:val="clear" w:color="auto" w:fill="auto"/>
            <w:noWrap/>
            <w:vAlign w:val="bottom"/>
            <w:hideMark/>
          </w:tcPr>
          <w:p w14:paraId="57250110"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22</w:t>
            </w:r>
          </w:p>
        </w:tc>
        <w:tc>
          <w:tcPr>
            <w:tcW w:w="0" w:type="auto"/>
            <w:tcBorders>
              <w:top w:val="nil"/>
              <w:left w:val="nil"/>
              <w:bottom w:val="single" w:sz="4" w:space="0" w:color="auto"/>
              <w:right w:val="single" w:sz="4" w:space="0" w:color="auto"/>
            </w:tcBorders>
            <w:shd w:val="clear" w:color="auto" w:fill="auto"/>
            <w:noWrap/>
            <w:vAlign w:val="bottom"/>
            <w:hideMark/>
          </w:tcPr>
          <w:p w14:paraId="41A6A040"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(0.8)</w:t>
            </w:r>
          </w:p>
        </w:tc>
        <w:tc>
          <w:tcPr>
            <w:tcW w:w="0" w:type="auto"/>
            <w:tcBorders>
              <w:top w:val="nil"/>
              <w:left w:val="nil"/>
              <w:bottom w:val="single" w:sz="4" w:space="0" w:color="auto"/>
              <w:right w:val="single" w:sz="4" w:space="0" w:color="auto"/>
            </w:tcBorders>
            <w:shd w:val="clear" w:color="auto" w:fill="auto"/>
            <w:noWrap/>
            <w:vAlign w:val="bottom"/>
            <w:hideMark/>
          </w:tcPr>
          <w:p w14:paraId="305E7E22"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6</w:t>
            </w:r>
          </w:p>
        </w:tc>
        <w:tc>
          <w:tcPr>
            <w:tcW w:w="0" w:type="auto"/>
            <w:tcBorders>
              <w:top w:val="nil"/>
              <w:left w:val="nil"/>
              <w:bottom w:val="single" w:sz="4" w:space="0" w:color="auto"/>
              <w:right w:val="single" w:sz="4" w:space="0" w:color="auto"/>
            </w:tcBorders>
            <w:shd w:val="clear" w:color="auto" w:fill="auto"/>
            <w:noWrap/>
            <w:vAlign w:val="bottom"/>
            <w:hideMark/>
          </w:tcPr>
          <w:p w14:paraId="3419B1BF"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(0.2)</w:t>
            </w:r>
          </w:p>
        </w:tc>
        <w:tc>
          <w:tcPr>
            <w:tcW w:w="0" w:type="auto"/>
            <w:tcBorders>
              <w:top w:val="nil"/>
              <w:left w:val="nil"/>
              <w:bottom w:val="single" w:sz="4" w:space="0" w:color="auto"/>
              <w:right w:val="single" w:sz="4" w:space="0" w:color="auto"/>
            </w:tcBorders>
            <w:shd w:val="clear" w:color="auto" w:fill="auto"/>
            <w:noWrap/>
            <w:vAlign w:val="bottom"/>
            <w:hideMark/>
          </w:tcPr>
          <w:p w14:paraId="58C4CC98"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4</w:t>
            </w:r>
          </w:p>
        </w:tc>
        <w:tc>
          <w:tcPr>
            <w:tcW w:w="0" w:type="auto"/>
            <w:tcBorders>
              <w:top w:val="nil"/>
              <w:left w:val="nil"/>
              <w:bottom w:val="single" w:sz="4" w:space="0" w:color="auto"/>
              <w:right w:val="single" w:sz="4" w:space="0" w:color="auto"/>
            </w:tcBorders>
            <w:shd w:val="clear" w:color="auto" w:fill="auto"/>
            <w:noWrap/>
            <w:vAlign w:val="bottom"/>
            <w:hideMark/>
          </w:tcPr>
          <w:p w14:paraId="10E9C5C1"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(0.1)</w:t>
            </w:r>
          </w:p>
        </w:tc>
        <w:tc>
          <w:tcPr>
            <w:tcW w:w="0" w:type="auto"/>
            <w:tcBorders>
              <w:top w:val="nil"/>
              <w:left w:val="nil"/>
              <w:bottom w:val="single" w:sz="4" w:space="0" w:color="auto"/>
              <w:right w:val="single" w:sz="4" w:space="0" w:color="auto"/>
            </w:tcBorders>
            <w:shd w:val="clear" w:color="auto" w:fill="auto"/>
            <w:noWrap/>
            <w:vAlign w:val="bottom"/>
            <w:hideMark/>
          </w:tcPr>
          <w:p w14:paraId="73542B1E"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31</w:t>
            </w:r>
          </w:p>
        </w:tc>
        <w:tc>
          <w:tcPr>
            <w:tcW w:w="0" w:type="auto"/>
            <w:tcBorders>
              <w:top w:val="nil"/>
              <w:left w:val="nil"/>
              <w:bottom w:val="single" w:sz="4" w:space="0" w:color="auto"/>
              <w:right w:val="single" w:sz="4" w:space="0" w:color="auto"/>
            </w:tcBorders>
            <w:shd w:val="clear" w:color="auto" w:fill="auto"/>
            <w:noWrap/>
            <w:vAlign w:val="bottom"/>
            <w:hideMark/>
          </w:tcPr>
          <w:p w14:paraId="7F070BF7"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(1.2)</w:t>
            </w:r>
          </w:p>
        </w:tc>
        <w:tc>
          <w:tcPr>
            <w:tcW w:w="0" w:type="auto"/>
            <w:tcBorders>
              <w:top w:val="nil"/>
              <w:left w:val="nil"/>
              <w:bottom w:val="single" w:sz="4" w:space="0" w:color="auto"/>
              <w:right w:val="single" w:sz="4" w:space="0" w:color="auto"/>
            </w:tcBorders>
            <w:shd w:val="clear" w:color="auto" w:fill="auto"/>
            <w:noWrap/>
            <w:vAlign w:val="bottom"/>
            <w:hideMark/>
          </w:tcPr>
          <w:p w14:paraId="4C62FC7D"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10</w:t>
            </w:r>
          </w:p>
        </w:tc>
        <w:tc>
          <w:tcPr>
            <w:tcW w:w="0" w:type="auto"/>
            <w:tcBorders>
              <w:top w:val="nil"/>
              <w:left w:val="nil"/>
              <w:bottom w:val="single" w:sz="4" w:space="0" w:color="auto"/>
              <w:right w:val="single" w:sz="4" w:space="0" w:color="auto"/>
            </w:tcBorders>
            <w:shd w:val="clear" w:color="auto" w:fill="auto"/>
            <w:noWrap/>
            <w:vAlign w:val="bottom"/>
            <w:hideMark/>
          </w:tcPr>
          <w:p w14:paraId="0C7D27B2"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(0.4)</w:t>
            </w:r>
          </w:p>
        </w:tc>
        <w:tc>
          <w:tcPr>
            <w:tcW w:w="0" w:type="auto"/>
            <w:tcBorders>
              <w:top w:val="nil"/>
              <w:left w:val="nil"/>
              <w:bottom w:val="single" w:sz="4" w:space="0" w:color="auto"/>
              <w:right w:val="single" w:sz="4" w:space="0" w:color="auto"/>
            </w:tcBorders>
            <w:shd w:val="clear" w:color="auto" w:fill="auto"/>
            <w:noWrap/>
            <w:vAlign w:val="bottom"/>
            <w:hideMark/>
          </w:tcPr>
          <w:p w14:paraId="38689ACD"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81%</w:t>
            </w:r>
          </w:p>
        </w:tc>
      </w:tr>
      <w:tr w:rsidR="0067156B" w:rsidRPr="00BA48F1" w14:paraId="7FF82383" w14:textId="77777777" w:rsidTr="0067156B">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9FBD349"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LEE</w:t>
            </w:r>
          </w:p>
        </w:tc>
        <w:tc>
          <w:tcPr>
            <w:tcW w:w="0" w:type="auto"/>
            <w:tcBorders>
              <w:top w:val="nil"/>
              <w:left w:val="nil"/>
              <w:bottom w:val="single" w:sz="4" w:space="0" w:color="auto"/>
              <w:right w:val="single" w:sz="4" w:space="0" w:color="auto"/>
            </w:tcBorders>
            <w:shd w:val="clear" w:color="auto" w:fill="auto"/>
            <w:noWrap/>
            <w:vAlign w:val="bottom"/>
            <w:hideMark/>
          </w:tcPr>
          <w:p w14:paraId="2CE58DAF"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143</w:t>
            </w:r>
          </w:p>
        </w:tc>
        <w:tc>
          <w:tcPr>
            <w:tcW w:w="0" w:type="auto"/>
            <w:tcBorders>
              <w:top w:val="nil"/>
              <w:left w:val="nil"/>
              <w:bottom w:val="single" w:sz="4" w:space="0" w:color="auto"/>
              <w:right w:val="single" w:sz="4" w:space="0" w:color="auto"/>
            </w:tcBorders>
            <w:shd w:val="clear" w:color="auto" w:fill="auto"/>
            <w:noWrap/>
            <w:vAlign w:val="bottom"/>
            <w:hideMark/>
          </w:tcPr>
          <w:p w14:paraId="7D793735"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76</w:t>
            </w:r>
          </w:p>
        </w:tc>
        <w:tc>
          <w:tcPr>
            <w:tcW w:w="0" w:type="auto"/>
            <w:tcBorders>
              <w:top w:val="nil"/>
              <w:left w:val="nil"/>
              <w:bottom w:val="single" w:sz="4" w:space="0" w:color="auto"/>
              <w:right w:val="single" w:sz="4" w:space="0" w:color="auto"/>
            </w:tcBorders>
            <w:shd w:val="clear" w:color="auto" w:fill="auto"/>
            <w:noWrap/>
            <w:vAlign w:val="bottom"/>
            <w:hideMark/>
          </w:tcPr>
          <w:p w14:paraId="2E47D4C8"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53%</w:t>
            </w:r>
          </w:p>
        </w:tc>
        <w:tc>
          <w:tcPr>
            <w:tcW w:w="0" w:type="auto"/>
            <w:tcBorders>
              <w:top w:val="nil"/>
              <w:left w:val="nil"/>
              <w:bottom w:val="single" w:sz="4" w:space="0" w:color="auto"/>
              <w:right w:val="single" w:sz="4" w:space="0" w:color="auto"/>
            </w:tcBorders>
            <w:shd w:val="clear" w:color="auto" w:fill="auto"/>
            <w:noWrap/>
            <w:vAlign w:val="bottom"/>
            <w:hideMark/>
          </w:tcPr>
          <w:p w14:paraId="14BABF1F"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75</w:t>
            </w:r>
          </w:p>
        </w:tc>
        <w:tc>
          <w:tcPr>
            <w:tcW w:w="0" w:type="auto"/>
            <w:tcBorders>
              <w:top w:val="nil"/>
              <w:left w:val="nil"/>
              <w:bottom w:val="single" w:sz="4" w:space="0" w:color="auto"/>
              <w:right w:val="single" w:sz="4" w:space="0" w:color="auto"/>
            </w:tcBorders>
            <w:shd w:val="clear" w:color="auto" w:fill="auto"/>
            <w:noWrap/>
            <w:vAlign w:val="bottom"/>
            <w:hideMark/>
          </w:tcPr>
          <w:p w14:paraId="5B42C028"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(98.7)</w:t>
            </w:r>
          </w:p>
        </w:tc>
        <w:tc>
          <w:tcPr>
            <w:tcW w:w="0" w:type="auto"/>
            <w:tcBorders>
              <w:top w:val="nil"/>
              <w:left w:val="nil"/>
              <w:bottom w:val="single" w:sz="4" w:space="0" w:color="auto"/>
              <w:right w:val="single" w:sz="4" w:space="0" w:color="auto"/>
            </w:tcBorders>
            <w:shd w:val="clear" w:color="auto" w:fill="auto"/>
            <w:noWrap/>
            <w:vAlign w:val="bottom"/>
            <w:hideMark/>
          </w:tcPr>
          <w:p w14:paraId="2AD2ABB4"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6F11E4D1"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1C840A42"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108A41D9"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230CDA54"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3F20A0B5"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61C21193"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6D291BBA"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5D199AEA"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3A58F606"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01E3170E"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72%</w:t>
            </w:r>
          </w:p>
        </w:tc>
      </w:tr>
      <w:tr w:rsidR="0067156B" w:rsidRPr="00BA48F1" w14:paraId="63BE6C51" w14:textId="77777777" w:rsidTr="0067156B">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D7757F8"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LEICESTER</w:t>
            </w:r>
          </w:p>
        </w:tc>
        <w:tc>
          <w:tcPr>
            <w:tcW w:w="0" w:type="auto"/>
            <w:tcBorders>
              <w:top w:val="nil"/>
              <w:left w:val="nil"/>
              <w:bottom w:val="single" w:sz="4" w:space="0" w:color="auto"/>
              <w:right w:val="single" w:sz="4" w:space="0" w:color="auto"/>
            </w:tcBorders>
            <w:shd w:val="clear" w:color="auto" w:fill="auto"/>
            <w:noWrap/>
            <w:vAlign w:val="bottom"/>
            <w:hideMark/>
          </w:tcPr>
          <w:p w14:paraId="1676ADEC"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322</w:t>
            </w:r>
          </w:p>
        </w:tc>
        <w:tc>
          <w:tcPr>
            <w:tcW w:w="0" w:type="auto"/>
            <w:tcBorders>
              <w:top w:val="nil"/>
              <w:left w:val="nil"/>
              <w:bottom w:val="single" w:sz="4" w:space="0" w:color="auto"/>
              <w:right w:val="single" w:sz="4" w:space="0" w:color="auto"/>
            </w:tcBorders>
            <w:shd w:val="clear" w:color="auto" w:fill="auto"/>
            <w:noWrap/>
            <w:vAlign w:val="bottom"/>
            <w:hideMark/>
          </w:tcPr>
          <w:p w14:paraId="61FAEEB4"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201</w:t>
            </w:r>
          </w:p>
        </w:tc>
        <w:tc>
          <w:tcPr>
            <w:tcW w:w="0" w:type="auto"/>
            <w:tcBorders>
              <w:top w:val="nil"/>
              <w:left w:val="nil"/>
              <w:bottom w:val="single" w:sz="4" w:space="0" w:color="auto"/>
              <w:right w:val="single" w:sz="4" w:space="0" w:color="auto"/>
            </w:tcBorders>
            <w:shd w:val="clear" w:color="auto" w:fill="auto"/>
            <w:noWrap/>
            <w:vAlign w:val="bottom"/>
            <w:hideMark/>
          </w:tcPr>
          <w:p w14:paraId="72A46387"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62%</w:t>
            </w:r>
          </w:p>
        </w:tc>
        <w:tc>
          <w:tcPr>
            <w:tcW w:w="0" w:type="auto"/>
            <w:tcBorders>
              <w:top w:val="nil"/>
              <w:left w:val="nil"/>
              <w:bottom w:val="single" w:sz="4" w:space="0" w:color="auto"/>
              <w:right w:val="single" w:sz="4" w:space="0" w:color="auto"/>
            </w:tcBorders>
            <w:shd w:val="clear" w:color="auto" w:fill="auto"/>
            <w:noWrap/>
            <w:vAlign w:val="bottom"/>
            <w:hideMark/>
          </w:tcPr>
          <w:p w14:paraId="278B20B7"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198</w:t>
            </w:r>
          </w:p>
        </w:tc>
        <w:tc>
          <w:tcPr>
            <w:tcW w:w="0" w:type="auto"/>
            <w:tcBorders>
              <w:top w:val="nil"/>
              <w:left w:val="nil"/>
              <w:bottom w:val="single" w:sz="4" w:space="0" w:color="auto"/>
              <w:right w:val="single" w:sz="4" w:space="0" w:color="auto"/>
            </w:tcBorders>
            <w:shd w:val="clear" w:color="auto" w:fill="auto"/>
            <w:noWrap/>
            <w:vAlign w:val="bottom"/>
            <w:hideMark/>
          </w:tcPr>
          <w:p w14:paraId="1F72CAE6"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(98.5)</w:t>
            </w:r>
          </w:p>
        </w:tc>
        <w:tc>
          <w:tcPr>
            <w:tcW w:w="0" w:type="auto"/>
            <w:tcBorders>
              <w:top w:val="nil"/>
              <w:left w:val="nil"/>
              <w:bottom w:val="single" w:sz="4" w:space="0" w:color="auto"/>
              <w:right w:val="single" w:sz="4" w:space="0" w:color="auto"/>
            </w:tcBorders>
            <w:shd w:val="clear" w:color="auto" w:fill="auto"/>
            <w:noWrap/>
            <w:vAlign w:val="bottom"/>
            <w:hideMark/>
          </w:tcPr>
          <w:p w14:paraId="11DE98CC"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23988947"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2DD720FE"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31196C98"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3767BF2A"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221D6DB9"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5E072646"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535443FD"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62C124B6"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26AA5839"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70075114"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63%</w:t>
            </w:r>
          </w:p>
        </w:tc>
      </w:tr>
      <w:tr w:rsidR="0067156B" w:rsidRPr="00BA48F1" w14:paraId="03FA04BE" w14:textId="77777777" w:rsidTr="0067156B">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B4E499A"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LENOX</w:t>
            </w:r>
          </w:p>
        </w:tc>
        <w:tc>
          <w:tcPr>
            <w:tcW w:w="0" w:type="auto"/>
            <w:tcBorders>
              <w:top w:val="nil"/>
              <w:left w:val="nil"/>
              <w:bottom w:val="single" w:sz="4" w:space="0" w:color="auto"/>
              <w:right w:val="single" w:sz="4" w:space="0" w:color="auto"/>
            </w:tcBorders>
            <w:shd w:val="clear" w:color="auto" w:fill="auto"/>
            <w:noWrap/>
            <w:vAlign w:val="bottom"/>
            <w:hideMark/>
          </w:tcPr>
          <w:p w14:paraId="256A5B2F"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90</w:t>
            </w:r>
          </w:p>
        </w:tc>
        <w:tc>
          <w:tcPr>
            <w:tcW w:w="0" w:type="auto"/>
            <w:tcBorders>
              <w:top w:val="nil"/>
              <w:left w:val="nil"/>
              <w:bottom w:val="single" w:sz="4" w:space="0" w:color="auto"/>
              <w:right w:val="single" w:sz="4" w:space="0" w:color="auto"/>
            </w:tcBorders>
            <w:shd w:val="clear" w:color="auto" w:fill="auto"/>
            <w:noWrap/>
            <w:vAlign w:val="bottom"/>
            <w:hideMark/>
          </w:tcPr>
          <w:p w14:paraId="7C38E36D"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54</w:t>
            </w:r>
          </w:p>
        </w:tc>
        <w:tc>
          <w:tcPr>
            <w:tcW w:w="0" w:type="auto"/>
            <w:tcBorders>
              <w:top w:val="nil"/>
              <w:left w:val="nil"/>
              <w:bottom w:val="single" w:sz="4" w:space="0" w:color="auto"/>
              <w:right w:val="single" w:sz="4" w:space="0" w:color="auto"/>
            </w:tcBorders>
            <w:shd w:val="clear" w:color="auto" w:fill="auto"/>
            <w:noWrap/>
            <w:vAlign w:val="bottom"/>
            <w:hideMark/>
          </w:tcPr>
          <w:p w14:paraId="2D79C622"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60%</w:t>
            </w:r>
          </w:p>
        </w:tc>
        <w:tc>
          <w:tcPr>
            <w:tcW w:w="0" w:type="auto"/>
            <w:tcBorders>
              <w:top w:val="nil"/>
              <w:left w:val="nil"/>
              <w:bottom w:val="single" w:sz="4" w:space="0" w:color="auto"/>
              <w:right w:val="single" w:sz="4" w:space="0" w:color="auto"/>
            </w:tcBorders>
            <w:shd w:val="clear" w:color="auto" w:fill="auto"/>
            <w:noWrap/>
            <w:vAlign w:val="bottom"/>
            <w:hideMark/>
          </w:tcPr>
          <w:p w14:paraId="33B2D1CE"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53</w:t>
            </w:r>
          </w:p>
        </w:tc>
        <w:tc>
          <w:tcPr>
            <w:tcW w:w="0" w:type="auto"/>
            <w:tcBorders>
              <w:top w:val="nil"/>
              <w:left w:val="nil"/>
              <w:bottom w:val="single" w:sz="4" w:space="0" w:color="auto"/>
              <w:right w:val="single" w:sz="4" w:space="0" w:color="auto"/>
            </w:tcBorders>
            <w:shd w:val="clear" w:color="auto" w:fill="auto"/>
            <w:noWrap/>
            <w:vAlign w:val="bottom"/>
            <w:hideMark/>
          </w:tcPr>
          <w:p w14:paraId="6E27A24D"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(98.1)</w:t>
            </w:r>
          </w:p>
        </w:tc>
        <w:tc>
          <w:tcPr>
            <w:tcW w:w="0" w:type="auto"/>
            <w:tcBorders>
              <w:top w:val="nil"/>
              <w:left w:val="nil"/>
              <w:bottom w:val="single" w:sz="4" w:space="0" w:color="auto"/>
              <w:right w:val="single" w:sz="4" w:space="0" w:color="auto"/>
            </w:tcBorders>
            <w:shd w:val="clear" w:color="auto" w:fill="auto"/>
            <w:noWrap/>
            <w:vAlign w:val="bottom"/>
            <w:hideMark/>
          </w:tcPr>
          <w:p w14:paraId="018A5558"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32F8BDB4"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0B9266BB"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0A7BC5BA"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495D2BBA"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166354C7"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7BB81C1F"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611BDC8D"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04E900D7"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79D1F5FE"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06D712D4"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69%</w:t>
            </w:r>
          </w:p>
        </w:tc>
      </w:tr>
      <w:tr w:rsidR="0067156B" w:rsidRPr="00BA48F1" w14:paraId="0285D08C" w14:textId="77777777" w:rsidTr="0067156B">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994A991"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LEOMINSTER</w:t>
            </w:r>
          </w:p>
        </w:tc>
        <w:tc>
          <w:tcPr>
            <w:tcW w:w="0" w:type="auto"/>
            <w:tcBorders>
              <w:top w:val="nil"/>
              <w:left w:val="nil"/>
              <w:bottom w:val="single" w:sz="4" w:space="0" w:color="auto"/>
              <w:right w:val="single" w:sz="4" w:space="0" w:color="auto"/>
            </w:tcBorders>
            <w:shd w:val="clear" w:color="auto" w:fill="auto"/>
            <w:noWrap/>
            <w:vAlign w:val="bottom"/>
            <w:hideMark/>
          </w:tcPr>
          <w:p w14:paraId="4739F086"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1,455</w:t>
            </w:r>
          </w:p>
        </w:tc>
        <w:tc>
          <w:tcPr>
            <w:tcW w:w="0" w:type="auto"/>
            <w:tcBorders>
              <w:top w:val="nil"/>
              <w:left w:val="nil"/>
              <w:bottom w:val="single" w:sz="4" w:space="0" w:color="auto"/>
              <w:right w:val="single" w:sz="4" w:space="0" w:color="auto"/>
            </w:tcBorders>
            <w:shd w:val="clear" w:color="auto" w:fill="auto"/>
            <w:noWrap/>
            <w:vAlign w:val="bottom"/>
            <w:hideMark/>
          </w:tcPr>
          <w:p w14:paraId="14CD1E26"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1,034</w:t>
            </w:r>
          </w:p>
        </w:tc>
        <w:tc>
          <w:tcPr>
            <w:tcW w:w="0" w:type="auto"/>
            <w:tcBorders>
              <w:top w:val="nil"/>
              <w:left w:val="nil"/>
              <w:bottom w:val="single" w:sz="4" w:space="0" w:color="auto"/>
              <w:right w:val="single" w:sz="4" w:space="0" w:color="auto"/>
            </w:tcBorders>
            <w:shd w:val="clear" w:color="auto" w:fill="auto"/>
            <w:noWrap/>
            <w:vAlign w:val="bottom"/>
            <w:hideMark/>
          </w:tcPr>
          <w:p w14:paraId="1C0A46A3"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71%</w:t>
            </w:r>
          </w:p>
        </w:tc>
        <w:tc>
          <w:tcPr>
            <w:tcW w:w="0" w:type="auto"/>
            <w:tcBorders>
              <w:top w:val="nil"/>
              <w:left w:val="nil"/>
              <w:bottom w:val="single" w:sz="4" w:space="0" w:color="auto"/>
              <w:right w:val="single" w:sz="4" w:space="0" w:color="auto"/>
            </w:tcBorders>
            <w:shd w:val="clear" w:color="auto" w:fill="auto"/>
            <w:noWrap/>
            <w:vAlign w:val="bottom"/>
            <w:hideMark/>
          </w:tcPr>
          <w:p w14:paraId="5144A2D8"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1,023</w:t>
            </w:r>
          </w:p>
        </w:tc>
        <w:tc>
          <w:tcPr>
            <w:tcW w:w="0" w:type="auto"/>
            <w:tcBorders>
              <w:top w:val="nil"/>
              <w:left w:val="nil"/>
              <w:bottom w:val="single" w:sz="4" w:space="0" w:color="auto"/>
              <w:right w:val="single" w:sz="4" w:space="0" w:color="auto"/>
            </w:tcBorders>
            <w:shd w:val="clear" w:color="auto" w:fill="auto"/>
            <w:noWrap/>
            <w:vAlign w:val="bottom"/>
            <w:hideMark/>
          </w:tcPr>
          <w:p w14:paraId="51282B2F"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(98.9)</w:t>
            </w:r>
          </w:p>
        </w:tc>
        <w:tc>
          <w:tcPr>
            <w:tcW w:w="0" w:type="auto"/>
            <w:tcBorders>
              <w:top w:val="nil"/>
              <w:left w:val="nil"/>
              <w:bottom w:val="single" w:sz="4" w:space="0" w:color="auto"/>
              <w:right w:val="single" w:sz="4" w:space="0" w:color="auto"/>
            </w:tcBorders>
            <w:shd w:val="clear" w:color="auto" w:fill="auto"/>
            <w:noWrap/>
            <w:vAlign w:val="bottom"/>
            <w:hideMark/>
          </w:tcPr>
          <w:p w14:paraId="0D0D8770"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10</w:t>
            </w:r>
          </w:p>
        </w:tc>
        <w:tc>
          <w:tcPr>
            <w:tcW w:w="0" w:type="auto"/>
            <w:tcBorders>
              <w:top w:val="nil"/>
              <w:left w:val="nil"/>
              <w:bottom w:val="single" w:sz="4" w:space="0" w:color="auto"/>
              <w:right w:val="single" w:sz="4" w:space="0" w:color="auto"/>
            </w:tcBorders>
            <w:shd w:val="clear" w:color="auto" w:fill="auto"/>
            <w:noWrap/>
            <w:vAlign w:val="bottom"/>
            <w:hideMark/>
          </w:tcPr>
          <w:p w14:paraId="5B11939A"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(1.0)</w:t>
            </w:r>
          </w:p>
        </w:tc>
        <w:tc>
          <w:tcPr>
            <w:tcW w:w="0" w:type="auto"/>
            <w:tcBorders>
              <w:top w:val="nil"/>
              <w:left w:val="nil"/>
              <w:bottom w:val="single" w:sz="4" w:space="0" w:color="auto"/>
              <w:right w:val="single" w:sz="4" w:space="0" w:color="auto"/>
            </w:tcBorders>
            <w:shd w:val="clear" w:color="auto" w:fill="auto"/>
            <w:noWrap/>
            <w:vAlign w:val="bottom"/>
            <w:hideMark/>
          </w:tcPr>
          <w:p w14:paraId="4C585276"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736058B3"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5237B114"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3D913564"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06BA111A"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8</w:t>
            </w:r>
          </w:p>
        </w:tc>
        <w:tc>
          <w:tcPr>
            <w:tcW w:w="0" w:type="auto"/>
            <w:tcBorders>
              <w:top w:val="nil"/>
              <w:left w:val="nil"/>
              <w:bottom w:val="single" w:sz="4" w:space="0" w:color="auto"/>
              <w:right w:val="single" w:sz="4" w:space="0" w:color="auto"/>
            </w:tcBorders>
            <w:shd w:val="clear" w:color="auto" w:fill="auto"/>
            <w:noWrap/>
            <w:vAlign w:val="bottom"/>
            <w:hideMark/>
          </w:tcPr>
          <w:p w14:paraId="2B2EC8C5"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(0.8)</w:t>
            </w:r>
          </w:p>
        </w:tc>
        <w:tc>
          <w:tcPr>
            <w:tcW w:w="0" w:type="auto"/>
            <w:tcBorders>
              <w:top w:val="nil"/>
              <w:left w:val="nil"/>
              <w:bottom w:val="single" w:sz="4" w:space="0" w:color="auto"/>
              <w:right w:val="single" w:sz="4" w:space="0" w:color="auto"/>
            </w:tcBorders>
            <w:shd w:val="clear" w:color="auto" w:fill="auto"/>
            <w:noWrap/>
            <w:vAlign w:val="bottom"/>
            <w:hideMark/>
          </w:tcPr>
          <w:p w14:paraId="3CD8FB7E"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6B34E703"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678F60EA"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66%</w:t>
            </w:r>
          </w:p>
        </w:tc>
      </w:tr>
      <w:tr w:rsidR="0067156B" w:rsidRPr="00BA48F1" w14:paraId="1E5DCE4A" w14:textId="77777777" w:rsidTr="0067156B">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29E2EAC"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LEVERETT</w:t>
            </w:r>
          </w:p>
        </w:tc>
        <w:tc>
          <w:tcPr>
            <w:tcW w:w="0" w:type="auto"/>
            <w:tcBorders>
              <w:top w:val="nil"/>
              <w:left w:val="nil"/>
              <w:bottom w:val="single" w:sz="4" w:space="0" w:color="auto"/>
              <w:right w:val="single" w:sz="4" w:space="0" w:color="auto"/>
            </w:tcBorders>
            <w:shd w:val="clear" w:color="auto" w:fill="auto"/>
            <w:noWrap/>
            <w:vAlign w:val="bottom"/>
            <w:hideMark/>
          </w:tcPr>
          <w:p w14:paraId="697175F1"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36</w:t>
            </w:r>
          </w:p>
        </w:tc>
        <w:tc>
          <w:tcPr>
            <w:tcW w:w="0" w:type="auto"/>
            <w:tcBorders>
              <w:top w:val="nil"/>
              <w:left w:val="nil"/>
              <w:bottom w:val="single" w:sz="4" w:space="0" w:color="auto"/>
              <w:right w:val="single" w:sz="4" w:space="0" w:color="auto"/>
            </w:tcBorders>
            <w:shd w:val="clear" w:color="auto" w:fill="auto"/>
            <w:noWrap/>
            <w:vAlign w:val="bottom"/>
            <w:hideMark/>
          </w:tcPr>
          <w:p w14:paraId="40C6A040"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18</w:t>
            </w:r>
          </w:p>
        </w:tc>
        <w:tc>
          <w:tcPr>
            <w:tcW w:w="0" w:type="auto"/>
            <w:tcBorders>
              <w:top w:val="nil"/>
              <w:left w:val="nil"/>
              <w:bottom w:val="single" w:sz="4" w:space="0" w:color="auto"/>
              <w:right w:val="single" w:sz="4" w:space="0" w:color="auto"/>
            </w:tcBorders>
            <w:shd w:val="clear" w:color="auto" w:fill="auto"/>
            <w:noWrap/>
            <w:vAlign w:val="bottom"/>
            <w:hideMark/>
          </w:tcPr>
          <w:p w14:paraId="1EFEA133"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50%</w:t>
            </w:r>
          </w:p>
        </w:tc>
        <w:tc>
          <w:tcPr>
            <w:tcW w:w="0" w:type="auto"/>
            <w:tcBorders>
              <w:top w:val="nil"/>
              <w:left w:val="nil"/>
              <w:bottom w:val="single" w:sz="4" w:space="0" w:color="auto"/>
              <w:right w:val="single" w:sz="4" w:space="0" w:color="auto"/>
            </w:tcBorders>
            <w:shd w:val="clear" w:color="auto" w:fill="auto"/>
            <w:noWrap/>
            <w:vAlign w:val="bottom"/>
            <w:hideMark/>
          </w:tcPr>
          <w:p w14:paraId="297AF539"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17</w:t>
            </w:r>
          </w:p>
        </w:tc>
        <w:tc>
          <w:tcPr>
            <w:tcW w:w="0" w:type="auto"/>
            <w:tcBorders>
              <w:top w:val="nil"/>
              <w:left w:val="nil"/>
              <w:bottom w:val="single" w:sz="4" w:space="0" w:color="auto"/>
              <w:right w:val="single" w:sz="4" w:space="0" w:color="auto"/>
            </w:tcBorders>
            <w:shd w:val="clear" w:color="auto" w:fill="auto"/>
            <w:noWrap/>
            <w:vAlign w:val="bottom"/>
            <w:hideMark/>
          </w:tcPr>
          <w:p w14:paraId="6D1E616C"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(94.4)</w:t>
            </w:r>
          </w:p>
        </w:tc>
        <w:tc>
          <w:tcPr>
            <w:tcW w:w="0" w:type="auto"/>
            <w:tcBorders>
              <w:top w:val="nil"/>
              <w:left w:val="nil"/>
              <w:bottom w:val="single" w:sz="4" w:space="0" w:color="auto"/>
              <w:right w:val="single" w:sz="4" w:space="0" w:color="auto"/>
            </w:tcBorders>
            <w:shd w:val="clear" w:color="auto" w:fill="auto"/>
            <w:noWrap/>
            <w:vAlign w:val="bottom"/>
            <w:hideMark/>
          </w:tcPr>
          <w:p w14:paraId="418C64A5"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41FDE3E2"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441C3C0E"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0A38AE98"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3B8EB7F7"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6D3441CA"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08CCD208"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34A222E5"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4B21888D"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60806F80"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3A425904"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57%</w:t>
            </w:r>
          </w:p>
        </w:tc>
      </w:tr>
      <w:tr w:rsidR="0067156B" w:rsidRPr="00BA48F1" w14:paraId="3F5B32AB" w14:textId="77777777" w:rsidTr="0067156B">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FBFAC93"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LEXINGTON</w:t>
            </w:r>
          </w:p>
        </w:tc>
        <w:tc>
          <w:tcPr>
            <w:tcW w:w="0" w:type="auto"/>
            <w:tcBorders>
              <w:top w:val="nil"/>
              <w:left w:val="nil"/>
              <w:bottom w:val="single" w:sz="4" w:space="0" w:color="auto"/>
              <w:right w:val="single" w:sz="4" w:space="0" w:color="auto"/>
            </w:tcBorders>
            <w:shd w:val="clear" w:color="auto" w:fill="auto"/>
            <w:noWrap/>
            <w:vAlign w:val="bottom"/>
            <w:hideMark/>
          </w:tcPr>
          <w:p w14:paraId="474C4603"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951</w:t>
            </w:r>
          </w:p>
        </w:tc>
        <w:tc>
          <w:tcPr>
            <w:tcW w:w="0" w:type="auto"/>
            <w:tcBorders>
              <w:top w:val="nil"/>
              <w:left w:val="nil"/>
              <w:bottom w:val="single" w:sz="4" w:space="0" w:color="auto"/>
              <w:right w:val="single" w:sz="4" w:space="0" w:color="auto"/>
            </w:tcBorders>
            <w:shd w:val="clear" w:color="auto" w:fill="auto"/>
            <w:noWrap/>
            <w:vAlign w:val="bottom"/>
            <w:hideMark/>
          </w:tcPr>
          <w:p w14:paraId="5426CD49"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388</w:t>
            </w:r>
          </w:p>
        </w:tc>
        <w:tc>
          <w:tcPr>
            <w:tcW w:w="0" w:type="auto"/>
            <w:tcBorders>
              <w:top w:val="nil"/>
              <w:left w:val="nil"/>
              <w:bottom w:val="single" w:sz="4" w:space="0" w:color="auto"/>
              <w:right w:val="single" w:sz="4" w:space="0" w:color="auto"/>
            </w:tcBorders>
            <w:shd w:val="clear" w:color="auto" w:fill="auto"/>
            <w:noWrap/>
            <w:vAlign w:val="bottom"/>
            <w:hideMark/>
          </w:tcPr>
          <w:p w14:paraId="6F9E4E72"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41%</w:t>
            </w:r>
          </w:p>
        </w:tc>
        <w:tc>
          <w:tcPr>
            <w:tcW w:w="0" w:type="auto"/>
            <w:tcBorders>
              <w:top w:val="nil"/>
              <w:left w:val="nil"/>
              <w:bottom w:val="single" w:sz="4" w:space="0" w:color="auto"/>
              <w:right w:val="single" w:sz="4" w:space="0" w:color="auto"/>
            </w:tcBorders>
            <w:shd w:val="clear" w:color="auto" w:fill="auto"/>
            <w:noWrap/>
            <w:vAlign w:val="bottom"/>
            <w:hideMark/>
          </w:tcPr>
          <w:p w14:paraId="27345EF5"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386</w:t>
            </w:r>
          </w:p>
        </w:tc>
        <w:tc>
          <w:tcPr>
            <w:tcW w:w="0" w:type="auto"/>
            <w:tcBorders>
              <w:top w:val="nil"/>
              <w:left w:val="nil"/>
              <w:bottom w:val="single" w:sz="4" w:space="0" w:color="auto"/>
              <w:right w:val="single" w:sz="4" w:space="0" w:color="auto"/>
            </w:tcBorders>
            <w:shd w:val="clear" w:color="auto" w:fill="auto"/>
            <w:noWrap/>
            <w:vAlign w:val="bottom"/>
            <w:hideMark/>
          </w:tcPr>
          <w:p w14:paraId="1F2B9414"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(99.5)</w:t>
            </w:r>
          </w:p>
        </w:tc>
        <w:tc>
          <w:tcPr>
            <w:tcW w:w="0" w:type="auto"/>
            <w:tcBorders>
              <w:top w:val="nil"/>
              <w:left w:val="nil"/>
              <w:bottom w:val="single" w:sz="4" w:space="0" w:color="auto"/>
              <w:right w:val="single" w:sz="4" w:space="0" w:color="auto"/>
            </w:tcBorders>
            <w:shd w:val="clear" w:color="auto" w:fill="auto"/>
            <w:noWrap/>
            <w:vAlign w:val="bottom"/>
            <w:hideMark/>
          </w:tcPr>
          <w:p w14:paraId="65DC8A25"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58ACA733"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72972FBC"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2D0F21D4"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38919676"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4445FB8B"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4BCFD2B2"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7ED2D046"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788D16EC"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57B54190"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5FA10575"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71%</w:t>
            </w:r>
          </w:p>
        </w:tc>
      </w:tr>
      <w:tr w:rsidR="0067156B" w:rsidRPr="00BA48F1" w14:paraId="45DA0B13" w14:textId="77777777" w:rsidTr="0067156B">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8B3A9CE"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LEYDEN</w:t>
            </w:r>
          </w:p>
        </w:tc>
        <w:tc>
          <w:tcPr>
            <w:tcW w:w="0" w:type="auto"/>
            <w:tcBorders>
              <w:top w:val="nil"/>
              <w:left w:val="nil"/>
              <w:bottom w:val="single" w:sz="4" w:space="0" w:color="auto"/>
              <w:right w:val="single" w:sz="4" w:space="0" w:color="auto"/>
            </w:tcBorders>
            <w:shd w:val="clear" w:color="auto" w:fill="auto"/>
            <w:noWrap/>
            <w:vAlign w:val="bottom"/>
            <w:hideMark/>
          </w:tcPr>
          <w:p w14:paraId="0F861BF4"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11</w:t>
            </w:r>
          </w:p>
        </w:tc>
        <w:tc>
          <w:tcPr>
            <w:tcW w:w="0" w:type="auto"/>
            <w:tcBorders>
              <w:top w:val="nil"/>
              <w:left w:val="nil"/>
              <w:bottom w:val="single" w:sz="4" w:space="0" w:color="auto"/>
              <w:right w:val="single" w:sz="4" w:space="0" w:color="auto"/>
            </w:tcBorders>
            <w:shd w:val="clear" w:color="auto" w:fill="auto"/>
            <w:noWrap/>
            <w:vAlign w:val="bottom"/>
            <w:hideMark/>
          </w:tcPr>
          <w:p w14:paraId="26EB2A7F"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14</w:t>
            </w:r>
          </w:p>
        </w:tc>
        <w:tc>
          <w:tcPr>
            <w:tcW w:w="0" w:type="auto"/>
            <w:tcBorders>
              <w:top w:val="nil"/>
              <w:left w:val="nil"/>
              <w:bottom w:val="single" w:sz="4" w:space="0" w:color="auto"/>
              <w:right w:val="single" w:sz="4" w:space="0" w:color="auto"/>
            </w:tcBorders>
            <w:shd w:val="clear" w:color="auto" w:fill="auto"/>
            <w:noWrap/>
            <w:vAlign w:val="bottom"/>
            <w:hideMark/>
          </w:tcPr>
          <w:p w14:paraId="26CA0F39"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&gt;99%</w:t>
            </w:r>
          </w:p>
        </w:tc>
        <w:tc>
          <w:tcPr>
            <w:tcW w:w="0" w:type="auto"/>
            <w:tcBorders>
              <w:top w:val="nil"/>
              <w:left w:val="nil"/>
              <w:bottom w:val="single" w:sz="4" w:space="0" w:color="auto"/>
              <w:right w:val="single" w:sz="4" w:space="0" w:color="auto"/>
            </w:tcBorders>
            <w:shd w:val="clear" w:color="auto" w:fill="auto"/>
            <w:noWrap/>
            <w:vAlign w:val="bottom"/>
            <w:hideMark/>
          </w:tcPr>
          <w:p w14:paraId="30B6C351"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14</w:t>
            </w:r>
          </w:p>
        </w:tc>
        <w:tc>
          <w:tcPr>
            <w:tcW w:w="0" w:type="auto"/>
            <w:tcBorders>
              <w:top w:val="nil"/>
              <w:left w:val="nil"/>
              <w:bottom w:val="single" w:sz="4" w:space="0" w:color="auto"/>
              <w:right w:val="single" w:sz="4" w:space="0" w:color="auto"/>
            </w:tcBorders>
            <w:shd w:val="clear" w:color="auto" w:fill="auto"/>
            <w:noWrap/>
            <w:vAlign w:val="bottom"/>
            <w:hideMark/>
          </w:tcPr>
          <w:p w14:paraId="6E6FCA72"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(100.0)</w:t>
            </w:r>
          </w:p>
        </w:tc>
        <w:tc>
          <w:tcPr>
            <w:tcW w:w="0" w:type="auto"/>
            <w:tcBorders>
              <w:top w:val="nil"/>
              <w:left w:val="nil"/>
              <w:bottom w:val="single" w:sz="4" w:space="0" w:color="auto"/>
              <w:right w:val="single" w:sz="4" w:space="0" w:color="auto"/>
            </w:tcBorders>
            <w:shd w:val="clear" w:color="auto" w:fill="auto"/>
            <w:noWrap/>
            <w:vAlign w:val="bottom"/>
            <w:hideMark/>
          </w:tcPr>
          <w:p w14:paraId="51B67751"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600C3AA9"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5033563C"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5C802AC4"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3BF57B6B"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538C8605"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50FE58F7"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48A7CBD4"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68436485"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7C7440B8"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12E3BD18"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58%</w:t>
            </w:r>
          </w:p>
        </w:tc>
      </w:tr>
      <w:tr w:rsidR="0067156B" w:rsidRPr="00BA48F1" w14:paraId="6D1C410A" w14:textId="77777777" w:rsidTr="0067156B">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8E7AB12"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LINCOLN</w:t>
            </w:r>
          </w:p>
        </w:tc>
        <w:tc>
          <w:tcPr>
            <w:tcW w:w="0" w:type="auto"/>
            <w:tcBorders>
              <w:top w:val="nil"/>
              <w:left w:val="nil"/>
              <w:bottom w:val="single" w:sz="4" w:space="0" w:color="auto"/>
              <w:right w:val="single" w:sz="4" w:space="0" w:color="auto"/>
            </w:tcBorders>
            <w:shd w:val="clear" w:color="auto" w:fill="auto"/>
            <w:noWrap/>
            <w:vAlign w:val="bottom"/>
            <w:hideMark/>
          </w:tcPr>
          <w:p w14:paraId="4A9AC334"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518</w:t>
            </w:r>
          </w:p>
        </w:tc>
        <w:tc>
          <w:tcPr>
            <w:tcW w:w="0" w:type="auto"/>
            <w:tcBorders>
              <w:top w:val="nil"/>
              <w:left w:val="nil"/>
              <w:bottom w:val="single" w:sz="4" w:space="0" w:color="auto"/>
              <w:right w:val="single" w:sz="4" w:space="0" w:color="auto"/>
            </w:tcBorders>
            <w:shd w:val="clear" w:color="auto" w:fill="auto"/>
            <w:noWrap/>
            <w:vAlign w:val="bottom"/>
            <w:hideMark/>
          </w:tcPr>
          <w:p w14:paraId="2E3F90C9"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150</w:t>
            </w:r>
          </w:p>
        </w:tc>
        <w:tc>
          <w:tcPr>
            <w:tcW w:w="0" w:type="auto"/>
            <w:tcBorders>
              <w:top w:val="nil"/>
              <w:left w:val="nil"/>
              <w:bottom w:val="single" w:sz="4" w:space="0" w:color="auto"/>
              <w:right w:val="single" w:sz="4" w:space="0" w:color="auto"/>
            </w:tcBorders>
            <w:shd w:val="clear" w:color="auto" w:fill="auto"/>
            <w:noWrap/>
            <w:vAlign w:val="bottom"/>
            <w:hideMark/>
          </w:tcPr>
          <w:p w14:paraId="57A24244"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29%</w:t>
            </w:r>
          </w:p>
        </w:tc>
        <w:tc>
          <w:tcPr>
            <w:tcW w:w="0" w:type="auto"/>
            <w:tcBorders>
              <w:top w:val="nil"/>
              <w:left w:val="nil"/>
              <w:bottom w:val="single" w:sz="4" w:space="0" w:color="auto"/>
              <w:right w:val="single" w:sz="4" w:space="0" w:color="auto"/>
            </w:tcBorders>
            <w:shd w:val="clear" w:color="auto" w:fill="auto"/>
            <w:noWrap/>
            <w:vAlign w:val="bottom"/>
            <w:hideMark/>
          </w:tcPr>
          <w:p w14:paraId="06D4FCFA"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149</w:t>
            </w:r>
          </w:p>
        </w:tc>
        <w:tc>
          <w:tcPr>
            <w:tcW w:w="0" w:type="auto"/>
            <w:tcBorders>
              <w:top w:val="nil"/>
              <w:left w:val="nil"/>
              <w:bottom w:val="single" w:sz="4" w:space="0" w:color="auto"/>
              <w:right w:val="single" w:sz="4" w:space="0" w:color="auto"/>
            </w:tcBorders>
            <w:shd w:val="clear" w:color="auto" w:fill="auto"/>
            <w:noWrap/>
            <w:vAlign w:val="bottom"/>
            <w:hideMark/>
          </w:tcPr>
          <w:p w14:paraId="33F9C73B"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(99.3)</w:t>
            </w:r>
          </w:p>
        </w:tc>
        <w:tc>
          <w:tcPr>
            <w:tcW w:w="0" w:type="auto"/>
            <w:tcBorders>
              <w:top w:val="nil"/>
              <w:left w:val="nil"/>
              <w:bottom w:val="single" w:sz="4" w:space="0" w:color="auto"/>
              <w:right w:val="single" w:sz="4" w:space="0" w:color="auto"/>
            </w:tcBorders>
            <w:shd w:val="clear" w:color="auto" w:fill="auto"/>
            <w:noWrap/>
            <w:vAlign w:val="bottom"/>
            <w:hideMark/>
          </w:tcPr>
          <w:p w14:paraId="105CF60F"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595845D6"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2A7BF8E9"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7108D823"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7B589A37"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11213894"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42843E56"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66584866"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63DE651E"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65DA1799"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7AC83167"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56%</w:t>
            </w:r>
          </w:p>
        </w:tc>
      </w:tr>
      <w:tr w:rsidR="0067156B" w:rsidRPr="00BA48F1" w14:paraId="24CC2F50" w14:textId="77777777" w:rsidTr="0067156B">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FF809F3"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LITTLETON</w:t>
            </w:r>
          </w:p>
        </w:tc>
        <w:tc>
          <w:tcPr>
            <w:tcW w:w="0" w:type="auto"/>
            <w:tcBorders>
              <w:top w:val="nil"/>
              <w:left w:val="nil"/>
              <w:bottom w:val="single" w:sz="4" w:space="0" w:color="auto"/>
              <w:right w:val="single" w:sz="4" w:space="0" w:color="auto"/>
            </w:tcBorders>
            <w:shd w:val="clear" w:color="auto" w:fill="auto"/>
            <w:noWrap/>
            <w:vAlign w:val="bottom"/>
            <w:hideMark/>
          </w:tcPr>
          <w:p w14:paraId="19A2B015"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329</w:t>
            </w:r>
          </w:p>
        </w:tc>
        <w:tc>
          <w:tcPr>
            <w:tcW w:w="0" w:type="auto"/>
            <w:tcBorders>
              <w:top w:val="nil"/>
              <w:left w:val="nil"/>
              <w:bottom w:val="single" w:sz="4" w:space="0" w:color="auto"/>
              <w:right w:val="single" w:sz="4" w:space="0" w:color="auto"/>
            </w:tcBorders>
            <w:shd w:val="clear" w:color="auto" w:fill="auto"/>
            <w:noWrap/>
            <w:vAlign w:val="bottom"/>
            <w:hideMark/>
          </w:tcPr>
          <w:p w14:paraId="1149D266"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251</w:t>
            </w:r>
          </w:p>
        </w:tc>
        <w:tc>
          <w:tcPr>
            <w:tcW w:w="0" w:type="auto"/>
            <w:tcBorders>
              <w:top w:val="nil"/>
              <w:left w:val="nil"/>
              <w:bottom w:val="single" w:sz="4" w:space="0" w:color="auto"/>
              <w:right w:val="single" w:sz="4" w:space="0" w:color="auto"/>
            </w:tcBorders>
            <w:shd w:val="clear" w:color="auto" w:fill="auto"/>
            <w:noWrap/>
            <w:vAlign w:val="bottom"/>
            <w:hideMark/>
          </w:tcPr>
          <w:p w14:paraId="58195271"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76%</w:t>
            </w:r>
          </w:p>
        </w:tc>
        <w:tc>
          <w:tcPr>
            <w:tcW w:w="0" w:type="auto"/>
            <w:tcBorders>
              <w:top w:val="nil"/>
              <w:left w:val="nil"/>
              <w:bottom w:val="single" w:sz="4" w:space="0" w:color="auto"/>
              <w:right w:val="single" w:sz="4" w:space="0" w:color="auto"/>
            </w:tcBorders>
            <w:shd w:val="clear" w:color="auto" w:fill="auto"/>
            <w:noWrap/>
            <w:vAlign w:val="bottom"/>
            <w:hideMark/>
          </w:tcPr>
          <w:p w14:paraId="5E7CAC84"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250</w:t>
            </w:r>
          </w:p>
        </w:tc>
        <w:tc>
          <w:tcPr>
            <w:tcW w:w="0" w:type="auto"/>
            <w:tcBorders>
              <w:top w:val="nil"/>
              <w:left w:val="nil"/>
              <w:bottom w:val="single" w:sz="4" w:space="0" w:color="auto"/>
              <w:right w:val="single" w:sz="4" w:space="0" w:color="auto"/>
            </w:tcBorders>
            <w:shd w:val="clear" w:color="auto" w:fill="auto"/>
            <w:noWrap/>
            <w:vAlign w:val="bottom"/>
            <w:hideMark/>
          </w:tcPr>
          <w:p w14:paraId="6FF31A45"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(99.6)</w:t>
            </w:r>
          </w:p>
        </w:tc>
        <w:tc>
          <w:tcPr>
            <w:tcW w:w="0" w:type="auto"/>
            <w:tcBorders>
              <w:top w:val="nil"/>
              <w:left w:val="nil"/>
              <w:bottom w:val="single" w:sz="4" w:space="0" w:color="auto"/>
              <w:right w:val="single" w:sz="4" w:space="0" w:color="auto"/>
            </w:tcBorders>
            <w:shd w:val="clear" w:color="auto" w:fill="auto"/>
            <w:noWrap/>
            <w:vAlign w:val="bottom"/>
            <w:hideMark/>
          </w:tcPr>
          <w:p w14:paraId="5C43AC7F"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2B3D5F7A"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6C848EE7"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346B2DFA"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0ECFA59E"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4F11510D"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665F3178"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6CF9A8F3"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40D362BF"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08800598"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32634148"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54%</w:t>
            </w:r>
          </w:p>
        </w:tc>
      </w:tr>
      <w:tr w:rsidR="0067156B" w:rsidRPr="00BA48F1" w14:paraId="0644091A" w14:textId="77777777" w:rsidTr="0067156B">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83FE6D4"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LONGMEADOW</w:t>
            </w:r>
          </w:p>
        </w:tc>
        <w:tc>
          <w:tcPr>
            <w:tcW w:w="0" w:type="auto"/>
            <w:tcBorders>
              <w:top w:val="nil"/>
              <w:left w:val="nil"/>
              <w:bottom w:val="single" w:sz="4" w:space="0" w:color="auto"/>
              <w:right w:val="single" w:sz="4" w:space="0" w:color="auto"/>
            </w:tcBorders>
            <w:shd w:val="clear" w:color="auto" w:fill="auto"/>
            <w:noWrap/>
            <w:vAlign w:val="bottom"/>
            <w:hideMark/>
          </w:tcPr>
          <w:p w14:paraId="568739E4"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463</w:t>
            </w:r>
          </w:p>
        </w:tc>
        <w:tc>
          <w:tcPr>
            <w:tcW w:w="0" w:type="auto"/>
            <w:tcBorders>
              <w:top w:val="nil"/>
              <w:left w:val="nil"/>
              <w:bottom w:val="single" w:sz="4" w:space="0" w:color="auto"/>
              <w:right w:val="single" w:sz="4" w:space="0" w:color="auto"/>
            </w:tcBorders>
            <w:shd w:val="clear" w:color="auto" w:fill="auto"/>
            <w:noWrap/>
            <w:vAlign w:val="bottom"/>
            <w:hideMark/>
          </w:tcPr>
          <w:p w14:paraId="1CC4C8BB"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258</w:t>
            </w:r>
          </w:p>
        </w:tc>
        <w:tc>
          <w:tcPr>
            <w:tcW w:w="0" w:type="auto"/>
            <w:tcBorders>
              <w:top w:val="nil"/>
              <w:left w:val="nil"/>
              <w:bottom w:val="single" w:sz="4" w:space="0" w:color="auto"/>
              <w:right w:val="single" w:sz="4" w:space="0" w:color="auto"/>
            </w:tcBorders>
            <w:shd w:val="clear" w:color="auto" w:fill="auto"/>
            <w:noWrap/>
            <w:vAlign w:val="bottom"/>
            <w:hideMark/>
          </w:tcPr>
          <w:p w14:paraId="44556CCC"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56%</w:t>
            </w:r>
          </w:p>
        </w:tc>
        <w:tc>
          <w:tcPr>
            <w:tcW w:w="0" w:type="auto"/>
            <w:tcBorders>
              <w:top w:val="nil"/>
              <w:left w:val="nil"/>
              <w:bottom w:val="single" w:sz="4" w:space="0" w:color="auto"/>
              <w:right w:val="single" w:sz="4" w:space="0" w:color="auto"/>
            </w:tcBorders>
            <w:shd w:val="clear" w:color="auto" w:fill="auto"/>
            <w:noWrap/>
            <w:vAlign w:val="bottom"/>
            <w:hideMark/>
          </w:tcPr>
          <w:p w14:paraId="1C3BB729"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256</w:t>
            </w:r>
          </w:p>
        </w:tc>
        <w:tc>
          <w:tcPr>
            <w:tcW w:w="0" w:type="auto"/>
            <w:tcBorders>
              <w:top w:val="nil"/>
              <w:left w:val="nil"/>
              <w:bottom w:val="single" w:sz="4" w:space="0" w:color="auto"/>
              <w:right w:val="single" w:sz="4" w:space="0" w:color="auto"/>
            </w:tcBorders>
            <w:shd w:val="clear" w:color="auto" w:fill="auto"/>
            <w:noWrap/>
            <w:vAlign w:val="bottom"/>
            <w:hideMark/>
          </w:tcPr>
          <w:p w14:paraId="39EE6CB2"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(99.2)</w:t>
            </w:r>
          </w:p>
        </w:tc>
        <w:tc>
          <w:tcPr>
            <w:tcW w:w="0" w:type="auto"/>
            <w:tcBorders>
              <w:top w:val="nil"/>
              <w:left w:val="nil"/>
              <w:bottom w:val="single" w:sz="4" w:space="0" w:color="auto"/>
              <w:right w:val="single" w:sz="4" w:space="0" w:color="auto"/>
            </w:tcBorders>
            <w:shd w:val="clear" w:color="auto" w:fill="auto"/>
            <w:noWrap/>
            <w:vAlign w:val="bottom"/>
            <w:hideMark/>
          </w:tcPr>
          <w:p w14:paraId="0ACCC97A"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6D59F481"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2F05F8FE"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132DF321"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64D4FE12"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5A23E482"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2E02459D"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28357194"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2552F091"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79E3AE2F"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2E9E342A"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80%</w:t>
            </w:r>
          </w:p>
        </w:tc>
      </w:tr>
      <w:tr w:rsidR="0067156B" w:rsidRPr="00BA48F1" w14:paraId="7EA1E0A0" w14:textId="77777777" w:rsidTr="0067156B">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B1DD5C0"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LOWELL</w:t>
            </w:r>
          </w:p>
        </w:tc>
        <w:tc>
          <w:tcPr>
            <w:tcW w:w="0" w:type="auto"/>
            <w:tcBorders>
              <w:top w:val="nil"/>
              <w:left w:val="nil"/>
              <w:bottom w:val="single" w:sz="4" w:space="0" w:color="auto"/>
              <w:right w:val="single" w:sz="4" w:space="0" w:color="auto"/>
            </w:tcBorders>
            <w:shd w:val="clear" w:color="auto" w:fill="auto"/>
            <w:noWrap/>
            <w:vAlign w:val="bottom"/>
            <w:hideMark/>
          </w:tcPr>
          <w:p w14:paraId="429E2681"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5,305</w:t>
            </w:r>
          </w:p>
        </w:tc>
        <w:tc>
          <w:tcPr>
            <w:tcW w:w="0" w:type="auto"/>
            <w:tcBorders>
              <w:top w:val="nil"/>
              <w:left w:val="nil"/>
              <w:bottom w:val="single" w:sz="4" w:space="0" w:color="auto"/>
              <w:right w:val="single" w:sz="4" w:space="0" w:color="auto"/>
            </w:tcBorders>
            <w:shd w:val="clear" w:color="auto" w:fill="auto"/>
            <w:noWrap/>
            <w:vAlign w:val="bottom"/>
            <w:hideMark/>
          </w:tcPr>
          <w:p w14:paraId="4837F12A"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2,867</w:t>
            </w:r>
          </w:p>
        </w:tc>
        <w:tc>
          <w:tcPr>
            <w:tcW w:w="0" w:type="auto"/>
            <w:tcBorders>
              <w:top w:val="nil"/>
              <w:left w:val="nil"/>
              <w:bottom w:val="single" w:sz="4" w:space="0" w:color="auto"/>
              <w:right w:val="single" w:sz="4" w:space="0" w:color="auto"/>
            </w:tcBorders>
            <w:shd w:val="clear" w:color="auto" w:fill="auto"/>
            <w:noWrap/>
            <w:vAlign w:val="bottom"/>
            <w:hideMark/>
          </w:tcPr>
          <w:p w14:paraId="252BAAFB"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54%</w:t>
            </w:r>
          </w:p>
        </w:tc>
        <w:tc>
          <w:tcPr>
            <w:tcW w:w="0" w:type="auto"/>
            <w:tcBorders>
              <w:top w:val="nil"/>
              <w:left w:val="nil"/>
              <w:bottom w:val="single" w:sz="4" w:space="0" w:color="auto"/>
              <w:right w:val="single" w:sz="4" w:space="0" w:color="auto"/>
            </w:tcBorders>
            <w:shd w:val="clear" w:color="auto" w:fill="auto"/>
            <w:noWrap/>
            <w:vAlign w:val="bottom"/>
            <w:hideMark/>
          </w:tcPr>
          <w:p w14:paraId="174B270B"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2,791</w:t>
            </w:r>
          </w:p>
        </w:tc>
        <w:tc>
          <w:tcPr>
            <w:tcW w:w="0" w:type="auto"/>
            <w:tcBorders>
              <w:top w:val="nil"/>
              <w:left w:val="nil"/>
              <w:bottom w:val="single" w:sz="4" w:space="0" w:color="auto"/>
              <w:right w:val="single" w:sz="4" w:space="0" w:color="auto"/>
            </w:tcBorders>
            <w:shd w:val="clear" w:color="auto" w:fill="auto"/>
            <w:noWrap/>
            <w:vAlign w:val="bottom"/>
            <w:hideMark/>
          </w:tcPr>
          <w:p w14:paraId="39258BE4"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(97.3)</w:t>
            </w:r>
          </w:p>
        </w:tc>
        <w:tc>
          <w:tcPr>
            <w:tcW w:w="0" w:type="auto"/>
            <w:tcBorders>
              <w:top w:val="nil"/>
              <w:left w:val="nil"/>
              <w:bottom w:val="single" w:sz="4" w:space="0" w:color="auto"/>
              <w:right w:val="single" w:sz="4" w:space="0" w:color="auto"/>
            </w:tcBorders>
            <w:shd w:val="clear" w:color="auto" w:fill="auto"/>
            <w:noWrap/>
            <w:vAlign w:val="bottom"/>
            <w:hideMark/>
          </w:tcPr>
          <w:p w14:paraId="70747AD3"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56</w:t>
            </w:r>
          </w:p>
        </w:tc>
        <w:tc>
          <w:tcPr>
            <w:tcW w:w="0" w:type="auto"/>
            <w:tcBorders>
              <w:top w:val="nil"/>
              <w:left w:val="nil"/>
              <w:bottom w:val="single" w:sz="4" w:space="0" w:color="auto"/>
              <w:right w:val="single" w:sz="4" w:space="0" w:color="auto"/>
            </w:tcBorders>
            <w:shd w:val="clear" w:color="auto" w:fill="auto"/>
            <w:noWrap/>
            <w:vAlign w:val="bottom"/>
            <w:hideMark/>
          </w:tcPr>
          <w:p w14:paraId="3F98D80E"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(2.0)</w:t>
            </w:r>
          </w:p>
        </w:tc>
        <w:tc>
          <w:tcPr>
            <w:tcW w:w="0" w:type="auto"/>
            <w:tcBorders>
              <w:top w:val="nil"/>
              <w:left w:val="nil"/>
              <w:bottom w:val="single" w:sz="4" w:space="0" w:color="auto"/>
              <w:right w:val="single" w:sz="4" w:space="0" w:color="auto"/>
            </w:tcBorders>
            <w:shd w:val="clear" w:color="auto" w:fill="auto"/>
            <w:noWrap/>
            <w:vAlign w:val="bottom"/>
            <w:hideMark/>
          </w:tcPr>
          <w:p w14:paraId="65A55E09"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19</w:t>
            </w:r>
          </w:p>
        </w:tc>
        <w:tc>
          <w:tcPr>
            <w:tcW w:w="0" w:type="auto"/>
            <w:tcBorders>
              <w:top w:val="nil"/>
              <w:left w:val="nil"/>
              <w:bottom w:val="single" w:sz="4" w:space="0" w:color="auto"/>
              <w:right w:val="single" w:sz="4" w:space="0" w:color="auto"/>
            </w:tcBorders>
            <w:shd w:val="clear" w:color="auto" w:fill="auto"/>
            <w:noWrap/>
            <w:vAlign w:val="bottom"/>
            <w:hideMark/>
          </w:tcPr>
          <w:p w14:paraId="14156E04"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(0.7)</w:t>
            </w:r>
          </w:p>
        </w:tc>
        <w:tc>
          <w:tcPr>
            <w:tcW w:w="0" w:type="auto"/>
            <w:tcBorders>
              <w:top w:val="nil"/>
              <w:left w:val="nil"/>
              <w:bottom w:val="single" w:sz="4" w:space="0" w:color="auto"/>
              <w:right w:val="single" w:sz="4" w:space="0" w:color="auto"/>
            </w:tcBorders>
            <w:shd w:val="clear" w:color="auto" w:fill="auto"/>
            <w:noWrap/>
            <w:vAlign w:val="bottom"/>
            <w:hideMark/>
          </w:tcPr>
          <w:p w14:paraId="152A54C4"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1</w:t>
            </w:r>
          </w:p>
        </w:tc>
        <w:tc>
          <w:tcPr>
            <w:tcW w:w="0" w:type="auto"/>
            <w:tcBorders>
              <w:top w:val="nil"/>
              <w:left w:val="nil"/>
              <w:bottom w:val="single" w:sz="4" w:space="0" w:color="auto"/>
              <w:right w:val="single" w:sz="4" w:space="0" w:color="auto"/>
            </w:tcBorders>
            <w:shd w:val="clear" w:color="auto" w:fill="auto"/>
            <w:noWrap/>
            <w:vAlign w:val="bottom"/>
            <w:hideMark/>
          </w:tcPr>
          <w:p w14:paraId="1402975B"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(&lt;0.1)</w:t>
            </w:r>
          </w:p>
        </w:tc>
        <w:tc>
          <w:tcPr>
            <w:tcW w:w="0" w:type="auto"/>
            <w:tcBorders>
              <w:top w:val="nil"/>
              <w:left w:val="nil"/>
              <w:bottom w:val="single" w:sz="4" w:space="0" w:color="auto"/>
              <w:right w:val="single" w:sz="4" w:space="0" w:color="auto"/>
            </w:tcBorders>
            <w:shd w:val="clear" w:color="auto" w:fill="auto"/>
            <w:noWrap/>
            <w:vAlign w:val="bottom"/>
            <w:hideMark/>
          </w:tcPr>
          <w:p w14:paraId="427541B8"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62</w:t>
            </w:r>
          </w:p>
        </w:tc>
        <w:tc>
          <w:tcPr>
            <w:tcW w:w="0" w:type="auto"/>
            <w:tcBorders>
              <w:top w:val="nil"/>
              <w:left w:val="nil"/>
              <w:bottom w:val="single" w:sz="4" w:space="0" w:color="auto"/>
              <w:right w:val="single" w:sz="4" w:space="0" w:color="auto"/>
            </w:tcBorders>
            <w:shd w:val="clear" w:color="auto" w:fill="auto"/>
            <w:noWrap/>
            <w:vAlign w:val="bottom"/>
            <w:hideMark/>
          </w:tcPr>
          <w:p w14:paraId="27670A82"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(2.2)</w:t>
            </w:r>
          </w:p>
        </w:tc>
        <w:tc>
          <w:tcPr>
            <w:tcW w:w="0" w:type="auto"/>
            <w:tcBorders>
              <w:top w:val="nil"/>
              <w:left w:val="nil"/>
              <w:bottom w:val="single" w:sz="4" w:space="0" w:color="auto"/>
              <w:right w:val="single" w:sz="4" w:space="0" w:color="auto"/>
            </w:tcBorders>
            <w:shd w:val="clear" w:color="auto" w:fill="auto"/>
            <w:noWrap/>
            <w:vAlign w:val="bottom"/>
            <w:hideMark/>
          </w:tcPr>
          <w:p w14:paraId="370AEED3"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18</w:t>
            </w:r>
          </w:p>
        </w:tc>
        <w:tc>
          <w:tcPr>
            <w:tcW w:w="0" w:type="auto"/>
            <w:tcBorders>
              <w:top w:val="nil"/>
              <w:left w:val="nil"/>
              <w:bottom w:val="single" w:sz="4" w:space="0" w:color="auto"/>
              <w:right w:val="single" w:sz="4" w:space="0" w:color="auto"/>
            </w:tcBorders>
            <w:shd w:val="clear" w:color="auto" w:fill="auto"/>
            <w:noWrap/>
            <w:vAlign w:val="bottom"/>
            <w:hideMark/>
          </w:tcPr>
          <w:p w14:paraId="3978E713"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(0.6)</w:t>
            </w:r>
          </w:p>
        </w:tc>
        <w:tc>
          <w:tcPr>
            <w:tcW w:w="0" w:type="auto"/>
            <w:tcBorders>
              <w:top w:val="nil"/>
              <w:left w:val="nil"/>
              <w:bottom w:val="single" w:sz="4" w:space="0" w:color="auto"/>
              <w:right w:val="single" w:sz="4" w:space="0" w:color="auto"/>
            </w:tcBorders>
            <w:shd w:val="clear" w:color="auto" w:fill="auto"/>
            <w:noWrap/>
            <w:vAlign w:val="bottom"/>
            <w:hideMark/>
          </w:tcPr>
          <w:p w14:paraId="6E45963F"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63%</w:t>
            </w:r>
          </w:p>
        </w:tc>
      </w:tr>
      <w:tr w:rsidR="0067156B" w:rsidRPr="00BA48F1" w14:paraId="49F29D47" w14:textId="77777777" w:rsidTr="0067156B">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3335024"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LUDLOW</w:t>
            </w:r>
          </w:p>
        </w:tc>
        <w:tc>
          <w:tcPr>
            <w:tcW w:w="0" w:type="auto"/>
            <w:tcBorders>
              <w:top w:val="nil"/>
              <w:left w:val="nil"/>
              <w:bottom w:val="single" w:sz="4" w:space="0" w:color="auto"/>
              <w:right w:val="single" w:sz="4" w:space="0" w:color="auto"/>
            </w:tcBorders>
            <w:shd w:val="clear" w:color="auto" w:fill="auto"/>
            <w:noWrap/>
            <w:vAlign w:val="bottom"/>
            <w:hideMark/>
          </w:tcPr>
          <w:p w14:paraId="02962BDB"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508</w:t>
            </w:r>
          </w:p>
        </w:tc>
        <w:tc>
          <w:tcPr>
            <w:tcW w:w="0" w:type="auto"/>
            <w:tcBorders>
              <w:top w:val="nil"/>
              <w:left w:val="nil"/>
              <w:bottom w:val="single" w:sz="4" w:space="0" w:color="auto"/>
              <w:right w:val="single" w:sz="4" w:space="0" w:color="auto"/>
            </w:tcBorders>
            <w:shd w:val="clear" w:color="auto" w:fill="auto"/>
            <w:noWrap/>
            <w:vAlign w:val="bottom"/>
            <w:hideMark/>
          </w:tcPr>
          <w:p w14:paraId="561D1B91"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374</w:t>
            </w:r>
          </w:p>
        </w:tc>
        <w:tc>
          <w:tcPr>
            <w:tcW w:w="0" w:type="auto"/>
            <w:tcBorders>
              <w:top w:val="nil"/>
              <w:left w:val="nil"/>
              <w:bottom w:val="single" w:sz="4" w:space="0" w:color="auto"/>
              <w:right w:val="single" w:sz="4" w:space="0" w:color="auto"/>
            </w:tcBorders>
            <w:shd w:val="clear" w:color="auto" w:fill="auto"/>
            <w:noWrap/>
            <w:vAlign w:val="bottom"/>
            <w:hideMark/>
          </w:tcPr>
          <w:p w14:paraId="35B76D8F"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74%</w:t>
            </w:r>
          </w:p>
        </w:tc>
        <w:tc>
          <w:tcPr>
            <w:tcW w:w="0" w:type="auto"/>
            <w:tcBorders>
              <w:top w:val="nil"/>
              <w:left w:val="nil"/>
              <w:bottom w:val="single" w:sz="4" w:space="0" w:color="auto"/>
              <w:right w:val="single" w:sz="4" w:space="0" w:color="auto"/>
            </w:tcBorders>
            <w:shd w:val="clear" w:color="auto" w:fill="auto"/>
            <w:noWrap/>
            <w:vAlign w:val="bottom"/>
            <w:hideMark/>
          </w:tcPr>
          <w:p w14:paraId="58F2D64C"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369</w:t>
            </w:r>
          </w:p>
        </w:tc>
        <w:tc>
          <w:tcPr>
            <w:tcW w:w="0" w:type="auto"/>
            <w:tcBorders>
              <w:top w:val="nil"/>
              <w:left w:val="nil"/>
              <w:bottom w:val="single" w:sz="4" w:space="0" w:color="auto"/>
              <w:right w:val="single" w:sz="4" w:space="0" w:color="auto"/>
            </w:tcBorders>
            <w:shd w:val="clear" w:color="auto" w:fill="auto"/>
            <w:noWrap/>
            <w:vAlign w:val="bottom"/>
            <w:hideMark/>
          </w:tcPr>
          <w:p w14:paraId="77140928"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(98.7)</w:t>
            </w:r>
          </w:p>
        </w:tc>
        <w:tc>
          <w:tcPr>
            <w:tcW w:w="0" w:type="auto"/>
            <w:tcBorders>
              <w:top w:val="nil"/>
              <w:left w:val="nil"/>
              <w:bottom w:val="single" w:sz="4" w:space="0" w:color="auto"/>
              <w:right w:val="single" w:sz="4" w:space="0" w:color="auto"/>
            </w:tcBorders>
            <w:shd w:val="clear" w:color="auto" w:fill="auto"/>
            <w:noWrap/>
            <w:vAlign w:val="bottom"/>
            <w:hideMark/>
          </w:tcPr>
          <w:p w14:paraId="56B044C8"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434B933C"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455C31D3"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7CF03AFF"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2714568E"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52493A42"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5E4CEA6A"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47C9C8B0"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2324DC29"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581ECAAA"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3051B752"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59%</w:t>
            </w:r>
          </w:p>
        </w:tc>
      </w:tr>
      <w:tr w:rsidR="0067156B" w:rsidRPr="00BA48F1" w14:paraId="14309063" w14:textId="77777777" w:rsidTr="0067156B">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B889A7C"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LUNENBURG</w:t>
            </w:r>
          </w:p>
        </w:tc>
        <w:tc>
          <w:tcPr>
            <w:tcW w:w="0" w:type="auto"/>
            <w:tcBorders>
              <w:top w:val="nil"/>
              <w:left w:val="nil"/>
              <w:bottom w:val="single" w:sz="4" w:space="0" w:color="auto"/>
              <w:right w:val="single" w:sz="4" w:space="0" w:color="auto"/>
            </w:tcBorders>
            <w:shd w:val="clear" w:color="auto" w:fill="auto"/>
            <w:noWrap/>
            <w:vAlign w:val="bottom"/>
            <w:hideMark/>
          </w:tcPr>
          <w:p w14:paraId="429B8441"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327</w:t>
            </w:r>
          </w:p>
        </w:tc>
        <w:tc>
          <w:tcPr>
            <w:tcW w:w="0" w:type="auto"/>
            <w:tcBorders>
              <w:top w:val="nil"/>
              <w:left w:val="nil"/>
              <w:bottom w:val="single" w:sz="4" w:space="0" w:color="auto"/>
              <w:right w:val="single" w:sz="4" w:space="0" w:color="auto"/>
            </w:tcBorders>
            <w:shd w:val="clear" w:color="auto" w:fill="auto"/>
            <w:noWrap/>
            <w:vAlign w:val="bottom"/>
            <w:hideMark/>
          </w:tcPr>
          <w:p w14:paraId="632D792B"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254</w:t>
            </w:r>
          </w:p>
        </w:tc>
        <w:tc>
          <w:tcPr>
            <w:tcW w:w="0" w:type="auto"/>
            <w:tcBorders>
              <w:top w:val="nil"/>
              <w:left w:val="nil"/>
              <w:bottom w:val="single" w:sz="4" w:space="0" w:color="auto"/>
              <w:right w:val="single" w:sz="4" w:space="0" w:color="auto"/>
            </w:tcBorders>
            <w:shd w:val="clear" w:color="auto" w:fill="auto"/>
            <w:noWrap/>
            <w:vAlign w:val="bottom"/>
            <w:hideMark/>
          </w:tcPr>
          <w:p w14:paraId="628E525E"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78%</w:t>
            </w:r>
          </w:p>
        </w:tc>
        <w:tc>
          <w:tcPr>
            <w:tcW w:w="0" w:type="auto"/>
            <w:tcBorders>
              <w:top w:val="nil"/>
              <w:left w:val="nil"/>
              <w:bottom w:val="single" w:sz="4" w:space="0" w:color="auto"/>
              <w:right w:val="single" w:sz="4" w:space="0" w:color="auto"/>
            </w:tcBorders>
            <w:shd w:val="clear" w:color="auto" w:fill="auto"/>
            <w:noWrap/>
            <w:vAlign w:val="bottom"/>
            <w:hideMark/>
          </w:tcPr>
          <w:p w14:paraId="08FAC1A2"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252</w:t>
            </w:r>
          </w:p>
        </w:tc>
        <w:tc>
          <w:tcPr>
            <w:tcW w:w="0" w:type="auto"/>
            <w:tcBorders>
              <w:top w:val="nil"/>
              <w:left w:val="nil"/>
              <w:bottom w:val="single" w:sz="4" w:space="0" w:color="auto"/>
              <w:right w:val="single" w:sz="4" w:space="0" w:color="auto"/>
            </w:tcBorders>
            <w:shd w:val="clear" w:color="auto" w:fill="auto"/>
            <w:noWrap/>
            <w:vAlign w:val="bottom"/>
            <w:hideMark/>
          </w:tcPr>
          <w:p w14:paraId="16E32365"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(99.2)</w:t>
            </w:r>
          </w:p>
        </w:tc>
        <w:tc>
          <w:tcPr>
            <w:tcW w:w="0" w:type="auto"/>
            <w:tcBorders>
              <w:top w:val="nil"/>
              <w:left w:val="nil"/>
              <w:bottom w:val="single" w:sz="4" w:space="0" w:color="auto"/>
              <w:right w:val="single" w:sz="4" w:space="0" w:color="auto"/>
            </w:tcBorders>
            <w:shd w:val="clear" w:color="auto" w:fill="auto"/>
            <w:noWrap/>
            <w:vAlign w:val="bottom"/>
            <w:hideMark/>
          </w:tcPr>
          <w:p w14:paraId="22D18E5E"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5C4F7A39"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7010C0E2"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4DC498AF"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0A2251B6"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61A56851"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219FC3EB"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092BD5B5"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71B2313B"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5C179247"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0F5392BA"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85%</w:t>
            </w:r>
          </w:p>
        </w:tc>
      </w:tr>
      <w:tr w:rsidR="0067156B" w:rsidRPr="00BA48F1" w14:paraId="741AF5D5" w14:textId="77777777" w:rsidTr="0067156B">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61FDCE4"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LYNN</w:t>
            </w:r>
          </w:p>
        </w:tc>
        <w:tc>
          <w:tcPr>
            <w:tcW w:w="0" w:type="auto"/>
            <w:tcBorders>
              <w:top w:val="nil"/>
              <w:left w:val="nil"/>
              <w:bottom w:val="single" w:sz="4" w:space="0" w:color="auto"/>
              <w:right w:val="single" w:sz="4" w:space="0" w:color="auto"/>
            </w:tcBorders>
            <w:shd w:val="clear" w:color="auto" w:fill="auto"/>
            <w:noWrap/>
            <w:vAlign w:val="bottom"/>
            <w:hideMark/>
          </w:tcPr>
          <w:p w14:paraId="2F69CFC6"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5,008</w:t>
            </w:r>
          </w:p>
        </w:tc>
        <w:tc>
          <w:tcPr>
            <w:tcW w:w="0" w:type="auto"/>
            <w:tcBorders>
              <w:top w:val="nil"/>
              <w:left w:val="nil"/>
              <w:bottom w:val="single" w:sz="4" w:space="0" w:color="auto"/>
              <w:right w:val="single" w:sz="4" w:space="0" w:color="auto"/>
            </w:tcBorders>
            <w:shd w:val="clear" w:color="auto" w:fill="auto"/>
            <w:noWrap/>
            <w:vAlign w:val="bottom"/>
            <w:hideMark/>
          </w:tcPr>
          <w:p w14:paraId="0954BA92"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3,446</w:t>
            </w:r>
          </w:p>
        </w:tc>
        <w:tc>
          <w:tcPr>
            <w:tcW w:w="0" w:type="auto"/>
            <w:tcBorders>
              <w:top w:val="nil"/>
              <w:left w:val="nil"/>
              <w:bottom w:val="single" w:sz="4" w:space="0" w:color="auto"/>
              <w:right w:val="single" w:sz="4" w:space="0" w:color="auto"/>
            </w:tcBorders>
            <w:shd w:val="clear" w:color="auto" w:fill="auto"/>
            <w:noWrap/>
            <w:vAlign w:val="bottom"/>
            <w:hideMark/>
          </w:tcPr>
          <w:p w14:paraId="12862C23"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69%</w:t>
            </w:r>
          </w:p>
        </w:tc>
        <w:tc>
          <w:tcPr>
            <w:tcW w:w="0" w:type="auto"/>
            <w:tcBorders>
              <w:top w:val="nil"/>
              <w:left w:val="nil"/>
              <w:bottom w:val="single" w:sz="4" w:space="0" w:color="auto"/>
              <w:right w:val="single" w:sz="4" w:space="0" w:color="auto"/>
            </w:tcBorders>
            <w:shd w:val="clear" w:color="auto" w:fill="auto"/>
            <w:noWrap/>
            <w:vAlign w:val="bottom"/>
            <w:hideMark/>
          </w:tcPr>
          <w:p w14:paraId="4057FDED"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3,324</w:t>
            </w:r>
          </w:p>
        </w:tc>
        <w:tc>
          <w:tcPr>
            <w:tcW w:w="0" w:type="auto"/>
            <w:tcBorders>
              <w:top w:val="nil"/>
              <w:left w:val="nil"/>
              <w:bottom w:val="single" w:sz="4" w:space="0" w:color="auto"/>
              <w:right w:val="single" w:sz="4" w:space="0" w:color="auto"/>
            </w:tcBorders>
            <w:shd w:val="clear" w:color="auto" w:fill="auto"/>
            <w:noWrap/>
            <w:vAlign w:val="bottom"/>
            <w:hideMark/>
          </w:tcPr>
          <w:p w14:paraId="0AB54451"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(96.5)</w:t>
            </w:r>
          </w:p>
        </w:tc>
        <w:tc>
          <w:tcPr>
            <w:tcW w:w="0" w:type="auto"/>
            <w:tcBorders>
              <w:top w:val="nil"/>
              <w:left w:val="nil"/>
              <w:bottom w:val="single" w:sz="4" w:space="0" w:color="auto"/>
              <w:right w:val="single" w:sz="4" w:space="0" w:color="auto"/>
            </w:tcBorders>
            <w:shd w:val="clear" w:color="auto" w:fill="auto"/>
            <w:noWrap/>
            <w:vAlign w:val="bottom"/>
            <w:hideMark/>
          </w:tcPr>
          <w:p w14:paraId="670A9B62"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101</w:t>
            </w:r>
          </w:p>
        </w:tc>
        <w:tc>
          <w:tcPr>
            <w:tcW w:w="0" w:type="auto"/>
            <w:tcBorders>
              <w:top w:val="nil"/>
              <w:left w:val="nil"/>
              <w:bottom w:val="single" w:sz="4" w:space="0" w:color="auto"/>
              <w:right w:val="single" w:sz="4" w:space="0" w:color="auto"/>
            </w:tcBorders>
            <w:shd w:val="clear" w:color="auto" w:fill="auto"/>
            <w:noWrap/>
            <w:vAlign w:val="bottom"/>
            <w:hideMark/>
          </w:tcPr>
          <w:p w14:paraId="1CF7F524"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(2.9)</w:t>
            </w:r>
          </w:p>
        </w:tc>
        <w:tc>
          <w:tcPr>
            <w:tcW w:w="0" w:type="auto"/>
            <w:tcBorders>
              <w:top w:val="nil"/>
              <w:left w:val="nil"/>
              <w:bottom w:val="single" w:sz="4" w:space="0" w:color="auto"/>
              <w:right w:val="single" w:sz="4" w:space="0" w:color="auto"/>
            </w:tcBorders>
            <w:shd w:val="clear" w:color="auto" w:fill="auto"/>
            <w:noWrap/>
            <w:vAlign w:val="bottom"/>
            <w:hideMark/>
          </w:tcPr>
          <w:p w14:paraId="6F842730"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20</w:t>
            </w:r>
          </w:p>
        </w:tc>
        <w:tc>
          <w:tcPr>
            <w:tcW w:w="0" w:type="auto"/>
            <w:tcBorders>
              <w:top w:val="nil"/>
              <w:left w:val="nil"/>
              <w:bottom w:val="single" w:sz="4" w:space="0" w:color="auto"/>
              <w:right w:val="single" w:sz="4" w:space="0" w:color="auto"/>
            </w:tcBorders>
            <w:shd w:val="clear" w:color="auto" w:fill="auto"/>
            <w:noWrap/>
            <w:vAlign w:val="bottom"/>
            <w:hideMark/>
          </w:tcPr>
          <w:p w14:paraId="3BE056B9"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(0.6)</w:t>
            </w:r>
          </w:p>
        </w:tc>
        <w:tc>
          <w:tcPr>
            <w:tcW w:w="0" w:type="auto"/>
            <w:tcBorders>
              <w:top w:val="nil"/>
              <w:left w:val="nil"/>
              <w:bottom w:val="single" w:sz="4" w:space="0" w:color="auto"/>
              <w:right w:val="single" w:sz="4" w:space="0" w:color="auto"/>
            </w:tcBorders>
            <w:shd w:val="clear" w:color="auto" w:fill="auto"/>
            <w:noWrap/>
            <w:vAlign w:val="bottom"/>
            <w:hideMark/>
          </w:tcPr>
          <w:p w14:paraId="286BBB78"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1</w:t>
            </w:r>
          </w:p>
        </w:tc>
        <w:tc>
          <w:tcPr>
            <w:tcW w:w="0" w:type="auto"/>
            <w:tcBorders>
              <w:top w:val="nil"/>
              <w:left w:val="nil"/>
              <w:bottom w:val="single" w:sz="4" w:space="0" w:color="auto"/>
              <w:right w:val="single" w:sz="4" w:space="0" w:color="auto"/>
            </w:tcBorders>
            <w:shd w:val="clear" w:color="auto" w:fill="auto"/>
            <w:noWrap/>
            <w:vAlign w:val="bottom"/>
            <w:hideMark/>
          </w:tcPr>
          <w:p w14:paraId="4803B047"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(&lt;0.1)</w:t>
            </w:r>
          </w:p>
        </w:tc>
        <w:tc>
          <w:tcPr>
            <w:tcW w:w="0" w:type="auto"/>
            <w:tcBorders>
              <w:top w:val="nil"/>
              <w:left w:val="nil"/>
              <w:bottom w:val="single" w:sz="4" w:space="0" w:color="auto"/>
              <w:right w:val="single" w:sz="4" w:space="0" w:color="auto"/>
            </w:tcBorders>
            <w:shd w:val="clear" w:color="auto" w:fill="auto"/>
            <w:noWrap/>
            <w:vAlign w:val="bottom"/>
            <w:hideMark/>
          </w:tcPr>
          <w:p w14:paraId="508E6AC9"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97</w:t>
            </w:r>
          </w:p>
        </w:tc>
        <w:tc>
          <w:tcPr>
            <w:tcW w:w="0" w:type="auto"/>
            <w:tcBorders>
              <w:top w:val="nil"/>
              <w:left w:val="nil"/>
              <w:bottom w:val="single" w:sz="4" w:space="0" w:color="auto"/>
              <w:right w:val="single" w:sz="4" w:space="0" w:color="auto"/>
            </w:tcBorders>
            <w:shd w:val="clear" w:color="auto" w:fill="auto"/>
            <w:noWrap/>
            <w:vAlign w:val="bottom"/>
            <w:hideMark/>
          </w:tcPr>
          <w:p w14:paraId="02A37671"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(2.8)</w:t>
            </w:r>
          </w:p>
        </w:tc>
        <w:tc>
          <w:tcPr>
            <w:tcW w:w="0" w:type="auto"/>
            <w:tcBorders>
              <w:top w:val="nil"/>
              <w:left w:val="nil"/>
              <w:bottom w:val="single" w:sz="4" w:space="0" w:color="auto"/>
              <w:right w:val="single" w:sz="4" w:space="0" w:color="auto"/>
            </w:tcBorders>
            <w:shd w:val="clear" w:color="auto" w:fill="auto"/>
            <w:noWrap/>
            <w:vAlign w:val="bottom"/>
            <w:hideMark/>
          </w:tcPr>
          <w:p w14:paraId="54038339"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20</w:t>
            </w:r>
          </w:p>
        </w:tc>
        <w:tc>
          <w:tcPr>
            <w:tcW w:w="0" w:type="auto"/>
            <w:tcBorders>
              <w:top w:val="nil"/>
              <w:left w:val="nil"/>
              <w:bottom w:val="single" w:sz="4" w:space="0" w:color="auto"/>
              <w:right w:val="single" w:sz="4" w:space="0" w:color="auto"/>
            </w:tcBorders>
            <w:shd w:val="clear" w:color="auto" w:fill="auto"/>
            <w:noWrap/>
            <w:vAlign w:val="bottom"/>
            <w:hideMark/>
          </w:tcPr>
          <w:p w14:paraId="25CE0810"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(0.6)</w:t>
            </w:r>
          </w:p>
        </w:tc>
        <w:tc>
          <w:tcPr>
            <w:tcW w:w="0" w:type="auto"/>
            <w:tcBorders>
              <w:top w:val="nil"/>
              <w:left w:val="nil"/>
              <w:bottom w:val="single" w:sz="4" w:space="0" w:color="auto"/>
              <w:right w:val="single" w:sz="4" w:space="0" w:color="auto"/>
            </w:tcBorders>
            <w:shd w:val="clear" w:color="auto" w:fill="auto"/>
            <w:noWrap/>
            <w:vAlign w:val="bottom"/>
            <w:hideMark/>
          </w:tcPr>
          <w:p w14:paraId="6C181CEF"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66%</w:t>
            </w:r>
          </w:p>
        </w:tc>
      </w:tr>
      <w:tr w:rsidR="0067156B" w:rsidRPr="00BA48F1" w14:paraId="2806427B" w14:textId="77777777" w:rsidTr="0067156B">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955D3B4"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LYNNFIELD</w:t>
            </w:r>
          </w:p>
        </w:tc>
        <w:tc>
          <w:tcPr>
            <w:tcW w:w="0" w:type="auto"/>
            <w:tcBorders>
              <w:top w:val="nil"/>
              <w:left w:val="nil"/>
              <w:bottom w:val="single" w:sz="4" w:space="0" w:color="auto"/>
              <w:right w:val="single" w:sz="4" w:space="0" w:color="auto"/>
            </w:tcBorders>
            <w:shd w:val="clear" w:color="auto" w:fill="auto"/>
            <w:noWrap/>
            <w:vAlign w:val="bottom"/>
            <w:hideMark/>
          </w:tcPr>
          <w:p w14:paraId="7CA78CCF"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323</w:t>
            </w:r>
          </w:p>
        </w:tc>
        <w:tc>
          <w:tcPr>
            <w:tcW w:w="0" w:type="auto"/>
            <w:tcBorders>
              <w:top w:val="nil"/>
              <w:left w:val="nil"/>
              <w:bottom w:val="single" w:sz="4" w:space="0" w:color="auto"/>
              <w:right w:val="single" w:sz="4" w:space="0" w:color="auto"/>
            </w:tcBorders>
            <w:shd w:val="clear" w:color="auto" w:fill="auto"/>
            <w:noWrap/>
            <w:vAlign w:val="bottom"/>
            <w:hideMark/>
          </w:tcPr>
          <w:p w14:paraId="42D1DB08"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360</w:t>
            </w:r>
          </w:p>
        </w:tc>
        <w:tc>
          <w:tcPr>
            <w:tcW w:w="0" w:type="auto"/>
            <w:tcBorders>
              <w:top w:val="nil"/>
              <w:left w:val="nil"/>
              <w:bottom w:val="single" w:sz="4" w:space="0" w:color="auto"/>
              <w:right w:val="single" w:sz="4" w:space="0" w:color="auto"/>
            </w:tcBorders>
            <w:shd w:val="clear" w:color="auto" w:fill="auto"/>
            <w:noWrap/>
            <w:vAlign w:val="bottom"/>
            <w:hideMark/>
          </w:tcPr>
          <w:p w14:paraId="07CCA93C"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&gt;99%</w:t>
            </w:r>
          </w:p>
        </w:tc>
        <w:tc>
          <w:tcPr>
            <w:tcW w:w="0" w:type="auto"/>
            <w:tcBorders>
              <w:top w:val="nil"/>
              <w:left w:val="nil"/>
              <w:bottom w:val="single" w:sz="4" w:space="0" w:color="auto"/>
              <w:right w:val="single" w:sz="4" w:space="0" w:color="auto"/>
            </w:tcBorders>
            <w:shd w:val="clear" w:color="auto" w:fill="auto"/>
            <w:noWrap/>
            <w:vAlign w:val="bottom"/>
            <w:hideMark/>
          </w:tcPr>
          <w:p w14:paraId="518528C7"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359</w:t>
            </w:r>
          </w:p>
        </w:tc>
        <w:tc>
          <w:tcPr>
            <w:tcW w:w="0" w:type="auto"/>
            <w:tcBorders>
              <w:top w:val="nil"/>
              <w:left w:val="nil"/>
              <w:bottom w:val="single" w:sz="4" w:space="0" w:color="auto"/>
              <w:right w:val="single" w:sz="4" w:space="0" w:color="auto"/>
            </w:tcBorders>
            <w:shd w:val="clear" w:color="auto" w:fill="auto"/>
            <w:noWrap/>
            <w:vAlign w:val="bottom"/>
            <w:hideMark/>
          </w:tcPr>
          <w:p w14:paraId="7C7A4D28"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(99.7)</w:t>
            </w:r>
          </w:p>
        </w:tc>
        <w:tc>
          <w:tcPr>
            <w:tcW w:w="0" w:type="auto"/>
            <w:tcBorders>
              <w:top w:val="nil"/>
              <w:left w:val="nil"/>
              <w:bottom w:val="single" w:sz="4" w:space="0" w:color="auto"/>
              <w:right w:val="single" w:sz="4" w:space="0" w:color="auto"/>
            </w:tcBorders>
            <w:shd w:val="clear" w:color="auto" w:fill="auto"/>
            <w:noWrap/>
            <w:vAlign w:val="bottom"/>
            <w:hideMark/>
          </w:tcPr>
          <w:p w14:paraId="7AEEE2D3"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3980BD0D"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1AE17411"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562E6992"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4D94E51F"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6426C35B"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3E2165E1"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224E5131"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318D8038"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1C7CBFC2"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78D54007"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76%</w:t>
            </w:r>
          </w:p>
        </w:tc>
      </w:tr>
      <w:tr w:rsidR="0067156B" w:rsidRPr="00BA48F1" w14:paraId="2EA3F489" w14:textId="77777777" w:rsidTr="0067156B">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3313EEE"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MALDEN</w:t>
            </w:r>
          </w:p>
        </w:tc>
        <w:tc>
          <w:tcPr>
            <w:tcW w:w="0" w:type="auto"/>
            <w:tcBorders>
              <w:top w:val="nil"/>
              <w:left w:val="nil"/>
              <w:bottom w:val="single" w:sz="4" w:space="0" w:color="auto"/>
              <w:right w:val="single" w:sz="4" w:space="0" w:color="auto"/>
            </w:tcBorders>
            <w:shd w:val="clear" w:color="auto" w:fill="auto"/>
            <w:noWrap/>
            <w:vAlign w:val="bottom"/>
            <w:hideMark/>
          </w:tcPr>
          <w:p w14:paraId="6347E68F"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2,664</w:t>
            </w:r>
          </w:p>
        </w:tc>
        <w:tc>
          <w:tcPr>
            <w:tcW w:w="0" w:type="auto"/>
            <w:tcBorders>
              <w:top w:val="nil"/>
              <w:left w:val="nil"/>
              <w:bottom w:val="single" w:sz="4" w:space="0" w:color="auto"/>
              <w:right w:val="single" w:sz="4" w:space="0" w:color="auto"/>
            </w:tcBorders>
            <w:shd w:val="clear" w:color="auto" w:fill="auto"/>
            <w:noWrap/>
            <w:vAlign w:val="bottom"/>
            <w:hideMark/>
          </w:tcPr>
          <w:p w14:paraId="5864DB55"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1,690</w:t>
            </w:r>
          </w:p>
        </w:tc>
        <w:tc>
          <w:tcPr>
            <w:tcW w:w="0" w:type="auto"/>
            <w:tcBorders>
              <w:top w:val="nil"/>
              <w:left w:val="nil"/>
              <w:bottom w:val="single" w:sz="4" w:space="0" w:color="auto"/>
              <w:right w:val="single" w:sz="4" w:space="0" w:color="auto"/>
            </w:tcBorders>
            <w:shd w:val="clear" w:color="auto" w:fill="auto"/>
            <w:noWrap/>
            <w:vAlign w:val="bottom"/>
            <w:hideMark/>
          </w:tcPr>
          <w:p w14:paraId="303F2E7C"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63%</w:t>
            </w:r>
          </w:p>
        </w:tc>
        <w:tc>
          <w:tcPr>
            <w:tcW w:w="0" w:type="auto"/>
            <w:tcBorders>
              <w:top w:val="nil"/>
              <w:left w:val="nil"/>
              <w:bottom w:val="single" w:sz="4" w:space="0" w:color="auto"/>
              <w:right w:val="single" w:sz="4" w:space="0" w:color="auto"/>
            </w:tcBorders>
            <w:shd w:val="clear" w:color="auto" w:fill="auto"/>
            <w:noWrap/>
            <w:vAlign w:val="bottom"/>
            <w:hideMark/>
          </w:tcPr>
          <w:p w14:paraId="02E72663"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1,654</w:t>
            </w:r>
          </w:p>
        </w:tc>
        <w:tc>
          <w:tcPr>
            <w:tcW w:w="0" w:type="auto"/>
            <w:tcBorders>
              <w:top w:val="nil"/>
              <w:left w:val="nil"/>
              <w:bottom w:val="single" w:sz="4" w:space="0" w:color="auto"/>
              <w:right w:val="single" w:sz="4" w:space="0" w:color="auto"/>
            </w:tcBorders>
            <w:shd w:val="clear" w:color="auto" w:fill="auto"/>
            <w:noWrap/>
            <w:vAlign w:val="bottom"/>
            <w:hideMark/>
          </w:tcPr>
          <w:p w14:paraId="78B8678C"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(97.9)</w:t>
            </w:r>
          </w:p>
        </w:tc>
        <w:tc>
          <w:tcPr>
            <w:tcW w:w="0" w:type="auto"/>
            <w:tcBorders>
              <w:top w:val="nil"/>
              <w:left w:val="nil"/>
              <w:bottom w:val="single" w:sz="4" w:space="0" w:color="auto"/>
              <w:right w:val="single" w:sz="4" w:space="0" w:color="auto"/>
            </w:tcBorders>
            <w:shd w:val="clear" w:color="auto" w:fill="auto"/>
            <w:noWrap/>
            <w:vAlign w:val="bottom"/>
            <w:hideMark/>
          </w:tcPr>
          <w:p w14:paraId="55695FEB"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31</w:t>
            </w:r>
          </w:p>
        </w:tc>
        <w:tc>
          <w:tcPr>
            <w:tcW w:w="0" w:type="auto"/>
            <w:tcBorders>
              <w:top w:val="nil"/>
              <w:left w:val="nil"/>
              <w:bottom w:val="single" w:sz="4" w:space="0" w:color="auto"/>
              <w:right w:val="single" w:sz="4" w:space="0" w:color="auto"/>
            </w:tcBorders>
            <w:shd w:val="clear" w:color="auto" w:fill="auto"/>
            <w:noWrap/>
            <w:vAlign w:val="bottom"/>
            <w:hideMark/>
          </w:tcPr>
          <w:p w14:paraId="4691A718"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(1.8)</w:t>
            </w:r>
          </w:p>
        </w:tc>
        <w:tc>
          <w:tcPr>
            <w:tcW w:w="0" w:type="auto"/>
            <w:tcBorders>
              <w:top w:val="nil"/>
              <w:left w:val="nil"/>
              <w:bottom w:val="single" w:sz="4" w:space="0" w:color="auto"/>
              <w:right w:val="single" w:sz="4" w:space="0" w:color="auto"/>
            </w:tcBorders>
            <w:shd w:val="clear" w:color="auto" w:fill="auto"/>
            <w:noWrap/>
            <w:vAlign w:val="bottom"/>
            <w:hideMark/>
          </w:tcPr>
          <w:p w14:paraId="5CC40CB3"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5</w:t>
            </w:r>
          </w:p>
        </w:tc>
        <w:tc>
          <w:tcPr>
            <w:tcW w:w="0" w:type="auto"/>
            <w:tcBorders>
              <w:top w:val="nil"/>
              <w:left w:val="nil"/>
              <w:bottom w:val="single" w:sz="4" w:space="0" w:color="auto"/>
              <w:right w:val="single" w:sz="4" w:space="0" w:color="auto"/>
            </w:tcBorders>
            <w:shd w:val="clear" w:color="auto" w:fill="auto"/>
            <w:noWrap/>
            <w:vAlign w:val="bottom"/>
            <w:hideMark/>
          </w:tcPr>
          <w:p w14:paraId="682805B8"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(0.3)</w:t>
            </w:r>
          </w:p>
        </w:tc>
        <w:tc>
          <w:tcPr>
            <w:tcW w:w="0" w:type="auto"/>
            <w:tcBorders>
              <w:top w:val="nil"/>
              <w:left w:val="nil"/>
              <w:bottom w:val="single" w:sz="4" w:space="0" w:color="auto"/>
              <w:right w:val="single" w:sz="4" w:space="0" w:color="auto"/>
            </w:tcBorders>
            <w:shd w:val="clear" w:color="auto" w:fill="auto"/>
            <w:noWrap/>
            <w:vAlign w:val="bottom"/>
            <w:hideMark/>
          </w:tcPr>
          <w:p w14:paraId="627043C0"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07E409C6"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5257AF6B"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27</w:t>
            </w:r>
          </w:p>
        </w:tc>
        <w:tc>
          <w:tcPr>
            <w:tcW w:w="0" w:type="auto"/>
            <w:tcBorders>
              <w:top w:val="nil"/>
              <w:left w:val="nil"/>
              <w:bottom w:val="single" w:sz="4" w:space="0" w:color="auto"/>
              <w:right w:val="single" w:sz="4" w:space="0" w:color="auto"/>
            </w:tcBorders>
            <w:shd w:val="clear" w:color="auto" w:fill="auto"/>
            <w:noWrap/>
            <w:vAlign w:val="bottom"/>
            <w:hideMark/>
          </w:tcPr>
          <w:p w14:paraId="08F18872"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(1.6)</w:t>
            </w:r>
          </w:p>
        </w:tc>
        <w:tc>
          <w:tcPr>
            <w:tcW w:w="0" w:type="auto"/>
            <w:tcBorders>
              <w:top w:val="nil"/>
              <w:left w:val="nil"/>
              <w:bottom w:val="single" w:sz="4" w:space="0" w:color="auto"/>
              <w:right w:val="single" w:sz="4" w:space="0" w:color="auto"/>
            </w:tcBorders>
            <w:shd w:val="clear" w:color="auto" w:fill="auto"/>
            <w:noWrap/>
            <w:vAlign w:val="bottom"/>
            <w:hideMark/>
          </w:tcPr>
          <w:p w14:paraId="350C3875"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5</w:t>
            </w:r>
          </w:p>
        </w:tc>
        <w:tc>
          <w:tcPr>
            <w:tcW w:w="0" w:type="auto"/>
            <w:tcBorders>
              <w:top w:val="nil"/>
              <w:left w:val="nil"/>
              <w:bottom w:val="single" w:sz="4" w:space="0" w:color="auto"/>
              <w:right w:val="single" w:sz="4" w:space="0" w:color="auto"/>
            </w:tcBorders>
            <w:shd w:val="clear" w:color="auto" w:fill="auto"/>
            <w:noWrap/>
            <w:vAlign w:val="bottom"/>
            <w:hideMark/>
          </w:tcPr>
          <w:p w14:paraId="30DEBF70"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(0.3)</w:t>
            </w:r>
          </w:p>
        </w:tc>
        <w:tc>
          <w:tcPr>
            <w:tcW w:w="0" w:type="auto"/>
            <w:tcBorders>
              <w:top w:val="nil"/>
              <w:left w:val="nil"/>
              <w:bottom w:val="single" w:sz="4" w:space="0" w:color="auto"/>
              <w:right w:val="single" w:sz="4" w:space="0" w:color="auto"/>
            </w:tcBorders>
            <w:shd w:val="clear" w:color="auto" w:fill="auto"/>
            <w:noWrap/>
            <w:vAlign w:val="bottom"/>
            <w:hideMark/>
          </w:tcPr>
          <w:p w14:paraId="6C630AD8"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82%</w:t>
            </w:r>
          </w:p>
        </w:tc>
      </w:tr>
      <w:tr w:rsidR="0067156B" w:rsidRPr="00BA48F1" w14:paraId="7BF7CC2F" w14:textId="77777777" w:rsidTr="0067156B">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2E8ED2E"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MANCHESTER</w:t>
            </w:r>
          </w:p>
        </w:tc>
        <w:tc>
          <w:tcPr>
            <w:tcW w:w="0" w:type="auto"/>
            <w:tcBorders>
              <w:top w:val="nil"/>
              <w:left w:val="nil"/>
              <w:bottom w:val="single" w:sz="4" w:space="0" w:color="auto"/>
              <w:right w:val="single" w:sz="4" w:space="0" w:color="auto"/>
            </w:tcBorders>
            <w:shd w:val="clear" w:color="auto" w:fill="auto"/>
            <w:noWrap/>
            <w:vAlign w:val="bottom"/>
            <w:hideMark/>
          </w:tcPr>
          <w:p w14:paraId="1CDFED82"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119</w:t>
            </w:r>
          </w:p>
        </w:tc>
        <w:tc>
          <w:tcPr>
            <w:tcW w:w="0" w:type="auto"/>
            <w:tcBorders>
              <w:top w:val="nil"/>
              <w:left w:val="nil"/>
              <w:bottom w:val="single" w:sz="4" w:space="0" w:color="auto"/>
              <w:right w:val="single" w:sz="4" w:space="0" w:color="auto"/>
            </w:tcBorders>
            <w:shd w:val="clear" w:color="auto" w:fill="auto"/>
            <w:noWrap/>
            <w:vAlign w:val="bottom"/>
            <w:hideMark/>
          </w:tcPr>
          <w:p w14:paraId="55A74800"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68</w:t>
            </w:r>
          </w:p>
        </w:tc>
        <w:tc>
          <w:tcPr>
            <w:tcW w:w="0" w:type="auto"/>
            <w:tcBorders>
              <w:top w:val="nil"/>
              <w:left w:val="nil"/>
              <w:bottom w:val="single" w:sz="4" w:space="0" w:color="auto"/>
              <w:right w:val="single" w:sz="4" w:space="0" w:color="auto"/>
            </w:tcBorders>
            <w:shd w:val="clear" w:color="auto" w:fill="auto"/>
            <w:noWrap/>
            <w:vAlign w:val="bottom"/>
            <w:hideMark/>
          </w:tcPr>
          <w:p w14:paraId="0D82158C"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57%</w:t>
            </w:r>
          </w:p>
        </w:tc>
        <w:tc>
          <w:tcPr>
            <w:tcW w:w="0" w:type="auto"/>
            <w:tcBorders>
              <w:top w:val="nil"/>
              <w:left w:val="nil"/>
              <w:bottom w:val="single" w:sz="4" w:space="0" w:color="auto"/>
              <w:right w:val="single" w:sz="4" w:space="0" w:color="auto"/>
            </w:tcBorders>
            <w:shd w:val="clear" w:color="auto" w:fill="auto"/>
            <w:noWrap/>
            <w:vAlign w:val="bottom"/>
            <w:hideMark/>
          </w:tcPr>
          <w:p w14:paraId="528164C4"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67</w:t>
            </w:r>
          </w:p>
        </w:tc>
        <w:tc>
          <w:tcPr>
            <w:tcW w:w="0" w:type="auto"/>
            <w:tcBorders>
              <w:top w:val="nil"/>
              <w:left w:val="nil"/>
              <w:bottom w:val="single" w:sz="4" w:space="0" w:color="auto"/>
              <w:right w:val="single" w:sz="4" w:space="0" w:color="auto"/>
            </w:tcBorders>
            <w:shd w:val="clear" w:color="auto" w:fill="auto"/>
            <w:noWrap/>
            <w:vAlign w:val="bottom"/>
            <w:hideMark/>
          </w:tcPr>
          <w:p w14:paraId="490382ED"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(98.5)</w:t>
            </w:r>
          </w:p>
        </w:tc>
        <w:tc>
          <w:tcPr>
            <w:tcW w:w="0" w:type="auto"/>
            <w:tcBorders>
              <w:top w:val="nil"/>
              <w:left w:val="nil"/>
              <w:bottom w:val="single" w:sz="4" w:space="0" w:color="auto"/>
              <w:right w:val="single" w:sz="4" w:space="0" w:color="auto"/>
            </w:tcBorders>
            <w:shd w:val="clear" w:color="auto" w:fill="auto"/>
            <w:noWrap/>
            <w:vAlign w:val="bottom"/>
            <w:hideMark/>
          </w:tcPr>
          <w:p w14:paraId="26C2A221"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13D29246"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10424972"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5A084EDD"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0BC653D2"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528A6978"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22FCF3B1"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5D1D91A2"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5268E6DE"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1D6DA586"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1273B51D"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48%</w:t>
            </w:r>
          </w:p>
        </w:tc>
      </w:tr>
      <w:tr w:rsidR="0067156B" w:rsidRPr="00BA48F1" w14:paraId="074EB115" w14:textId="77777777" w:rsidTr="0067156B">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C611F2F"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MANSFIELD</w:t>
            </w:r>
          </w:p>
        </w:tc>
        <w:tc>
          <w:tcPr>
            <w:tcW w:w="0" w:type="auto"/>
            <w:tcBorders>
              <w:top w:val="nil"/>
              <w:left w:val="nil"/>
              <w:bottom w:val="single" w:sz="4" w:space="0" w:color="auto"/>
              <w:right w:val="single" w:sz="4" w:space="0" w:color="auto"/>
            </w:tcBorders>
            <w:shd w:val="clear" w:color="auto" w:fill="auto"/>
            <w:noWrap/>
            <w:vAlign w:val="bottom"/>
            <w:hideMark/>
          </w:tcPr>
          <w:p w14:paraId="64F62E81"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825</w:t>
            </w:r>
          </w:p>
        </w:tc>
        <w:tc>
          <w:tcPr>
            <w:tcW w:w="0" w:type="auto"/>
            <w:tcBorders>
              <w:top w:val="nil"/>
              <w:left w:val="nil"/>
              <w:bottom w:val="single" w:sz="4" w:space="0" w:color="auto"/>
              <w:right w:val="single" w:sz="4" w:space="0" w:color="auto"/>
            </w:tcBorders>
            <w:shd w:val="clear" w:color="auto" w:fill="auto"/>
            <w:noWrap/>
            <w:vAlign w:val="bottom"/>
            <w:hideMark/>
          </w:tcPr>
          <w:p w14:paraId="5363025F"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548</w:t>
            </w:r>
          </w:p>
        </w:tc>
        <w:tc>
          <w:tcPr>
            <w:tcW w:w="0" w:type="auto"/>
            <w:tcBorders>
              <w:top w:val="nil"/>
              <w:left w:val="nil"/>
              <w:bottom w:val="single" w:sz="4" w:space="0" w:color="auto"/>
              <w:right w:val="single" w:sz="4" w:space="0" w:color="auto"/>
            </w:tcBorders>
            <w:shd w:val="clear" w:color="auto" w:fill="auto"/>
            <w:noWrap/>
            <w:vAlign w:val="bottom"/>
            <w:hideMark/>
          </w:tcPr>
          <w:p w14:paraId="185EEBDA"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66%</w:t>
            </w:r>
          </w:p>
        </w:tc>
        <w:tc>
          <w:tcPr>
            <w:tcW w:w="0" w:type="auto"/>
            <w:tcBorders>
              <w:top w:val="nil"/>
              <w:left w:val="nil"/>
              <w:bottom w:val="single" w:sz="4" w:space="0" w:color="auto"/>
              <w:right w:val="single" w:sz="4" w:space="0" w:color="auto"/>
            </w:tcBorders>
            <w:shd w:val="clear" w:color="auto" w:fill="auto"/>
            <w:noWrap/>
            <w:vAlign w:val="bottom"/>
            <w:hideMark/>
          </w:tcPr>
          <w:p w14:paraId="0C8ACEE8"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544</w:t>
            </w:r>
          </w:p>
        </w:tc>
        <w:tc>
          <w:tcPr>
            <w:tcW w:w="0" w:type="auto"/>
            <w:tcBorders>
              <w:top w:val="nil"/>
              <w:left w:val="nil"/>
              <w:bottom w:val="single" w:sz="4" w:space="0" w:color="auto"/>
              <w:right w:val="single" w:sz="4" w:space="0" w:color="auto"/>
            </w:tcBorders>
            <w:shd w:val="clear" w:color="auto" w:fill="auto"/>
            <w:noWrap/>
            <w:vAlign w:val="bottom"/>
            <w:hideMark/>
          </w:tcPr>
          <w:p w14:paraId="44306369"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(99.3)</w:t>
            </w:r>
          </w:p>
        </w:tc>
        <w:tc>
          <w:tcPr>
            <w:tcW w:w="0" w:type="auto"/>
            <w:tcBorders>
              <w:top w:val="nil"/>
              <w:left w:val="nil"/>
              <w:bottom w:val="single" w:sz="4" w:space="0" w:color="auto"/>
              <w:right w:val="single" w:sz="4" w:space="0" w:color="auto"/>
            </w:tcBorders>
            <w:shd w:val="clear" w:color="auto" w:fill="auto"/>
            <w:noWrap/>
            <w:vAlign w:val="bottom"/>
            <w:hideMark/>
          </w:tcPr>
          <w:p w14:paraId="0F6297C7"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54655E98"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4FEADAFD"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7FDFF9B8"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4E7BF191"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03EF2CE8"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099A82F9"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079F30E6"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0123A201"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4F0AA78D"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66CAA5FC"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85%</w:t>
            </w:r>
          </w:p>
        </w:tc>
      </w:tr>
      <w:tr w:rsidR="0067156B" w:rsidRPr="00BA48F1" w14:paraId="76BFC803" w14:textId="77777777" w:rsidTr="0067156B">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0EC21C2"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MARBLEHEAD</w:t>
            </w:r>
          </w:p>
        </w:tc>
        <w:tc>
          <w:tcPr>
            <w:tcW w:w="0" w:type="auto"/>
            <w:tcBorders>
              <w:top w:val="nil"/>
              <w:left w:val="nil"/>
              <w:bottom w:val="single" w:sz="4" w:space="0" w:color="auto"/>
              <w:right w:val="single" w:sz="4" w:space="0" w:color="auto"/>
            </w:tcBorders>
            <w:shd w:val="clear" w:color="auto" w:fill="auto"/>
            <w:noWrap/>
            <w:vAlign w:val="bottom"/>
            <w:hideMark/>
          </w:tcPr>
          <w:p w14:paraId="2DD7F2FC"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548</w:t>
            </w:r>
          </w:p>
        </w:tc>
        <w:tc>
          <w:tcPr>
            <w:tcW w:w="0" w:type="auto"/>
            <w:tcBorders>
              <w:top w:val="nil"/>
              <w:left w:val="nil"/>
              <w:bottom w:val="single" w:sz="4" w:space="0" w:color="auto"/>
              <w:right w:val="single" w:sz="4" w:space="0" w:color="auto"/>
            </w:tcBorders>
            <w:shd w:val="clear" w:color="auto" w:fill="auto"/>
            <w:noWrap/>
            <w:vAlign w:val="bottom"/>
            <w:hideMark/>
          </w:tcPr>
          <w:p w14:paraId="5091696A"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426</w:t>
            </w:r>
          </w:p>
        </w:tc>
        <w:tc>
          <w:tcPr>
            <w:tcW w:w="0" w:type="auto"/>
            <w:tcBorders>
              <w:top w:val="nil"/>
              <w:left w:val="nil"/>
              <w:bottom w:val="single" w:sz="4" w:space="0" w:color="auto"/>
              <w:right w:val="single" w:sz="4" w:space="0" w:color="auto"/>
            </w:tcBorders>
            <w:shd w:val="clear" w:color="auto" w:fill="auto"/>
            <w:noWrap/>
            <w:vAlign w:val="bottom"/>
            <w:hideMark/>
          </w:tcPr>
          <w:p w14:paraId="7585E65D"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78%</w:t>
            </w:r>
          </w:p>
        </w:tc>
        <w:tc>
          <w:tcPr>
            <w:tcW w:w="0" w:type="auto"/>
            <w:tcBorders>
              <w:top w:val="nil"/>
              <w:left w:val="nil"/>
              <w:bottom w:val="single" w:sz="4" w:space="0" w:color="auto"/>
              <w:right w:val="single" w:sz="4" w:space="0" w:color="auto"/>
            </w:tcBorders>
            <w:shd w:val="clear" w:color="auto" w:fill="auto"/>
            <w:noWrap/>
            <w:vAlign w:val="bottom"/>
            <w:hideMark/>
          </w:tcPr>
          <w:p w14:paraId="2CE37C57"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418</w:t>
            </w:r>
          </w:p>
        </w:tc>
        <w:tc>
          <w:tcPr>
            <w:tcW w:w="0" w:type="auto"/>
            <w:tcBorders>
              <w:top w:val="nil"/>
              <w:left w:val="nil"/>
              <w:bottom w:val="single" w:sz="4" w:space="0" w:color="auto"/>
              <w:right w:val="single" w:sz="4" w:space="0" w:color="auto"/>
            </w:tcBorders>
            <w:shd w:val="clear" w:color="auto" w:fill="auto"/>
            <w:noWrap/>
            <w:vAlign w:val="bottom"/>
            <w:hideMark/>
          </w:tcPr>
          <w:p w14:paraId="2E25E781"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(98.1)</w:t>
            </w:r>
          </w:p>
        </w:tc>
        <w:tc>
          <w:tcPr>
            <w:tcW w:w="0" w:type="auto"/>
            <w:tcBorders>
              <w:top w:val="nil"/>
              <w:left w:val="nil"/>
              <w:bottom w:val="single" w:sz="4" w:space="0" w:color="auto"/>
              <w:right w:val="single" w:sz="4" w:space="0" w:color="auto"/>
            </w:tcBorders>
            <w:shd w:val="clear" w:color="auto" w:fill="auto"/>
            <w:noWrap/>
            <w:vAlign w:val="bottom"/>
            <w:hideMark/>
          </w:tcPr>
          <w:p w14:paraId="7F2F07CA"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8</w:t>
            </w:r>
          </w:p>
        </w:tc>
        <w:tc>
          <w:tcPr>
            <w:tcW w:w="0" w:type="auto"/>
            <w:tcBorders>
              <w:top w:val="nil"/>
              <w:left w:val="nil"/>
              <w:bottom w:val="single" w:sz="4" w:space="0" w:color="auto"/>
              <w:right w:val="single" w:sz="4" w:space="0" w:color="auto"/>
            </w:tcBorders>
            <w:shd w:val="clear" w:color="auto" w:fill="auto"/>
            <w:noWrap/>
            <w:vAlign w:val="bottom"/>
            <w:hideMark/>
          </w:tcPr>
          <w:p w14:paraId="4A4ADEF9"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(1.9)</w:t>
            </w:r>
          </w:p>
        </w:tc>
        <w:tc>
          <w:tcPr>
            <w:tcW w:w="0" w:type="auto"/>
            <w:tcBorders>
              <w:top w:val="nil"/>
              <w:left w:val="nil"/>
              <w:bottom w:val="single" w:sz="4" w:space="0" w:color="auto"/>
              <w:right w:val="single" w:sz="4" w:space="0" w:color="auto"/>
            </w:tcBorders>
            <w:shd w:val="clear" w:color="auto" w:fill="auto"/>
            <w:noWrap/>
            <w:vAlign w:val="bottom"/>
            <w:hideMark/>
          </w:tcPr>
          <w:p w14:paraId="3558C369"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294D5B87"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17BD0F5B"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4B02CA35"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45143D47"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347FA775"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2048051A"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05F888DF"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2AA77EFF"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58%</w:t>
            </w:r>
          </w:p>
        </w:tc>
      </w:tr>
      <w:tr w:rsidR="0067156B" w:rsidRPr="00BA48F1" w14:paraId="7D1DEA1B" w14:textId="77777777" w:rsidTr="0067156B">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66910F4"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MARION</w:t>
            </w:r>
          </w:p>
        </w:tc>
        <w:tc>
          <w:tcPr>
            <w:tcW w:w="0" w:type="auto"/>
            <w:tcBorders>
              <w:top w:val="nil"/>
              <w:left w:val="nil"/>
              <w:bottom w:val="single" w:sz="4" w:space="0" w:color="auto"/>
              <w:right w:val="single" w:sz="4" w:space="0" w:color="auto"/>
            </w:tcBorders>
            <w:shd w:val="clear" w:color="auto" w:fill="auto"/>
            <w:noWrap/>
            <w:vAlign w:val="bottom"/>
            <w:hideMark/>
          </w:tcPr>
          <w:p w14:paraId="77BC2FD6"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113</w:t>
            </w:r>
          </w:p>
        </w:tc>
        <w:tc>
          <w:tcPr>
            <w:tcW w:w="0" w:type="auto"/>
            <w:tcBorders>
              <w:top w:val="nil"/>
              <w:left w:val="nil"/>
              <w:bottom w:val="single" w:sz="4" w:space="0" w:color="auto"/>
              <w:right w:val="single" w:sz="4" w:space="0" w:color="auto"/>
            </w:tcBorders>
            <w:shd w:val="clear" w:color="auto" w:fill="auto"/>
            <w:noWrap/>
            <w:vAlign w:val="bottom"/>
            <w:hideMark/>
          </w:tcPr>
          <w:p w14:paraId="098424B9"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82</w:t>
            </w:r>
          </w:p>
        </w:tc>
        <w:tc>
          <w:tcPr>
            <w:tcW w:w="0" w:type="auto"/>
            <w:tcBorders>
              <w:top w:val="nil"/>
              <w:left w:val="nil"/>
              <w:bottom w:val="single" w:sz="4" w:space="0" w:color="auto"/>
              <w:right w:val="single" w:sz="4" w:space="0" w:color="auto"/>
            </w:tcBorders>
            <w:shd w:val="clear" w:color="auto" w:fill="auto"/>
            <w:noWrap/>
            <w:vAlign w:val="bottom"/>
            <w:hideMark/>
          </w:tcPr>
          <w:p w14:paraId="2D8189FA"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73%</w:t>
            </w:r>
          </w:p>
        </w:tc>
        <w:tc>
          <w:tcPr>
            <w:tcW w:w="0" w:type="auto"/>
            <w:tcBorders>
              <w:top w:val="nil"/>
              <w:left w:val="nil"/>
              <w:bottom w:val="single" w:sz="4" w:space="0" w:color="auto"/>
              <w:right w:val="single" w:sz="4" w:space="0" w:color="auto"/>
            </w:tcBorders>
            <w:shd w:val="clear" w:color="auto" w:fill="auto"/>
            <w:noWrap/>
            <w:vAlign w:val="bottom"/>
            <w:hideMark/>
          </w:tcPr>
          <w:p w14:paraId="5D96FB35"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81</w:t>
            </w:r>
          </w:p>
        </w:tc>
        <w:tc>
          <w:tcPr>
            <w:tcW w:w="0" w:type="auto"/>
            <w:tcBorders>
              <w:top w:val="nil"/>
              <w:left w:val="nil"/>
              <w:bottom w:val="single" w:sz="4" w:space="0" w:color="auto"/>
              <w:right w:val="single" w:sz="4" w:space="0" w:color="auto"/>
            </w:tcBorders>
            <w:shd w:val="clear" w:color="auto" w:fill="auto"/>
            <w:noWrap/>
            <w:vAlign w:val="bottom"/>
            <w:hideMark/>
          </w:tcPr>
          <w:p w14:paraId="043013B9"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(98.8)</w:t>
            </w:r>
          </w:p>
        </w:tc>
        <w:tc>
          <w:tcPr>
            <w:tcW w:w="0" w:type="auto"/>
            <w:tcBorders>
              <w:top w:val="nil"/>
              <w:left w:val="nil"/>
              <w:bottom w:val="single" w:sz="4" w:space="0" w:color="auto"/>
              <w:right w:val="single" w:sz="4" w:space="0" w:color="auto"/>
            </w:tcBorders>
            <w:shd w:val="clear" w:color="auto" w:fill="auto"/>
            <w:noWrap/>
            <w:vAlign w:val="bottom"/>
            <w:hideMark/>
          </w:tcPr>
          <w:p w14:paraId="43715029"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6D1D1852"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103B036B"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42FEDCA3"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46633EF8"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68737D31"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3196BD7C"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7EEFFB1C"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578162CC"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19B80F3E"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452D7CEA"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58%</w:t>
            </w:r>
          </w:p>
        </w:tc>
      </w:tr>
      <w:tr w:rsidR="0067156B" w:rsidRPr="00BA48F1" w14:paraId="2F8470DF" w14:textId="77777777" w:rsidTr="0067156B">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FAB0A7C"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MARLBOROUGH</w:t>
            </w:r>
          </w:p>
        </w:tc>
        <w:tc>
          <w:tcPr>
            <w:tcW w:w="0" w:type="auto"/>
            <w:tcBorders>
              <w:top w:val="nil"/>
              <w:left w:val="nil"/>
              <w:bottom w:val="single" w:sz="4" w:space="0" w:color="auto"/>
              <w:right w:val="single" w:sz="4" w:space="0" w:color="auto"/>
            </w:tcBorders>
            <w:shd w:val="clear" w:color="auto" w:fill="auto"/>
            <w:noWrap/>
            <w:vAlign w:val="bottom"/>
            <w:hideMark/>
          </w:tcPr>
          <w:p w14:paraId="5FBE40D7"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1,924</w:t>
            </w:r>
          </w:p>
        </w:tc>
        <w:tc>
          <w:tcPr>
            <w:tcW w:w="0" w:type="auto"/>
            <w:tcBorders>
              <w:top w:val="nil"/>
              <w:left w:val="nil"/>
              <w:bottom w:val="single" w:sz="4" w:space="0" w:color="auto"/>
              <w:right w:val="single" w:sz="4" w:space="0" w:color="auto"/>
            </w:tcBorders>
            <w:shd w:val="clear" w:color="auto" w:fill="auto"/>
            <w:noWrap/>
            <w:vAlign w:val="bottom"/>
            <w:hideMark/>
          </w:tcPr>
          <w:p w14:paraId="20CA5372"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971</w:t>
            </w:r>
          </w:p>
        </w:tc>
        <w:tc>
          <w:tcPr>
            <w:tcW w:w="0" w:type="auto"/>
            <w:tcBorders>
              <w:top w:val="nil"/>
              <w:left w:val="nil"/>
              <w:bottom w:val="single" w:sz="4" w:space="0" w:color="auto"/>
              <w:right w:val="single" w:sz="4" w:space="0" w:color="auto"/>
            </w:tcBorders>
            <w:shd w:val="clear" w:color="auto" w:fill="auto"/>
            <w:noWrap/>
            <w:vAlign w:val="bottom"/>
            <w:hideMark/>
          </w:tcPr>
          <w:p w14:paraId="0CF00001"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50%</w:t>
            </w:r>
          </w:p>
        </w:tc>
        <w:tc>
          <w:tcPr>
            <w:tcW w:w="0" w:type="auto"/>
            <w:tcBorders>
              <w:top w:val="nil"/>
              <w:left w:val="nil"/>
              <w:bottom w:val="single" w:sz="4" w:space="0" w:color="auto"/>
              <w:right w:val="single" w:sz="4" w:space="0" w:color="auto"/>
            </w:tcBorders>
            <w:shd w:val="clear" w:color="auto" w:fill="auto"/>
            <w:noWrap/>
            <w:vAlign w:val="bottom"/>
            <w:hideMark/>
          </w:tcPr>
          <w:p w14:paraId="6E3CD3B1"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949</w:t>
            </w:r>
          </w:p>
        </w:tc>
        <w:tc>
          <w:tcPr>
            <w:tcW w:w="0" w:type="auto"/>
            <w:tcBorders>
              <w:top w:val="nil"/>
              <w:left w:val="nil"/>
              <w:bottom w:val="single" w:sz="4" w:space="0" w:color="auto"/>
              <w:right w:val="single" w:sz="4" w:space="0" w:color="auto"/>
            </w:tcBorders>
            <w:shd w:val="clear" w:color="auto" w:fill="auto"/>
            <w:noWrap/>
            <w:vAlign w:val="bottom"/>
            <w:hideMark/>
          </w:tcPr>
          <w:p w14:paraId="2E922962"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(97.7)</w:t>
            </w:r>
          </w:p>
        </w:tc>
        <w:tc>
          <w:tcPr>
            <w:tcW w:w="0" w:type="auto"/>
            <w:tcBorders>
              <w:top w:val="nil"/>
              <w:left w:val="nil"/>
              <w:bottom w:val="single" w:sz="4" w:space="0" w:color="auto"/>
              <w:right w:val="single" w:sz="4" w:space="0" w:color="auto"/>
            </w:tcBorders>
            <w:shd w:val="clear" w:color="auto" w:fill="auto"/>
            <w:noWrap/>
            <w:vAlign w:val="bottom"/>
            <w:hideMark/>
          </w:tcPr>
          <w:p w14:paraId="384A66A6"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16</w:t>
            </w:r>
          </w:p>
        </w:tc>
        <w:tc>
          <w:tcPr>
            <w:tcW w:w="0" w:type="auto"/>
            <w:tcBorders>
              <w:top w:val="nil"/>
              <w:left w:val="nil"/>
              <w:bottom w:val="single" w:sz="4" w:space="0" w:color="auto"/>
              <w:right w:val="single" w:sz="4" w:space="0" w:color="auto"/>
            </w:tcBorders>
            <w:shd w:val="clear" w:color="auto" w:fill="auto"/>
            <w:noWrap/>
            <w:vAlign w:val="bottom"/>
            <w:hideMark/>
          </w:tcPr>
          <w:p w14:paraId="1950C42D"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(1.6)</w:t>
            </w:r>
          </w:p>
        </w:tc>
        <w:tc>
          <w:tcPr>
            <w:tcW w:w="0" w:type="auto"/>
            <w:tcBorders>
              <w:top w:val="nil"/>
              <w:left w:val="nil"/>
              <w:bottom w:val="single" w:sz="4" w:space="0" w:color="auto"/>
              <w:right w:val="single" w:sz="4" w:space="0" w:color="auto"/>
            </w:tcBorders>
            <w:shd w:val="clear" w:color="auto" w:fill="auto"/>
            <w:noWrap/>
            <w:vAlign w:val="bottom"/>
            <w:hideMark/>
          </w:tcPr>
          <w:p w14:paraId="4A82ABF8"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120C16B9"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74D07193"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7BA20158"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111A915F"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18</w:t>
            </w:r>
          </w:p>
        </w:tc>
        <w:tc>
          <w:tcPr>
            <w:tcW w:w="0" w:type="auto"/>
            <w:tcBorders>
              <w:top w:val="nil"/>
              <w:left w:val="nil"/>
              <w:bottom w:val="single" w:sz="4" w:space="0" w:color="auto"/>
              <w:right w:val="single" w:sz="4" w:space="0" w:color="auto"/>
            </w:tcBorders>
            <w:shd w:val="clear" w:color="auto" w:fill="auto"/>
            <w:noWrap/>
            <w:vAlign w:val="bottom"/>
            <w:hideMark/>
          </w:tcPr>
          <w:p w14:paraId="43479B7D"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(1.9)</w:t>
            </w:r>
          </w:p>
        </w:tc>
        <w:tc>
          <w:tcPr>
            <w:tcW w:w="0" w:type="auto"/>
            <w:tcBorders>
              <w:top w:val="nil"/>
              <w:left w:val="nil"/>
              <w:bottom w:val="single" w:sz="4" w:space="0" w:color="auto"/>
              <w:right w:val="single" w:sz="4" w:space="0" w:color="auto"/>
            </w:tcBorders>
            <w:shd w:val="clear" w:color="auto" w:fill="auto"/>
            <w:noWrap/>
            <w:vAlign w:val="bottom"/>
            <w:hideMark/>
          </w:tcPr>
          <w:p w14:paraId="2D24EA2C"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6</w:t>
            </w:r>
          </w:p>
        </w:tc>
        <w:tc>
          <w:tcPr>
            <w:tcW w:w="0" w:type="auto"/>
            <w:tcBorders>
              <w:top w:val="nil"/>
              <w:left w:val="nil"/>
              <w:bottom w:val="single" w:sz="4" w:space="0" w:color="auto"/>
              <w:right w:val="single" w:sz="4" w:space="0" w:color="auto"/>
            </w:tcBorders>
            <w:shd w:val="clear" w:color="auto" w:fill="auto"/>
            <w:noWrap/>
            <w:vAlign w:val="bottom"/>
            <w:hideMark/>
          </w:tcPr>
          <w:p w14:paraId="7C3852B4"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(0.6)</w:t>
            </w:r>
          </w:p>
        </w:tc>
        <w:tc>
          <w:tcPr>
            <w:tcW w:w="0" w:type="auto"/>
            <w:tcBorders>
              <w:top w:val="nil"/>
              <w:left w:val="nil"/>
              <w:bottom w:val="single" w:sz="4" w:space="0" w:color="auto"/>
              <w:right w:val="single" w:sz="4" w:space="0" w:color="auto"/>
            </w:tcBorders>
            <w:shd w:val="clear" w:color="auto" w:fill="auto"/>
            <w:noWrap/>
            <w:vAlign w:val="bottom"/>
            <w:hideMark/>
          </w:tcPr>
          <w:p w14:paraId="17C9B07D"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64%</w:t>
            </w:r>
          </w:p>
        </w:tc>
      </w:tr>
      <w:tr w:rsidR="0067156B" w:rsidRPr="00BA48F1" w14:paraId="3634C3F5" w14:textId="77777777" w:rsidTr="0067156B">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6EADD1A"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MARSHFIELD</w:t>
            </w:r>
          </w:p>
        </w:tc>
        <w:tc>
          <w:tcPr>
            <w:tcW w:w="0" w:type="auto"/>
            <w:tcBorders>
              <w:top w:val="nil"/>
              <w:left w:val="nil"/>
              <w:bottom w:val="single" w:sz="4" w:space="0" w:color="auto"/>
              <w:right w:val="single" w:sz="4" w:space="0" w:color="auto"/>
            </w:tcBorders>
            <w:shd w:val="clear" w:color="auto" w:fill="auto"/>
            <w:noWrap/>
            <w:vAlign w:val="bottom"/>
            <w:hideMark/>
          </w:tcPr>
          <w:p w14:paraId="7B30E9DC"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881</w:t>
            </w:r>
          </w:p>
        </w:tc>
        <w:tc>
          <w:tcPr>
            <w:tcW w:w="0" w:type="auto"/>
            <w:tcBorders>
              <w:top w:val="nil"/>
              <w:left w:val="nil"/>
              <w:bottom w:val="single" w:sz="4" w:space="0" w:color="auto"/>
              <w:right w:val="single" w:sz="4" w:space="0" w:color="auto"/>
            </w:tcBorders>
            <w:shd w:val="clear" w:color="auto" w:fill="auto"/>
            <w:noWrap/>
            <w:vAlign w:val="bottom"/>
            <w:hideMark/>
          </w:tcPr>
          <w:p w14:paraId="1E889EB3"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586</w:t>
            </w:r>
          </w:p>
        </w:tc>
        <w:tc>
          <w:tcPr>
            <w:tcW w:w="0" w:type="auto"/>
            <w:tcBorders>
              <w:top w:val="nil"/>
              <w:left w:val="nil"/>
              <w:bottom w:val="single" w:sz="4" w:space="0" w:color="auto"/>
              <w:right w:val="single" w:sz="4" w:space="0" w:color="auto"/>
            </w:tcBorders>
            <w:shd w:val="clear" w:color="auto" w:fill="auto"/>
            <w:noWrap/>
            <w:vAlign w:val="bottom"/>
            <w:hideMark/>
          </w:tcPr>
          <w:p w14:paraId="7A3D0394"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67%</w:t>
            </w:r>
          </w:p>
        </w:tc>
        <w:tc>
          <w:tcPr>
            <w:tcW w:w="0" w:type="auto"/>
            <w:tcBorders>
              <w:top w:val="nil"/>
              <w:left w:val="nil"/>
              <w:bottom w:val="single" w:sz="4" w:space="0" w:color="auto"/>
              <w:right w:val="single" w:sz="4" w:space="0" w:color="auto"/>
            </w:tcBorders>
            <w:shd w:val="clear" w:color="auto" w:fill="auto"/>
            <w:noWrap/>
            <w:vAlign w:val="bottom"/>
            <w:hideMark/>
          </w:tcPr>
          <w:p w14:paraId="11BF3AB5"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583</w:t>
            </w:r>
          </w:p>
        </w:tc>
        <w:tc>
          <w:tcPr>
            <w:tcW w:w="0" w:type="auto"/>
            <w:tcBorders>
              <w:top w:val="nil"/>
              <w:left w:val="nil"/>
              <w:bottom w:val="single" w:sz="4" w:space="0" w:color="auto"/>
              <w:right w:val="single" w:sz="4" w:space="0" w:color="auto"/>
            </w:tcBorders>
            <w:shd w:val="clear" w:color="auto" w:fill="auto"/>
            <w:noWrap/>
            <w:vAlign w:val="bottom"/>
            <w:hideMark/>
          </w:tcPr>
          <w:p w14:paraId="703BE1A1"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(99.5)</w:t>
            </w:r>
          </w:p>
        </w:tc>
        <w:tc>
          <w:tcPr>
            <w:tcW w:w="0" w:type="auto"/>
            <w:tcBorders>
              <w:top w:val="nil"/>
              <w:left w:val="nil"/>
              <w:bottom w:val="single" w:sz="4" w:space="0" w:color="auto"/>
              <w:right w:val="single" w:sz="4" w:space="0" w:color="auto"/>
            </w:tcBorders>
            <w:shd w:val="clear" w:color="auto" w:fill="auto"/>
            <w:noWrap/>
            <w:vAlign w:val="bottom"/>
            <w:hideMark/>
          </w:tcPr>
          <w:p w14:paraId="444BE050"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2DE93C99"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67C683C2"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45B9A2EF"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7DAC9585"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60F10254"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18F349D4"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4864006A"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3F70B767"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6238BC8A"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35A5D6F8"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25%</w:t>
            </w:r>
          </w:p>
        </w:tc>
      </w:tr>
      <w:tr w:rsidR="0067156B" w:rsidRPr="00BA48F1" w14:paraId="1993EAA2" w14:textId="77777777" w:rsidTr="0067156B">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14E5C02"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MASHPEE</w:t>
            </w:r>
          </w:p>
        </w:tc>
        <w:tc>
          <w:tcPr>
            <w:tcW w:w="0" w:type="auto"/>
            <w:tcBorders>
              <w:top w:val="nil"/>
              <w:left w:val="nil"/>
              <w:bottom w:val="single" w:sz="4" w:space="0" w:color="auto"/>
              <w:right w:val="single" w:sz="4" w:space="0" w:color="auto"/>
            </w:tcBorders>
            <w:shd w:val="clear" w:color="auto" w:fill="auto"/>
            <w:noWrap/>
            <w:vAlign w:val="bottom"/>
            <w:hideMark/>
          </w:tcPr>
          <w:p w14:paraId="562C6F93"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407</w:t>
            </w:r>
          </w:p>
        </w:tc>
        <w:tc>
          <w:tcPr>
            <w:tcW w:w="0" w:type="auto"/>
            <w:tcBorders>
              <w:top w:val="nil"/>
              <w:left w:val="nil"/>
              <w:bottom w:val="single" w:sz="4" w:space="0" w:color="auto"/>
              <w:right w:val="single" w:sz="4" w:space="0" w:color="auto"/>
            </w:tcBorders>
            <w:shd w:val="clear" w:color="auto" w:fill="auto"/>
            <w:noWrap/>
            <w:vAlign w:val="bottom"/>
            <w:hideMark/>
          </w:tcPr>
          <w:p w14:paraId="01C132BF"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262</w:t>
            </w:r>
          </w:p>
        </w:tc>
        <w:tc>
          <w:tcPr>
            <w:tcW w:w="0" w:type="auto"/>
            <w:tcBorders>
              <w:top w:val="nil"/>
              <w:left w:val="nil"/>
              <w:bottom w:val="single" w:sz="4" w:space="0" w:color="auto"/>
              <w:right w:val="single" w:sz="4" w:space="0" w:color="auto"/>
            </w:tcBorders>
            <w:shd w:val="clear" w:color="auto" w:fill="auto"/>
            <w:noWrap/>
            <w:vAlign w:val="bottom"/>
            <w:hideMark/>
          </w:tcPr>
          <w:p w14:paraId="6BC482C8"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64%</w:t>
            </w:r>
          </w:p>
        </w:tc>
        <w:tc>
          <w:tcPr>
            <w:tcW w:w="0" w:type="auto"/>
            <w:tcBorders>
              <w:top w:val="nil"/>
              <w:left w:val="nil"/>
              <w:bottom w:val="single" w:sz="4" w:space="0" w:color="auto"/>
              <w:right w:val="single" w:sz="4" w:space="0" w:color="auto"/>
            </w:tcBorders>
            <w:shd w:val="clear" w:color="auto" w:fill="auto"/>
            <w:noWrap/>
            <w:vAlign w:val="bottom"/>
            <w:hideMark/>
          </w:tcPr>
          <w:p w14:paraId="6CDA11BD"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261</w:t>
            </w:r>
          </w:p>
        </w:tc>
        <w:tc>
          <w:tcPr>
            <w:tcW w:w="0" w:type="auto"/>
            <w:tcBorders>
              <w:top w:val="nil"/>
              <w:left w:val="nil"/>
              <w:bottom w:val="single" w:sz="4" w:space="0" w:color="auto"/>
              <w:right w:val="single" w:sz="4" w:space="0" w:color="auto"/>
            </w:tcBorders>
            <w:shd w:val="clear" w:color="auto" w:fill="auto"/>
            <w:noWrap/>
            <w:vAlign w:val="bottom"/>
            <w:hideMark/>
          </w:tcPr>
          <w:p w14:paraId="04E783C3"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(99.6)</w:t>
            </w:r>
          </w:p>
        </w:tc>
        <w:tc>
          <w:tcPr>
            <w:tcW w:w="0" w:type="auto"/>
            <w:tcBorders>
              <w:top w:val="nil"/>
              <w:left w:val="nil"/>
              <w:bottom w:val="single" w:sz="4" w:space="0" w:color="auto"/>
              <w:right w:val="single" w:sz="4" w:space="0" w:color="auto"/>
            </w:tcBorders>
            <w:shd w:val="clear" w:color="auto" w:fill="auto"/>
            <w:noWrap/>
            <w:vAlign w:val="bottom"/>
            <w:hideMark/>
          </w:tcPr>
          <w:p w14:paraId="40B68C4F"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36317C94"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2385175A"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43DDAC84"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2A300F1C"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10C05FC5"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3F26BDB1"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4C4800D3"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01546A1C"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1E776447"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654EC2CC"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62%</w:t>
            </w:r>
          </w:p>
        </w:tc>
      </w:tr>
      <w:tr w:rsidR="0067156B" w:rsidRPr="00BA48F1" w14:paraId="71E0EAC6" w14:textId="77777777" w:rsidTr="0067156B">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A9D14D4"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MATTAPOISETT</w:t>
            </w:r>
          </w:p>
        </w:tc>
        <w:tc>
          <w:tcPr>
            <w:tcW w:w="0" w:type="auto"/>
            <w:tcBorders>
              <w:top w:val="nil"/>
              <w:left w:val="nil"/>
              <w:bottom w:val="single" w:sz="4" w:space="0" w:color="auto"/>
              <w:right w:val="single" w:sz="4" w:space="0" w:color="auto"/>
            </w:tcBorders>
            <w:shd w:val="clear" w:color="auto" w:fill="auto"/>
            <w:noWrap/>
            <w:vAlign w:val="bottom"/>
            <w:hideMark/>
          </w:tcPr>
          <w:p w14:paraId="5734E9E6"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115</w:t>
            </w:r>
          </w:p>
        </w:tc>
        <w:tc>
          <w:tcPr>
            <w:tcW w:w="0" w:type="auto"/>
            <w:tcBorders>
              <w:top w:val="nil"/>
              <w:left w:val="nil"/>
              <w:bottom w:val="single" w:sz="4" w:space="0" w:color="auto"/>
              <w:right w:val="single" w:sz="4" w:space="0" w:color="auto"/>
            </w:tcBorders>
            <w:shd w:val="clear" w:color="auto" w:fill="auto"/>
            <w:noWrap/>
            <w:vAlign w:val="bottom"/>
            <w:hideMark/>
          </w:tcPr>
          <w:p w14:paraId="23FDF113"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83</w:t>
            </w:r>
          </w:p>
        </w:tc>
        <w:tc>
          <w:tcPr>
            <w:tcW w:w="0" w:type="auto"/>
            <w:tcBorders>
              <w:top w:val="nil"/>
              <w:left w:val="nil"/>
              <w:bottom w:val="single" w:sz="4" w:space="0" w:color="auto"/>
              <w:right w:val="single" w:sz="4" w:space="0" w:color="auto"/>
            </w:tcBorders>
            <w:shd w:val="clear" w:color="auto" w:fill="auto"/>
            <w:noWrap/>
            <w:vAlign w:val="bottom"/>
            <w:hideMark/>
          </w:tcPr>
          <w:p w14:paraId="60163B8B"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72%</w:t>
            </w:r>
          </w:p>
        </w:tc>
        <w:tc>
          <w:tcPr>
            <w:tcW w:w="0" w:type="auto"/>
            <w:tcBorders>
              <w:top w:val="nil"/>
              <w:left w:val="nil"/>
              <w:bottom w:val="single" w:sz="4" w:space="0" w:color="auto"/>
              <w:right w:val="single" w:sz="4" w:space="0" w:color="auto"/>
            </w:tcBorders>
            <w:shd w:val="clear" w:color="auto" w:fill="auto"/>
            <w:noWrap/>
            <w:vAlign w:val="bottom"/>
            <w:hideMark/>
          </w:tcPr>
          <w:p w14:paraId="4FF734F0"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82</w:t>
            </w:r>
          </w:p>
        </w:tc>
        <w:tc>
          <w:tcPr>
            <w:tcW w:w="0" w:type="auto"/>
            <w:tcBorders>
              <w:top w:val="nil"/>
              <w:left w:val="nil"/>
              <w:bottom w:val="single" w:sz="4" w:space="0" w:color="auto"/>
              <w:right w:val="single" w:sz="4" w:space="0" w:color="auto"/>
            </w:tcBorders>
            <w:shd w:val="clear" w:color="auto" w:fill="auto"/>
            <w:noWrap/>
            <w:vAlign w:val="bottom"/>
            <w:hideMark/>
          </w:tcPr>
          <w:p w14:paraId="59B6B52D"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(98.8)</w:t>
            </w:r>
          </w:p>
        </w:tc>
        <w:tc>
          <w:tcPr>
            <w:tcW w:w="0" w:type="auto"/>
            <w:tcBorders>
              <w:top w:val="nil"/>
              <w:left w:val="nil"/>
              <w:bottom w:val="single" w:sz="4" w:space="0" w:color="auto"/>
              <w:right w:val="single" w:sz="4" w:space="0" w:color="auto"/>
            </w:tcBorders>
            <w:shd w:val="clear" w:color="auto" w:fill="auto"/>
            <w:noWrap/>
            <w:vAlign w:val="bottom"/>
            <w:hideMark/>
          </w:tcPr>
          <w:p w14:paraId="51515EF5"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39B4AE27"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6389DD24"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3AF59927"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7B01364B"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788CE63C"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506989E7"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7BDC315D"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495EC3CE"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538A9BF6"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078E1C50"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67%</w:t>
            </w:r>
          </w:p>
        </w:tc>
      </w:tr>
      <w:tr w:rsidR="0067156B" w:rsidRPr="00BA48F1" w14:paraId="4B4A1D5A" w14:textId="77777777" w:rsidTr="0067156B">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C9B933B"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MAYNARD</w:t>
            </w:r>
          </w:p>
        </w:tc>
        <w:tc>
          <w:tcPr>
            <w:tcW w:w="0" w:type="auto"/>
            <w:tcBorders>
              <w:top w:val="nil"/>
              <w:left w:val="nil"/>
              <w:bottom w:val="single" w:sz="4" w:space="0" w:color="auto"/>
              <w:right w:val="single" w:sz="4" w:space="0" w:color="auto"/>
            </w:tcBorders>
            <w:shd w:val="clear" w:color="auto" w:fill="auto"/>
            <w:noWrap/>
            <w:vAlign w:val="bottom"/>
            <w:hideMark/>
          </w:tcPr>
          <w:p w14:paraId="576C2E73"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467</w:t>
            </w:r>
          </w:p>
        </w:tc>
        <w:tc>
          <w:tcPr>
            <w:tcW w:w="0" w:type="auto"/>
            <w:tcBorders>
              <w:top w:val="nil"/>
              <w:left w:val="nil"/>
              <w:bottom w:val="single" w:sz="4" w:space="0" w:color="auto"/>
              <w:right w:val="single" w:sz="4" w:space="0" w:color="auto"/>
            </w:tcBorders>
            <w:shd w:val="clear" w:color="auto" w:fill="auto"/>
            <w:noWrap/>
            <w:vAlign w:val="bottom"/>
            <w:hideMark/>
          </w:tcPr>
          <w:p w14:paraId="6C3EE0D2"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226</w:t>
            </w:r>
          </w:p>
        </w:tc>
        <w:tc>
          <w:tcPr>
            <w:tcW w:w="0" w:type="auto"/>
            <w:tcBorders>
              <w:top w:val="nil"/>
              <w:left w:val="nil"/>
              <w:bottom w:val="single" w:sz="4" w:space="0" w:color="auto"/>
              <w:right w:val="single" w:sz="4" w:space="0" w:color="auto"/>
            </w:tcBorders>
            <w:shd w:val="clear" w:color="auto" w:fill="auto"/>
            <w:noWrap/>
            <w:vAlign w:val="bottom"/>
            <w:hideMark/>
          </w:tcPr>
          <w:p w14:paraId="4343B979"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48%</w:t>
            </w:r>
          </w:p>
        </w:tc>
        <w:tc>
          <w:tcPr>
            <w:tcW w:w="0" w:type="auto"/>
            <w:tcBorders>
              <w:top w:val="nil"/>
              <w:left w:val="nil"/>
              <w:bottom w:val="single" w:sz="4" w:space="0" w:color="auto"/>
              <w:right w:val="single" w:sz="4" w:space="0" w:color="auto"/>
            </w:tcBorders>
            <w:shd w:val="clear" w:color="auto" w:fill="auto"/>
            <w:noWrap/>
            <w:vAlign w:val="bottom"/>
            <w:hideMark/>
          </w:tcPr>
          <w:p w14:paraId="182F2110"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225</w:t>
            </w:r>
          </w:p>
        </w:tc>
        <w:tc>
          <w:tcPr>
            <w:tcW w:w="0" w:type="auto"/>
            <w:tcBorders>
              <w:top w:val="nil"/>
              <w:left w:val="nil"/>
              <w:bottom w:val="single" w:sz="4" w:space="0" w:color="auto"/>
              <w:right w:val="single" w:sz="4" w:space="0" w:color="auto"/>
            </w:tcBorders>
            <w:shd w:val="clear" w:color="auto" w:fill="auto"/>
            <w:noWrap/>
            <w:vAlign w:val="bottom"/>
            <w:hideMark/>
          </w:tcPr>
          <w:p w14:paraId="63142EF0"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(99.6)</w:t>
            </w:r>
          </w:p>
        </w:tc>
        <w:tc>
          <w:tcPr>
            <w:tcW w:w="0" w:type="auto"/>
            <w:tcBorders>
              <w:top w:val="nil"/>
              <w:left w:val="nil"/>
              <w:bottom w:val="single" w:sz="4" w:space="0" w:color="auto"/>
              <w:right w:val="single" w:sz="4" w:space="0" w:color="auto"/>
            </w:tcBorders>
            <w:shd w:val="clear" w:color="auto" w:fill="auto"/>
            <w:noWrap/>
            <w:vAlign w:val="bottom"/>
            <w:hideMark/>
          </w:tcPr>
          <w:p w14:paraId="18599C02"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40C2C501"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0B0C8DC2"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7BA70F82"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530AEBBB"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6502485D"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239EF30D"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23DEF657"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3B9D3F6C"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1A96E795"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2A3EEE56"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60%</w:t>
            </w:r>
          </w:p>
        </w:tc>
      </w:tr>
      <w:tr w:rsidR="0067156B" w:rsidRPr="00BA48F1" w14:paraId="13219204" w14:textId="77777777" w:rsidTr="0067156B">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554E3CD"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MEDFIELD</w:t>
            </w:r>
          </w:p>
        </w:tc>
        <w:tc>
          <w:tcPr>
            <w:tcW w:w="0" w:type="auto"/>
            <w:tcBorders>
              <w:top w:val="nil"/>
              <w:left w:val="nil"/>
              <w:bottom w:val="single" w:sz="4" w:space="0" w:color="auto"/>
              <w:right w:val="single" w:sz="4" w:space="0" w:color="auto"/>
            </w:tcBorders>
            <w:shd w:val="clear" w:color="auto" w:fill="auto"/>
            <w:noWrap/>
            <w:vAlign w:val="bottom"/>
            <w:hideMark/>
          </w:tcPr>
          <w:p w14:paraId="54B43512"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375</w:t>
            </w:r>
          </w:p>
        </w:tc>
        <w:tc>
          <w:tcPr>
            <w:tcW w:w="0" w:type="auto"/>
            <w:tcBorders>
              <w:top w:val="nil"/>
              <w:left w:val="nil"/>
              <w:bottom w:val="single" w:sz="4" w:space="0" w:color="auto"/>
              <w:right w:val="single" w:sz="4" w:space="0" w:color="auto"/>
            </w:tcBorders>
            <w:shd w:val="clear" w:color="auto" w:fill="auto"/>
            <w:noWrap/>
            <w:vAlign w:val="bottom"/>
            <w:hideMark/>
          </w:tcPr>
          <w:p w14:paraId="2064C849"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349</w:t>
            </w:r>
          </w:p>
        </w:tc>
        <w:tc>
          <w:tcPr>
            <w:tcW w:w="0" w:type="auto"/>
            <w:tcBorders>
              <w:top w:val="nil"/>
              <w:left w:val="nil"/>
              <w:bottom w:val="single" w:sz="4" w:space="0" w:color="auto"/>
              <w:right w:val="single" w:sz="4" w:space="0" w:color="auto"/>
            </w:tcBorders>
            <w:shd w:val="clear" w:color="auto" w:fill="auto"/>
            <w:noWrap/>
            <w:vAlign w:val="bottom"/>
            <w:hideMark/>
          </w:tcPr>
          <w:p w14:paraId="55645CB4"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93%</w:t>
            </w:r>
          </w:p>
        </w:tc>
        <w:tc>
          <w:tcPr>
            <w:tcW w:w="0" w:type="auto"/>
            <w:tcBorders>
              <w:top w:val="nil"/>
              <w:left w:val="nil"/>
              <w:bottom w:val="single" w:sz="4" w:space="0" w:color="auto"/>
              <w:right w:val="single" w:sz="4" w:space="0" w:color="auto"/>
            </w:tcBorders>
            <w:shd w:val="clear" w:color="auto" w:fill="auto"/>
            <w:noWrap/>
            <w:vAlign w:val="bottom"/>
            <w:hideMark/>
          </w:tcPr>
          <w:p w14:paraId="06454A79"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346</w:t>
            </w:r>
          </w:p>
        </w:tc>
        <w:tc>
          <w:tcPr>
            <w:tcW w:w="0" w:type="auto"/>
            <w:tcBorders>
              <w:top w:val="nil"/>
              <w:left w:val="nil"/>
              <w:bottom w:val="single" w:sz="4" w:space="0" w:color="auto"/>
              <w:right w:val="single" w:sz="4" w:space="0" w:color="auto"/>
            </w:tcBorders>
            <w:shd w:val="clear" w:color="auto" w:fill="auto"/>
            <w:noWrap/>
            <w:vAlign w:val="bottom"/>
            <w:hideMark/>
          </w:tcPr>
          <w:p w14:paraId="2B46B8B5"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(99.1)</w:t>
            </w:r>
          </w:p>
        </w:tc>
        <w:tc>
          <w:tcPr>
            <w:tcW w:w="0" w:type="auto"/>
            <w:tcBorders>
              <w:top w:val="nil"/>
              <w:left w:val="nil"/>
              <w:bottom w:val="single" w:sz="4" w:space="0" w:color="auto"/>
              <w:right w:val="single" w:sz="4" w:space="0" w:color="auto"/>
            </w:tcBorders>
            <w:shd w:val="clear" w:color="auto" w:fill="auto"/>
            <w:noWrap/>
            <w:vAlign w:val="bottom"/>
            <w:hideMark/>
          </w:tcPr>
          <w:p w14:paraId="5328CCCC"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5F458E2A"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0A6BDC38"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66EC0697"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07C5BC2E"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47D0E4B6"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33E2F635"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250C0BCC"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5A2D61F5"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1A13CD79"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04BE49CB"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80%</w:t>
            </w:r>
          </w:p>
        </w:tc>
      </w:tr>
      <w:tr w:rsidR="0067156B" w:rsidRPr="00BA48F1" w14:paraId="78FCA0BE" w14:textId="77777777" w:rsidTr="0067156B">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9EB6FCF"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MEDFORD</w:t>
            </w:r>
          </w:p>
        </w:tc>
        <w:tc>
          <w:tcPr>
            <w:tcW w:w="0" w:type="auto"/>
            <w:tcBorders>
              <w:top w:val="nil"/>
              <w:left w:val="nil"/>
              <w:bottom w:val="single" w:sz="4" w:space="0" w:color="auto"/>
              <w:right w:val="single" w:sz="4" w:space="0" w:color="auto"/>
            </w:tcBorders>
            <w:shd w:val="clear" w:color="auto" w:fill="auto"/>
            <w:noWrap/>
            <w:vAlign w:val="bottom"/>
            <w:hideMark/>
          </w:tcPr>
          <w:p w14:paraId="282D0F33"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2,037</w:t>
            </w:r>
          </w:p>
        </w:tc>
        <w:tc>
          <w:tcPr>
            <w:tcW w:w="0" w:type="auto"/>
            <w:tcBorders>
              <w:top w:val="nil"/>
              <w:left w:val="nil"/>
              <w:bottom w:val="single" w:sz="4" w:space="0" w:color="auto"/>
              <w:right w:val="single" w:sz="4" w:space="0" w:color="auto"/>
            </w:tcBorders>
            <w:shd w:val="clear" w:color="auto" w:fill="auto"/>
            <w:noWrap/>
            <w:vAlign w:val="bottom"/>
            <w:hideMark/>
          </w:tcPr>
          <w:p w14:paraId="63ACD770"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1,237</w:t>
            </w:r>
          </w:p>
        </w:tc>
        <w:tc>
          <w:tcPr>
            <w:tcW w:w="0" w:type="auto"/>
            <w:tcBorders>
              <w:top w:val="nil"/>
              <w:left w:val="nil"/>
              <w:bottom w:val="single" w:sz="4" w:space="0" w:color="auto"/>
              <w:right w:val="single" w:sz="4" w:space="0" w:color="auto"/>
            </w:tcBorders>
            <w:shd w:val="clear" w:color="auto" w:fill="auto"/>
            <w:noWrap/>
            <w:vAlign w:val="bottom"/>
            <w:hideMark/>
          </w:tcPr>
          <w:p w14:paraId="78D1E190"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61%</w:t>
            </w:r>
          </w:p>
        </w:tc>
        <w:tc>
          <w:tcPr>
            <w:tcW w:w="0" w:type="auto"/>
            <w:tcBorders>
              <w:top w:val="nil"/>
              <w:left w:val="nil"/>
              <w:bottom w:val="single" w:sz="4" w:space="0" w:color="auto"/>
              <w:right w:val="single" w:sz="4" w:space="0" w:color="auto"/>
            </w:tcBorders>
            <w:shd w:val="clear" w:color="auto" w:fill="auto"/>
            <w:noWrap/>
            <w:vAlign w:val="bottom"/>
            <w:hideMark/>
          </w:tcPr>
          <w:p w14:paraId="26C75783"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1,210</w:t>
            </w:r>
          </w:p>
        </w:tc>
        <w:tc>
          <w:tcPr>
            <w:tcW w:w="0" w:type="auto"/>
            <w:tcBorders>
              <w:top w:val="nil"/>
              <w:left w:val="nil"/>
              <w:bottom w:val="single" w:sz="4" w:space="0" w:color="auto"/>
              <w:right w:val="single" w:sz="4" w:space="0" w:color="auto"/>
            </w:tcBorders>
            <w:shd w:val="clear" w:color="auto" w:fill="auto"/>
            <w:noWrap/>
            <w:vAlign w:val="bottom"/>
            <w:hideMark/>
          </w:tcPr>
          <w:p w14:paraId="4874FC5B"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(97.8)</w:t>
            </w:r>
          </w:p>
        </w:tc>
        <w:tc>
          <w:tcPr>
            <w:tcW w:w="0" w:type="auto"/>
            <w:tcBorders>
              <w:top w:val="nil"/>
              <w:left w:val="nil"/>
              <w:bottom w:val="single" w:sz="4" w:space="0" w:color="auto"/>
              <w:right w:val="single" w:sz="4" w:space="0" w:color="auto"/>
            </w:tcBorders>
            <w:shd w:val="clear" w:color="auto" w:fill="auto"/>
            <w:noWrap/>
            <w:vAlign w:val="bottom"/>
            <w:hideMark/>
          </w:tcPr>
          <w:p w14:paraId="4B01F8A3"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22</w:t>
            </w:r>
          </w:p>
        </w:tc>
        <w:tc>
          <w:tcPr>
            <w:tcW w:w="0" w:type="auto"/>
            <w:tcBorders>
              <w:top w:val="nil"/>
              <w:left w:val="nil"/>
              <w:bottom w:val="single" w:sz="4" w:space="0" w:color="auto"/>
              <w:right w:val="single" w:sz="4" w:space="0" w:color="auto"/>
            </w:tcBorders>
            <w:shd w:val="clear" w:color="auto" w:fill="auto"/>
            <w:noWrap/>
            <w:vAlign w:val="bottom"/>
            <w:hideMark/>
          </w:tcPr>
          <w:p w14:paraId="25AC6D4B"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(1.8)</w:t>
            </w:r>
          </w:p>
        </w:tc>
        <w:tc>
          <w:tcPr>
            <w:tcW w:w="0" w:type="auto"/>
            <w:tcBorders>
              <w:top w:val="nil"/>
              <w:left w:val="nil"/>
              <w:bottom w:val="single" w:sz="4" w:space="0" w:color="auto"/>
              <w:right w:val="single" w:sz="4" w:space="0" w:color="auto"/>
            </w:tcBorders>
            <w:shd w:val="clear" w:color="auto" w:fill="auto"/>
            <w:noWrap/>
            <w:vAlign w:val="bottom"/>
            <w:hideMark/>
          </w:tcPr>
          <w:p w14:paraId="62E9952F"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5</w:t>
            </w:r>
          </w:p>
        </w:tc>
        <w:tc>
          <w:tcPr>
            <w:tcW w:w="0" w:type="auto"/>
            <w:tcBorders>
              <w:top w:val="nil"/>
              <w:left w:val="nil"/>
              <w:bottom w:val="single" w:sz="4" w:space="0" w:color="auto"/>
              <w:right w:val="single" w:sz="4" w:space="0" w:color="auto"/>
            </w:tcBorders>
            <w:shd w:val="clear" w:color="auto" w:fill="auto"/>
            <w:noWrap/>
            <w:vAlign w:val="bottom"/>
            <w:hideMark/>
          </w:tcPr>
          <w:p w14:paraId="360D1C18"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(0.4)</w:t>
            </w:r>
          </w:p>
        </w:tc>
        <w:tc>
          <w:tcPr>
            <w:tcW w:w="0" w:type="auto"/>
            <w:tcBorders>
              <w:top w:val="nil"/>
              <w:left w:val="nil"/>
              <w:bottom w:val="single" w:sz="4" w:space="0" w:color="auto"/>
              <w:right w:val="single" w:sz="4" w:space="0" w:color="auto"/>
            </w:tcBorders>
            <w:shd w:val="clear" w:color="auto" w:fill="auto"/>
            <w:noWrap/>
            <w:vAlign w:val="bottom"/>
            <w:hideMark/>
          </w:tcPr>
          <w:p w14:paraId="2FFB8D67"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606C633C"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3927E531"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19</w:t>
            </w:r>
          </w:p>
        </w:tc>
        <w:tc>
          <w:tcPr>
            <w:tcW w:w="0" w:type="auto"/>
            <w:tcBorders>
              <w:top w:val="nil"/>
              <w:left w:val="nil"/>
              <w:bottom w:val="single" w:sz="4" w:space="0" w:color="auto"/>
              <w:right w:val="single" w:sz="4" w:space="0" w:color="auto"/>
            </w:tcBorders>
            <w:shd w:val="clear" w:color="auto" w:fill="auto"/>
            <w:noWrap/>
            <w:vAlign w:val="bottom"/>
            <w:hideMark/>
          </w:tcPr>
          <w:p w14:paraId="4A904DF6"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(1.5)</w:t>
            </w:r>
          </w:p>
        </w:tc>
        <w:tc>
          <w:tcPr>
            <w:tcW w:w="0" w:type="auto"/>
            <w:tcBorders>
              <w:top w:val="nil"/>
              <w:left w:val="nil"/>
              <w:bottom w:val="single" w:sz="4" w:space="0" w:color="auto"/>
              <w:right w:val="single" w:sz="4" w:space="0" w:color="auto"/>
            </w:tcBorders>
            <w:shd w:val="clear" w:color="auto" w:fill="auto"/>
            <w:noWrap/>
            <w:vAlign w:val="bottom"/>
            <w:hideMark/>
          </w:tcPr>
          <w:p w14:paraId="1D0BA2F2"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4</w:t>
            </w:r>
          </w:p>
        </w:tc>
        <w:tc>
          <w:tcPr>
            <w:tcW w:w="0" w:type="auto"/>
            <w:tcBorders>
              <w:top w:val="nil"/>
              <w:left w:val="nil"/>
              <w:bottom w:val="single" w:sz="4" w:space="0" w:color="auto"/>
              <w:right w:val="single" w:sz="4" w:space="0" w:color="auto"/>
            </w:tcBorders>
            <w:shd w:val="clear" w:color="auto" w:fill="auto"/>
            <w:noWrap/>
            <w:vAlign w:val="bottom"/>
            <w:hideMark/>
          </w:tcPr>
          <w:p w14:paraId="6276E9D1"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(0.3)</w:t>
            </w:r>
          </w:p>
        </w:tc>
        <w:tc>
          <w:tcPr>
            <w:tcW w:w="0" w:type="auto"/>
            <w:tcBorders>
              <w:top w:val="nil"/>
              <w:left w:val="nil"/>
              <w:bottom w:val="single" w:sz="4" w:space="0" w:color="auto"/>
              <w:right w:val="single" w:sz="4" w:space="0" w:color="auto"/>
            </w:tcBorders>
            <w:shd w:val="clear" w:color="auto" w:fill="auto"/>
            <w:noWrap/>
            <w:vAlign w:val="bottom"/>
            <w:hideMark/>
          </w:tcPr>
          <w:p w14:paraId="06F4D0D8"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54%</w:t>
            </w:r>
          </w:p>
        </w:tc>
      </w:tr>
      <w:tr w:rsidR="0067156B" w:rsidRPr="00BA48F1" w14:paraId="7E1FCCC1" w14:textId="77777777" w:rsidTr="0067156B">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EAF94A9"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MEDWAY</w:t>
            </w:r>
          </w:p>
        </w:tc>
        <w:tc>
          <w:tcPr>
            <w:tcW w:w="0" w:type="auto"/>
            <w:tcBorders>
              <w:top w:val="nil"/>
              <w:left w:val="nil"/>
              <w:bottom w:val="single" w:sz="4" w:space="0" w:color="auto"/>
              <w:right w:val="single" w:sz="4" w:space="0" w:color="auto"/>
            </w:tcBorders>
            <w:shd w:val="clear" w:color="auto" w:fill="auto"/>
            <w:noWrap/>
            <w:vAlign w:val="bottom"/>
            <w:hideMark/>
          </w:tcPr>
          <w:p w14:paraId="00E6BFC9"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457</w:t>
            </w:r>
          </w:p>
        </w:tc>
        <w:tc>
          <w:tcPr>
            <w:tcW w:w="0" w:type="auto"/>
            <w:tcBorders>
              <w:top w:val="nil"/>
              <w:left w:val="nil"/>
              <w:bottom w:val="single" w:sz="4" w:space="0" w:color="auto"/>
              <w:right w:val="single" w:sz="4" w:space="0" w:color="auto"/>
            </w:tcBorders>
            <w:shd w:val="clear" w:color="auto" w:fill="auto"/>
            <w:noWrap/>
            <w:vAlign w:val="bottom"/>
            <w:hideMark/>
          </w:tcPr>
          <w:p w14:paraId="2F5831D3"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240</w:t>
            </w:r>
          </w:p>
        </w:tc>
        <w:tc>
          <w:tcPr>
            <w:tcW w:w="0" w:type="auto"/>
            <w:tcBorders>
              <w:top w:val="nil"/>
              <w:left w:val="nil"/>
              <w:bottom w:val="single" w:sz="4" w:space="0" w:color="auto"/>
              <w:right w:val="single" w:sz="4" w:space="0" w:color="auto"/>
            </w:tcBorders>
            <w:shd w:val="clear" w:color="auto" w:fill="auto"/>
            <w:noWrap/>
            <w:vAlign w:val="bottom"/>
            <w:hideMark/>
          </w:tcPr>
          <w:p w14:paraId="657C4125"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53%</w:t>
            </w:r>
          </w:p>
        </w:tc>
        <w:tc>
          <w:tcPr>
            <w:tcW w:w="0" w:type="auto"/>
            <w:tcBorders>
              <w:top w:val="nil"/>
              <w:left w:val="nil"/>
              <w:bottom w:val="single" w:sz="4" w:space="0" w:color="auto"/>
              <w:right w:val="single" w:sz="4" w:space="0" w:color="auto"/>
            </w:tcBorders>
            <w:shd w:val="clear" w:color="auto" w:fill="auto"/>
            <w:noWrap/>
            <w:vAlign w:val="bottom"/>
            <w:hideMark/>
          </w:tcPr>
          <w:p w14:paraId="6ADC1772"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237</w:t>
            </w:r>
          </w:p>
        </w:tc>
        <w:tc>
          <w:tcPr>
            <w:tcW w:w="0" w:type="auto"/>
            <w:tcBorders>
              <w:top w:val="nil"/>
              <w:left w:val="nil"/>
              <w:bottom w:val="single" w:sz="4" w:space="0" w:color="auto"/>
              <w:right w:val="single" w:sz="4" w:space="0" w:color="auto"/>
            </w:tcBorders>
            <w:shd w:val="clear" w:color="auto" w:fill="auto"/>
            <w:noWrap/>
            <w:vAlign w:val="bottom"/>
            <w:hideMark/>
          </w:tcPr>
          <w:p w14:paraId="187C6142"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(98.8)</w:t>
            </w:r>
          </w:p>
        </w:tc>
        <w:tc>
          <w:tcPr>
            <w:tcW w:w="0" w:type="auto"/>
            <w:tcBorders>
              <w:top w:val="nil"/>
              <w:left w:val="nil"/>
              <w:bottom w:val="single" w:sz="4" w:space="0" w:color="auto"/>
              <w:right w:val="single" w:sz="4" w:space="0" w:color="auto"/>
            </w:tcBorders>
            <w:shd w:val="clear" w:color="auto" w:fill="auto"/>
            <w:noWrap/>
            <w:vAlign w:val="bottom"/>
            <w:hideMark/>
          </w:tcPr>
          <w:p w14:paraId="76ABE9BB"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3C329316"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7B41790C"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19CDBB32"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04932E21"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1D5D6DF9"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2450B5F6"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4761634D"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7E2B5F01"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60E8A7FE"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58819436"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85%</w:t>
            </w:r>
          </w:p>
        </w:tc>
      </w:tr>
      <w:tr w:rsidR="0067156B" w:rsidRPr="00BA48F1" w14:paraId="7D73A35B" w14:textId="77777777" w:rsidTr="0067156B">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4FF12F5"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MELROSE</w:t>
            </w:r>
          </w:p>
        </w:tc>
        <w:tc>
          <w:tcPr>
            <w:tcW w:w="0" w:type="auto"/>
            <w:tcBorders>
              <w:top w:val="nil"/>
              <w:left w:val="nil"/>
              <w:bottom w:val="single" w:sz="4" w:space="0" w:color="auto"/>
              <w:right w:val="single" w:sz="4" w:space="0" w:color="auto"/>
            </w:tcBorders>
            <w:shd w:val="clear" w:color="auto" w:fill="auto"/>
            <w:noWrap/>
            <w:vAlign w:val="bottom"/>
            <w:hideMark/>
          </w:tcPr>
          <w:p w14:paraId="68870ACE"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1,114</w:t>
            </w:r>
          </w:p>
        </w:tc>
        <w:tc>
          <w:tcPr>
            <w:tcW w:w="0" w:type="auto"/>
            <w:tcBorders>
              <w:top w:val="nil"/>
              <w:left w:val="nil"/>
              <w:bottom w:val="single" w:sz="4" w:space="0" w:color="auto"/>
              <w:right w:val="single" w:sz="4" w:space="0" w:color="auto"/>
            </w:tcBorders>
            <w:shd w:val="clear" w:color="auto" w:fill="auto"/>
            <w:noWrap/>
            <w:vAlign w:val="bottom"/>
            <w:hideMark/>
          </w:tcPr>
          <w:p w14:paraId="1FB67DD2"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879</w:t>
            </w:r>
          </w:p>
        </w:tc>
        <w:tc>
          <w:tcPr>
            <w:tcW w:w="0" w:type="auto"/>
            <w:tcBorders>
              <w:top w:val="nil"/>
              <w:left w:val="nil"/>
              <w:bottom w:val="single" w:sz="4" w:space="0" w:color="auto"/>
              <w:right w:val="single" w:sz="4" w:space="0" w:color="auto"/>
            </w:tcBorders>
            <w:shd w:val="clear" w:color="auto" w:fill="auto"/>
            <w:noWrap/>
            <w:vAlign w:val="bottom"/>
            <w:hideMark/>
          </w:tcPr>
          <w:p w14:paraId="370593DE"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79%</w:t>
            </w:r>
          </w:p>
        </w:tc>
        <w:tc>
          <w:tcPr>
            <w:tcW w:w="0" w:type="auto"/>
            <w:tcBorders>
              <w:top w:val="nil"/>
              <w:left w:val="nil"/>
              <w:bottom w:val="single" w:sz="4" w:space="0" w:color="auto"/>
              <w:right w:val="single" w:sz="4" w:space="0" w:color="auto"/>
            </w:tcBorders>
            <w:shd w:val="clear" w:color="auto" w:fill="auto"/>
            <w:noWrap/>
            <w:vAlign w:val="bottom"/>
            <w:hideMark/>
          </w:tcPr>
          <w:p w14:paraId="6C06766D"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859</w:t>
            </w:r>
          </w:p>
        </w:tc>
        <w:tc>
          <w:tcPr>
            <w:tcW w:w="0" w:type="auto"/>
            <w:tcBorders>
              <w:top w:val="nil"/>
              <w:left w:val="nil"/>
              <w:bottom w:val="single" w:sz="4" w:space="0" w:color="auto"/>
              <w:right w:val="single" w:sz="4" w:space="0" w:color="auto"/>
            </w:tcBorders>
            <w:shd w:val="clear" w:color="auto" w:fill="auto"/>
            <w:noWrap/>
            <w:vAlign w:val="bottom"/>
            <w:hideMark/>
          </w:tcPr>
          <w:p w14:paraId="4EFA1813"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(97.7)</w:t>
            </w:r>
          </w:p>
        </w:tc>
        <w:tc>
          <w:tcPr>
            <w:tcW w:w="0" w:type="auto"/>
            <w:tcBorders>
              <w:top w:val="nil"/>
              <w:left w:val="nil"/>
              <w:bottom w:val="single" w:sz="4" w:space="0" w:color="auto"/>
              <w:right w:val="single" w:sz="4" w:space="0" w:color="auto"/>
            </w:tcBorders>
            <w:shd w:val="clear" w:color="auto" w:fill="auto"/>
            <w:noWrap/>
            <w:vAlign w:val="bottom"/>
            <w:hideMark/>
          </w:tcPr>
          <w:p w14:paraId="6B7A8111"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16</w:t>
            </w:r>
          </w:p>
        </w:tc>
        <w:tc>
          <w:tcPr>
            <w:tcW w:w="0" w:type="auto"/>
            <w:tcBorders>
              <w:top w:val="nil"/>
              <w:left w:val="nil"/>
              <w:bottom w:val="single" w:sz="4" w:space="0" w:color="auto"/>
              <w:right w:val="single" w:sz="4" w:space="0" w:color="auto"/>
            </w:tcBorders>
            <w:shd w:val="clear" w:color="auto" w:fill="auto"/>
            <w:noWrap/>
            <w:vAlign w:val="bottom"/>
            <w:hideMark/>
          </w:tcPr>
          <w:p w14:paraId="55B66628"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(1.8)</w:t>
            </w:r>
          </w:p>
        </w:tc>
        <w:tc>
          <w:tcPr>
            <w:tcW w:w="0" w:type="auto"/>
            <w:tcBorders>
              <w:top w:val="nil"/>
              <w:left w:val="nil"/>
              <w:bottom w:val="single" w:sz="4" w:space="0" w:color="auto"/>
              <w:right w:val="single" w:sz="4" w:space="0" w:color="auto"/>
            </w:tcBorders>
            <w:shd w:val="clear" w:color="auto" w:fill="auto"/>
            <w:noWrap/>
            <w:vAlign w:val="bottom"/>
            <w:hideMark/>
          </w:tcPr>
          <w:p w14:paraId="5179E578"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4C651DBC"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5E3299C6"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56423105"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445F82D4"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13</w:t>
            </w:r>
          </w:p>
        </w:tc>
        <w:tc>
          <w:tcPr>
            <w:tcW w:w="0" w:type="auto"/>
            <w:tcBorders>
              <w:top w:val="nil"/>
              <w:left w:val="nil"/>
              <w:bottom w:val="single" w:sz="4" w:space="0" w:color="auto"/>
              <w:right w:val="single" w:sz="4" w:space="0" w:color="auto"/>
            </w:tcBorders>
            <w:shd w:val="clear" w:color="auto" w:fill="auto"/>
            <w:noWrap/>
            <w:vAlign w:val="bottom"/>
            <w:hideMark/>
          </w:tcPr>
          <w:p w14:paraId="1F2ADC14"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(1.5)</w:t>
            </w:r>
          </w:p>
        </w:tc>
        <w:tc>
          <w:tcPr>
            <w:tcW w:w="0" w:type="auto"/>
            <w:tcBorders>
              <w:top w:val="nil"/>
              <w:left w:val="nil"/>
              <w:bottom w:val="single" w:sz="4" w:space="0" w:color="auto"/>
              <w:right w:val="single" w:sz="4" w:space="0" w:color="auto"/>
            </w:tcBorders>
            <w:shd w:val="clear" w:color="auto" w:fill="auto"/>
            <w:noWrap/>
            <w:vAlign w:val="bottom"/>
            <w:hideMark/>
          </w:tcPr>
          <w:p w14:paraId="4A49B5AB"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08CB4920"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79C10898"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40%</w:t>
            </w:r>
          </w:p>
        </w:tc>
      </w:tr>
      <w:tr w:rsidR="0067156B" w:rsidRPr="00BA48F1" w14:paraId="225C0B0F" w14:textId="77777777" w:rsidTr="0067156B">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84EC8E0"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MENDON</w:t>
            </w:r>
          </w:p>
        </w:tc>
        <w:tc>
          <w:tcPr>
            <w:tcW w:w="0" w:type="auto"/>
            <w:tcBorders>
              <w:top w:val="nil"/>
              <w:left w:val="nil"/>
              <w:bottom w:val="single" w:sz="4" w:space="0" w:color="auto"/>
              <w:right w:val="single" w:sz="4" w:space="0" w:color="auto"/>
            </w:tcBorders>
            <w:shd w:val="clear" w:color="auto" w:fill="auto"/>
            <w:noWrap/>
            <w:vAlign w:val="bottom"/>
            <w:hideMark/>
          </w:tcPr>
          <w:p w14:paraId="617D2C17"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168</w:t>
            </w:r>
          </w:p>
        </w:tc>
        <w:tc>
          <w:tcPr>
            <w:tcW w:w="0" w:type="auto"/>
            <w:tcBorders>
              <w:top w:val="nil"/>
              <w:left w:val="nil"/>
              <w:bottom w:val="single" w:sz="4" w:space="0" w:color="auto"/>
              <w:right w:val="single" w:sz="4" w:space="0" w:color="auto"/>
            </w:tcBorders>
            <w:shd w:val="clear" w:color="auto" w:fill="auto"/>
            <w:noWrap/>
            <w:vAlign w:val="bottom"/>
            <w:hideMark/>
          </w:tcPr>
          <w:p w14:paraId="1A114BB8"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99</w:t>
            </w:r>
          </w:p>
        </w:tc>
        <w:tc>
          <w:tcPr>
            <w:tcW w:w="0" w:type="auto"/>
            <w:tcBorders>
              <w:top w:val="nil"/>
              <w:left w:val="nil"/>
              <w:bottom w:val="single" w:sz="4" w:space="0" w:color="auto"/>
              <w:right w:val="single" w:sz="4" w:space="0" w:color="auto"/>
            </w:tcBorders>
            <w:shd w:val="clear" w:color="auto" w:fill="auto"/>
            <w:noWrap/>
            <w:vAlign w:val="bottom"/>
            <w:hideMark/>
          </w:tcPr>
          <w:p w14:paraId="249291C2"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59%</w:t>
            </w:r>
          </w:p>
        </w:tc>
        <w:tc>
          <w:tcPr>
            <w:tcW w:w="0" w:type="auto"/>
            <w:tcBorders>
              <w:top w:val="nil"/>
              <w:left w:val="nil"/>
              <w:bottom w:val="single" w:sz="4" w:space="0" w:color="auto"/>
              <w:right w:val="single" w:sz="4" w:space="0" w:color="auto"/>
            </w:tcBorders>
            <w:shd w:val="clear" w:color="auto" w:fill="auto"/>
            <w:noWrap/>
            <w:vAlign w:val="bottom"/>
            <w:hideMark/>
          </w:tcPr>
          <w:p w14:paraId="25EE96FF"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99</w:t>
            </w:r>
          </w:p>
        </w:tc>
        <w:tc>
          <w:tcPr>
            <w:tcW w:w="0" w:type="auto"/>
            <w:tcBorders>
              <w:top w:val="nil"/>
              <w:left w:val="nil"/>
              <w:bottom w:val="single" w:sz="4" w:space="0" w:color="auto"/>
              <w:right w:val="single" w:sz="4" w:space="0" w:color="auto"/>
            </w:tcBorders>
            <w:shd w:val="clear" w:color="auto" w:fill="auto"/>
            <w:noWrap/>
            <w:vAlign w:val="bottom"/>
            <w:hideMark/>
          </w:tcPr>
          <w:p w14:paraId="4D236E1B"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(100.0)</w:t>
            </w:r>
          </w:p>
        </w:tc>
        <w:tc>
          <w:tcPr>
            <w:tcW w:w="0" w:type="auto"/>
            <w:tcBorders>
              <w:top w:val="nil"/>
              <w:left w:val="nil"/>
              <w:bottom w:val="single" w:sz="4" w:space="0" w:color="auto"/>
              <w:right w:val="single" w:sz="4" w:space="0" w:color="auto"/>
            </w:tcBorders>
            <w:shd w:val="clear" w:color="auto" w:fill="auto"/>
            <w:noWrap/>
            <w:vAlign w:val="bottom"/>
            <w:hideMark/>
          </w:tcPr>
          <w:p w14:paraId="6343E7DC"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3F22CBE6"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34F4FC64"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358346E5"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08438C5F"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226CCF70"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435EB4A2"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2344867E"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16E848DF"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68405638"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07389FED"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41%</w:t>
            </w:r>
          </w:p>
        </w:tc>
      </w:tr>
      <w:tr w:rsidR="0067156B" w:rsidRPr="00BA48F1" w14:paraId="4699A012" w14:textId="77777777" w:rsidTr="0067156B">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0210E9F"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MERRIMAC</w:t>
            </w:r>
          </w:p>
        </w:tc>
        <w:tc>
          <w:tcPr>
            <w:tcW w:w="0" w:type="auto"/>
            <w:tcBorders>
              <w:top w:val="nil"/>
              <w:left w:val="nil"/>
              <w:bottom w:val="single" w:sz="4" w:space="0" w:color="auto"/>
              <w:right w:val="single" w:sz="4" w:space="0" w:color="auto"/>
            </w:tcBorders>
            <w:shd w:val="clear" w:color="auto" w:fill="auto"/>
            <w:noWrap/>
            <w:vAlign w:val="bottom"/>
            <w:hideMark/>
          </w:tcPr>
          <w:p w14:paraId="4F3AD13D"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133</w:t>
            </w:r>
          </w:p>
        </w:tc>
        <w:tc>
          <w:tcPr>
            <w:tcW w:w="0" w:type="auto"/>
            <w:tcBorders>
              <w:top w:val="nil"/>
              <w:left w:val="nil"/>
              <w:bottom w:val="single" w:sz="4" w:space="0" w:color="auto"/>
              <w:right w:val="single" w:sz="4" w:space="0" w:color="auto"/>
            </w:tcBorders>
            <w:shd w:val="clear" w:color="auto" w:fill="auto"/>
            <w:noWrap/>
            <w:vAlign w:val="bottom"/>
            <w:hideMark/>
          </w:tcPr>
          <w:p w14:paraId="1E79E515"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150</w:t>
            </w:r>
          </w:p>
        </w:tc>
        <w:tc>
          <w:tcPr>
            <w:tcW w:w="0" w:type="auto"/>
            <w:tcBorders>
              <w:top w:val="nil"/>
              <w:left w:val="nil"/>
              <w:bottom w:val="single" w:sz="4" w:space="0" w:color="auto"/>
              <w:right w:val="single" w:sz="4" w:space="0" w:color="auto"/>
            </w:tcBorders>
            <w:shd w:val="clear" w:color="auto" w:fill="auto"/>
            <w:noWrap/>
            <w:vAlign w:val="bottom"/>
            <w:hideMark/>
          </w:tcPr>
          <w:p w14:paraId="45561AE3"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&gt;99%</w:t>
            </w:r>
          </w:p>
        </w:tc>
        <w:tc>
          <w:tcPr>
            <w:tcW w:w="0" w:type="auto"/>
            <w:tcBorders>
              <w:top w:val="nil"/>
              <w:left w:val="nil"/>
              <w:bottom w:val="single" w:sz="4" w:space="0" w:color="auto"/>
              <w:right w:val="single" w:sz="4" w:space="0" w:color="auto"/>
            </w:tcBorders>
            <w:shd w:val="clear" w:color="auto" w:fill="auto"/>
            <w:noWrap/>
            <w:vAlign w:val="bottom"/>
            <w:hideMark/>
          </w:tcPr>
          <w:p w14:paraId="13526284"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148</w:t>
            </w:r>
          </w:p>
        </w:tc>
        <w:tc>
          <w:tcPr>
            <w:tcW w:w="0" w:type="auto"/>
            <w:tcBorders>
              <w:top w:val="nil"/>
              <w:left w:val="nil"/>
              <w:bottom w:val="single" w:sz="4" w:space="0" w:color="auto"/>
              <w:right w:val="single" w:sz="4" w:space="0" w:color="auto"/>
            </w:tcBorders>
            <w:shd w:val="clear" w:color="auto" w:fill="auto"/>
            <w:noWrap/>
            <w:vAlign w:val="bottom"/>
            <w:hideMark/>
          </w:tcPr>
          <w:p w14:paraId="5A9A1295"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(98.7)</w:t>
            </w:r>
          </w:p>
        </w:tc>
        <w:tc>
          <w:tcPr>
            <w:tcW w:w="0" w:type="auto"/>
            <w:tcBorders>
              <w:top w:val="nil"/>
              <w:left w:val="nil"/>
              <w:bottom w:val="single" w:sz="4" w:space="0" w:color="auto"/>
              <w:right w:val="single" w:sz="4" w:space="0" w:color="auto"/>
            </w:tcBorders>
            <w:shd w:val="clear" w:color="auto" w:fill="auto"/>
            <w:noWrap/>
            <w:vAlign w:val="bottom"/>
            <w:hideMark/>
          </w:tcPr>
          <w:p w14:paraId="63C7B38C"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7F3FDE64"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5043AF0B"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4F9F17A1"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255A6524"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17E6CDE7"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0C75D6C3"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1FBCA107"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227A4723"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4807C907"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6DB7FE09"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62%</w:t>
            </w:r>
          </w:p>
        </w:tc>
      </w:tr>
      <w:tr w:rsidR="0067156B" w:rsidRPr="00BA48F1" w14:paraId="76CC036A" w14:textId="77777777" w:rsidTr="0067156B">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E9EB5AC"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METHUEN</w:t>
            </w:r>
          </w:p>
        </w:tc>
        <w:tc>
          <w:tcPr>
            <w:tcW w:w="0" w:type="auto"/>
            <w:tcBorders>
              <w:top w:val="nil"/>
              <w:left w:val="nil"/>
              <w:bottom w:val="single" w:sz="4" w:space="0" w:color="auto"/>
              <w:right w:val="single" w:sz="4" w:space="0" w:color="auto"/>
            </w:tcBorders>
            <w:shd w:val="clear" w:color="auto" w:fill="auto"/>
            <w:noWrap/>
            <w:vAlign w:val="bottom"/>
            <w:hideMark/>
          </w:tcPr>
          <w:p w14:paraId="79AC46DF"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2,148</w:t>
            </w:r>
          </w:p>
        </w:tc>
        <w:tc>
          <w:tcPr>
            <w:tcW w:w="0" w:type="auto"/>
            <w:tcBorders>
              <w:top w:val="nil"/>
              <w:left w:val="nil"/>
              <w:bottom w:val="single" w:sz="4" w:space="0" w:color="auto"/>
              <w:right w:val="single" w:sz="4" w:space="0" w:color="auto"/>
            </w:tcBorders>
            <w:shd w:val="clear" w:color="auto" w:fill="auto"/>
            <w:noWrap/>
            <w:vAlign w:val="bottom"/>
            <w:hideMark/>
          </w:tcPr>
          <w:p w14:paraId="6127CC79"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1,080</w:t>
            </w:r>
          </w:p>
        </w:tc>
        <w:tc>
          <w:tcPr>
            <w:tcW w:w="0" w:type="auto"/>
            <w:tcBorders>
              <w:top w:val="nil"/>
              <w:left w:val="nil"/>
              <w:bottom w:val="single" w:sz="4" w:space="0" w:color="auto"/>
              <w:right w:val="single" w:sz="4" w:space="0" w:color="auto"/>
            </w:tcBorders>
            <w:shd w:val="clear" w:color="auto" w:fill="auto"/>
            <w:noWrap/>
            <w:vAlign w:val="bottom"/>
            <w:hideMark/>
          </w:tcPr>
          <w:p w14:paraId="4EDC3AB6"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50%</w:t>
            </w:r>
          </w:p>
        </w:tc>
        <w:tc>
          <w:tcPr>
            <w:tcW w:w="0" w:type="auto"/>
            <w:tcBorders>
              <w:top w:val="nil"/>
              <w:left w:val="nil"/>
              <w:bottom w:val="single" w:sz="4" w:space="0" w:color="auto"/>
              <w:right w:val="single" w:sz="4" w:space="0" w:color="auto"/>
            </w:tcBorders>
            <w:shd w:val="clear" w:color="auto" w:fill="auto"/>
            <w:noWrap/>
            <w:vAlign w:val="bottom"/>
            <w:hideMark/>
          </w:tcPr>
          <w:p w14:paraId="71C54283"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1,067</w:t>
            </w:r>
          </w:p>
        </w:tc>
        <w:tc>
          <w:tcPr>
            <w:tcW w:w="0" w:type="auto"/>
            <w:tcBorders>
              <w:top w:val="nil"/>
              <w:left w:val="nil"/>
              <w:bottom w:val="single" w:sz="4" w:space="0" w:color="auto"/>
              <w:right w:val="single" w:sz="4" w:space="0" w:color="auto"/>
            </w:tcBorders>
            <w:shd w:val="clear" w:color="auto" w:fill="auto"/>
            <w:noWrap/>
            <w:vAlign w:val="bottom"/>
            <w:hideMark/>
          </w:tcPr>
          <w:p w14:paraId="37959918"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(98.8)</w:t>
            </w:r>
          </w:p>
        </w:tc>
        <w:tc>
          <w:tcPr>
            <w:tcW w:w="0" w:type="auto"/>
            <w:tcBorders>
              <w:top w:val="nil"/>
              <w:left w:val="nil"/>
              <w:bottom w:val="single" w:sz="4" w:space="0" w:color="auto"/>
              <w:right w:val="single" w:sz="4" w:space="0" w:color="auto"/>
            </w:tcBorders>
            <w:shd w:val="clear" w:color="auto" w:fill="auto"/>
            <w:noWrap/>
            <w:vAlign w:val="bottom"/>
            <w:hideMark/>
          </w:tcPr>
          <w:p w14:paraId="011F1127"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11</w:t>
            </w:r>
          </w:p>
        </w:tc>
        <w:tc>
          <w:tcPr>
            <w:tcW w:w="0" w:type="auto"/>
            <w:tcBorders>
              <w:top w:val="nil"/>
              <w:left w:val="nil"/>
              <w:bottom w:val="single" w:sz="4" w:space="0" w:color="auto"/>
              <w:right w:val="single" w:sz="4" w:space="0" w:color="auto"/>
            </w:tcBorders>
            <w:shd w:val="clear" w:color="auto" w:fill="auto"/>
            <w:noWrap/>
            <w:vAlign w:val="bottom"/>
            <w:hideMark/>
          </w:tcPr>
          <w:p w14:paraId="1FE1BA12"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(1.0)</w:t>
            </w:r>
          </w:p>
        </w:tc>
        <w:tc>
          <w:tcPr>
            <w:tcW w:w="0" w:type="auto"/>
            <w:tcBorders>
              <w:top w:val="nil"/>
              <w:left w:val="nil"/>
              <w:bottom w:val="single" w:sz="4" w:space="0" w:color="auto"/>
              <w:right w:val="single" w:sz="4" w:space="0" w:color="auto"/>
            </w:tcBorders>
            <w:shd w:val="clear" w:color="auto" w:fill="auto"/>
            <w:noWrap/>
            <w:vAlign w:val="bottom"/>
            <w:hideMark/>
          </w:tcPr>
          <w:p w14:paraId="31AC0129"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2EB53EDA"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7A38EED2"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752EEAA1"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23EC2025"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11</w:t>
            </w:r>
          </w:p>
        </w:tc>
        <w:tc>
          <w:tcPr>
            <w:tcW w:w="0" w:type="auto"/>
            <w:tcBorders>
              <w:top w:val="nil"/>
              <w:left w:val="nil"/>
              <w:bottom w:val="single" w:sz="4" w:space="0" w:color="auto"/>
              <w:right w:val="single" w:sz="4" w:space="0" w:color="auto"/>
            </w:tcBorders>
            <w:shd w:val="clear" w:color="auto" w:fill="auto"/>
            <w:noWrap/>
            <w:vAlign w:val="bottom"/>
            <w:hideMark/>
          </w:tcPr>
          <w:p w14:paraId="3499F672"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(1.0)</w:t>
            </w:r>
          </w:p>
        </w:tc>
        <w:tc>
          <w:tcPr>
            <w:tcW w:w="0" w:type="auto"/>
            <w:tcBorders>
              <w:top w:val="nil"/>
              <w:left w:val="nil"/>
              <w:bottom w:val="single" w:sz="4" w:space="0" w:color="auto"/>
              <w:right w:val="single" w:sz="4" w:space="0" w:color="auto"/>
            </w:tcBorders>
            <w:shd w:val="clear" w:color="auto" w:fill="auto"/>
            <w:noWrap/>
            <w:vAlign w:val="bottom"/>
            <w:hideMark/>
          </w:tcPr>
          <w:p w14:paraId="11904670"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66EAF40D"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5EA18DDB"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50%</w:t>
            </w:r>
          </w:p>
        </w:tc>
      </w:tr>
      <w:tr w:rsidR="0067156B" w:rsidRPr="00BA48F1" w14:paraId="432C4DD6" w14:textId="77777777" w:rsidTr="005E6FB1">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BABF930"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MIDDLEBOROUGH</w:t>
            </w:r>
          </w:p>
        </w:tc>
        <w:tc>
          <w:tcPr>
            <w:tcW w:w="0" w:type="auto"/>
            <w:tcBorders>
              <w:top w:val="nil"/>
              <w:left w:val="nil"/>
              <w:bottom w:val="single" w:sz="4" w:space="0" w:color="auto"/>
              <w:right w:val="single" w:sz="4" w:space="0" w:color="auto"/>
            </w:tcBorders>
            <w:shd w:val="clear" w:color="auto" w:fill="auto"/>
            <w:noWrap/>
            <w:vAlign w:val="bottom"/>
            <w:hideMark/>
          </w:tcPr>
          <w:p w14:paraId="5F836DB1"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917</w:t>
            </w:r>
          </w:p>
        </w:tc>
        <w:tc>
          <w:tcPr>
            <w:tcW w:w="0" w:type="auto"/>
            <w:tcBorders>
              <w:top w:val="nil"/>
              <w:left w:val="nil"/>
              <w:bottom w:val="single" w:sz="4" w:space="0" w:color="auto"/>
              <w:right w:val="single" w:sz="4" w:space="0" w:color="auto"/>
            </w:tcBorders>
            <w:shd w:val="clear" w:color="auto" w:fill="auto"/>
            <w:noWrap/>
            <w:vAlign w:val="bottom"/>
            <w:hideMark/>
          </w:tcPr>
          <w:p w14:paraId="50141589"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518</w:t>
            </w:r>
          </w:p>
        </w:tc>
        <w:tc>
          <w:tcPr>
            <w:tcW w:w="0" w:type="auto"/>
            <w:tcBorders>
              <w:top w:val="nil"/>
              <w:left w:val="nil"/>
              <w:bottom w:val="single" w:sz="4" w:space="0" w:color="auto"/>
              <w:right w:val="single" w:sz="4" w:space="0" w:color="auto"/>
            </w:tcBorders>
            <w:shd w:val="clear" w:color="auto" w:fill="auto"/>
            <w:noWrap/>
            <w:vAlign w:val="bottom"/>
            <w:hideMark/>
          </w:tcPr>
          <w:p w14:paraId="2D8B1ABD"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56%</w:t>
            </w:r>
          </w:p>
        </w:tc>
        <w:tc>
          <w:tcPr>
            <w:tcW w:w="0" w:type="auto"/>
            <w:tcBorders>
              <w:top w:val="nil"/>
              <w:left w:val="nil"/>
              <w:bottom w:val="single" w:sz="4" w:space="0" w:color="auto"/>
              <w:right w:val="single" w:sz="4" w:space="0" w:color="auto"/>
            </w:tcBorders>
            <w:shd w:val="clear" w:color="auto" w:fill="auto"/>
            <w:noWrap/>
            <w:vAlign w:val="bottom"/>
            <w:hideMark/>
          </w:tcPr>
          <w:p w14:paraId="4C8D82B3"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509</w:t>
            </w:r>
          </w:p>
        </w:tc>
        <w:tc>
          <w:tcPr>
            <w:tcW w:w="0" w:type="auto"/>
            <w:tcBorders>
              <w:top w:val="nil"/>
              <w:left w:val="nil"/>
              <w:bottom w:val="single" w:sz="4" w:space="0" w:color="auto"/>
              <w:right w:val="single" w:sz="4" w:space="0" w:color="auto"/>
            </w:tcBorders>
            <w:shd w:val="clear" w:color="auto" w:fill="auto"/>
            <w:noWrap/>
            <w:vAlign w:val="bottom"/>
            <w:hideMark/>
          </w:tcPr>
          <w:p w14:paraId="6BDBF626"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(98.3)</w:t>
            </w:r>
          </w:p>
        </w:tc>
        <w:tc>
          <w:tcPr>
            <w:tcW w:w="0" w:type="auto"/>
            <w:tcBorders>
              <w:top w:val="nil"/>
              <w:left w:val="nil"/>
              <w:bottom w:val="single" w:sz="4" w:space="0" w:color="auto"/>
              <w:right w:val="single" w:sz="4" w:space="0" w:color="auto"/>
            </w:tcBorders>
            <w:shd w:val="clear" w:color="auto" w:fill="auto"/>
            <w:noWrap/>
            <w:vAlign w:val="bottom"/>
            <w:hideMark/>
          </w:tcPr>
          <w:p w14:paraId="707F09EF"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8</w:t>
            </w:r>
          </w:p>
        </w:tc>
        <w:tc>
          <w:tcPr>
            <w:tcW w:w="0" w:type="auto"/>
            <w:tcBorders>
              <w:top w:val="nil"/>
              <w:left w:val="nil"/>
              <w:bottom w:val="single" w:sz="4" w:space="0" w:color="auto"/>
              <w:right w:val="single" w:sz="4" w:space="0" w:color="auto"/>
            </w:tcBorders>
            <w:shd w:val="clear" w:color="auto" w:fill="auto"/>
            <w:noWrap/>
            <w:vAlign w:val="bottom"/>
            <w:hideMark/>
          </w:tcPr>
          <w:p w14:paraId="54AD1906"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(1.5)</w:t>
            </w:r>
          </w:p>
        </w:tc>
        <w:tc>
          <w:tcPr>
            <w:tcW w:w="0" w:type="auto"/>
            <w:tcBorders>
              <w:top w:val="nil"/>
              <w:left w:val="nil"/>
              <w:bottom w:val="single" w:sz="4" w:space="0" w:color="auto"/>
              <w:right w:val="single" w:sz="4" w:space="0" w:color="auto"/>
            </w:tcBorders>
            <w:shd w:val="clear" w:color="auto" w:fill="auto"/>
            <w:noWrap/>
            <w:vAlign w:val="bottom"/>
            <w:hideMark/>
          </w:tcPr>
          <w:p w14:paraId="0FA5D71F"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683A6EDD"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24BC13BD"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5E4E1260"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7423C91C"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6</w:t>
            </w:r>
          </w:p>
        </w:tc>
        <w:tc>
          <w:tcPr>
            <w:tcW w:w="0" w:type="auto"/>
            <w:tcBorders>
              <w:top w:val="nil"/>
              <w:left w:val="nil"/>
              <w:bottom w:val="single" w:sz="4" w:space="0" w:color="auto"/>
              <w:right w:val="single" w:sz="4" w:space="0" w:color="auto"/>
            </w:tcBorders>
            <w:shd w:val="clear" w:color="auto" w:fill="auto"/>
            <w:noWrap/>
            <w:vAlign w:val="bottom"/>
            <w:hideMark/>
          </w:tcPr>
          <w:p w14:paraId="1BE72804"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(1.2)</w:t>
            </w:r>
          </w:p>
        </w:tc>
        <w:tc>
          <w:tcPr>
            <w:tcW w:w="0" w:type="auto"/>
            <w:tcBorders>
              <w:top w:val="nil"/>
              <w:left w:val="nil"/>
              <w:bottom w:val="single" w:sz="4" w:space="0" w:color="auto"/>
              <w:right w:val="single" w:sz="4" w:space="0" w:color="auto"/>
            </w:tcBorders>
            <w:shd w:val="clear" w:color="auto" w:fill="auto"/>
            <w:noWrap/>
            <w:vAlign w:val="bottom"/>
            <w:hideMark/>
          </w:tcPr>
          <w:p w14:paraId="0DF6EA36"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5483DB67"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6184EAB0"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49%</w:t>
            </w:r>
          </w:p>
        </w:tc>
      </w:tr>
      <w:tr w:rsidR="0067156B" w:rsidRPr="00BA48F1" w14:paraId="7E4B68D2" w14:textId="77777777" w:rsidTr="005E6FB1">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B2D3CD"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MIDDLEFIELD</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087416C6"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11</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689A5F5A"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6</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0548ED18"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55%</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59BC6CB0"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6</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2CA273E8"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(100.0)</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6F454832"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4FEF99DA"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35EE2B6B"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0D047EF1"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00869994"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46BE74D1"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13945CA8"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3DB35918"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246DD32C"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244B1694"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6FADEC34"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38%</w:t>
            </w:r>
          </w:p>
        </w:tc>
      </w:tr>
      <w:tr w:rsidR="0067156B" w:rsidRPr="00BA48F1" w14:paraId="6A0A5031" w14:textId="77777777" w:rsidTr="005E6FB1">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0129B7"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MIDDLETON</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7DAA1AD5"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242</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01D456EB"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175</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4A171A76"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72%</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735EF755"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174</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1D438040"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(99.4)</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419BE134"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141B6C73"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7B1C221C"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01557E11"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47D2093F"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5FB9A322"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6FB42E35"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6E5DA5CE"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19AEC819"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613F2F16"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4FFE4E2F"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64%</w:t>
            </w:r>
          </w:p>
        </w:tc>
      </w:tr>
      <w:tr w:rsidR="0067156B" w:rsidRPr="00BA48F1" w14:paraId="7D15FD57" w14:textId="77777777" w:rsidTr="0067156B">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B34FF4"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lastRenderedPageBreak/>
              <w:t>MILFORD</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020F098E"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1,223</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15EE2BC2"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716</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6D117A88"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59%</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5296A812"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688</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78BA8D55"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(96.1)</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27CCEB12"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22</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7B62C84F"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(3.1)</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17AB7670"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27EB645B"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0C75BD58"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1BED9AFC"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055F6A00"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24</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38723B2C"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(3.4)</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1154D12B"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7DE90B5A"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70656664"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61%</w:t>
            </w:r>
          </w:p>
        </w:tc>
      </w:tr>
      <w:tr w:rsidR="0067156B" w:rsidRPr="00BA48F1" w14:paraId="56D1AC2D" w14:textId="77777777" w:rsidTr="0067156B">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FA4EBEA"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MILLBURY</w:t>
            </w:r>
          </w:p>
        </w:tc>
        <w:tc>
          <w:tcPr>
            <w:tcW w:w="0" w:type="auto"/>
            <w:tcBorders>
              <w:top w:val="nil"/>
              <w:left w:val="nil"/>
              <w:bottom w:val="single" w:sz="4" w:space="0" w:color="auto"/>
              <w:right w:val="single" w:sz="4" w:space="0" w:color="auto"/>
            </w:tcBorders>
            <w:shd w:val="clear" w:color="auto" w:fill="auto"/>
            <w:noWrap/>
            <w:vAlign w:val="bottom"/>
            <w:hideMark/>
          </w:tcPr>
          <w:p w14:paraId="04FB4CD9"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441</w:t>
            </w:r>
          </w:p>
        </w:tc>
        <w:tc>
          <w:tcPr>
            <w:tcW w:w="0" w:type="auto"/>
            <w:tcBorders>
              <w:top w:val="nil"/>
              <w:left w:val="nil"/>
              <w:bottom w:val="single" w:sz="4" w:space="0" w:color="auto"/>
              <w:right w:val="single" w:sz="4" w:space="0" w:color="auto"/>
            </w:tcBorders>
            <w:shd w:val="clear" w:color="auto" w:fill="auto"/>
            <w:noWrap/>
            <w:vAlign w:val="bottom"/>
            <w:hideMark/>
          </w:tcPr>
          <w:p w14:paraId="37BFD655"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282</w:t>
            </w:r>
          </w:p>
        </w:tc>
        <w:tc>
          <w:tcPr>
            <w:tcW w:w="0" w:type="auto"/>
            <w:tcBorders>
              <w:top w:val="nil"/>
              <w:left w:val="nil"/>
              <w:bottom w:val="single" w:sz="4" w:space="0" w:color="auto"/>
              <w:right w:val="single" w:sz="4" w:space="0" w:color="auto"/>
            </w:tcBorders>
            <w:shd w:val="clear" w:color="auto" w:fill="auto"/>
            <w:noWrap/>
            <w:vAlign w:val="bottom"/>
            <w:hideMark/>
          </w:tcPr>
          <w:p w14:paraId="558E48E1"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64%</w:t>
            </w:r>
          </w:p>
        </w:tc>
        <w:tc>
          <w:tcPr>
            <w:tcW w:w="0" w:type="auto"/>
            <w:tcBorders>
              <w:top w:val="nil"/>
              <w:left w:val="nil"/>
              <w:bottom w:val="single" w:sz="4" w:space="0" w:color="auto"/>
              <w:right w:val="single" w:sz="4" w:space="0" w:color="auto"/>
            </w:tcBorders>
            <w:shd w:val="clear" w:color="auto" w:fill="auto"/>
            <w:noWrap/>
            <w:vAlign w:val="bottom"/>
            <w:hideMark/>
          </w:tcPr>
          <w:p w14:paraId="4E8EBCF3"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279</w:t>
            </w:r>
          </w:p>
        </w:tc>
        <w:tc>
          <w:tcPr>
            <w:tcW w:w="0" w:type="auto"/>
            <w:tcBorders>
              <w:top w:val="nil"/>
              <w:left w:val="nil"/>
              <w:bottom w:val="single" w:sz="4" w:space="0" w:color="auto"/>
              <w:right w:val="single" w:sz="4" w:space="0" w:color="auto"/>
            </w:tcBorders>
            <w:shd w:val="clear" w:color="auto" w:fill="auto"/>
            <w:noWrap/>
            <w:vAlign w:val="bottom"/>
            <w:hideMark/>
          </w:tcPr>
          <w:p w14:paraId="54F38E9E"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(98.9)</w:t>
            </w:r>
          </w:p>
        </w:tc>
        <w:tc>
          <w:tcPr>
            <w:tcW w:w="0" w:type="auto"/>
            <w:tcBorders>
              <w:top w:val="nil"/>
              <w:left w:val="nil"/>
              <w:bottom w:val="single" w:sz="4" w:space="0" w:color="auto"/>
              <w:right w:val="single" w:sz="4" w:space="0" w:color="auto"/>
            </w:tcBorders>
            <w:shd w:val="clear" w:color="auto" w:fill="auto"/>
            <w:noWrap/>
            <w:vAlign w:val="bottom"/>
            <w:hideMark/>
          </w:tcPr>
          <w:p w14:paraId="1EB32329"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5958949D"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364A3822"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585835CF"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4B152EA6"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06AB7817"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7B2ABF67"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31FDC356"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6F3B89E3"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5A25CCE3"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77321161"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54%</w:t>
            </w:r>
          </w:p>
        </w:tc>
      </w:tr>
      <w:tr w:rsidR="0067156B" w:rsidRPr="00BA48F1" w14:paraId="5EE4F602" w14:textId="77777777" w:rsidTr="0067156B">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4C71097"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MILLIS</w:t>
            </w:r>
          </w:p>
        </w:tc>
        <w:tc>
          <w:tcPr>
            <w:tcW w:w="0" w:type="auto"/>
            <w:tcBorders>
              <w:top w:val="nil"/>
              <w:left w:val="nil"/>
              <w:bottom w:val="single" w:sz="4" w:space="0" w:color="auto"/>
              <w:right w:val="single" w:sz="4" w:space="0" w:color="auto"/>
            </w:tcBorders>
            <w:shd w:val="clear" w:color="auto" w:fill="auto"/>
            <w:noWrap/>
            <w:vAlign w:val="bottom"/>
            <w:hideMark/>
          </w:tcPr>
          <w:p w14:paraId="23D44D52"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276</w:t>
            </w:r>
          </w:p>
        </w:tc>
        <w:tc>
          <w:tcPr>
            <w:tcW w:w="0" w:type="auto"/>
            <w:tcBorders>
              <w:top w:val="nil"/>
              <w:left w:val="nil"/>
              <w:bottom w:val="single" w:sz="4" w:space="0" w:color="auto"/>
              <w:right w:val="single" w:sz="4" w:space="0" w:color="auto"/>
            </w:tcBorders>
            <w:shd w:val="clear" w:color="auto" w:fill="auto"/>
            <w:noWrap/>
            <w:vAlign w:val="bottom"/>
            <w:hideMark/>
          </w:tcPr>
          <w:p w14:paraId="22A6FBD0"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184</w:t>
            </w:r>
          </w:p>
        </w:tc>
        <w:tc>
          <w:tcPr>
            <w:tcW w:w="0" w:type="auto"/>
            <w:tcBorders>
              <w:top w:val="nil"/>
              <w:left w:val="nil"/>
              <w:bottom w:val="single" w:sz="4" w:space="0" w:color="auto"/>
              <w:right w:val="single" w:sz="4" w:space="0" w:color="auto"/>
            </w:tcBorders>
            <w:shd w:val="clear" w:color="auto" w:fill="auto"/>
            <w:noWrap/>
            <w:vAlign w:val="bottom"/>
            <w:hideMark/>
          </w:tcPr>
          <w:p w14:paraId="7B1716CD"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67%</w:t>
            </w:r>
          </w:p>
        </w:tc>
        <w:tc>
          <w:tcPr>
            <w:tcW w:w="0" w:type="auto"/>
            <w:tcBorders>
              <w:top w:val="nil"/>
              <w:left w:val="nil"/>
              <w:bottom w:val="single" w:sz="4" w:space="0" w:color="auto"/>
              <w:right w:val="single" w:sz="4" w:space="0" w:color="auto"/>
            </w:tcBorders>
            <w:shd w:val="clear" w:color="auto" w:fill="auto"/>
            <w:noWrap/>
            <w:vAlign w:val="bottom"/>
            <w:hideMark/>
          </w:tcPr>
          <w:p w14:paraId="3FD2B82D"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183</w:t>
            </w:r>
          </w:p>
        </w:tc>
        <w:tc>
          <w:tcPr>
            <w:tcW w:w="0" w:type="auto"/>
            <w:tcBorders>
              <w:top w:val="nil"/>
              <w:left w:val="nil"/>
              <w:bottom w:val="single" w:sz="4" w:space="0" w:color="auto"/>
              <w:right w:val="single" w:sz="4" w:space="0" w:color="auto"/>
            </w:tcBorders>
            <w:shd w:val="clear" w:color="auto" w:fill="auto"/>
            <w:noWrap/>
            <w:vAlign w:val="bottom"/>
            <w:hideMark/>
          </w:tcPr>
          <w:p w14:paraId="11F05A03"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(99.5)</w:t>
            </w:r>
          </w:p>
        </w:tc>
        <w:tc>
          <w:tcPr>
            <w:tcW w:w="0" w:type="auto"/>
            <w:tcBorders>
              <w:top w:val="nil"/>
              <w:left w:val="nil"/>
              <w:bottom w:val="single" w:sz="4" w:space="0" w:color="auto"/>
              <w:right w:val="single" w:sz="4" w:space="0" w:color="auto"/>
            </w:tcBorders>
            <w:shd w:val="clear" w:color="auto" w:fill="auto"/>
            <w:noWrap/>
            <w:vAlign w:val="bottom"/>
            <w:hideMark/>
          </w:tcPr>
          <w:p w14:paraId="4CB9D964"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10D5A2EE"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6ED83084"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76CA30A9"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45B9B536"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0069AF2A"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717189DD"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2BC2D88D"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6CFA656C"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5D11D605"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104C6C57"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49%</w:t>
            </w:r>
          </w:p>
        </w:tc>
      </w:tr>
      <w:tr w:rsidR="0067156B" w:rsidRPr="00BA48F1" w14:paraId="1E64B7A6" w14:textId="77777777" w:rsidTr="0067156B">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0BE919B"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MILLVILLE</w:t>
            </w:r>
          </w:p>
        </w:tc>
        <w:tc>
          <w:tcPr>
            <w:tcW w:w="0" w:type="auto"/>
            <w:tcBorders>
              <w:top w:val="nil"/>
              <w:left w:val="nil"/>
              <w:bottom w:val="single" w:sz="4" w:space="0" w:color="auto"/>
              <w:right w:val="single" w:sz="4" w:space="0" w:color="auto"/>
            </w:tcBorders>
            <w:shd w:val="clear" w:color="auto" w:fill="auto"/>
            <w:noWrap/>
            <w:vAlign w:val="bottom"/>
            <w:hideMark/>
          </w:tcPr>
          <w:p w14:paraId="79E4A9D7"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102</w:t>
            </w:r>
          </w:p>
        </w:tc>
        <w:tc>
          <w:tcPr>
            <w:tcW w:w="0" w:type="auto"/>
            <w:tcBorders>
              <w:top w:val="nil"/>
              <w:left w:val="nil"/>
              <w:bottom w:val="single" w:sz="4" w:space="0" w:color="auto"/>
              <w:right w:val="single" w:sz="4" w:space="0" w:color="auto"/>
            </w:tcBorders>
            <w:shd w:val="clear" w:color="auto" w:fill="auto"/>
            <w:noWrap/>
            <w:vAlign w:val="bottom"/>
            <w:hideMark/>
          </w:tcPr>
          <w:p w14:paraId="5454A8B2"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41</w:t>
            </w:r>
          </w:p>
        </w:tc>
        <w:tc>
          <w:tcPr>
            <w:tcW w:w="0" w:type="auto"/>
            <w:tcBorders>
              <w:top w:val="nil"/>
              <w:left w:val="nil"/>
              <w:bottom w:val="single" w:sz="4" w:space="0" w:color="auto"/>
              <w:right w:val="single" w:sz="4" w:space="0" w:color="auto"/>
            </w:tcBorders>
            <w:shd w:val="clear" w:color="auto" w:fill="auto"/>
            <w:noWrap/>
            <w:vAlign w:val="bottom"/>
            <w:hideMark/>
          </w:tcPr>
          <w:p w14:paraId="4ED89DCA"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40%</w:t>
            </w:r>
          </w:p>
        </w:tc>
        <w:tc>
          <w:tcPr>
            <w:tcW w:w="0" w:type="auto"/>
            <w:tcBorders>
              <w:top w:val="nil"/>
              <w:left w:val="nil"/>
              <w:bottom w:val="single" w:sz="4" w:space="0" w:color="auto"/>
              <w:right w:val="single" w:sz="4" w:space="0" w:color="auto"/>
            </w:tcBorders>
            <w:shd w:val="clear" w:color="auto" w:fill="auto"/>
            <w:noWrap/>
            <w:vAlign w:val="bottom"/>
            <w:hideMark/>
          </w:tcPr>
          <w:p w14:paraId="672A2227"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39</w:t>
            </w:r>
          </w:p>
        </w:tc>
        <w:tc>
          <w:tcPr>
            <w:tcW w:w="0" w:type="auto"/>
            <w:tcBorders>
              <w:top w:val="nil"/>
              <w:left w:val="nil"/>
              <w:bottom w:val="single" w:sz="4" w:space="0" w:color="auto"/>
              <w:right w:val="single" w:sz="4" w:space="0" w:color="auto"/>
            </w:tcBorders>
            <w:shd w:val="clear" w:color="auto" w:fill="auto"/>
            <w:noWrap/>
            <w:vAlign w:val="bottom"/>
            <w:hideMark/>
          </w:tcPr>
          <w:p w14:paraId="566D0EDA"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(95.1)</w:t>
            </w:r>
          </w:p>
        </w:tc>
        <w:tc>
          <w:tcPr>
            <w:tcW w:w="0" w:type="auto"/>
            <w:tcBorders>
              <w:top w:val="nil"/>
              <w:left w:val="nil"/>
              <w:bottom w:val="single" w:sz="4" w:space="0" w:color="auto"/>
              <w:right w:val="single" w:sz="4" w:space="0" w:color="auto"/>
            </w:tcBorders>
            <w:shd w:val="clear" w:color="auto" w:fill="auto"/>
            <w:noWrap/>
            <w:vAlign w:val="bottom"/>
            <w:hideMark/>
          </w:tcPr>
          <w:p w14:paraId="30DFB57C"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11422C4B"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32A9EF58"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3C4FE25A"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5FAB794D"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50595A4F"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0EEA72A7"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533D1E00"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6AB4BBB7"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329253E4"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32A927B2"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83%</w:t>
            </w:r>
          </w:p>
        </w:tc>
      </w:tr>
      <w:tr w:rsidR="0067156B" w:rsidRPr="00BA48F1" w14:paraId="16C893D2" w14:textId="77777777" w:rsidTr="0067156B">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8E628EF"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MILTON</w:t>
            </w:r>
          </w:p>
        </w:tc>
        <w:tc>
          <w:tcPr>
            <w:tcW w:w="0" w:type="auto"/>
            <w:tcBorders>
              <w:top w:val="nil"/>
              <w:left w:val="nil"/>
              <w:bottom w:val="single" w:sz="4" w:space="0" w:color="auto"/>
              <w:right w:val="single" w:sz="4" w:space="0" w:color="auto"/>
            </w:tcBorders>
            <w:shd w:val="clear" w:color="auto" w:fill="auto"/>
            <w:noWrap/>
            <w:vAlign w:val="bottom"/>
            <w:hideMark/>
          </w:tcPr>
          <w:p w14:paraId="50BD1331"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1,001</w:t>
            </w:r>
          </w:p>
        </w:tc>
        <w:tc>
          <w:tcPr>
            <w:tcW w:w="0" w:type="auto"/>
            <w:tcBorders>
              <w:top w:val="nil"/>
              <w:left w:val="nil"/>
              <w:bottom w:val="single" w:sz="4" w:space="0" w:color="auto"/>
              <w:right w:val="single" w:sz="4" w:space="0" w:color="auto"/>
            </w:tcBorders>
            <w:shd w:val="clear" w:color="auto" w:fill="auto"/>
            <w:noWrap/>
            <w:vAlign w:val="bottom"/>
            <w:hideMark/>
          </w:tcPr>
          <w:p w14:paraId="00962BC0"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785</w:t>
            </w:r>
          </w:p>
        </w:tc>
        <w:tc>
          <w:tcPr>
            <w:tcW w:w="0" w:type="auto"/>
            <w:tcBorders>
              <w:top w:val="nil"/>
              <w:left w:val="nil"/>
              <w:bottom w:val="single" w:sz="4" w:space="0" w:color="auto"/>
              <w:right w:val="single" w:sz="4" w:space="0" w:color="auto"/>
            </w:tcBorders>
            <w:shd w:val="clear" w:color="auto" w:fill="auto"/>
            <w:noWrap/>
            <w:vAlign w:val="bottom"/>
            <w:hideMark/>
          </w:tcPr>
          <w:p w14:paraId="1C191C46"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78%</w:t>
            </w:r>
          </w:p>
        </w:tc>
        <w:tc>
          <w:tcPr>
            <w:tcW w:w="0" w:type="auto"/>
            <w:tcBorders>
              <w:top w:val="nil"/>
              <w:left w:val="nil"/>
              <w:bottom w:val="single" w:sz="4" w:space="0" w:color="auto"/>
              <w:right w:val="single" w:sz="4" w:space="0" w:color="auto"/>
            </w:tcBorders>
            <w:shd w:val="clear" w:color="auto" w:fill="auto"/>
            <w:noWrap/>
            <w:vAlign w:val="bottom"/>
            <w:hideMark/>
          </w:tcPr>
          <w:p w14:paraId="0A5E73C3"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779</w:t>
            </w:r>
          </w:p>
        </w:tc>
        <w:tc>
          <w:tcPr>
            <w:tcW w:w="0" w:type="auto"/>
            <w:tcBorders>
              <w:top w:val="nil"/>
              <w:left w:val="nil"/>
              <w:bottom w:val="single" w:sz="4" w:space="0" w:color="auto"/>
              <w:right w:val="single" w:sz="4" w:space="0" w:color="auto"/>
            </w:tcBorders>
            <w:shd w:val="clear" w:color="auto" w:fill="auto"/>
            <w:noWrap/>
            <w:vAlign w:val="bottom"/>
            <w:hideMark/>
          </w:tcPr>
          <w:p w14:paraId="648BC602"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(99.2)</w:t>
            </w:r>
          </w:p>
        </w:tc>
        <w:tc>
          <w:tcPr>
            <w:tcW w:w="0" w:type="auto"/>
            <w:tcBorders>
              <w:top w:val="nil"/>
              <w:left w:val="nil"/>
              <w:bottom w:val="single" w:sz="4" w:space="0" w:color="auto"/>
              <w:right w:val="single" w:sz="4" w:space="0" w:color="auto"/>
            </w:tcBorders>
            <w:shd w:val="clear" w:color="auto" w:fill="auto"/>
            <w:noWrap/>
            <w:vAlign w:val="bottom"/>
            <w:hideMark/>
          </w:tcPr>
          <w:p w14:paraId="61382BD4"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6</w:t>
            </w:r>
          </w:p>
        </w:tc>
        <w:tc>
          <w:tcPr>
            <w:tcW w:w="0" w:type="auto"/>
            <w:tcBorders>
              <w:top w:val="nil"/>
              <w:left w:val="nil"/>
              <w:bottom w:val="single" w:sz="4" w:space="0" w:color="auto"/>
              <w:right w:val="single" w:sz="4" w:space="0" w:color="auto"/>
            </w:tcBorders>
            <w:shd w:val="clear" w:color="auto" w:fill="auto"/>
            <w:noWrap/>
            <w:vAlign w:val="bottom"/>
            <w:hideMark/>
          </w:tcPr>
          <w:p w14:paraId="42F65828"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(0.8)</w:t>
            </w:r>
          </w:p>
        </w:tc>
        <w:tc>
          <w:tcPr>
            <w:tcW w:w="0" w:type="auto"/>
            <w:tcBorders>
              <w:top w:val="nil"/>
              <w:left w:val="nil"/>
              <w:bottom w:val="single" w:sz="4" w:space="0" w:color="auto"/>
              <w:right w:val="single" w:sz="4" w:space="0" w:color="auto"/>
            </w:tcBorders>
            <w:shd w:val="clear" w:color="auto" w:fill="auto"/>
            <w:noWrap/>
            <w:vAlign w:val="bottom"/>
            <w:hideMark/>
          </w:tcPr>
          <w:p w14:paraId="7FA0BED5"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54C5FC72"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4A72800C"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25A73603"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1ACFC8EA"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305B78D9"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4037ED61"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3C9A8631"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0F1AEB7B"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72%</w:t>
            </w:r>
          </w:p>
        </w:tc>
      </w:tr>
      <w:tr w:rsidR="0067156B" w:rsidRPr="00BA48F1" w14:paraId="29E670ED" w14:textId="77777777" w:rsidTr="0067156B">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7DB935E"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MONROE</w:t>
            </w:r>
          </w:p>
        </w:tc>
        <w:tc>
          <w:tcPr>
            <w:tcW w:w="0" w:type="auto"/>
            <w:tcBorders>
              <w:top w:val="nil"/>
              <w:left w:val="nil"/>
              <w:bottom w:val="single" w:sz="4" w:space="0" w:color="auto"/>
              <w:right w:val="single" w:sz="4" w:space="0" w:color="auto"/>
            </w:tcBorders>
            <w:shd w:val="clear" w:color="auto" w:fill="auto"/>
            <w:noWrap/>
            <w:vAlign w:val="bottom"/>
            <w:hideMark/>
          </w:tcPr>
          <w:p w14:paraId="2DB139D8"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1</w:t>
            </w:r>
          </w:p>
        </w:tc>
        <w:tc>
          <w:tcPr>
            <w:tcW w:w="0" w:type="auto"/>
            <w:tcBorders>
              <w:top w:val="nil"/>
              <w:left w:val="nil"/>
              <w:bottom w:val="single" w:sz="4" w:space="0" w:color="auto"/>
              <w:right w:val="single" w:sz="4" w:space="0" w:color="auto"/>
            </w:tcBorders>
            <w:shd w:val="clear" w:color="auto" w:fill="auto"/>
            <w:noWrap/>
            <w:vAlign w:val="bottom"/>
            <w:hideMark/>
          </w:tcPr>
          <w:p w14:paraId="0304CBE5"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1</w:t>
            </w:r>
          </w:p>
        </w:tc>
        <w:tc>
          <w:tcPr>
            <w:tcW w:w="0" w:type="auto"/>
            <w:tcBorders>
              <w:top w:val="nil"/>
              <w:left w:val="nil"/>
              <w:bottom w:val="single" w:sz="4" w:space="0" w:color="auto"/>
              <w:right w:val="single" w:sz="4" w:space="0" w:color="auto"/>
            </w:tcBorders>
            <w:shd w:val="clear" w:color="auto" w:fill="auto"/>
            <w:noWrap/>
            <w:vAlign w:val="bottom"/>
            <w:hideMark/>
          </w:tcPr>
          <w:p w14:paraId="6A0EBB0C"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100%</w:t>
            </w:r>
          </w:p>
        </w:tc>
        <w:tc>
          <w:tcPr>
            <w:tcW w:w="0" w:type="auto"/>
            <w:tcBorders>
              <w:top w:val="nil"/>
              <w:left w:val="nil"/>
              <w:bottom w:val="single" w:sz="4" w:space="0" w:color="auto"/>
              <w:right w:val="single" w:sz="4" w:space="0" w:color="auto"/>
            </w:tcBorders>
            <w:shd w:val="clear" w:color="auto" w:fill="auto"/>
            <w:noWrap/>
            <w:vAlign w:val="bottom"/>
            <w:hideMark/>
          </w:tcPr>
          <w:p w14:paraId="522AB7AB"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4BD4F2B6"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437016EB"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3E2C174E"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3C86CE53"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1AA60877"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6E9F8D8D"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7A064FA2"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5F29EBF7"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664E5525"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6625544A"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411F91A5"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73233CF5"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57%</w:t>
            </w:r>
          </w:p>
        </w:tc>
      </w:tr>
      <w:tr w:rsidR="0067156B" w:rsidRPr="00BA48F1" w14:paraId="6830B4CD" w14:textId="77777777" w:rsidTr="0067156B">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886F98F"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MONSON</w:t>
            </w:r>
          </w:p>
        </w:tc>
        <w:tc>
          <w:tcPr>
            <w:tcW w:w="0" w:type="auto"/>
            <w:tcBorders>
              <w:top w:val="nil"/>
              <w:left w:val="nil"/>
              <w:bottom w:val="single" w:sz="4" w:space="0" w:color="auto"/>
              <w:right w:val="single" w:sz="4" w:space="0" w:color="auto"/>
            </w:tcBorders>
            <w:shd w:val="clear" w:color="auto" w:fill="auto"/>
            <w:noWrap/>
            <w:vAlign w:val="bottom"/>
            <w:hideMark/>
          </w:tcPr>
          <w:p w14:paraId="3D20A509"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217</w:t>
            </w:r>
          </w:p>
        </w:tc>
        <w:tc>
          <w:tcPr>
            <w:tcW w:w="0" w:type="auto"/>
            <w:tcBorders>
              <w:top w:val="nil"/>
              <w:left w:val="nil"/>
              <w:bottom w:val="single" w:sz="4" w:space="0" w:color="auto"/>
              <w:right w:val="single" w:sz="4" w:space="0" w:color="auto"/>
            </w:tcBorders>
            <w:shd w:val="clear" w:color="auto" w:fill="auto"/>
            <w:noWrap/>
            <w:vAlign w:val="bottom"/>
            <w:hideMark/>
          </w:tcPr>
          <w:p w14:paraId="28682C0D"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114</w:t>
            </w:r>
          </w:p>
        </w:tc>
        <w:tc>
          <w:tcPr>
            <w:tcW w:w="0" w:type="auto"/>
            <w:tcBorders>
              <w:top w:val="nil"/>
              <w:left w:val="nil"/>
              <w:bottom w:val="single" w:sz="4" w:space="0" w:color="auto"/>
              <w:right w:val="single" w:sz="4" w:space="0" w:color="auto"/>
            </w:tcBorders>
            <w:shd w:val="clear" w:color="auto" w:fill="auto"/>
            <w:noWrap/>
            <w:vAlign w:val="bottom"/>
            <w:hideMark/>
          </w:tcPr>
          <w:p w14:paraId="3F6ECA23"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53%</w:t>
            </w:r>
          </w:p>
        </w:tc>
        <w:tc>
          <w:tcPr>
            <w:tcW w:w="0" w:type="auto"/>
            <w:tcBorders>
              <w:top w:val="nil"/>
              <w:left w:val="nil"/>
              <w:bottom w:val="single" w:sz="4" w:space="0" w:color="auto"/>
              <w:right w:val="single" w:sz="4" w:space="0" w:color="auto"/>
            </w:tcBorders>
            <w:shd w:val="clear" w:color="auto" w:fill="auto"/>
            <w:noWrap/>
            <w:vAlign w:val="bottom"/>
            <w:hideMark/>
          </w:tcPr>
          <w:p w14:paraId="184D6B45"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113</w:t>
            </w:r>
          </w:p>
        </w:tc>
        <w:tc>
          <w:tcPr>
            <w:tcW w:w="0" w:type="auto"/>
            <w:tcBorders>
              <w:top w:val="nil"/>
              <w:left w:val="nil"/>
              <w:bottom w:val="single" w:sz="4" w:space="0" w:color="auto"/>
              <w:right w:val="single" w:sz="4" w:space="0" w:color="auto"/>
            </w:tcBorders>
            <w:shd w:val="clear" w:color="auto" w:fill="auto"/>
            <w:noWrap/>
            <w:vAlign w:val="bottom"/>
            <w:hideMark/>
          </w:tcPr>
          <w:p w14:paraId="6D1905A3"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(99.1)</w:t>
            </w:r>
          </w:p>
        </w:tc>
        <w:tc>
          <w:tcPr>
            <w:tcW w:w="0" w:type="auto"/>
            <w:tcBorders>
              <w:top w:val="nil"/>
              <w:left w:val="nil"/>
              <w:bottom w:val="single" w:sz="4" w:space="0" w:color="auto"/>
              <w:right w:val="single" w:sz="4" w:space="0" w:color="auto"/>
            </w:tcBorders>
            <w:shd w:val="clear" w:color="auto" w:fill="auto"/>
            <w:noWrap/>
            <w:vAlign w:val="bottom"/>
            <w:hideMark/>
          </w:tcPr>
          <w:p w14:paraId="73FA3AAB"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61A9A715"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447BBF4C"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5A66AB50"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2FC6FAB3"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7F8C684F"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488AA33F"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09A58E2B"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2F4BB8C7"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06FC63C4"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1B8C15E5"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81%</w:t>
            </w:r>
          </w:p>
        </w:tc>
      </w:tr>
      <w:tr w:rsidR="0067156B" w:rsidRPr="00BA48F1" w14:paraId="2F71D68E" w14:textId="77777777" w:rsidTr="0067156B">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F9508AC"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MONTAGUE</w:t>
            </w:r>
          </w:p>
        </w:tc>
        <w:tc>
          <w:tcPr>
            <w:tcW w:w="0" w:type="auto"/>
            <w:tcBorders>
              <w:top w:val="nil"/>
              <w:left w:val="nil"/>
              <w:bottom w:val="single" w:sz="4" w:space="0" w:color="auto"/>
              <w:right w:val="single" w:sz="4" w:space="0" w:color="auto"/>
            </w:tcBorders>
            <w:shd w:val="clear" w:color="auto" w:fill="auto"/>
            <w:noWrap/>
            <w:vAlign w:val="bottom"/>
            <w:hideMark/>
          </w:tcPr>
          <w:p w14:paraId="037A6D0E"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254</w:t>
            </w:r>
          </w:p>
        </w:tc>
        <w:tc>
          <w:tcPr>
            <w:tcW w:w="0" w:type="auto"/>
            <w:tcBorders>
              <w:top w:val="nil"/>
              <w:left w:val="nil"/>
              <w:bottom w:val="single" w:sz="4" w:space="0" w:color="auto"/>
              <w:right w:val="single" w:sz="4" w:space="0" w:color="auto"/>
            </w:tcBorders>
            <w:shd w:val="clear" w:color="auto" w:fill="auto"/>
            <w:noWrap/>
            <w:vAlign w:val="bottom"/>
            <w:hideMark/>
          </w:tcPr>
          <w:p w14:paraId="0AB658E7"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102</w:t>
            </w:r>
          </w:p>
        </w:tc>
        <w:tc>
          <w:tcPr>
            <w:tcW w:w="0" w:type="auto"/>
            <w:tcBorders>
              <w:top w:val="nil"/>
              <w:left w:val="nil"/>
              <w:bottom w:val="single" w:sz="4" w:space="0" w:color="auto"/>
              <w:right w:val="single" w:sz="4" w:space="0" w:color="auto"/>
            </w:tcBorders>
            <w:shd w:val="clear" w:color="auto" w:fill="auto"/>
            <w:noWrap/>
            <w:vAlign w:val="bottom"/>
            <w:hideMark/>
          </w:tcPr>
          <w:p w14:paraId="107D4CD8"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40%</w:t>
            </w:r>
          </w:p>
        </w:tc>
        <w:tc>
          <w:tcPr>
            <w:tcW w:w="0" w:type="auto"/>
            <w:tcBorders>
              <w:top w:val="nil"/>
              <w:left w:val="nil"/>
              <w:bottom w:val="single" w:sz="4" w:space="0" w:color="auto"/>
              <w:right w:val="single" w:sz="4" w:space="0" w:color="auto"/>
            </w:tcBorders>
            <w:shd w:val="clear" w:color="auto" w:fill="auto"/>
            <w:noWrap/>
            <w:vAlign w:val="bottom"/>
            <w:hideMark/>
          </w:tcPr>
          <w:p w14:paraId="31F9B36A"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102</w:t>
            </w:r>
          </w:p>
        </w:tc>
        <w:tc>
          <w:tcPr>
            <w:tcW w:w="0" w:type="auto"/>
            <w:tcBorders>
              <w:top w:val="nil"/>
              <w:left w:val="nil"/>
              <w:bottom w:val="single" w:sz="4" w:space="0" w:color="auto"/>
              <w:right w:val="single" w:sz="4" w:space="0" w:color="auto"/>
            </w:tcBorders>
            <w:shd w:val="clear" w:color="auto" w:fill="auto"/>
            <w:noWrap/>
            <w:vAlign w:val="bottom"/>
            <w:hideMark/>
          </w:tcPr>
          <w:p w14:paraId="5364C525"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(100.0)</w:t>
            </w:r>
          </w:p>
        </w:tc>
        <w:tc>
          <w:tcPr>
            <w:tcW w:w="0" w:type="auto"/>
            <w:tcBorders>
              <w:top w:val="nil"/>
              <w:left w:val="nil"/>
              <w:bottom w:val="single" w:sz="4" w:space="0" w:color="auto"/>
              <w:right w:val="single" w:sz="4" w:space="0" w:color="auto"/>
            </w:tcBorders>
            <w:shd w:val="clear" w:color="auto" w:fill="auto"/>
            <w:noWrap/>
            <w:vAlign w:val="bottom"/>
            <w:hideMark/>
          </w:tcPr>
          <w:p w14:paraId="5BEBFBE6"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072B9022"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2D451935"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4EE4CA37"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3A2E7028"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22916FA5"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4074E0DD"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5EE3428B"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4F7CBA8B"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7F0D3D7C"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39FCB9D4"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56%</w:t>
            </w:r>
          </w:p>
        </w:tc>
      </w:tr>
      <w:tr w:rsidR="0067156B" w:rsidRPr="00BA48F1" w14:paraId="2D86BA6B" w14:textId="77777777" w:rsidTr="0067156B">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D40C593"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MONTEREY</w:t>
            </w:r>
          </w:p>
        </w:tc>
        <w:tc>
          <w:tcPr>
            <w:tcW w:w="0" w:type="auto"/>
            <w:tcBorders>
              <w:top w:val="nil"/>
              <w:left w:val="nil"/>
              <w:bottom w:val="single" w:sz="4" w:space="0" w:color="auto"/>
              <w:right w:val="single" w:sz="4" w:space="0" w:color="auto"/>
            </w:tcBorders>
            <w:shd w:val="clear" w:color="auto" w:fill="auto"/>
            <w:noWrap/>
            <w:vAlign w:val="bottom"/>
            <w:hideMark/>
          </w:tcPr>
          <w:p w14:paraId="78E876E2"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22</w:t>
            </w:r>
          </w:p>
        </w:tc>
        <w:tc>
          <w:tcPr>
            <w:tcW w:w="0" w:type="auto"/>
            <w:tcBorders>
              <w:top w:val="nil"/>
              <w:left w:val="nil"/>
              <w:bottom w:val="single" w:sz="4" w:space="0" w:color="auto"/>
              <w:right w:val="single" w:sz="4" w:space="0" w:color="auto"/>
            </w:tcBorders>
            <w:shd w:val="clear" w:color="auto" w:fill="auto"/>
            <w:noWrap/>
            <w:vAlign w:val="bottom"/>
            <w:hideMark/>
          </w:tcPr>
          <w:p w14:paraId="0925BE2E"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6</w:t>
            </w:r>
          </w:p>
        </w:tc>
        <w:tc>
          <w:tcPr>
            <w:tcW w:w="0" w:type="auto"/>
            <w:tcBorders>
              <w:top w:val="nil"/>
              <w:left w:val="nil"/>
              <w:bottom w:val="single" w:sz="4" w:space="0" w:color="auto"/>
              <w:right w:val="single" w:sz="4" w:space="0" w:color="auto"/>
            </w:tcBorders>
            <w:shd w:val="clear" w:color="auto" w:fill="auto"/>
            <w:noWrap/>
            <w:vAlign w:val="bottom"/>
            <w:hideMark/>
          </w:tcPr>
          <w:p w14:paraId="07FDAAC7"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27%</w:t>
            </w:r>
          </w:p>
        </w:tc>
        <w:tc>
          <w:tcPr>
            <w:tcW w:w="0" w:type="auto"/>
            <w:tcBorders>
              <w:top w:val="nil"/>
              <w:left w:val="nil"/>
              <w:bottom w:val="single" w:sz="4" w:space="0" w:color="auto"/>
              <w:right w:val="single" w:sz="4" w:space="0" w:color="auto"/>
            </w:tcBorders>
            <w:shd w:val="clear" w:color="auto" w:fill="auto"/>
            <w:noWrap/>
            <w:vAlign w:val="bottom"/>
            <w:hideMark/>
          </w:tcPr>
          <w:p w14:paraId="298D5362"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6</w:t>
            </w:r>
          </w:p>
        </w:tc>
        <w:tc>
          <w:tcPr>
            <w:tcW w:w="0" w:type="auto"/>
            <w:tcBorders>
              <w:top w:val="nil"/>
              <w:left w:val="nil"/>
              <w:bottom w:val="single" w:sz="4" w:space="0" w:color="auto"/>
              <w:right w:val="single" w:sz="4" w:space="0" w:color="auto"/>
            </w:tcBorders>
            <w:shd w:val="clear" w:color="auto" w:fill="auto"/>
            <w:noWrap/>
            <w:vAlign w:val="bottom"/>
            <w:hideMark/>
          </w:tcPr>
          <w:p w14:paraId="2DC4AE32"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(100.0)</w:t>
            </w:r>
          </w:p>
        </w:tc>
        <w:tc>
          <w:tcPr>
            <w:tcW w:w="0" w:type="auto"/>
            <w:tcBorders>
              <w:top w:val="nil"/>
              <w:left w:val="nil"/>
              <w:bottom w:val="single" w:sz="4" w:space="0" w:color="auto"/>
              <w:right w:val="single" w:sz="4" w:space="0" w:color="auto"/>
            </w:tcBorders>
            <w:shd w:val="clear" w:color="auto" w:fill="auto"/>
            <w:noWrap/>
            <w:vAlign w:val="bottom"/>
            <w:hideMark/>
          </w:tcPr>
          <w:p w14:paraId="6D5B749A"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689519E0"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3B0E8FCD"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38AF74C1"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3E1EDC51"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40F6DEDA"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59D0195A"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1F696877"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29D95DBF"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12EE2AED"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55F184F6"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54%</w:t>
            </w:r>
          </w:p>
        </w:tc>
      </w:tr>
      <w:tr w:rsidR="0067156B" w:rsidRPr="00BA48F1" w14:paraId="075B2F36" w14:textId="77777777" w:rsidTr="0067156B">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4AA67AD"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MONTGOMERY</w:t>
            </w:r>
          </w:p>
        </w:tc>
        <w:tc>
          <w:tcPr>
            <w:tcW w:w="0" w:type="auto"/>
            <w:tcBorders>
              <w:top w:val="nil"/>
              <w:left w:val="nil"/>
              <w:bottom w:val="single" w:sz="4" w:space="0" w:color="auto"/>
              <w:right w:val="single" w:sz="4" w:space="0" w:color="auto"/>
            </w:tcBorders>
            <w:shd w:val="clear" w:color="auto" w:fill="auto"/>
            <w:noWrap/>
            <w:vAlign w:val="bottom"/>
            <w:hideMark/>
          </w:tcPr>
          <w:p w14:paraId="3858124B"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26</w:t>
            </w:r>
          </w:p>
        </w:tc>
        <w:tc>
          <w:tcPr>
            <w:tcW w:w="0" w:type="auto"/>
            <w:tcBorders>
              <w:top w:val="nil"/>
              <w:left w:val="nil"/>
              <w:bottom w:val="single" w:sz="4" w:space="0" w:color="auto"/>
              <w:right w:val="single" w:sz="4" w:space="0" w:color="auto"/>
            </w:tcBorders>
            <w:shd w:val="clear" w:color="auto" w:fill="auto"/>
            <w:noWrap/>
            <w:vAlign w:val="bottom"/>
            <w:hideMark/>
          </w:tcPr>
          <w:p w14:paraId="25C294CC"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14</w:t>
            </w:r>
          </w:p>
        </w:tc>
        <w:tc>
          <w:tcPr>
            <w:tcW w:w="0" w:type="auto"/>
            <w:tcBorders>
              <w:top w:val="nil"/>
              <w:left w:val="nil"/>
              <w:bottom w:val="single" w:sz="4" w:space="0" w:color="auto"/>
              <w:right w:val="single" w:sz="4" w:space="0" w:color="auto"/>
            </w:tcBorders>
            <w:shd w:val="clear" w:color="auto" w:fill="auto"/>
            <w:noWrap/>
            <w:vAlign w:val="bottom"/>
            <w:hideMark/>
          </w:tcPr>
          <w:p w14:paraId="34D32FE0"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54%</w:t>
            </w:r>
          </w:p>
        </w:tc>
        <w:tc>
          <w:tcPr>
            <w:tcW w:w="0" w:type="auto"/>
            <w:tcBorders>
              <w:top w:val="nil"/>
              <w:left w:val="nil"/>
              <w:bottom w:val="single" w:sz="4" w:space="0" w:color="auto"/>
              <w:right w:val="single" w:sz="4" w:space="0" w:color="auto"/>
            </w:tcBorders>
            <w:shd w:val="clear" w:color="auto" w:fill="auto"/>
            <w:noWrap/>
            <w:vAlign w:val="bottom"/>
            <w:hideMark/>
          </w:tcPr>
          <w:p w14:paraId="24E06F15"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13</w:t>
            </w:r>
          </w:p>
        </w:tc>
        <w:tc>
          <w:tcPr>
            <w:tcW w:w="0" w:type="auto"/>
            <w:tcBorders>
              <w:top w:val="nil"/>
              <w:left w:val="nil"/>
              <w:bottom w:val="single" w:sz="4" w:space="0" w:color="auto"/>
              <w:right w:val="single" w:sz="4" w:space="0" w:color="auto"/>
            </w:tcBorders>
            <w:shd w:val="clear" w:color="auto" w:fill="auto"/>
            <w:noWrap/>
            <w:vAlign w:val="bottom"/>
            <w:hideMark/>
          </w:tcPr>
          <w:p w14:paraId="51122FC7"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(92.9)</w:t>
            </w:r>
          </w:p>
        </w:tc>
        <w:tc>
          <w:tcPr>
            <w:tcW w:w="0" w:type="auto"/>
            <w:tcBorders>
              <w:top w:val="nil"/>
              <w:left w:val="nil"/>
              <w:bottom w:val="single" w:sz="4" w:space="0" w:color="auto"/>
              <w:right w:val="single" w:sz="4" w:space="0" w:color="auto"/>
            </w:tcBorders>
            <w:shd w:val="clear" w:color="auto" w:fill="auto"/>
            <w:noWrap/>
            <w:vAlign w:val="bottom"/>
            <w:hideMark/>
          </w:tcPr>
          <w:p w14:paraId="41BFB325"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724861B6"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5DD98A10"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7D9266E5"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74824C49"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45B57857"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5DD68A21"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0A7DFCBE"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1E55B5F4"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59321C91"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727ED917"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62%</w:t>
            </w:r>
          </w:p>
        </w:tc>
      </w:tr>
      <w:tr w:rsidR="0067156B" w:rsidRPr="00BA48F1" w14:paraId="760181C7" w14:textId="77777777" w:rsidTr="0067156B">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02ED4CD"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MOUNT WASHINGTON</w:t>
            </w:r>
          </w:p>
        </w:tc>
        <w:tc>
          <w:tcPr>
            <w:tcW w:w="0" w:type="auto"/>
            <w:tcBorders>
              <w:top w:val="nil"/>
              <w:left w:val="nil"/>
              <w:bottom w:val="single" w:sz="4" w:space="0" w:color="auto"/>
              <w:right w:val="single" w:sz="4" w:space="0" w:color="auto"/>
            </w:tcBorders>
            <w:shd w:val="clear" w:color="auto" w:fill="auto"/>
            <w:noWrap/>
            <w:vAlign w:val="bottom"/>
            <w:hideMark/>
          </w:tcPr>
          <w:p w14:paraId="2FA6A06E"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2</w:t>
            </w:r>
          </w:p>
        </w:tc>
        <w:tc>
          <w:tcPr>
            <w:tcW w:w="0" w:type="auto"/>
            <w:tcBorders>
              <w:top w:val="nil"/>
              <w:left w:val="nil"/>
              <w:bottom w:val="single" w:sz="4" w:space="0" w:color="auto"/>
              <w:right w:val="single" w:sz="4" w:space="0" w:color="auto"/>
            </w:tcBorders>
            <w:shd w:val="clear" w:color="auto" w:fill="auto"/>
            <w:noWrap/>
            <w:vAlign w:val="bottom"/>
            <w:hideMark/>
          </w:tcPr>
          <w:p w14:paraId="26655B47"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4</w:t>
            </w:r>
          </w:p>
        </w:tc>
        <w:tc>
          <w:tcPr>
            <w:tcW w:w="0" w:type="auto"/>
            <w:tcBorders>
              <w:top w:val="nil"/>
              <w:left w:val="nil"/>
              <w:bottom w:val="single" w:sz="4" w:space="0" w:color="auto"/>
              <w:right w:val="single" w:sz="4" w:space="0" w:color="auto"/>
            </w:tcBorders>
            <w:shd w:val="clear" w:color="auto" w:fill="auto"/>
            <w:noWrap/>
            <w:vAlign w:val="bottom"/>
            <w:hideMark/>
          </w:tcPr>
          <w:p w14:paraId="196B78EE"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&gt;99%</w:t>
            </w:r>
          </w:p>
        </w:tc>
        <w:tc>
          <w:tcPr>
            <w:tcW w:w="0" w:type="auto"/>
            <w:tcBorders>
              <w:top w:val="nil"/>
              <w:left w:val="nil"/>
              <w:bottom w:val="single" w:sz="4" w:space="0" w:color="auto"/>
              <w:right w:val="single" w:sz="4" w:space="0" w:color="auto"/>
            </w:tcBorders>
            <w:shd w:val="clear" w:color="auto" w:fill="auto"/>
            <w:noWrap/>
            <w:vAlign w:val="bottom"/>
            <w:hideMark/>
          </w:tcPr>
          <w:p w14:paraId="4B0AF689"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7EA0C8D2"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7945256F"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6CBA0AFB"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38444289"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2DB94548"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37A3A7E2"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1C6C62F1"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051C893A"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32C92919"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6A3A724E"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5F400C73"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372A8A1E"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86%</w:t>
            </w:r>
          </w:p>
        </w:tc>
      </w:tr>
      <w:tr w:rsidR="0067156B" w:rsidRPr="00BA48F1" w14:paraId="4D62A39E" w14:textId="77777777" w:rsidTr="0067156B">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2DCAA2D"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NAHANT</w:t>
            </w:r>
          </w:p>
        </w:tc>
        <w:tc>
          <w:tcPr>
            <w:tcW w:w="0" w:type="auto"/>
            <w:tcBorders>
              <w:top w:val="nil"/>
              <w:left w:val="nil"/>
              <w:bottom w:val="single" w:sz="4" w:space="0" w:color="auto"/>
              <w:right w:val="single" w:sz="4" w:space="0" w:color="auto"/>
            </w:tcBorders>
            <w:shd w:val="clear" w:color="auto" w:fill="auto"/>
            <w:noWrap/>
            <w:vAlign w:val="bottom"/>
            <w:hideMark/>
          </w:tcPr>
          <w:p w14:paraId="567955FD"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54</w:t>
            </w:r>
          </w:p>
        </w:tc>
        <w:tc>
          <w:tcPr>
            <w:tcW w:w="0" w:type="auto"/>
            <w:tcBorders>
              <w:top w:val="nil"/>
              <w:left w:val="nil"/>
              <w:bottom w:val="single" w:sz="4" w:space="0" w:color="auto"/>
              <w:right w:val="single" w:sz="4" w:space="0" w:color="auto"/>
            </w:tcBorders>
            <w:shd w:val="clear" w:color="auto" w:fill="auto"/>
            <w:noWrap/>
            <w:vAlign w:val="bottom"/>
            <w:hideMark/>
          </w:tcPr>
          <w:p w14:paraId="07E4BC5B"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57</w:t>
            </w:r>
          </w:p>
        </w:tc>
        <w:tc>
          <w:tcPr>
            <w:tcW w:w="0" w:type="auto"/>
            <w:tcBorders>
              <w:top w:val="nil"/>
              <w:left w:val="nil"/>
              <w:bottom w:val="single" w:sz="4" w:space="0" w:color="auto"/>
              <w:right w:val="single" w:sz="4" w:space="0" w:color="auto"/>
            </w:tcBorders>
            <w:shd w:val="clear" w:color="auto" w:fill="auto"/>
            <w:noWrap/>
            <w:vAlign w:val="bottom"/>
            <w:hideMark/>
          </w:tcPr>
          <w:p w14:paraId="6D1AA2AF"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&gt;99%</w:t>
            </w:r>
          </w:p>
        </w:tc>
        <w:tc>
          <w:tcPr>
            <w:tcW w:w="0" w:type="auto"/>
            <w:tcBorders>
              <w:top w:val="nil"/>
              <w:left w:val="nil"/>
              <w:bottom w:val="single" w:sz="4" w:space="0" w:color="auto"/>
              <w:right w:val="single" w:sz="4" w:space="0" w:color="auto"/>
            </w:tcBorders>
            <w:shd w:val="clear" w:color="auto" w:fill="auto"/>
            <w:noWrap/>
            <w:vAlign w:val="bottom"/>
            <w:hideMark/>
          </w:tcPr>
          <w:p w14:paraId="31DFF32F"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55</w:t>
            </w:r>
          </w:p>
        </w:tc>
        <w:tc>
          <w:tcPr>
            <w:tcW w:w="0" w:type="auto"/>
            <w:tcBorders>
              <w:top w:val="nil"/>
              <w:left w:val="nil"/>
              <w:bottom w:val="single" w:sz="4" w:space="0" w:color="auto"/>
              <w:right w:val="single" w:sz="4" w:space="0" w:color="auto"/>
            </w:tcBorders>
            <w:shd w:val="clear" w:color="auto" w:fill="auto"/>
            <w:noWrap/>
            <w:vAlign w:val="bottom"/>
            <w:hideMark/>
          </w:tcPr>
          <w:p w14:paraId="77812338"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(96.5)</w:t>
            </w:r>
          </w:p>
        </w:tc>
        <w:tc>
          <w:tcPr>
            <w:tcW w:w="0" w:type="auto"/>
            <w:tcBorders>
              <w:top w:val="nil"/>
              <w:left w:val="nil"/>
              <w:bottom w:val="single" w:sz="4" w:space="0" w:color="auto"/>
              <w:right w:val="single" w:sz="4" w:space="0" w:color="auto"/>
            </w:tcBorders>
            <w:shd w:val="clear" w:color="auto" w:fill="auto"/>
            <w:noWrap/>
            <w:vAlign w:val="bottom"/>
            <w:hideMark/>
          </w:tcPr>
          <w:p w14:paraId="303110AF"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6559CE6E"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41514F64"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675F8BB6"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577FC3E5"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5B8B0EEB"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00C82857"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19C0325A"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7D5868A1"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43B2EE33"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4268E694"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37%</w:t>
            </w:r>
          </w:p>
        </w:tc>
      </w:tr>
      <w:tr w:rsidR="0067156B" w:rsidRPr="00BA48F1" w14:paraId="56CBF399" w14:textId="77777777" w:rsidTr="0067156B">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C2BB4CC"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NANTUCKET</w:t>
            </w:r>
          </w:p>
        </w:tc>
        <w:tc>
          <w:tcPr>
            <w:tcW w:w="0" w:type="auto"/>
            <w:tcBorders>
              <w:top w:val="nil"/>
              <w:left w:val="nil"/>
              <w:bottom w:val="single" w:sz="4" w:space="0" w:color="auto"/>
              <w:right w:val="single" w:sz="4" w:space="0" w:color="auto"/>
            </w:tcBorders>
            <w:shd w:val="clear" w:color="auto" w:fill="auto"/>
            <w:noWrap/>
            <w:vAlign w:val="bottom"/>
            <w:hideMark/>
          </w:tcPr>
          <w:p w14:paraId="13C3CC21"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514</w:t>
            </w:r>
          </w:p>
        </w:tc>
        <w:tc>
          <w:tcPr>
            <w:tcW w:w="0" w:type="auto"/>
            <w:tcBorders>
              <w:top w:val="nil"/>
              <w:left w:val="nil"/>
              <w:bottom w:val="single" w:sz="4" w:space="0" w:color="auto"/>
              <w:right w:val="single" w:sz="4" w:space="0" w:color="auto"/>
            </w:tcBorders>
            <w:shd w:val="clear" w:color="auto" w:fill="auto"/>
            <w:noWrap/>
            <w:vAlign w:val="bottom"/>
            <w:hideMark/>
          </w:tcPr>
          <w:p w14:paraId="597AD58B"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217</w:t>
            </w:r>
          </w:p>
        </w:tc>
        <w:tc>
          <w:tcPr>
            <w:tcW w:w="0" w:type="auto"/>
            <w:tcBorders>
              <w:top w:val="nil"/>
              <w:left w:val="nil"/>
              <w:bottom w:val="single" w:sz="4" w:space="0" w:color="auto"/>
              <w:right w:val="single" w:sz="4" w:space="0" w:color="auto"/>
            </w:tcBorders>
            <w:shd w:val="clear" w:color="auto" w:fill="auto"/>
            <w:noWrap/>
            <w:vAlign w:val="bottom"/>
            <w:hideMark/>
          </w:tcPr>
          <w:p w14:paraId="585F213E"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42%</w:t>
            </w:r>
          </w:p>
        </w:tc>
        <w:tc>
          <w:tcPr>
            <w:tcW w:w="0" w:type="auto"/>
            <w:tcBorders>
              <w:top w:val="nil"/>
              <w:left w:val="nil"/>
              <w:bottom w:val="single" w:sz="4" w:space="0" w:color="auto"/>
              <w:right w:val="single" w:sz="4" w:space="0" w:color="auto"/>
            </w:tcBorders>
            <w:shd w:val="clear" w:color="auto" w:fill="auto"/>
            <w:noWrap/>
            <w:vAlign w:val="bottom"/>
            <w:hideMark/>
          </w:tcPr>
          <w:p w14:paraId="548B2901"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208</w:t>
            </w:r>
          </w:p>
        </w:tc>
        <w:tc>
          <w:tcPr>
            <w:tcW w:w="0" w:type="auto"/>
            <w:tcBorders>
              <w:top w:val="nil"/>
              <w:left w:val="nil"/>
              <w:bottom w:val="single" w:sz="4" w:space="0" w:color="auto"/>
              <w:right w:val="single" w:sz="4" w:space="0" w:color="auto"/>
            </w:tcBorders>
            <w:shd w:val="clear" w:color="auto" w:fill="auto"/>
            <w:noWrap/>
            <w:vAlign w:val="bottom"/>
            <w:hideMark/>
          </w:tcPr>
          <w:p w14:paraId="79B0F143"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(95.9)</w:t>
            </w:r>
          </w:p>
        </w:tc>
        <w:tc>
          <w:tcPr>
            <w:tcW w:w="0" w:type="auto"/>
            <w:tcBorders>
              <w:top w:val="nil"/>
              <w:left w:val="nil"/>
              <w:bottom w:val="single" w:sz="4" w:space="0" w:color="auto"/>
              <w:right w:val="single" w:sz="4" w:space="0" w:color="auto"/>
            </w:tcBorders>
            <w:shd w:val="clear" w:color="auto" w:fill="auto"/>
            <w:noWrap/>
            <w:vAlign w:val="bottom"/>
            <w:hideMark/>
          </w:tcPr>
          <w:p w14:paraId="142498BE"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8</w:t>
            </w:r>
          </w:p>
        </w:tc>
        <w:tc>
          <w:tcPr>
            <w:tcW w:w="0" w:type="auto"/>
            <w:tcBorders>
              <w:top w:val="nil"/>
              <w:left w:val="nil"/>
              <w:bottom w:val="single" w:sz="4" w:space="0" w:color="auto"/>
              <w:right w:val="single" w:sz="4" w:space="0" w:color="auto"/>
            </w:tcBorders>
            <w:shd w:val="clear" w:color="auto" w:fill="auto"/>
            <w:noWrap/>
            <w:vAlign w:val="bottom"/>
            <w:hideMark/>
          </w:tcPr>
          <w:p w14:paraId="5B047F2C"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(3.7)</w:t>
            </w:r>
          </w:p>
        </w:tc>
        <w:tc>
          <w:tcPr>
            <w:tcW w:w="0" w:type="auto"/>
            <w:tcBorders>
              <w:top w:val="nil"/>
              <w:left w:val="nil"/>
              <w:bottom w:val="single" w:sz="4" w:space="0" w:color="auto"/>
              <w:right w:val="single" w:sz="4" w:space="0" w:color="auto"/>
            </w:tcBorders>
            <w:shd w:val="clear" w:color="auto" w:fill="auto"/>
            <w:noWrap/>
            <w:vAlign w:val="bottom"/>
            <w:hideMark/>
          </w:tcPr>
          <w:p w14:paraId="568FA621"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5FE53673"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7766BA48"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3B055A90"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57700A45"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0046EF9B"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3C62CE6C"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3595D928"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50B8A62D"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63%</w:t>
            </w:r>
          </w:p>
        </w:tc>
      </w:tr>
      <w:tr w:rsidR="0067156B" w:rsidRPr="00BA48F1" w14:paraId="44DF3A4E" w14:textId="77777777" w:rsidTr="0067156B">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94D19F5"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NATICK</w:t>
            </w:r>
          </w:p>
        </w:tc>
        <w:tc>
          <w:tcPr>
            <w:tcW w:w="0" w:type="auto"/>
            <w:tcBorders>
              <w:top w:val="nil"/>
              <w:left w:val="nil"/>
              <w:bottom w:val="single" w:sz="4" w:space="0" w:color="auto"/>
              <w:right w:val="single" w:sz="4" w:space="0" w:color="auto"/>
            </w:tcBorders>
            <w:shd w:val="clear" w:color="auto" w:fill="auto"/>
            <w:noWrap/>
            <w:vAlign w:val="bottom"/>
            <w:hideMark/>
          </w:tcPr>
          <w:p w14:paraId="4DE9C2FD"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1,432</w:t>
            </w:r>
          </w:p>
        </w:tc>
        <w:tc>
          <w:tcPr>
            <w:tcW w:w="0" w:type="auto"/>
            <w:tcBorders>
              <w:top w:val="nil"/>
              <w:left w:val="nil"/>
              <w:bottom w:val="single" w:sz="4" w:space="0" w:color="auto"/>
              <w:right w:val="single" w:sz="4" w:space="0" w:color="auto"/>
            </w:tcBorders>
            <w:shd w:val="clear" w:color="auto" w:fill="auto"/>
            <w:noWrap/>
            <w:vAlign w:val="bottom"/>
            <w:hideMark/>
          </w:tcPr>
          <w:p w14:paraId="1BEA4ED6"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968</w:t>
            </w:r>
          </w:p>
        </w:tc>
        <w:tc>
          <w:tcPr>
            <w:tcW w:w="0" w:type="auto"/>
            <w:tcBorders>
              <w:top w:val="nil"/>
              <w:left w:val="nil"/>
              <w:bottom w:val="single" w:sz="4" w:space="0" w:color="auto"/>
              <w:right w:val="single" w:sz="4" w:space="0" w:color="auto"/>
            </w:tcBorders>
            <w:shd w:val="clear" w:color="auto" w:fill="auto"/>
            <w:noWrap/>
            <w:vAlign w:val="bottom"/>
            <w:hideMark/>
          </w:tcPr>
          <w:p w14:paraId="06DF22F0"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68%</w:t>
            </w:r>
          </w:p>
        </w:tc>
        <w:tc>
          <w:tcPr>
            <w:tcW w:w="0" w:type="auto"/>
            <w:tcBorders>
              <w:top w:val="nil"/>
              <w:left w:val="nil"/>
              <w:bottom w:val="single" w:sz="4" w:space="0" w:color="auto"/>
              <w:right w:val="single" w:sz="4" w:space="0" w:color="auto"/>
            </w:tcBorders>
            <w:shd w:val="clear" w:color="auto" w:fill="auto"/>
            <w:noWrap/>
            <w:vAlign w:val="bottom"/>
            <w:hideMark/>
          </w:tcPr>
          <w:p w14:paraId="394C17B2"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958</w:t>
            </w:r>
          </w:p>
        </w:tc>
        <w:tc>
          <w:tcPr>
            <w:tcW w:w="0" w:type="auto"/>
            <w:tcBorders>
              <w:top w:val="nil"/>
              <w:left w:val="nil"/>
              <w:bottom w:val="single" w:sz="4" w:space="0" w:color="auto"/>
              <w:right w:val="single" w:sz="4" w:space="0" w:color="auto"/>
            </w:tcBorders>
            <w:shd w:val="clear" w:color="auto" w:fill="auto"/>
            <w:noWrap/>
            <w:vAlign w:val="bottom"/>
            <w:hideMark/>
          </w:tcPr>
          <w:p w14:paraId="3735DE95"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(99.0)</w:t>
            </w:r>
          </w:p>
        </w:tc>
        <w:tc>
          <w:tcPr>
            <w:tcW w:w="0" w:type="auto"/>
            <w:tcBorders>
              <w:top w:val="nil"/>
              <w:left w:val="nil"/>
              <w:bottom w:val="single" w:sz="4" w:space="0" w:color="auto"/>
              <w:right w:val="single" w:sz="4" w:space="0" w:color="auto"/>
            </w:tcBorders>
            <w:shd w:val="clear" w:color="auto" w:fill="auto"/>
            <w:noWrap/>
            <w:vAlign w:val="bottom"/>
            <w:hideMark/>
          </w:tcPr>
          <w:p w14:paraId="28A8C895"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9</w:t>
            </w:r>
          </w:p>
        </w:tc>
        <w:tc>
          <w:tcPr>
            <w:tcW w:w="0" w:type="auto"/>
            <w:tcBorders>
              <w:top w:val="nil"/>
              <w:left w:val="nil"/>
              <w:bottom w:val="single" w:sz="4" w:space="0" w:color="auto"/>
              <w:right w:val="single" w:sz="4" w:space="0" w:color="auto"/>
            </w:tcBorders>
            <w:shd w:val="clear" w:color="auto" w:fill="auto"/>
            <w:noWrap/>
            <w:vAlign w:val="bottom"/>
            <w:hideMark/>
          </w:tcPr>
          <w:p w14:paraId="6E23B66C"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(0.9)</w:t>
            </w:r>
          </w:p>
        </w:tc>
        <w:tc>
          <w:tcPr>
            <w:tcW w:w="0" w:type="auto"/>
            <w:tcBorders>
              <w:top w:val="nil"/>
              <w:left w:val="nil"/>
              <w:bottom w:val="single" w:sz="4" w:space="0" w:color="auto"/>
              <w:right w:val="single" w:sz="4" w:space="0" w:color="auto"/>
            </w:tcBorders>
            <w:shd w:val="clear" w:color="auto" w:fill="auto"/>
            <w:noWrap/>
            <w:vAlign w:val="bottom"/>
            <w:hideMark/>
          </w:tcPr>
          <w:p w14:paraId="6B1A3336"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672B80B2"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0AF52407"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7973E194"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6DA1DE14"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7</w:t>
            </w:r>
          </w:p>
        </w:tc>
        <w:tc>
          <w:tcPr>
            <w:tcW w:w="0" w:type="auto"/>
            <w:tcBorders>
              <w:top w:val="nil"/>
              <w:left w:val="nil"/>
              <w:bottom w:val="single" w:sz="4" w:space="0" w:color="auto"/>
              <w:right w:val="single" w:sz="4" w:space="0" w:color="auto"/>
            </w:tcBorders>
            <w:shd w:val="clear" w:color="auto" w:fill="auto"/>
            <w:noWrap/>
            <w:vAlign w:val="bottom"/>
            <w:hideMark/>
          </w:tcPr>
          <w:p w14:paraId="75D19415"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(0.7)</w:t>
            </w:r>
          </w:p>
        </w:tc>
        <w:tc>
          <w:tcPr>
            <w:tcW w:w="0" w:type="auto"/>
            <w:tcBorders>
              <w:top w:val="nil"/>
              <w:left w:val="nil"/>
              <w:bottom w:val="single" w:sz="4" w:space="0" w:color="auto"/>
              <w:right w:val="single" w:sz="4" w:space="0" w:color="auto"/>
            </w:tcBorders>
            <w:shd w:val="clear" w:color="auto" w:fill="auto"/>
            <w:noWrap/>
            <w:vAlign w:val="bottom"/>
            <w:hideMark/>
          </w:tcPr>
          <w:p w14:paraId="042ADC59"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7B53F967"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5F93D1A9"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68%</w:t>
            </w:r>
          </w:p>
        </w:tc>
      </w:tr>
      <w:tr w:rsidR="0067156B" w:rsidRPr="00BA48F1" w14:paraId="39808931" w14:textId="77777777" w:rsidTr="0067156B">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2CC8A1E"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NEEDHAM</w:t>
            </w:r>
          </w:p>
        </w:tc>
        <w:tc>
          <w:tcPr>
            <w:tcW w:w="0" w:type="auto"/>
            <w:tcBorders>
              <w:top w:val="nil"/>
              <w:left w:val="nil"/>
              <w:bottom w:val="single" w:sz="4" w:space="0" w:color="auto"/>
              <w:right w:val="single" w:sz="4" w:space="0" w:color="auto"/>
            </w:tcBorders>
            <w:shd w:val="clear" w:color="auto" w:fill="auto"/>
            <w:noWrap/>
            <w:vAlign w:val="bottom"/>
            <w:hideMark/>
          </w:tcPr>
          <w:p w14:paraId="3BDB7B30"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1,102</w:t>
            </w:r>
          </w:p>
        </w:tc>
        <w:tc>
          <w:tcPr>
            <w:tcW w:w="0" w:type="auto"/>
            <w:tcBorders>
              <w:top w:val="nil"/>
              <w:left w:val="nil"/>
              <w:bottom w:val="single" w:sz="4" w:space="0" w:color="auto"/>
              <w:right w:val="single" w:sz="4" w:space="0" w:color="auto"/>
            </w:tcBorders>
            <w:shd w:val="clear" w:color="auto" w:fill="auto"/>
            <w:noWrap/>
            <w:vAlign w:val="bottom"/>
            <w:hideMark/>
          </w:tcPr>
          <w:p w14:paraId="6E11B58E"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844</w:t>
            </w:r>
          </w:p>
        </w:tc>
        <w:tc>
          <w:tcPr>
            <w:tcW w:w="0" w:type="auto"/>
            <w:tcBorders>
              <w:top w:val="nil"/>
              <w:left w:val="nil"/>
              <w:bottom w:val="single" w:sz="4" w:space="0" w:color="auto"/>
              <w:right w:val="single" w:sz="4" w:space="0" w:color="auto"/>
            </w:tcBorders>
            <w:shd w:val="clear" w:color="auto" w:fill="auto"/>
            <w:noWrap/>
            <w:vAlign w:val="bottom"/>
            <w:hideMark/>
          </w:tcPr>
          <w:p w14:paraId="386EEF9D"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77%</w:t>
            </w:r>
          </w:p>
        </w:tc>
        <w:tc>
          <w:tcPr>
            <w:tcW w:w="0" w:type="auto"/>
            <w:tcBorders>
              <w:top w:val="nil"/>
              <w:left w:val="nil"/>
              <w:bottom w:val="single" w:sz="4" w:space="0" w:color="auto"/>
              <w:right w:val="single" w:sz="4" w:space="0" w:color="auto"/>
            </w:tcBorders>
            <w:shd w:val="clear" w:color="auto" w:fill="auto"/>
            <w:noWrap/>
            <w:vAlign w:val="bottom"/>
            <w:hideMark/>
          </w:tcPr>
          <w:p w14:paraId="12EB2A96"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841</w:t>
            </w:r>
          </w:p>
        </w:tc>
        <w:tc>
          <w:tcPr>
            <w:tcW w:w="0" w:type="auto"/>
            <w:tcBorders>
              <w:top w:val="nil"/>
              <w:left w:val="nil"/>
              <w:bottom w:val="single" w:sz="4" w:space="0" w:color="auto"/>
              <w:right w:val="single" w:sz="4" w:space="0" w:color="auto"/>
            </w:tcBorders>
            <w:shd w:val="clear" w:color="auto" w:fill="auto"/>
            <w:noWrap/>
            <w:vAlign w:val="bottom"/>
            <w:hideMark/>
          </w:tcPr>
          <w:p w14:paraId="62CD7A15"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(99.6)</w:t>
            </w:r>
          </w:p>
        </w:tc>
        <w:tc>
          <w:tcPr>
            <w:tcW w:w="0" w:type="auto"/>
            <w:tcBorders>
              <w:top w:val="nil"/>
              <w:left w:val="nil"/>
              <w:bottom w:val="single" w:sz="4" w:space="0" w:color="auto"/>
              <w:right w:val="single" w:sz="4" w:space="0" w:color="auto"/>
            </w:tcBorders>
            <w:shd w:val="clear" w:color="auto" w:fill="auto"/>
            <w:noWrap/>
            <w:vAlign w:val="bottom"/>
            <w:hideMark/>
          </w:tcPr>
          <w:p w14:paraId="7FD15D4E"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1DF565D6"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6A5076D1"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2BEB12FC"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744405F7"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70A5CC50"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239C155F"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35EC9E2D"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517CF4D2"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41C8F946"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560FDC3A"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75%</w:t>
            </w:r>
          </w:p>
        </w:tc>
      </w:tr>
      <w:tr w:rsidR="0067156B" w:rsidRPr="00BA48F1" w14:paraId="3DE12E62" w14:textId="77777777" w:rsidTr="0067156B">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31BFAC4"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NEW ASHFORD</w:t>
            </w:r>
          </w:p>
        </w:tc>
        <w:tc>
          <w:tcPr>
            <w:tcW w:w="0" w:type="auto"/>
            <w:tcBorders>
              <w:top w:val="nil"/>
              <w:left w:val="nil"/>
              <w:bottom w:val="single" w:sz="4" w:space="0" w:color="auto"/>
              <w:right w:val="single" w:sz="4" w:space="0" w:color="auto"/>
            </w:tcBorders>
            <w:shd w:val="clear" w:color="auto" w:fill="auto"/>
            <w:noWrap/>
            <w:vAlign w:val="bottom"/>
            <w:hideMark/>
          </w:tcPr>
          <w:p w14:paraId="336FDC23"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3</w:t>
            </w:r>
          </w:p>
        </w:tc>
        <w:tc>
          <w:tcPr>
            <w:tcW w:w="0" w:type="auto"/>
            <w:tcBorders>
              <w:top w:val="nil"/>
              <w:left w:val="nil"/>
              <w:bottom w:val="single" w:sz="4" w:space="0" w:color="auto"/>
              <w:right w:val="single" w:sz="4" w:space="0" w:color="auto"/>
            </w:tcBorders>
            <w:shd w:val="clear" w:color="auto" w:fill="auto"/>
            <w:noWrap/>
            <w:vAlign w:val="bottom"/>
            <w:hideMark/>
          </w:tcPr>
          <w:p w14:paraId="655D07A0"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1</w:t>
            </w:r>
          </w:p>
        </w:tc>
        <w:tc>
          <w:tcPr>
            <w:tcW w:w="0" w:type="auto"/>
            <w:tcBorders>
              <w:top w:val="nil"/>
              <w:left w:val="nil"/>
              <w:bottom w:val="single" w:sz="4" w:space="0" w:color="auto"/>
              <w:right w:val="single" w:sz="4" w:space="0" w:color="auto"/>
            </w:tcBorders>
            <w:shd w:val="clear" w:color="auto" w:fill="auto"/>
            <w:noWrap/>
            <w:vAlign w:val="bottom"/>
            <w:hideMark/>
          </w:tcPr>
          <w:p w14:paraId="3CFA67F5"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33%</w:t>
            </w:r>
          </w:p>
        </w:tc>
        <w:tc>
          <w:tcPr>
            <w:tcW w:w="0" w:type="auto"/>
            <w:tcBorders>
              <w:top w:val="nil"/>
              <w:left w:val="nil"/>
              <w:bottom w:val="single" w:sz="4" w:space="0" w:color="auto"/>
              <w:right w:val="single" w:sz="4" w:space="0" w:color="auto"/>
            </w:tcBorders>
            <w:shd w:val="clear" w:color="auto" w:fill="auto"/>
            <w:noWrap/>
            <w:vAlign w:val="bottom"/>
            <w:hideMark/>
          </w:tcPr>
          <w:p w14:paraId="6D72EBE1"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6CD01AAF"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069CA6D6"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42B90B93"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4FFDEA35"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5B0ECAFE"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618E6703"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2F12B7C8"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7C213763"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2156D8F6"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1BCE22EC"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4E1E6B22"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0000E86C"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85%</w:t>
            </w:r>
          </w:p>
        </w:tc>
      </w:tr>
      <w:tr w:rsidR="0067156B" w:rsidRPr="00BA48F1" w14:paraId="7A26EA3B" w14:textId="77777777" w:rsidTr="0067156B">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2BD3375"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NEW BEDFORD</w:t>
            </w:r>
          </w:p>
        </w:tc>
        <w:tc>
          <w:tcPr>
            <w:tcW w:w="0" w:type="auto"/>
            <w:tcBorders>
              <w:top w:val="nil"/>
              <w:left w:val="nil"/>
              <w:bottom w:val="single" w:sz="4" w:space="0" w:color="auto"/>
              <w:right w:val="single" w:sz="4" w:space="0" w:color="auto"/>
            </w:tcBorders>
            <w:shd w:val="clear" w:color="auto" w:fill="auto"/>
            <w:noWrap/>
            <w:vAlign w:val="bottom"/>
            <w:hideMark/>
          </w:tcPr>
          <w:p w14:paraId="2F6BC634"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4,479</w:t>
            </w:r>
          </w:p>
        </w:tc>
        <w:tc>
          <w:tcPr>
            <w:tcW w:w="0" w:type="auto"/>
            <w:tcBorders>
              <w:top w:val="nil"/>
              <w:left w:val="nil"/>
              <w:bottom w:val="single" w:sz="4" w:space="0" w:color="auto"/>
              <w:right w:val="single" w:sz="4" w:space="0" w:color="auto"/>
            </w:tcBorders>
            <w:shd w:val="clear" w:color="auto" w:fill="auto"/>
            <w:noWrap/>
            <w:vAlign w:val="bottom"/>
            <w:hideMark/>
          </w:tcPr>
          <w:p w14:paraId="549F834C"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3,268</w:t>
            </w:r>
          </w:p>
        </w:tc>
        <w:tc>
          <w:tcPr>
            <w:tcW w:w="0" w:type="auto"/>
            <w:tcBorders>
              <w:top w:val="nil"/>
              <w:left w:val="nil"/>
              <w:bottom w:val="single" w:sz="4" w:space="0" w:color="auto"/>
              <w:right w:val="single" w:sz="4" w:space="0" w:color="auto"/>
            </w:tcBorders>
            <w:shd w:val="clear" w:color="auto" w:fill="auto"/>
            <w:noWrap/>
            <w:vAlign w:val="bottom"/>
            <w:hideMark/>
          </w:tcPr>
          <w:p w14:paraId="067CD341"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73%</w:t>
            </w:r>
          </w:p>
        </w:tc>
        <w:tc>
          <w:tcPr>
            <w:tcW w:w="0" w:type="auto"/>
            <w:tcBorders>
              <w:top w:val="nil"/>
              <w:left w:val="nil"/>
              <w:bottom w:val="single" w:sz="4" w:space="0" w:color="auto"/>
              <w:right w:val="single" w:sz="4" w:space="0" w:color="auto"/>
            </w:tcBorders>
            <w:shd w:val="clear" w:color="auto" w:fill="auto"/>
            <w:noWrap/>
            <w:vAlign w:val="bottom"/>
            <w:hideMark/>
          </w:tcPr>
          <w:p w14:paraId="7DC11384"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3,101</w:t>
            </w:r>
          </w:p>
        </w:tc>
        <w:tc>
          <w:tcPr>
            <w:tcW w:w="0" w:type="auto"/>
            <w:tcBorders>
              <w:top w:val="nil"/>
              <w:left w:val="nil"/>
              <w:bottom w:val="single" w:sz="4" w:space="0" w:color="auto"/>
              <w:right w:val="single" w:sz="4" w:space="0" w:color="auto"/>
            </w:tcBorders>
            <w:shd w:val="clear" w:color="auto" w:fill="auto"/>
            <w:noWrap/>
            <w:vAlign w:val="bottom"/>
            <w:hideMark/>
          </w:tcPr>
          <w:p w14:paraId="7316A3EA"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(94.9)</w:t>
            </w:r>
          </w:p>
        </w:tc>
        <w:tc>
          <w:tcPr>
            <w:tcW w:w="0" w:type="auto"/>
            <w:tcBorders>
              <w:top w:val="nil"/>
              <w:left w:val="nil"/>
              <w:bottom w:val="single" w:sz="4" w:space="0" w:color="auto"/>
              <w:right w:val="single" w:sz="4" w:space="0" w:color="auto"/>
            </w:tcBorders>
            <w:shd w:val="clear" w:color="auto" w:fill="auto"/>
            <w:noWrap/>
            <w:vAlign w:val="bottom"/>
            <w:hideMark/>
          </w:tcPr>
          <w:p w14:paraId="469B36AD"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128</w:t>
            </w:r>
          </w:p>
        </w:tc>
        <w:tc>
          <w:tcPr>
            <w:tcW w:w="0" w:type="auto"/>
            <w:tcBorders>
              <w:top w:val="nil"/>
              <w:left w:val="nil"/>
              <w:bottom w:val="single" w:sz="4" w:space="0" w:color="auto"/>
              <w:right w:val="single" w:sz="4" w:space="0" w:color="auto"/>
            </w:tcBorders>
            <w:shd w:val="clear" w:color="auto" w:fill="auto"/>
            <w:noWrap/>
            <w:vAlign w:val="bottom"/>
            <w:hideMark/>
          </w:tcPr>
          <w:p w14:paraId="4B8D6FA0"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(3.9)</w:t>
            </w:r>
          </w:p>
        </w:tc>
        <w:tc>
          <w:tcPr>
            <w:tcW w:w="0" w:type="auto"/>
            <w:tcBorders>
              <w:top w:val="nil"/>
              <w:left w:val="nil"/>
              <w:bottom w:val="single" w:sz="4" w:space="0" w:color="auto"/>
              <w:right w:val="single" w:sz="4" w:space="0" w:color="auto"/>
            </w:tcBorders>
            <w:shd w:val="clear" w:color="auto" w:fill="auto"/>
            <w:noWrap/>
            <w:vAlign w:val="bottom"/>
            <w:hideMark/>
          </w:tcPr>
          <w:p w14:paraId="0C0032BB"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35</w:t>
            </w:r>
          </w:p>
        </w:tc>
        <w:tc>
          <w:tcPr>
            <w:tcW w:w="0" w:type="auto"/>
            <w:tcBorders>
              <w:top w:val="nil"/>
              <w:left w:val="nil"/>
              <w:bottom w:val="single" w:sz="4" w:space="0" w:color="auto"/>
              <w:right w:val="single" w:sz="4" w:space="0" w:color="auto"/>
            </w:tcBorders>
            <w:shd w:val="clear" w:color="auto" w:fill="auto"/>
            <w:noWrap/>
            <w:vAlign w:val="bottom"/>
            <w:hideMark/>
          </w:tcPr>
          <w:p w14:paraId="7EA6EF18"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(1.1)</w:t>
            </w:r>
          </w:p>
        </w:tc>
        <w:tc>
          <w:tcPr>
            <w:tcW w:w="0" w:type="auto"/>
            <w:tcBorders>
              <w:top w:val="nil"/>
              <w:left w:val="nil"/>
              <w:bottom w:val="single" w:sz="4" w:space="0" w:color="auto"/>
              <w:right w:val="single" w:sz="4" w:space="0" w:color="auto"/>
            </w:tcBorders>
            <w:shd w:val="clear" w:color="auto" w:fill="auto"/>
            <w:noWrap/>
            <w:vAlign w:val="bottom"/>
            <w:hideMark/>
          </w:tcPr>
          <w:p w14:paraId="652F70A4"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4</w:t>
            </w:r>
          </w:p>
        </w:tc>
        <w:tc>
          <w:tcPr>
            <w:tcW w:w="0" w:type="auto"/>
            <w:tcBorders>
              <w:top w:val="nil"/>
              <w:left w:val="nil"/>
              <w:bottom w:val="single" w:sz="4" w:space="0" w:color="auto"/>
              <w:right w:val="single" w:sz="4" w:space="0" w:color="auto"/>
            </w:tcBorders>
            <w:shd w:val="clear" w:color="auto" w:fill="auto"/>
            <w:noWrap/>
            <w:vAlign w:val="bottom"/>
            <w:hideMark/>
          </w:tcPr>
          <w:p w14:paraId="68012668"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(0.1)</w:t>
            </w:r>
          </w:p>
        </w:tc>
        <w:tc>
          <w:tcPr>
            <w:tcW w:w="0" w:type="auto"/>
            <w:tcBorders>
              <w:top w:val="nil"/>
              <w:left w:val="nil"/>
              <w:bottom w:val="single" w:sz="4" w:space="0" w:color="auto"/>
              <w:right w:val="single" w:sz="4" w:space="0" w:color="auto"/>
            </w:tcBorders>
            <w:shd w:val="clear" w:color="auto" w:fill="auto"/>
            <w:noWrap/>
            <w:vAlign w:val="bottom"/>
            <w:hideMark/>
          </w:tcPr>
          <w:p w14:paraId="0F2B5407"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132</w:t>
            </w:r>
          </w:p>
        </w:tc>
        <w:tc>
          <w:tcPr>
            <w:tcW w:w="0" w:type="auto"/>
            <w:tcBorders>
              <w:top w:val="nil"/>
              <w:left w:val="nil"/>
              <w:bottom w:val="single" w:sz="4" w:space="0" w:color="auto"/>
              <w:right w:val="single" w:sz="4" w:space="0" w:color="auto"/>
            </w:tcBorders>
            <w:shd w:val="clear" w:color="auto" w:fill="auto"/>
            <w:noWrap/>
            <w:vAlign w:val="bottom"/>
            <w:hideMark/>
          </w:tcPr>
          <w:p w14:paraId="0C4347C5"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(4.0)</w:t>
            </w:r>
          </w:p>
        </w:tc>
        <w:tc>
          <w:tcPr>
            <w:tcW w:w="0" w:type="auto"/>
            <w:tcBorders>
              <w:top w:val="nil"/>
              <w:left w:val="nil"/>
              <w:bottom w:val="single" w:sz="4" w:space="0" w:color="auto"/>
              <w:right w:val="single" w:sz="4" w:space="0" w:color="auto"/>
            </w:tcBorders>
            <w:shd w:val="clear" w:color="auto" w:fill="auto"/>
            <w:noWrap/>
            <w:vAlign w:val="bottom"/>
            <w:hideMark/>
          </w:tcPr>
          <w:p w14:paraId="0C24FF07"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36</w:t>
            </w:r>
          </w:p>
        </w:tc>
        <w:tc>
          <w:tcPr>
            <w:tcW w:w="0" w:type="auto"/>
            <w:tcBorders>
              <w:top w:val="nil"/>
              <w:left w:val="nil"/>
              <w:bottom w:val="single" w:sz="4" w:space="0" w:color="auto"/>
              <w:right w:val="single" w:sz="4" w:space="0" w:color="auto"/>
            </w:tcBorders>
            <w:shd w:val="clear" w:color="auto" w:fill="auto"/>
            <w:noWrap/>
            <w:vAlign w:val="bottom"/>
            <w:hideMark/>
          </w:tcPr>
          <w:p w14:paraId="02585456"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(1.1)</w:t>
            </w:r>
          </w:p>
        </w:tc>
        <w:tc>
          <w:tcPr>
            <w:tcW w:w="0" w:type="auto"/>
            <w:tcBorders>
              <w:top w:val="nil"/>
              <w:left w:val="nil"/>
              <w:bottom w:val="single" w:sz="4" w:space="0" w:color="auto"/>
              <w:right w:val="single" w:sz="4" w:space="0" w:color="auto"/>
            </w:tcBorders>
            <w:shd w:val="clear" w:color="auto" w:fill="auto"/>
            <w:noWrap/>
            <w:vAlign w:val="bottom"/>
            <w:hideMark/>
          </w:tcPr>
          <w:p w14:paraId="11A821D7"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46%</w:t>
            </w:r>
          </w:p>
        </w:tc>
      </w:tr>
      <w:tr w:rsidR="0067156B" w:rsidRPr="00BA48F1" w14:paraId="66D3A90E" w14:textId="77777777" w:rsidTr="0067156B">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1F4C1F5"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NEW BRAINTREE</w:t>
            </w:r>
          </w:p>
        </w:tc>
        <w:tc>
          <w:tcPr>
            <w:tcW w:w="0" w:type="auto"/>
            <w:tcBorders>
              <w:top w:val="nil"/>
              <w:left w:val="nil"/>
              <w:bottom w:val="single" w:sz="4" w:space="0" w:color="auto"/>
              <w:right w:val="single" w:sz="4" w:space="0" w:color="auto"/>
            </w:tcBorders>
            <w:shd w:val="clear" w:color="auto" w:fill="auto"/>
            <w:noWrap/>
            <w:vAlign w:val="bottom"/>
            <w:hideMark/>
          </w:tcPr>
          <w:p w14:paraId="65C1BCD4"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27</w:t>
            </w:r>
          </w:p>
        </w:tc>
        <w:tc>
          <w:tcPr>
            <w:tcW w:w="0" w:type="auto"/>
            <w:tcBorders>
              <w:top w:val="nil"/>
              <w:left w:val="nil"/>
              <w:bottom w:val="single" w:sz="4" w:space="0" w:color="auto"/>
              <w:right w:val="single" w:sz="4" w:space="0" w:color="auto"/>
            </w:tcBorders>
            <w:shd w:val="clear" w:color="auto" w:fill="auto"/>
            <w:noWrap/>
            <w:vAlign w:val="bottom"/>
            <w:hideMark/>
          </w:tcPr>
          <w:p w14:paraId="5475EF46"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14</w:t>
            </w:r>
          </w:p>
        </w:tc>
        <w:tc>
          <w:tcPr>
            <w:tcW w:w="0" w:type="auto"/>
            <w:tcBorders>
              <w:top w:val="nil"/>
              <w:left w:val="nil"/>
              <w:bottom w:val="single" w:sz="4" w:space="0" w:color="auto"/>
              <w:right w:val="single" w:sz="4" w:space="0" w:color="auto"/>
            </w:tcBorders>
            <w:shd w:val="clear" w:color="auto" w:fill="auto"/>
            <w:noWrap/>
            <w:vAlign w:val="bottom"/>
            <w:hideMark/>
          </w:tcPr>
          <w:p w14:paraId="4B693D9A"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52%</w:t>
            </w:r>
          </w:p>
        </w:tc>
        <w:tc>
          <w:tcPr>
            <w:tcW w:w="0" w:type="auto"/>
            <w:tcBorders>
              <w:top w:val="nil"/>
              <w:left w:val="nil"/>
              <w:bottom w:val="single" w:sz="4" w:space="0" w:color="auto"/>
              <w:right w:val="single" w:sz="4" w:space="0" w:color="auto"/>
            </w:tcBorders>
            <w:shd w:val="clear" w:color="auto" w:fill="auto"/>
            <w:noWrap/>
            <w:vAlign w:val="bottom"/>
            <w:hideMark/>
          </w:tcPr>
          <w:p w14:paraId="1F6D0960"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14</w:t>
            </w:r>
          </w:p>
        </w:tc>
        <w:tc>
          <w:tcPr>
            <w:tcW w:w="0" w:type="auto"/>
            <w:tcBorders>
              <w:top w:val="nil"/>
              <w:left w:val="nil"/>
              <w:bottom w:val="single" w:sz="4" w:space="0" w:color="auto"/>
              <w:right w:val="single" w:sz="4" w:space="0" w:color="auto"/>
            </w:tcBorders>
            <w:shd w:val="clear" w:color="auto" w:fill="auto"/>
            <w:noWrap/>
            <w:vAlign w:val="bottom"/>
            <w:hideMark/>
          </w:tcPr>
          <w:p w14:paraId="350D65D7"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(100.0)</w:t>
            </w:r>
          </w:p>
        </w:tc>
        <w:tc>
          <w:tcPr>
            <w:tcW w:w="0" w:type="auto"/>
            <w:tcBorders>
              <w:top w:val="nil"/>
              <w:left w:val="nil"/>
              <w:bottom w:val="single" w:sz="4" w:space="0" w:color="auto"/>
              <w:right w:val="single" w:sz="4" w:space="0" w:color="auto"/>
            </w:tcBorders>
            <w:shd w:val="clear" w:color="auto" w:fill="auto"/>
            <w:noWrap/>
            <w:vAlign w:val="bottom"/>
            <w:hideMark/>
          </w:tcPr>
          <w:p w14:paraId="5E08CB43"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126AA13C"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1FB830BF"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7832E0D5"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52E8363A"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317529CF"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76D1C2C3"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6829A780"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210BD2A9"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5D9D6C38"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7B4D7D7A"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64%</w:t>
            </w:r>
          </w:p>
        </w:tc>
      </w:tr>
      <w:tr w:rsidR="0067156B" w:rsidRPr="00BA48F1" w14:paraId="07B85838" w14:textId="77777777" w:rsidTr="0067156B">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109621D"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NEW MARLBOROUGH</w:t>
            </w:r>
          </w:p>
        </w:tc>
        <w:tc>
          <w:tcPr>
            <w:tcW w:w="0" w:type="auto"/>
            <w:tcBorders>
              <w:top w:val="nil"/>
              <w:left w:val="nil"/>
              <w:bottom w:val="single" w:sz="4" w:space="0" w:color="auto"/>
              <w:right w:val="single" w:sz="4" w:space="0" w:color="auto"/>
            </w:tcBorders>
            <w:shd w:val="clear" w:color="auto" w:fill="auto"/>
            <w:noWrap/>
            <w:vAlign w:val="bottom"/>
            <w:hideMark/>
          </w:tcPr>
          <w:p w14:paraId="4005DF2E"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27</w:t>
            </w:r>
          </w:p>
        </w:tc>
        <w:tc>
          <w:tcPr>
            <w:tcW w:w="0" w:type="auto"/>
            <w:tcBorders>
              <w:top w:val="nil"/>
              <w:left w:val="nil"/>
              <w:bottom w:val="single" w:sz="4" w:space="0" w:color="auto"/>
              <w:right w:val="single" w:sz="4" w:space="0" w:color="auto"/>
            </w:tcBorders>
            <w:shd w:val="clear" w:color="auto" w:fill="auto"/>
            <w:noWrap/>
            <w:vAlign w:val="bottom"/>
            <w:hideMark/>
          </w:tcPr>
          <w:p w14:paraId="3C4FD016"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13</w:t>
            </w:r>
          </w:p>
        </w:tc>
        <w:tc>
          <w:tcPr>
            <w:tcW w:w="0" w:type="auto"/>
            <w:tcBorders>
              <w:top w:val="nil"/>
              <w:left w:val="nil"/>
              <w:bottom w:val="single" w:sz="4" w:space="0" w:color="auto"/>
              <w:right w:val="single" w:sz="4" w:space="0" w:color="auto"/>
            </w:tcBorders>
            <w:shd w:val="clear" w:color="auto" w:fill="auto"/>
            <w:noWrap/>
            <w:vAlign w:val="bottom"/>
            <w:hideMark/>
          </w:tcPr>
          <w:p w14:paraId="5CEEB6CE"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48%</w:t>
            </w:r>
          </w:p>
        </w:tc>
        <w:tc>
          <w:tcPr>
            <w:tcW w:w="0" w:type="auto"/>
            <w:tcBorders>
              <w:top w:val="nil"/>
              <w:left w:val="nil"/>
              <w:bottom w:val="single" w:sz="4" w:space="0" w:color="auto"/>
              <w:right w:val="single" w:sz="4" w:space="0" w:color="auto"/>
            </w:tcBorders>
            <w:shd w:val="clear" w:color="auto" w:fill="auto"/>
            <w:noWrap/>
            <w:vAlign w:val="bottom"/>
            <w:hideMark/>
          </w:tcPr>
          <w:p w14:paraId="4CE7DC5E"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12</w:t>
            </w:r>
          </w:p>
        </w:tc>
        <w:tc>
          <w:tcPr>
            <w:tcW w:w="0" w:type="auto"/>
            <w:tcBorders>
              <w:top w:val="nil"/>
              <w:left w:val="nil"/>
              <w:bottom w:val="single" w:sz="4" w:space="0" w:color="auto"/>
              <w:right w:val="single" w:sz="4" w:space="0" w:color="auto"/>
            </w:tcBorders>
            <w:shd w:val="clear" w:color="auto" w:fill="auto"/>
            <w:noWrap/>
            <w:vAlign w:val="bottom"/>
            <w:hideMark/>
          </w:tcPr>
          <w:p w14:paraId="75FDF2B0"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(92.3)</w:t>
            </w:r>
          </w:p>
        </w:tc>
        <w:tc>
          <w:tcPr>
            <w:tcW w:w="0" w:type="auto"/>
            <w:tcBorders>
              <w:top w:val="nil"/>
              <w:left w:val="nil"/>
              <w:bottom w:val="single" w:sz="4" w:space="0" w:color="auto"/>
              <w:right w:val="single" w:sz="4" w:space="0" w:color="auto"/>
            </w:tcBorders>
            <w:shd w:val="clear" w:color="auto" w:fill="auto"/>
            <w:noWrap/>
            <w:vAlign w:val="bottom"/>
            <w:hideMark/>
          </w:tcPr>
          <w:p w14:paraId="2A544366"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7DAA6476"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0CDCFCDB"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14DD05F3"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7E39EB14"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0EFC5A20"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021A3AD8"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4350334E"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76CD1213"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343B5279"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62D7B144"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59%</w:t>
            </w:r>
          </w:p>
        </w:tc>
      </w:tr>
      <w:tr w:rsidR="0067156B" w:rsidRPr="00BA48F1" w14:paraId="028D8E48" w14:textId="77777777" w:rsidTr="0067156B">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61D2001"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NEW SALEM</w:t>
            </w:r>
          </w:p>
        </w:tc>
        <w:tc>
          <w:tcPr>
            <w:tcW w:w="0" w:type="auto"/>
            <w:tcBorders>
              <w:top w:val="nil"/>
              <w:left w:val="nil"/>
              <w:bottom w:val="single" w:sz="4" w:space="0" w:color="auto"/>
              <w:right w:val="single" w:sz="4" w:space="0" w:color="auto"/>
            </w:tcBorders>
            <w:shd w:val="clear" w:color="auto" w:fill="auto"/>
            <w:noWrap/>
            <w:vAlign w:val="bottom"/>
            <w:hideMark/>
          </w:tcPr>
          <w:p w14:paraId="6661A106"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23</w:t>
            </w:r>
          </w:p>
        </w:tc>
        <w:tc>
          <w:tcPr>
            <w:tcW w:w="0" w:type="auto"/>
            <w:tcBorders>
              <w:top w:val="nil"/>
              <w:left w:val="nil"/>
              <w:bottom w:val="single" w:sz="4" w:space="0" w:color="auto"/>
              <w:right w:val="single" w:sz="4" w:space="0" w:color="auto"/>
            </w:tcBorders>
            <w:shd w:val="clear" w:color="auto" w:fill="auto"/>
            <w:noWrap/>
            <w:vAlign w:val="bottom"/>
            <w:hideMark/>
          </w:tcPr>
          <w:p w14:paraId="4A6B5B24"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9</w:t>
            </w:r>
          </w:p>
        </w:tc>
        <w:tc>
          <w:tcPr>
            <w:tcW w:w="0" w:type="auto"/>
            <w:tcBorders>
              <w:top w:val="nil"/>
              <w:left w:val="nil"/>
              <w:bottom w:val="single" w:sz="4" w:space="0" w:color="auto"/>
              <w:right w:val="single" w:sz="4" w:space="0" w:color="auto"/>
            </w:tcBorders>
            <w:shd w:val="clear" w:color="auto" w:fill="auto"/>
            <w:noWrap/>
            <w:vAlign w:val="bottom"/>
            <w:hideMark/>
          </w:tcPr>
          <w:p w14:paraId="13944681"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39%</w:t>
            </w:r>
          </w:p>
        </w:tc>
        <w:tc>
          <w:tcPr>
            <w:tcW w:w="0" w:type="auto"/>
            <w:tcBorders>
              <w:top w:val="nil"/>
              <w:left w:val="nil"/>
              <w:bottom w:val="single" w:sz="4" w:space="0" w:color="auto"/>
              <w:right w:val="single" w:sz="4" w:space="0" w:color="auto"/>
            </w:tcBorders>
            <w:shd w:val="clear" w:color="auto" w:fill="auto"/>
            <w:noWrap/>
            <w:vAlign w:val="bottom"/>
            <w:hideMark/>
          </w:tcPr>
          <w:p w14:paraId="3A616ED9"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8</w:t>
            </w:r>
          </w:p>
        </w:tc>
        <w:tc>
          <w:tcPr>
            <w:tcW w:w="0" w:type="auto"/>
            <w:tcBorders>
              <w:top w:val="nil"/>
              <w:left w:val="nil"/>
              <w:bottom w:val="single" w:sz="4" w:space="0" w:color="auto"/>
              <w:right w:val="single" w:sz="4" w:space="0" w:color="auto"/>
            </w:tcBorders>
            <w:shd w:val="clear" w:color="auto" w:fill="auto"/>
            <w:noWrap/>
            <w:vAlign w:val="bottom"/>
            <w:hideMark/>
          </w:tcPr>
          <w:p w14:paraId="46E64636"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(88.9)</w:t>
            </w:r>
          </w:p>
        </w:tc>
        <w:tc>
          <w:tcPr>
            <w:tcW w:w="0" w:type="auto"/>
            <w:tcBorders>
              <w:top w:val="nil"/>
              <w:left w:val="nil"/>
              <w:bottom w:val="single" w:sz="4" w:space="0" w:color="auto"/>
              <w:right w:val="single" w:sz="4" w:space="0" w:color="auto"/>
            </w:tcBorders>
            <w:shd w:val="clear" w:color="auto" w:fill="auto"/>
            <w:noWrap/>
            <w:vAlign w:val="bottom"/>
            <w:hideMark/>
          </w:tcPr>
          <w:p w14:paraId="0B20551F"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726E2F05"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080ECBD4"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3AAE44FB"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4A99172B"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6E1A991F"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0D712590"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48BABCFC"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3EF0E7D0"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3AF9EF5A"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216032E7"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60%</w:t>
            </w:r>
          </w:p>
        </w:tc>
      </w:tr>
      <w:tr w:rsidR="0067156B" w:rsidRPr="00BA48F1" w14:paraId="17CD8208" w14:textId="77777777" w:rsidTr="0067156B">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B9802C7"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NEWBURY</w:t>
            </w:r>
          </w:p>
        </w:tc>
        <w:tc>
          <w:tcPr>
            <w:tcW w:w="0" w:type="auto"/>
            <w:tcBorders>
              <w:top w:val="nil"/>
              <w:left w:val="nil"/>
              <w:bottom w:val="single" w:sz="4" w:space="0" w:color="auto"/>
              <w:right w:val="single" w:sz="4" w:space="0" w:color="auto"/>
            </w:tcBorders>
            <w:shd w:val="clear" w:color="auto" w:fill="auto"/>
            <w:noWrap/>
            <w:vAlign w:val="bottom"/>
            <w:hideMark/>
          </w:tcPr>
          <w:p w14:paraId="61AF3C9F"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193</w:t>
            </w:r>
          </w:p>
        </w:tc>
        <w:tc>
          <w:tcPr>
            <w:tcW w:w="0" w:type="auto"/>
            <w:tcBorders>
              <w:top w:val="nil"/>
              <w:left w:val="nil"/>
              <w:bottom w:val="single" w:sz="4" w:space="0" w:color="auto"/>
              <w:right w:val="single" w:sz="4" w:space="0" w:color="auto"/>
            </w:tcBorders>
            <w:shd w:val="clear" w:color="auto" w:fill="auto"/>
            <w:noWrap/>
            <w:vAlign w:val="bottom"/>
            <w:hideMark/>
          </w:tcPr>
          <w:p w14:paraId="1AB596AB"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125</w:t>
            </w:r>
          </w:p>
        </w:tc>
        <w:tc>
          <w:tcPr>
            <w:tcW w:w="0" w:type="auto"/>
            <w:tcBorders>
              <w:top w:val="nil"/>
              <w:left w:val="nil"/>
              <w:bottom w:val="single" w:sz="4" w:space="0" w:color="auto"/>
              <w:right w:val="single" w:sz="4" w:space="0" w:color="auto"/>
            </w:tcBorders>
            <w:shd w:val="clear" w:color="auto" w:fill="auto"/>
            <w:noWrap/>
            <w:vAlign w:val="bottom"/>
            <w:hideMark/>
          </w:tcPr>
          <w:p w14:paraId="4361CC6D"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65%</w:t>
            </w:r>
          </w:p>
        </w:tc>
        <w:tc>
          <w:tcPr>
            <w:tcW w:w="0" w:type="auto"/>
            <w:tcBorders>
              <w:top w:val="nil"/>
              <w:left w:val="nil"/>
              <w:bottom w:val="single" w:sz="4" w:space="0" w:color="auto"/>
              <w:right w:val="single" w:sz="4" w:space="0" w:color="auto"/>
            </w:tcBorders>
            <w:shd w:val="clear" w:color="auto" w:fill="auto"/>
            <w:noWrap/>
            <w:vAlign w:val="bottom"/>
            <w:hideMark/>
          </w:tcPr>
          <w:p w14:paraId="19EC552E"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122</w:t>
            </w:r>
          </w:p>
        </w:tc>
        <w:tc>
          <w:tcPr>
            <w:tcW w:w="0" w:type="auto"/>
            <w:tcBorders>
              <w:top w:val="nil"/>
              <w:left w:val="nil"/>
              <w:bottom w:val="single" w:sz="4" w:space="0" w:color="auto"/>
              <w:right w:val="single" w:sz="4" w:space="0" w:color="auto"/>
            </w:tcBorders>
            <w:shd w:val="clear" w:color="auto" w:fill="auto"/>
            <w:noWrap/>
            <w:vAlign w:val="bottom"/>
            <w:hideMark/>
          </w:tcPr>
          <w:p w14:paraId="1A8C888D"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(97.6)</w:t>
            </w:r>
          </w:p>
        </w:tc>
        <w:tc>
          <w:tcPr>
            <w:tcW w:w="0" w:type="auto"/>
            <w:tcBorders>
              <w:top w:val="nil"/>
              <w:left w:val="nil"/>
              <w:bottom w:val="single" w:sz="4" w:space="0" w:color="auto"/>
              <w:right w:val="single" w:sz="4" w:space="0" w:color="auto"/>
            </w:tcBorders>
            <w:shd w:val="clear" w:color="auto" w:fill="auto"/>
            <w:noWrap/>
            <w:vAlign w:val="bottom"/>
            <w:hideMark/>
          </w:tcPr>
          <w:p w14:paraId="1C5F3D9A"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0CCAEF27"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6045531A"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5E920587"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22EAFA44"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2B8FBD99"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44696794"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1AB7802B"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0CBCBE93"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3FE7D5C9"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3C014554"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74%</w:t>
            </w:r>
          </w:p>
        </w:tc>
      </w:tr>
      <w:tr w:rsidR="0067156B" w:rsidRPr="00BA48F1" w14:paraId="4A92C9BB" w14:textId="77777777" w:rsidTr="0067156B">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2023091"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NEWBURYPORT</w:t>
            </w:r>
          </w:p>
        </w:tc>
        <w:tc>
          <w:tcPr>
            <w:tcW w:w="0" w:type="auto"/>
            <w:tcBorders>
              <w:top w:val="nil"/>
              <w:left w:val="nil"/>
              <w:bottom w:val="single" w:sz="4" w:space="0" w:color="auto"/>
              <w:right w:val="single" w:sz="4" w:space="0" w:color="auto"/>
            </w:tcBorders>
            <w:shd w:val="clear" w:color="auto" w:fill="auto"/>
            <w:noWrap/>
            <w:vAlign w:val="bottom"/>
            <w:hideMark/>
          </w:tcPr>
          <w:p w14:paraId="690E0556"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492</w:t>
            </w:r>
          </w:p>
        </w:tc>
        <w:tc>
          <w:tcPr>
            <w:tcW w:w="0" w:type="auto"/>
            <w:tcBorders>
              <w:top w:val="nil"/>
              <w:left w:val="nil"/>
              <w:bottom w:val="single" w:sz="4" w:space="0" w:color="auto"/>
              <w:right w:val="single" w:sz="4" w:space="0" w:color="auto"/>
            </w:tcBorders>
            <w:shd w:val="clear" w:color="auto" w:fill="auto"/>
            <w:noWrap/>
            <w:vAlign w:val="bottom"/>
            <w:hideMark/>
          </w:tcPr>
          <w:p w14:paraId="59EFAC33"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310</w:t>
            </w:r>
          </w:p>
        </w:tc>
        <w:tc>
          <w:tcPr>
            <w:tcW w:w="0" w:type="auto"/>
            <w:tcBorders>
              <w:top w:val="nil"/>
              <w:left w:val="nil"/>
              <w:bottom w:val="single" w:sz="4" w:space="0" w:color="auto"/>
              <w:right w:val="single" w:sz="4" w:space="0" w:color="auto"/>
            </w:tcBorders>
            <w:shd w:val="clear" w:color="auto" w:fill="auto"/>
            <w:noWrap/>
            <w:vAlign w:val="bottom"/>
            <w:hideMark/>
          </w:tcPr>
          <w:p w14:paraId="5AAE194F"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63%</w:t>
            </w:r>
          </w:p>
        </w:tc>
        <w:tc>
          <w:tcPr>
            <w:tcW w:w="0" w:type="auto"/>
            <w:tcBorders>
              <w:top w:val="nil"/>
              <w:left w:val="nil"/>
              <w:bottom w:val="single" w:sz="4" w:space="0" w:color="auto"/>
              <w:right w:val="single" w:sz="4" w:space="0" w:color="auto"/>
            </w:tcBorders>
            <w:shd w:val="clear" w:color="auto" w:fill="auto"/>
            <w:noWrap/>
            <w:vAlign w:val="bottom"/>
            <w:hideMark/>
          </w:tcPr>
          <w:p w14:paraId="640DE468"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307</w:t>
            </w:r>
          </w:p>
        </w:tc>
        <w:tc>
          <w:tcPr>
            <w:tcW w:w="0" w:type="auto"/>
            <w:tcBorders>
              <w:top w:val="nil"/>
              <w:left w:val="nil"/>
              <w:bottom w:val="single" w:sz="4" w:space="0" w:color="auto"/>
              <w:right w:val="single" w:sz="4" w:space="0" w:color="auto"/>
            </w:tcBorders>
            <w:shd w:val="clear" w:color="auto" w:fill="auto"/>
            <w:noWrap/>
            <w:vAlign w:val="bottom"/>
            <w:hideMark/>
          </w:tcPr>
          <w:p w14:paraId="04005B87"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(99.0)</w:t>
            </w:r>
          </w:p>
        </w:tc>
        <w:tc>
          <w:tcPr>
            <w:tcW w:w="0" w:type="auto"/>
            <w:tcBorders>
              <w:top w:val="nil"/>
              <w:left w:val="nil"/>
              <w:bottom w:val="single" w:sz="4" w:space="0" w:color="auto"/>
              <w:right w:val="single" w:sz="4" w:space="0" w:color="auto"/>
            </w:tcBorders>
            <w:shd w:val="clear" w:color="auto" w:fill="auto"/>
            <w:noWrap/>
            <w:vAlign w:val="bottom"/>
            <w:hideMark/>
          </w:tcPr>
          <w:p w14:paraId="1CC3F32E"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2454FAD6"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6B27B663"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6D8CDB37"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4FC2B282"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7B4703DC"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6E6BF891"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3F2BD760"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0FF24BBB"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5D4FEDD8"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5E64580D"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82%</w:t>
            </w:r>
          </w:p>
        </w:tc>
      </w:tr>
      <w:tr w:rsidR="0067156B" w:rsidRPr="00BA48F1" w14:paraId="41A51301" w14:textId="77777777" w:rsidTr="0067156B">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C51F10F"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NEWTON</w:t>
            </w:r>
          </w:p>
        </w:tc>
        <w:tc>
          <w:tcPr>
            <w:tcW w:w="0" w:type="auto"/>
            <w:tcBorders>
              <w:top w:val="nil"/>
              <w:left w:val="nil"/>
              <w:bottom w:val="single" w:sz="4" w:space="0" w:color="auto"/>
              <w:right w:val="single" w:sz="4" w:space="0" w:color="auto"/>
            </w:tcBorders>
            <w:shd w:val="clear" w:color="auto" w:fill="auto"/>
            <w:noWrap/>
            <w:vAlign w:val="bottom"/>
            <w:hideMark/>
          </w:tcPr>
          <w:p w14:paraId="6E99BC64"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2,974</w:t>
            </w:r>
          </w:p>
        </w:tc>
        <w:tc>
          <w:tcPr>
            <w:tcW w:w="0" w:type="auto"/>
            <w:tcBorders>
              <w:top w:val="nil"/>
              <w:left w:val="nil"/>
              <w:bottom w:val="single" w:sz="4" w:space="0" w:color="auto"/>
              <w:right w:val="single" w:sz="4" w:space="0" w:color="auto"/>
            </w:tcBorders>
            <w:shd w:val="clear" w:color="auto" w:fill="auto"/>
            <w:noWrap/>
            <w:vAlign w:val="bottom"/>
            <w:hideMark/>
          </w:tcPr>
          <w:p w14:paraId="1ADD308E"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1,699</w:t>
            </w:r>
          </w:p>
        </w:tc>
        <w:tc>
          <w:tcPr>
            <w:tcW w:w="0" w:type="auto"/>
            <w:tcBorders>
              <w:top w:val="nil"/>
              <w:left w:val="nil"/>
              <w:bottom w:val="single" w:sz="4" w:space="0" w:color="auto"/>
              <w:right w:val="single" w:sz="4" w:space="0" w:color="auto"/>
            </w:tcBorders>
            <w:shd w:val="clear" w:color="auto" w:fill="auto"/>
            <w:noWrap/>
            <w:vAlign w:val="bottom"/>
            <w:hideMark/>
          </w:tcPr>
          <w:p w14:paraId="329C848A"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57%</w:t>
            </w:r>
          </w:p>
        </w:tc>
        <w:tc>
          <w:tcPr>
            <w:tcW w:w="0" w:type="auto"/>
            <w:tcBorders>
              <w:top w:val="nil"/>
              <w:left w:val="nil"/>
              <w:bottom w:val="single" w:sz="4" w:space="0" w:color="auto"/>
              <w:right w:val="single" w:sz="4" w:space="0" w:color="auto"/>
            </w:tcBorders>
            <w:shd w:val="clear" w:color="auto" w:fill="auto"/>
            <w:noWrap/>
            <w:vAlign w:val="bottom"/>
            <w:hideMark/>
          </w:tcPr>
          <w:p w14:paraId="39956A84"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1,684</w:t>
            </w:r>
          </w:p>
        </w:tc>
        <w:tc>
          <w:tcPr>
            <w:tcW w:w="0" w:type="auto"/>
            <w:tcBorders>
              <w:top w:val="nil"/>
              <w:left w:val="nil"/>
              <w:bottom w:val="single" w:sz="4" w:space="0" w:color="auto"/>
              <w:right w:val="single" w:sz="4" w:space="0" w:color="auto"/>
            </w:tcBorders>
            <w:shd w:val="clear" w:color="auto" w:fill="auto"/>
            <w:noWrap/>
            <w:vAlign w:val="bottom"/>
            <w:hideMark/>
          </w:tcPr>
          <w:p w14:paraId="34240F43"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(99.1)</w:t>
            </w:r>
          </w:p>
        </w:tc>
        <w:tc>
          <w:tcPr>
            <w:tcW w:w="0" w:type="auto"/>
            <w:tcBorders>
              <w:top w:val="nil"/>
              <w:left w:val="nil"/>
              <w:bottom w:val="single" w:sz="4" w:space="0" w:color="auto"/>
              <w:right w:val="single" w:sz="4" w:space="0" w:color="auto"/>
            </w:tcBorders>
            <w:shd w:val="clear" w:color="auto" w:fill="auto"/>
            <w:noWrap/>
            <w:vAlign w:val="bottom"/>
            <w:hideMark/>
          </w:tcPr>
          <w:p w14:paraId="666A57DA"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14</w:t>
            </w:r>
          </w:p>
        </w:tc>
        <w:tc>
          <w:tcPr>
            <w:tcW w:w="0" w:type="auto"/>
            <w:tcBorders>
              <w:top w:val="nil"/>
              <w:left w:val="nil"/>
              <w:bottom w:val="single" w:sz="4" w:space="0" w:color="auto"/>
              <w:right w:val="single" w:sz="4" w:space="0" w:color="auto"/>
            </w:tcBorders>
            <w:shd w:val="clear" w:color="auto" w:fill="auto"/>
            <w:noWrap/>
            <w:vAlign w:val="bottom"/>
            <w:hideMark/>
          </w:tcPr>
          <w:p w14:paraId="18B93039"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(0.8)</w:t>
            </w:r>
          </w:p>
        </w:tc>
        <w:tc>
          <w:tcPr>
            <w:tcW w:w="0" w:type="auto"/>
            <w:tcBorders>
              <w:top w:val="nil"/>
              <w:left w:val="nil"/>
              <w:bottom w:val="single" w:sz="4" w:space="0" w:color="auto"/>
              <w:right w:val="single" w:sz="4" w:space="0" w:color="auto"/>
            </w:tcBorders>
            <w:shd w:val="clear" w:color="auto" w:fill="auto"/>
            <w:noWrap/>
            <w:vAlign w:val="bottom"/>
            <w:hideMark/>
          </w:tcPr>
          <w:p w14:paraId="137BAF03"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1</w:t>
            </w:r>
          </w:p>
        </w:tc>
        <w:tc>
          <w:tcPr>
            <w:tcW w:w="0" w:type="auto"/>
            <w:tcBorders>
              <w:top w:val="nil"/>
              <w:left w:val="nil"/>
              <w:bottom w:val="single" w:sz="4" w:space="0" w:color="auto"/>
              <w:right w:val="single" w:sz="4" w:space="0" w:color="auto"/>
            </w:tcBorders>
            <w:shd w:val="clear" w:color="auto" w:fill="auto"/>
            <w:noWrap/>
            <w:vAlign w:val="bottom"/>
            <w:hideMark/>
          </w:tcPr>
          <w:p w14:paraId="0AF5B154"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(0.1)</w:t>
            </w:r>
          </w:p>
        </w:tc>
        <w:tc>
          <w:tcPr>
            <w:tcW w:w="0" w:type="auto"/>
            <w:tcBorders>
              <w:top w:val="nil"/>
              <w:left w:val="nil"/>
              <w:bottom w:val="single" w:sz="4" w:space="0" w:color="auto"/>
              <w:right w:val="single" w:sz="4" w:space="0" w:color="auto"/>
            </w:tcBorders>
            <w:shd w:val="clear" w:color="auto" w:fill="auto"/>
            <w:noWrap/>
            <w:vAlign w:val="bottom"/>
            <w:hideMark/>
          </w:tcPr>
          <w:p w14:paraId="0EA08F94"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40B0CCC0"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59ABAD20"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11</w:t>
            </w:r>
          </w:p>
        </w:tc>
        <w:tc>
          <w:tcPr>
            <w:tcW w:w="0" w:type="auto"/>
            <w:tcBorders>
              <w:top w:val="nil"/>
              <w:left w:val="nil"/>
              <w:bottom w:val="single" w:sz="4" w:space="0" w:color="auto"/>
              <w:right w:val="single" w:sz="4" w:space="0" w:color="auto"/>
            </w:tcBorders>
            <w:shd w:val="clear" w:color="auto" w:fill="auto"/>
            <w:noWrap/>
            <w:vAlign w:val="bottom"/>
            <w:hideMark/>
          </w:tcPr>
          <w:p w14:paraId="2A1D9A7D"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(0.6)</w:t>
            </w:r>
          </w:p>
        </w:tc>
        <w:tc>
          <w:tcPr>
            <w:tcW w:w="0" w:type="auto"/>
            <w:tcBorders>
              <w:top w:val="nil"/>
              <w:left w:val="nil"/>
              <w:bottom w:val="single" w:sz="4" w:space="0" w:color="auto"/>
              <w:right w:val="single" w:sz="4" w:space="0" w:color="auto"/>
            </w:tcBorders>
            <w:shd w:val="clear" w:color="auto" w:fill="auto"/>
            <w:noWrap/>
            <w:vAlign w:val="bottom"/>
            <w:hideMark/>
          </w:tcPr>
          <w:p w14:paraId="4CBC7C89"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1</w:t>
            </w:r>
          </w:p>
        </w:tc>
        <w:tc>
          <w:tcPr>
            <w:tcW w:w="0" w:type="auto"/>
            <w:tcBorders>
              <w:top w:val="nil"/>
              <w:left w:val="nil"/>
              <w:bottom w:val="single" w:sz="4" w:space="0" w:color="auto"/>
              <w:right w:val="single" w:sz="4" w:space="0" w:color="auto"/>
            </w:tcBorders>
            <w:shd w:val="clear" w:color="auto" w:fill="auto"/>
            <w:noWrap/>
            <w:vAlign w:val="bottom"/>
            <w:hideMark/>
          </w:tcPr>
          <w:p w14:paraId="7602666A"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(0.1)</w:t>
            </w:r>
          </w:p>
        </w:tc>
        <w:tc>
          <w:tcPr>
            <w:tcW w:w="0" w:type="auto"/>
            <w:tcBorders>
              <w:top w:val="nil"/>
              <w:left w:val="nil"/>
              <w:bottom w:val="single" w:sz="4" w:space="0" w:color="auto"/>
              <w:right w:val="single" w:sz="4" w:space="0" w:color="auto"/>
            </w:tcBorders>
            <w:shd w:val="clear" w:color="auto" w:fill="auto"/>
            <w:noWrap/>
            <w:vAlign w:val="bottom"/>
            <w:hideMark/>
          </w:tcPr>
          <w:p w14:paraId="551FD7C2"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42%</w:t>
            </w:r>
          </w:p>
        </w:tc>
      </w:tr>
      <w:tr w:rsidR="0067156B" w:rsidRPr="00BA48F1" w14:paraId="4422DA0F" w14:textId="77777777" w:rsidTr="0067156B">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4D6EBEB"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NORFOLK</w:t>
            </w:r>
          </w:p>
        </w:tc>
        <w:tc>
          <w:tcPr>
            <w:tcW w:w="0" w:type="auto"/>
            <w:tcBorders>
              <w:top w:val="nil"/>
              <w:left w:val="nil"/>
              <w:bottom w:val="single" w:sz="4" w:space="0" w:color="auto"/>
              <w:right w:val="single" w:sz="4" w:space="0" w:color="auto"/>
            </w:tcBorders>
            <w:shd w:val="clear" w:color="auto" w:fill="auto"/>
            <w:noWrap/>
            <w:vAlign w:val="bottom"/>
            <w:hideMark/>
          </w:tcPr>
          <w:p w14:paraId="74259F69"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348</w:t>
            </w:r>
          </w:p>
        </w:tc>
        <w:tc>
          <w:tcPr>
            <w:tcW w:w="0" w:type="auto"/>
            <w:tcBorders>
              <w:top w:val="nil"/>
              <w:left w:val="nil"/>
              <w:bottom w:val="single" w:sz="4" w:space="0" w:color="auto"/>
              <w:right w:val="single" w:sz="4" w:space="0" w:color="auto"/>
            </w:tcBorders>
            <w:shd w:val="clear" w:color="auto" w:fill="auto"/>
            <w:noWrap/>
            <w:vAlign w:val="bottom"/>
            <w:hideMark/>
          </w:tcPr>
          <w:p w14:paraId="626187E3"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323</w:t>
            </w:r>
          </w:p>
        </w:tc>
        <w:tc>
          <w:tcPr>
            <w:tcW w:w="0" w:type="auto"/>
            <w:tcBorders>
              <w:top w:val="nil"/>
              <w:left w:val="nil"/>
              <w:bottom w:val="single" w:sz="4" w:space="0" w:color="auto"/>
              <w:right w:val="single" w:sz="4" w:space="0" w:color="auto"/>
            </w:tcBorders>
            <w:shd w:val="clear" w:color="auto" w:fill="auto"/>
            <w:noWrap/>
            <w:vAlign w:val="bottom"/>
            <w:hideMark/>
          </w:tcPr>
          <w:p w14:paraId="52A6FC56"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93%</w:t>
            </w:r>
          </w:p>
        </w:tc>
        <w:tc>
          <w:tcPr>
            <w:tcW w:w="0" w:type="auto"/>
            <w:tcBorders>
              <w:top w:val="nil"/>
              <w:left w:val="nil"/>
              <w:bottom w:val="single" w:sz="4" w:space="0" w:color="auto"/>
              <w:right w:val="single" w:sz="4" w:space="0" w:color="auto"/>
            </w:tcBorders>
            <w:shd w:val="clear" w:color="auto" w:fill="auto"/>
            <w:noWrap/>
            <w:vAlign w:val="bottom"/>
            <w:hideMark/>
          </w:tcPr>
          <w:p w14:paraId="6B2B4628"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323</w:t>
            </w:r>
          </w:p>
        </w:tc>
        <w:tc>
          <w:tcPr>
            <w:tcW w:w="0" w:type="auto"/>
            <w:tcBorders>
              <w:top w:val="nil"/>
              <w:left w:val="nil"/>
              <w:bottom w:val="single" w:sz="4" w:space="0" w:color="auto"/>
              <w:right w:val="single" w:sz="4" w:space="0" w:color="auto"/>
            </w:tcBorders>
            <w:shd w:val="clear" w:color="auto" w:fill="auto"/>
            <w:noWrap/>
            <w:vAlign w:val="bottom"/>
            <w:hideMark/>
          </w:tcPr>
          <w:p w14:paraId="762F6157"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(100.0)</w:t>
            </w:r>
          </w:p>
        </w:tc>
        <w:tc>
          <w:tcPr>
            <w:tcW w:w="0" w:type="auto"/>
            <w:tcBorders>
              <w:top w:val="nil"/>
              <w:left w:val="nil"/>
              <w:bottom w:val="single" w:sz="4" w:space="0" w:color="auto"/>
              <w:right w:val="single" w:sz="4" w:space="0" w:color="auto"/>
            </w:tcBorders>
            <w:shd w:val="clear" w:color="auto" w:fill="auto"/>
            <w:noWrap/>
            <w:vAlign w:val="bottom"/>
            <w:hideMark/>
          </w:tcPr>
          <w:p w14:paraId="12B64DB4"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76CFB90C"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19FAE637"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495E9257"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4C20DC96"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23BB3D30"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612713FB"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33367135"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4AA1BCBE"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39D2B198"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62F3F5A0"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86%</w:t>
            </w:r>
          </w:p>
        </w:tc>
      </w:tr>
      <w:tr w:rsidR="0067156B" w:rsidRPr="00BA48F1" w14:paraId="54AA5F13" w14:textId="77777777" w:rsidTr="0067156B">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814509D"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NORTH ADAMS</w:t>
            </w:r>
          </w:p>
        </w:tc>
        <w:tc>
          <w:tcPr>
            <w:tcW w:w="0" w:type="auto"/>
            <w:tcBorders>
              <w:top w:val="nil"/>
              <w:left w:val="nil"/>
              <w:bottom w:val="single" w:sz="4" w:space="0" w:color="auto"/>
              <w:right w:val="single" w:sz="4" w:space="0" w:color="auto"/>
            </w:tcBorders>
            <w:shd w:val="clear" w:color="auto" w:fill="auto"/>
            <w:noWrap/>
            <w:vAlign w:val="bottom"/>
            <w:hideMark/>
          </w:tcPr>
          <w:p w14:paraId="0E653E60"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435</w:t>
            </w:r>
          </w:p>
        </w:tc>
        <w:tc>
          <w:tcPr>
            <w:tcW w:w="0" w:type="auto"/>
            <w:tcBorders>
              <w:top w:val="nil"/>
              <w:left w:val="nil"/>
              <w:bottom w:val="single" w:sz="4" w:space="0" w:color="auto"/>
              <w:right w:val="single" w:sz="4" w:space="0" w:color="auto"/>
            </w:tcBorders>
            <w:shd w:val="clear" w:color="auto" w:fill="auto"/>
            <w:noWrap/>
            <w:vAlign w:val="bottom"/>
            <w:hideMark/>
          </w:tcPr>
          <w:p w14:paraId="5D16AA36"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255</w:t>
            </w:r>
          </w:p>
        </w:tc>
        <w:tc>
          <w:tcPr>
            <w:tcW w:w="0" w:type="auto"/>
            <w:tcBorders>
              <w:top w:val="nil"/>
              <w:left w:val="nil"/>
              <w:bottom w:val="single" w:sz="4" w:space="0" w:color="auto"/>
              <w:right w:val="single" w:sz="4" w:space="0" w:color="auto"/>
            </w:tcBorders>
            <w:shd w:val="clear" w:color="auto" w:fill="auto"/>
            <w:noWrap/>
            <w:vAlign w:val="bottom"/>
            <w:hideMark/>
          </w:tcPr>
          <w:p w14:paraId="498CC271"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59%</w:t>
            </w:r>
          </w:p>
        </w:tc>
        <w:tc>
          <w:tcPr>
            <w:tcW w:w="0" w:type="auto"/>
            <w:tcBorders>
              <w:top w:val="nil"/>
              <w:left w:val="nil"/>
              <w:bottom w:val="single" w:sz="4" w:space="0" w:color="auto"/>
              <w:right w:val="single" w:sz="4" w:space="0" w:color="auto"/>
            </w:tcBorders>
            <w:shd w:val="clear" w:color="auto" w:fill="auto"/>
            <w:noWrap/>
            <w:vAlign w:val="bottom"/>
            <w:hideMark/>
          </w:tcPr>
          <w:p w14:paraId="380C4750"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239</w:t>
            </w:r>
          </w:p>
        </w:tc>
        <w:tc>
          <w:tcPr>
            <w:tcW w:w="0" w:type="auto"/>
            <w:tcBorders>
              <w:top w:val="nil"/>
              <w:left w:val="nil"/>
              <w:bottom w:val="single" w:sz="4" w:space="0" w:color="auto"/>
              <w:right w:val="single" w:sz="4" w:space="0" w:color="auto"/>
            </w:tcBorders>
            <w:shd w:val="clear" w:color="auto" w:fill="auto"/>
            <w:noWrap/>
            <w:vAlign w:val="bottom"/>
            <w:hideMark/>
          </w:tcPr>
          <w:p w14:paraId="4A188EDF"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(93.7)</w:t>
            </w:r>
          </w:p>
        </w:tc>
        <w:tc>
          <w:tcPr>
            <w:tcW w:w="0" w:type="auto"/>
            <w:tcBorders>
              <w:top w:val="nil"/>
              <w:left w:val="nil"/>
              <w:bottom w:val="single" w:sz="4" w:space="0" w:color="auto"/>
              <w:right w:val="single" w:sz="4" w:space="0" w:color="auto"/>
            </w:tcBorders>
            <w:shd w:val="clear" w:color="auto" w:fill="auto"/>
            <w:noWrap/>
            <w:vAlign w:val="bottom"/>
            <w:hideMark/>
          </w:tcPr>
          <w:p w14:paraId="2B2DCD71"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15</w:t>
            </w:r>
          </w:p>
        </w:tc>
        <w:tc>
          <w:tcPr>
            <w:tcW w:w="0" w:type="auto"/>
            <w:tcBorders>
              <w:top w:val="nil"/>
              <w:left w:val="nil"/>
              <w:bottom w:val="single" w:sz="4" w:space="0" w:color="auto"/>
              <w:right w:val="single" w:sz="4" w:space="0" w:color="auto"/>
            </w:tcBorders>
            <w:shd w:val="clear" w:color="auto" w:fill="auto"/>
            <w:noWrap/>
            <w:vAlign w:val="bottom"/>
            <w:hideMark/>
          </w:tcPr>
          <w:p w14:paraId="172F2605"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(5.9)</w:t>
            </w:r>
          </w:p>
        </w:tc>
        <w:tc>
          <w:tcPr>
            <w:tcW w:w="0" w:type="auto"/>
            <w:tcBorders>
              <w:top w:val="nil"/>
              <w:left w:val="nil"/>
              <w:bottom w:val="single" w:sz="4" w:space="0" w:color="auto"/>
              <w:right w:val="single" w:sz="4" w:space="0" w:color="auto"/>
            </w:tcBorders>
            <w:shd w:val="clear" w:color="auto" w:fill="auto"/>
            <w:noWrap/>
            <w:vAlign w:val="bottom"/>
            <w:hideMark/>
          </w:tcPr>
          <w:p w14:paraId="06D2499D"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4C5EBD90"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699B199F"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7E32E092"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00DE2BE4"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10</w:t>
            </w:r>
          </w:p>
        </w:tc>
        <w:tc>
          <w:tcPr>
            <w:tcW w:w="0" w:type="auto"/>
            <w:tcBorders>
              <w:top w:val="nil"/>
              <w:left w:val="nil"/>
              <w:bottom w:val="single" w:sz="4" w:space="0" w:color="auto"/>
              <w:right w:val="single" w:sz="4" w:space="0" w:color="auto"/>
            </w:tcBorders>
            <w:shd w:val="clear" w:color="auto" w:fill="auto"/>
            <w:noWrap/>
            <w:vAlign w:val="bottom"/>
            <w:hideMark/>
          </w:tcPr>
          <w:p w14:paraId="66467E33"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(3.9)</w:t>
            </w:r>
          </w:p>
        </w:tc>
        <w:tc>
          <w:tcPr>
            <w:tcW w:w="0" w:type="auto"/>
            <w:tcBorders>
              <w:top w:val="nil"/>
              <w:left w:val="nil"/>
              <w:bottom w:val="single" w:sz="4" w:space="0" w:color="auto"/>
              <w:right w:val="single" w:sz="4" w:space="0" w:color="auto"/>
            </w:tcBorders>
            <w:shd w:val="clear" w:color="auto" w:fill="auto"/>
            <w:noWrap/>
            <w:vAlign w:val="bottom"/>
            <w:hideMark/>
          </w:tcPr>
          <w:p w14:paraId="39646975"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5C2E8744"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00082CC6"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53%</w:t>
            </w:r>
          </w:p>
        </w:tc>
      </w:tr>
      <w:tr w:rsidR="0067156B" w:rsidRPr="00BA48F1" w14:paraId="56ED2310" w14:textId="77777777" w:rsidTr="0067156B">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70E501F"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NORTH ANDOVER</w:t>
            </w:r>
          </w:p>
        </w:tc>
        <w:tc>
          <w:tcPr>
            <w:tcW w:w="0" w:type="auto"/>
            <w:tcBorders>
              <w:top w:val="nil"/>
              <w:left w:val="nil"/>
              <w:bottom w:val="single" w:sz="4" w:space="0" w:color="auto"/>
              <w:right w:val="single" w:sz="4" w:space="0" w:color="auto"/>
            </w:tcBorders>
            <w:shd w:val="clear" w:color="auto" w:fill="auto"/>
            <w:noWrap/>
            <w:vAlign w:val="bottom"/>
            <w:hideMark/>
          </w:tcPr>
          <w:p w14:paraId="6B246BCF"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1,086</w:t>
            </w:r>
          </w:p>
        </w:tc>
        <w:tc>
          <w:tcPr>
            <w:tcW w:w="0" w:type="auto"/>
            <w:tcBorders>
              <w:top w:val="nil"/>
              <w:left w:val="nil"/>
              <w:bottom w:val="single" w:sz="4" w:space="0" w:color="auto"/>
              <w:right w:val="single" w:sz="4" w:space="0" w:color="auto"/>
            </w:tcBorders>
            <w:shd w:val="clear" w:color="auto" w:fill="auto"/>
            <w:noWrap/>
            <w:vAlign w:val="bottom"/>
            <w:hideMark/>
          </w:tcPr>
          <w:p w14:paraId="6F48C707"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651</w:t>
            </w:r>
          </w:p>
        </w:tc>
        <w:tc>
          <w:tcPr>
            <w:tcW w:w="0" w:type="auto"/>
            <w:tcBorders>
              <w:top w:val="nil"/>
              <w:left w:val="nil"/>
              <w:bottom w:val="single" w:sz="4" w:space="0" w:color="auto"/>
              <w:right w:val="single" w:sz="4" w:space="0" w:color="auto"/>
            </w:tcBorders>
            <w:shd w:val="clear" w:color="auto" w:fill="auto"/>
            <w:noWrap/>
            <w:vAlign w:val="bottom"/>
            <w:hideMark/>
          </w:tcPr>
          <w:p w14:paraId="560847DC"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60%</w:t>
            </w:r>
          </w:p>
        </w:tc>
        <w:tc>
          <w:tcPr>
            <w:tcW w:w="0" w:type="auto"/>
            <w:tcBorders>
              <w:top w:val="nil"/>
              <w:left w:val="nil"/>
              <w:bottom w:val="single" w:sz="4" w:space="0" w:color="auto"/>
              <w:right w:val="single" w:sz="4" w:space="0" w:color="auto"/>
            </w:tcBorders>
            <w:shd w:val="clear" w:color="auto" w:fill="auto"/>
            <w:noWrap/>
            <w:vAlign w:val="bottom"/>
            <w:hideMark/>
          </w:tcPr>
          <w:p w14:paraId="16B9A78E"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645</w:t>
            </w:r>
          </w:p>
        </w:tc>
        <w:tc>
          <w:tcPr>
            <w:tcW w:w="0" w:type="auto"/>
            <w:tcBorders>
              <w:top w:val="nil"/>
              <w:left w:val="nil"/>
              <w:bottom w:val="single" w:sz="4" w:space="0" w:color="auto"/>
              <w:right w:val="single" w:sz="4" w:space="0" w:color="auto"/>
            </w:tcBorders>
            <w:shd w:val="clear" w:color="auto" w:fill="auto"/>
            <w:noWrap/>
            <w:vAlign w:val="bottom"/>
            <w:hideMark/>
          </w:tcPr>
          <w:p w14:paraId="6B5DA3E3"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(99.1)</w:t>
            </w:r>
          </w:p>
        </w:tc>
        <w:tc>
          <w:tcPr>
            <w:tcW w:w="0" w:type="auto"/>
            <w:tcBorders>
              <w:top w:val="nil"/>
              <w:left w:val="nil"/>
              <w:bottom w:val="single" w:sz="4" w:space="0" w:color="auto"/>
              <w:right w:val="single" w:sz="4" w:space="0" w:color="auto"/>
            </w:tcBorders>
            <w:shd w:val="clear" w:color="auto" w:fill="auto"/>
            <w:noWrap/>
            <w:vAlign w:val="bottom"/>
            <w:hideMark/>
          </w:tcPr>
          <w:p w14:paraId="0265293D"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6</w:t>
            </w:r>
          </w:p>
        </w:tc>
        <w:tc>
          <w:tcPr>
            <w:tcW w:w="0" w:type="auto"/>
            <w:tcBorders>
              <w:top w:val="nil"/>
              <w:left w:val="nil"/>
              <w:bottom w:val="single" w:sz="4" w:space="0" w:color="auto"/>
              <w:right w:val="single" w:sz="4" w:space="0" w:color="auto"/>
            </w:tcBorders>
            <w:shd w:val="clear" w:color="auto" w:fill="auto"/>
            <w:noWrap/>
            <w:vAlign w:val="bottom"/>
            <w:hideMark/>
          </w:tcPr>
          <w:p w14:paraId="7DEBC0AE"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(0.9)</w:t>
            </w:r>
          </w:p>
        </w:tc>
        <w:tc>
          <w:tcPr>
            <w:tcW w:w="0" w:type="auto"/>
            <w:tcBorders>
              <w:top w:val="nil"/>
              <w:left w:val="nil"/>
              <w:bottom w:val="single" w:sz="4" w:space="0" w:color="auto"/>
              <w:right w:val="single" w:sz="4" w:space="0" w:color="auto"/>
            </w:tcBorders>
            <w:shd w:val="clear" w:color="auto" w:fill="auto"/>
            <w:noWrap/>
            <w:vAlign w:val="bottom"/>
            <w:hideMark/>
          </w:tcPr>
          <w:p w14:paraId="584BC3E7"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6DA76D07"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4B0E85E7"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0733B92D"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6653A70C"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323C5DF0"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50EC8D37"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1DF24655"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7280EC10"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59%</w:t>
            </w:r>
          </w:p>
        </w:tc>
      </w:tr>
      <w:tr w:rsidR="0067156B" w:rsidRPr="00BA48F1" w14:paraId="576905F6" w14:textId="77777777" w:rsidTr="0067156B">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2670363"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NORTH ATTLEBOROUGH</w:t>
            </w:r>
          </w:p>
        </w:tc>
        <w:tc>
          <w:tcPr>
            <w:tcW w:w="0" w:type="auto"/>
            <w:tcBorders>
              <w:top w:val="nil"/>
              <w:left w:val="nil"/>
              <w:bottom w:val="single" w:sz="4" w:space="0" w:color="auto"/>
              <w:right w:val="single" w:sz="4" w:space="0" w:color="auto"/>
            </w:tcBorders>
            <w:shd w:val="clear" w:color="auto" w:fill="auto"/>
            <w:noWrap/>
            <w:vAlign w:val="bottom"/>
            <w:hideMark/>
          </w:tcPr>
          <w:p w14:paraId="24F9E05B"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1,151</w:t>
            </w:r>
          </w:p>
        </w:tc>
        <w:tc>
          <w:tcPr>
            <w:tcW w:w="0" w:type="auto"/>
            <w:tcBorders>
              <w:top w:val="nil"/>
              <w:left w:val="nil"/>
              <w:bottom w:val="single" w:sz="4" w:space="0" w:color="auto"/>
              <w:right w:val="single" w:sz="4" w:space="0" w:color="auto"/>
            </w:tcBorders>
            <w:shd w:val="clear" w:color="auto" w:fill="auto"/>
            <w:noWrap/>
            <w:vAlign w:val="bottom"/>
            <w:hideMark/>
          </w:tcPr>
          <w:p w14:paraId="2120D269"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617</w:t>
            </w:r>
          </w:p>
        </w:tc>
        <w:tc>
          <w:tcPr>
            <w:tcW w:w="0" w:type="auto"/>
            <w:tcBorders>
              <w:top w:val="nil"/>
              <w:left w:val="nil"/>
              <w:bottom w:val="single" w:sz="4" w:space="0" w:color="auto"/>
              <w:right w:val="single" w:sz="4" w:space="0" w:color="auto"/>
            </w:tcBorders>
            <w:shd w:val="clear" w:color="auto" w:fill="auto"/>
            <w:noWrap/>
            <w:vAlign w:val="bottom"/>
            <w:hideMark/>
          </w:tcPr>
          <w:p w14:paraId="0334C756"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54%</w:t>
            </w:r>
          </w:p>
        </w:tc>
        <w:tc>
          <w:tcPr>
            <w:tcW w:w="0" w:type="auto"/>
            <w:tcBorders>
              <w:top w:val="nil"/>
              <w:left w:val="nil"/>
              <w:bottom w:val="single" w:sz="4" w:space="0" w:color="auto"/>
              <w:right w:val="single" w:sz="4" w:space="0" w:color="auto"/>
            </w:tcBorders>
            <w:shd w:val="clear" w:color="auto" w:fill="auto"/>
            <w:noWrap/>
            <w:vAlign w:val="bottom"/>
            <w:hideMark/>
          </w:tcPr>
          <w:p w14:paraId="1ACFE2C5"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602</w:t>
            </w:r>
          </w:p>
        </w:tc>
        <w:tc>
          <w:tcPr>
            <w:tcW w:w="0" w:type="auto"/>
            <w:tcBorders>
              <w:top w:val="nil"/>
              <w:left w:val="nil"/>
              <w:bottom w:val="single" w:sz="4" w:space="0" w:color="auto"/>
              <w:right w:val="single" w:sz="4" w:space="0" w:color="auto"/>
            </w:tcBorders>
            <w:shd w:val="clear" w:color="auto" w:fill="auto"/>
            <w:noWrap/>
            <w:vAlign w:val="bottom"/>
            <w:hideMark/>
          </w:tcPr>
          <w:p w14:paraId="343B5FB5"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(97.6)</w:t>
            </w:r>
          </w:p>
        </w:tc>
        <w:tc>
          <w:tcPr>
            <w:tcW w:w="0" w:type="auto"/>
            <w:tcBorders>
              <w:top w:val="nil"/>
              <w:left w:val="nil"/>
              <w:bottom w:val="single" w:sz="4" w:space="0" w:color="auto"/>
              <w:right w:val="single" w:sz="4" w:space="0" w:color="auto"/>
            </w:tcBorders>
            <w:shd w:val="clear" w:color="auto" w:fill="auto"/>
            <w:noWrap/>
            <w:vAlign w:val="bottom"/>
            <w:hideMark/>
          </w:tcPr>
          <w:p w14:paraId="64D37FD0"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12</w:t>
            </w:r>
          </w:p>
        </w:tc>
        <w:tc>
          <w:tcPr>
            <w:tcW w:w="0" w:type="auto"/>
            <w:tcBorders>
              <w:top w:val="nil"/>
              <w:left w:val="nil"/>
              <w:bottom w:val="single" w:sz="4" w:space="0" w:color="auto"/>
              <w:right w:val="single" w:sz="4" w:space="0" w:color="auto"/>
            </w:tcBorders>
            <w:shd w:val="clear" w:color="auto" w:fill="auto"/>
            <w:noWrap/>
            <w:vAlign w:val="bottom"/>
            <w:hideMark/>
          </w:tcPr>
          <w:p w14:paraId="20DB3F55"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(1.9)</w:t>
            </w:r>
          </w:p>
        </w:tc>
        <w:tc>
          <w:tcPr>
            <w:tcW w:w="0" w:type="auto"/>
            <w:tcBorders>
              <w:top w:val="nil"/>
              <w:left w:val="nil"/>
              <w:bottom w:val="single" w:sz="4" w:space="0" w:color="auto"/>
              <w:right w:val="single" w:sz="4" w:space="0" w:color="auto"/>
            </w:tcBorders>
            <w:shd w:val="clear" w:color="auto" w:fill="auto"/>
            <w:noWrap/>
            <w:vAlign w:val="bottom"/>
            <w:hideMark/>
          </w:tcPr>
          <w:p w14:paraId="16196185"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66BEE349"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44225BA9"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75232AB3"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6129F9BB"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10</w:t>
            </w:r>
          </w:p>
        </w:tc>
        <w:tc>
          <w:tcPr>
            <w:tcW w:w="0" w:type="auto"/>
            <w:tcBorders>
              <w:top w:val="nil"/>
              <w:left w:val="nil"/>
              <w:bottom w:val="single" w:sz="4" w:space="0" w:color="auto"/>
              <w:right w:val="single" w:sz="4" w:space="0" w:color="auto"/>
            </w:tcBorders>
            <w:shd w:val="clear" w:color="auto" w:fill="auto"/>
            <w:noWrap/>
            <w:vAlign w:val="bottom"/>
            <w:hideMark/>
          </w:tcPr>
          <w:p w14:paraId="225E5992"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(1.6)</w:t>
            </w:r>
          </w:p>
        </w:tc>
        <w:tc>
          <w:tcPr>
            <w:tcW w:w="0" w:type="auto"/>
            <w:tcBorders>
              <w:top w:val="nil"/>
              <w:left w:val="nil"/>
              <w:bottom w:val="single" w:sz="4" w:space="0" w:color="auto"/>
              <w:right w:val="single" w:sz="4" w:space="0" w:color="auto"/>
            </w:tcBorders>
            <w:shd w:val="clear" w:color="auto" w:fill="auto"/>
            <w:noWrap/>
            <w:vAlign w:val="bottom"/>
            <w:hideMark/>
          </w:tcPr>
          <w:p w14:paraId="189EF954"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25CFC357"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2E85A072"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70%</w:t>
            </w:r>
          </w:p>
        </w:tc>
      </w:tr>
      <w:tr w:rsidR="0067156B" w:rsidRPr="00BA48F1" w14:paraId="2A4583ED" w14:textId="77777777" w:rsidTr="0067156B">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3169252"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NORTH BROOKFIELD</w:t>
            </w:r>
          </w:p>
        </w:tc>
        <w:tc>
          <w:tcPr>
            <w:tcW w:w="0" w:type="auto"/>
            <w:tcBorders>
              <w:top w:val="nil"/>
              <w:left w:val="nil"/>
              <w:bottom w:val="single" w:sz="4" w:space="0" w:color="auto"/>
              <w:right w:val="single" w:sz="4" w:space="0" w:color="auto"/>
            </w:tcBorders>
            <w:shd w:val="clear" w:color="auto" w:fill="auto"/>
            <w:noWrap/>
            <w:vAlign w:val="bottom"/>
            <w:hideMark/>
          </w:tcPr>
          <w:p w14:paraId="43F83978"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171</w:t>
            </w:r>
          </w:p>
        </w:tc>
        <w:tc>
          <w:tcPr>
            <w:tcW w:w="0" w:type="auto"/>
            <w:tcBorders>
              <w:top w:val="nil"/>
              <w:left w:val="nil"/>
              <w:bottom w:val="single" w:sz="4" w:space="0" w:color="auto"/>
              <w:right w:val="single" w:sz="4" w:space="0" w:color="auto"/>
            </w:tcBorders>
            <w:shd w:val="clear" w:color="auto" w:fill="auto"/>
            <w:noWrap/>
            <w:vAlign w:val="bottom"/>
            <w:hideMark/>
          </w:tcPr>
          <w:p w14:paraId="24C176CE"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64</w:t>
            </w:r>
          </w:p>
        </w:tc>
        <w:tc>
          <w:tcPr>
            <w:tcW w:w="0" w:type="auto"/>
            <w:tcBorders>
              <w:top w:val="nil"/>
              <w:left w:val="nil"/>
              <w:bottom w:val="single" w:sz="4" w:space="0" w:color="auto"/>
              <w:right w:val="single" w:sz="4" w:space="0" w:color="auto"/>
            </w:tcBorders>
            <w:shd w:val="clear" w:color="auto" w:fill="auto"/>
            <w:noWrap/>
            <w:vAlign w:val="bottom"/>
            <w:hideMark/>
          </w:tcPr>
          <w:p w14:paraId="2CF777E2"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37%</w:t>
            </w:r>
          </w:p>
        </w:tc>
        <w:tc>
          <w:tcPr>
            <w:tcW w:w="0" w:type="auto"/>
            <w:tcBorders>
              <w:top w:val="nil"/>
              <w:left w:val="nil"/>
              <w:bottom w:val="single" w:sz="4" w:space="0" w:color="auto"/>
              <w:right w:val="single" w:sz="4" w:space="0" w:color="auto"/>
            </w:tcBorders>
            <w:shd w:val="clear" w:color="auto" w:fill="auto"/>
            <w:noWrap/>
            <w:vAlign w:val="bottom"/>
            <w:hideMark/>
          </w:tcPr>
          <w:p w14:paraId="2CBED1AD"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60</w:t>
            </w:r>
          </w:p>
        </w:tc>
        <w:tc>
          <w:tcPr>
            <w:tcW w:w="0" w:type="auto"/>
            <w:tcBorders>
              <w:top w:val="nil"/>
              <w:left w:val="nil"/>
              <w:bottom w:val="single" w:sz="4" w:space="0" w:color="auto"/>
              <w:right w:val="single" w:sz="4" w:space="0" w:color="auto"/>
            </w:tcBorders>
            <w:shd w:val="clear" w:color="auto" w:fill="auto"/>
            <w:noWrap/>
            <w:vAlign w:val="bottom"/>
            <w:hideMark/>
          </w:tcPr>
          <w:p w14:paraId="2F7E92A5"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(93.8)</w:t>
            </w:r>
          </w:p>
        </w:tc>
        <w:tc>
          <w:tcPr>
            <w:tcW w:w="0" w:type="auto"/>
            <w:tcBorders>
              <w:top w:val="nil"/>
              <w:left w:val="nil"/>
              <w:bottom w:val="single" w:sz="4" w:space="0" w:color="auto"/>
              <w:right w:val="single" w:sz="4" w:space="0" w:color="auto"/>
            </w:tcBorders>
            <w:shd w:val="clear" w:color="auto" w:fill="auto"/>
            <w:noWrap/>
            <w:vAlign w:val="bottom"/>
            <w:hideMark/>
          </w:tcPr>
          <w:p w14:paraId="25CC91A5"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33FC2848"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6BA2149E"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43FDCFA9"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7B144D59"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54E8500F"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6F542BAF"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0B1CC96B"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6A67D6A0"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2CA1A047"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4F8E89B3"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58%</w:t>
            </w:r>
          </w:p>
        </w:tc>
      </w:tr>
      <w:tr w:rsidR="0067156B" w:rsidRPr="00BA48F1" w14:paraId="2C39232D" w14:textId="77777777" w:rsidTr="0067156B">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7E2E427"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NORTH READING</w:t>
            </w:r>
          </w:p>
        </w:tc>
        <w:tc>
          <w:tcPr>
            <w:tcW w:w="0" w:type="auto"/>
            <w:tcBorders>
              <w:top w:val="nil"/>
              <w:left w:val="nil"/>
              <w:bottom w:val="single" w:sz="4" w:space="0" w:color="auto"/>
              <w:right w:val="single" w:sz="4" w:space="0" w:color="auto"/>
            </w:tcBorders>
            <w:shd w:val="clear" w:color="auto" w:fill="auto"/>
            <w:noWrap/>
            <w:vAlign w:val="bottom"/>
            <w:hideMark/>
          </w:tcPr>
          <w:p w14:paraId="665789D4"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539</w:t>
            </w:r>
          </w:p>
        </w:tc>
        <w:tc>
          <w:tcPr>
            <w:tcW w:w="0" w:type="auto"/>
            <w:tcBorders>
              <w:top w:val="nil"/>
              <w:left w:val="nil"/>
              <w:bottom w:val="single" w:sz="4" w:space="0" w:color="auto"/>
              <w:right w:val="single" w:sz="4" w:space="0" w:color="auto"/>
            </w:tcBorders>
            <w:shd w:val="clear" w:color="auto" w:fill="auto"/>
            <w:noWrap/>
            <w:vAlign w:val="bottom"/>
            <w:hideMark/>
          </w:tcPr>
          <w:p w14:paraId="474F65CD"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359</w:t>
            </w:r>
          </w:p>
        </w:tc>
        <w:tc>
          <w:tcPr>
            <w:tcW w:w="0" w:type="auto"/>
            <w:tcBorders>
              <w:top w:val="nil"/>
              <w:left w:val="nil"/>
              <w:bottom w:val="single" w:sz="4" w:space="0" w:color="auto"/>
              <w:right w:val="single" w:sz="4" w:space="0" w:color="auto"/>
            </w:tcBorders>
            <w:shd w:val="clear" w:color="auto" w:fill="auto"/>
            <w:noWrap/>
            <w:vAlign w:val="bottom"/>
            <w:hideMark/>
          </w:tcPr>
          <w:p w14:paraId="4C0156DE"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67%</w:t>
            </w:r>
          </w:p>
        </w:tc>
        <w:tc>
          <w:tcPr>
            <w:tcW w:w="0" w:type="auto"/>
            <w:tcBorders>
              <w:top w:val="nil"/>
              <w:left w:val="nil"/>
              <w:bottom w:val="single" w:sz="4" w:space="0" w:color="auto"/>
              <w:right w:val="single" w:sz="4" w:space="0" w:color="auto"/>
            </w:tcBorders>
            <w:shd w:val="clear" w:color="auto" w:fill="auto"/>
            <w:noWrap/>
            <w:vAlign w:val="bottom"/>
            <w:hideMark/>
          </w:tcPr>
          <w:p w14:paraId="6A6E63FA"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357</w:t>
            </w:r>
          </w:p>
        </w:tc>
        <w:tc>
          <w:tcPr>
            <w:tcW w:w="0" w:type="auto"/>
            <w:tcBorders>
              <w:top w:val="nil"/>
              <w:left w:val="nil"/>
              <w:bottom w:val="single" w:sz="4" w:space="0" w:color="auto"/>
              <w:right w:val="single" w:sz="4" w:space="0" w:color="auto"/>
            </w:tcBorders>
            <w:shd w:val="clear" w:color="auto" w:fill="auto"/>
            <w:noWrap/>
            <w:vAlign w:val="bottom"/>
            <w:hideMark/>
          </w:tcPr>
          <w:p w14:paraId="27FE6C27"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(99.4)</w:t>
            </w:r>
          </w:p>
        </w:tc>
        <w:tc>
          <w:tcPr>
            <w:tcW w:w="0" w:type="auto"/>
            <w:tcBorders>
              <w:top w:val="nil"/>
              <w:left w:val="nil"/>
              <w:bottom w:val="single" w:sz="4" w:space="0" w:color="auto"/>
              <w:right w:val="single" w:sz="4" w:space="0" w:color="auto"/>
            </w:tcBorders>
            <w:shd w:val="clear" w:color="auto" w:fill="auto"/>
            <w:noWrap/>
            <w:vAlign w:val="bottom"/>
            <w:hideMark/>
          </w:tcPr>
          <w:p w14:paraId="6687D115"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036D0652"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08983CA7"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535B835F"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78CBAFE5"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3927E2F9"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4A3B2AD2"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5AE69540"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5AF8A5B8"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0FFA6C26"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15139B4A"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74%</w:t>
            </w:r>
          </w:p>
        </w:tc>
      </w:tr>
      <w:tr w:rsidR="0067156B" w:rsidRPr="00BA48F1" w14:paraId="782D5CA4" w14:textId="77777777" w:rsidTr="0067156B">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7073F27"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NORTHAMPTON</w:t>
            </w:r>
          </w:p>
        </w:tc>
        <w:tc>
          <w:tcPr>
            <w:tcW w:w="0" w:type="auto"/>
            <w:tcBorders>
              <w:top w:val="nil"/>
              <w:left w:val="nil"/>
              <w:bottom w:val="single" w:sz="4" w:space="0" w:color="auto"/>
              <w:right w:val="single" w:sz="4" w:space="0" w:color="auto"/>
            </w:tcBorders>
            <w:shd w:val="clear" w:color="auto" w:fill="auto"/>
            <w:noWrap/>
            <w:vAlign w:val="bottom"/>
            <w:hideMark/>
          </w:tcPr>
          <w:p w14:paraId="5C0E91C9"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648</w:t>
            </w:r>
          </w:p>
        </w:tc>
        <w:tc>
          <w:tcPr>
            <w:tcW w:w="0" w:type="auto"/>
            <w:tcBorders>
              <w:top w:val="nil"/>
              <w:left w:val="nil"/>
              <w:bottom w:val="single" w:sz="4" w:space="0" w:color="auto"/>
              <w:right w:val="single" w:sz="4" w:space="0" w:color="auto"/>
            </w:tcBorders>
            <w:shd w:val="clear" w:color="auto" w:fill="auto"/>
            <w:noWrap/>
            <w:vAlign w:val="bottom"/>
            <w:hideMark/>
          </w:tcPr>
          <w:p w14:paraId="35FBA4F6"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334</w:t>
            </w:r>
          </w:p>
        </w:tc>
        <w:tc>
          <w:tcPr>
            <w:tcW w:w="0" w:type="auto"/>
            <w:tcBorders>
              <w:top w:val="nil"/>
              <w:left w:val="nil"/>
              <w:bottom w:val="single" w:sz="4" w:space="0" w:color="auto"/>
              <w:right w:val="single" w:sz="4" w:space="0" w:color="auto"/>
            </w:tcBorders>
            <w:shd w:val="clear" w:color="auto" w:fill="auto"/>
            <w:noWrap/>
            <w:vAlign w:val="bottom"/>
            <w:hideMark/>
          </w:tcPr>
          <w:p w14:paraId="11F43C26"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52%</w:t>
            </w:r>
          </w:p>
        </w:tc>
        <w:tc>
          <w:tcPr>
            <w:tcW w:w="0" w:type="auto"/>
            <w:tcBorders>
              <w:top w:val="nil"/>
              <w:left w:val="nil"/>
              <w:bottom w:val="single" w:sz="4" w:space="0" w:color="auto"/>
              <w:right w:val="single" w:sz="4" w:space="0" w:color="auto"/>
            </w:tcBorders>
            <w:shd w:val="clear" w:color="auto" w:fill="auto"/>
            <w:noWrap/>
            <w:vAlign w:val="bottom"/>
            <w:hideMark/>
          </w:tcPr>
          <w:p w14:paraId="61B43BEB"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328</w:t>
            </w:r>
          </w:p>
        </w:tc>
        <w:tc>
          <w:tcPr>
            <w:tcW w:w="0" w:type="auto"/>
            <w:tcBorders>
              <w:top w:val="nil"/>
              <w:left w:val="nil"/>
              <w:bottom w:val="single" w:sz="4" w:space="0" w:color="auto"/>
              <w:right w:val="single" w:sz="4" w:space="0" w:color="auto"/>
            </w:tcBorders>
            <w:shd w:val="clear" w:color="auto" w:fill="auto"/>
            <w:noWrap/>
            <w:vAlign w:val="bottom"/>
            <w:hideMark/>
          </w:tcPr>
          <w:p w14:paraId="5A6B9676"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(98.2)</w:t>
            </w:r>
          </w:p>
        </w:tc>
        <w:tc>
          <w:tcPr>
            <w:tcW w:w="0" w:type="auto"/>
            <w:tcBorders>
              <w:top w:val="nil"/>
              <w:left w:val="nil"/>
              <w:bottom w:val="single" w:sz="4" w:space="0" w:color="auto"/>
              <w:right w:val="single" w:sz="4" w:space="0" w:color="auto"/>
            </w:tcBorders>
            <w:shd w:val="clear" w:color="auto" w:fill="auto"/>
            <w:noWrap/>
            <w:vAlign w:val="bottom"/>
            <w:hideMark/>
          </w:tcPr>
          <w:p w14:paraId="6C7822E0"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57DEEECC"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1E7BF907"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150D511F"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3AEDC1FE"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4E37FBCC"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54C3A8BC"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712D1627"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69B7B88C"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482FBFBB"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6ADB3FD9"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54%</w:t>
            </w:r>
          </w:p>
        </w:tc>
      </w:tr>
      <w:tr w:rsidR="0067156B" w:rsidRPr="00BA48F1" w14:paraId="17757DBD" w14:textId="77777777" w:rsidTr="0067156B">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F4806AC"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NORTHBOROUGH</w:t>
            </w:r>
          </w:p>
        </w:tc>
        <w:tc>
          <w:tcPr>
            <w:tcW w:w="0" w:type="auto"/>
            <w:tcBorders>
              <w:top w:val="nil"/>
              <w:left w:val="nil"/>
              <w:bottom w:val="single" w:sz="4" w:space="0" w:color="auto"/>
              <w:right w:val="single" w:sz="4" w:space="0" w:color="auto"/>
            </w:tcBorders>
            <w:shd w:val="clear" w:color="auto" w:fill="auto"/>
            <w:noWrap/>
            <w:vAlign w:val="bottom"/>
            <w:hideMark/>
          </w:tcPr>
          <w:p w14:paraId="0934E182"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372</w:t>
            </w:r>
          </w:p>
        </w:tc>
        <w:tc>
          <w:tcPr>
            <w:tcW w:w="0" w:type="auto"/>
            <w:tcBorders>
              <w:top w:val="nil"/>
              <w:left w:val="nil"/>
              <w:bottom w:val="single" w:sz="4" w:space="0" w:color="auto"/>
              <w:right w:val="single" w:sz="4" w:space="0" w:color="auto"/>
            </w:tcBorders>
            <w:shd w:val="clear" w:color="auto" w:fill="auto"/>
            <w:noWrap/>
            <w:vAlign w:val="bottom"/>
            <w:hideMark/>
          </w:tcPr>
          <w:p w14:paraId="4CBBF6CB"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345</w:t>
            </w:r>
          </w:p>
        </w:tc>
        <w:tc>
          <w:tcPr>
            <w:tcW w:w="0" w:type="auto"/>
            <w:tcBorders>
              <w:top w:val="nil"/>
              <w:left w:val="nil"/>
              <w:bottom w:val="single" w:sz="4" w:space="0" w:color="auto"/>
              <w:right w:val="single" w:sz="4" w:space="0" w:color="auto"/>
            </w:tcBorders>
            <w:shd w:val="clear" w:color="auto" w:fill="auto"/>
            <w:noWrap/>
            <w:vAlign w:val="bottom"/>
            <w:hideMark/>
          </w:tcPr>
          <w:p w14:paraId="61F796EC"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93%</w:t>
            </w:r>
          </w:p>
        </w:tc>
        <w:tc>
          <w:tcPr>
            <w:tcW w:w="0" w:type="auto"/>
            <w:tcBorders>
              <w:top w:val="nil"/>
              <w:left w:val="nil"/>
              <w:bottom w:val="single" w:sz="4" w:space="0" w:color="auto"/>
              <w:right w:val="single" w:sz="4" w:space="0" w:color="auto"/>
            </w:tcBorders>
            <w:shd w:val="clear" w:color="auto" w:fill="auto"/>
            <w:noWrap/>
            <w:vAlign w:val="bottom"/>
            <w:hideMark/>
          </w:tcPr>
          <w:p w14:paraId="7265B904"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344</w:t>
            </w:r>
          </w:p>
        </w:tc>
        <w:tc>
          <w:tcPr>
            <w:tcW w:w="0" w:type="auto"/>
            <w:tcBorders>
              <w:top w:val="nil"/>
              <w:left w:val="nil"/>
              <w:bottom w:val="single" w:sz="4" w:space="0" w:color="auto"/>
              <w:right w:val="single" w:sz="4" w:space="0" w:color="auto"/>
            </w:tcBorders>
            <w:shd w:val="clear" w:color="auto" w:fill="auto"/>
            <w:noWrap/>
            <w:vAlign w:val="bottom"/>
            <w:hideMark/>
          </w:tcPr>
          <w:p w14:paraId="4377D420"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(99.7)</w:t>
            </w:r>
          </w:p>
        </w:tc>
        <w:tc>
          <w:tcPr>
            <w:tcW w:w="0" w:type="auto"/>
            <w:tcBorders>
              <w:top w:val="nil"/>
              <w:left w:val="nil"/>
              <w:bottom w:val="single" w:sz="4" w:space="0" w:color="auto"/>
              <w:right w:val="single" w:sz="4" w:space="0" w:color="auto"/>
            </w:tcBorders>
            <w:shd w:val="clear" w:color="auto" w:fill="auto"/>
            <w:noWrap/>
            <w:vAlign w:val="bottom"/>
            <w:hideMark/>
          </w:tcPr>
          <w:p w14:paraId="6711AB43"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2BE408CD"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663263AE"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362707CB"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1262BAB6"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70A181ED"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7F024892"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15A70366"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433A2B5C"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299E30F4"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34C8D3E3"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62%</w:t>
            </w:r>
          </w:p>
        </w:tc>
      </w:tr>
      <w:tr w:rsidR="0067156B" w:rsidRPr="00BA48F1" w14:paraId="59C7C37F" w14:textId="77777777" w:rsidTr="0067156B">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1658013"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NORTHBRIDGE</w:t>
            </w:r>
          </w:p>
        </w:tc>
        <w:tc>
          <w:tcPr>
            <w:tcW w:w="0" w:type="auto"/>
            <w:tcBorders>
              <w:top w:val="nil"/>
              <w:left w:val="nil"/>
              <w:bottom w:val="single" w:sz="4" w:space="0" w:color="auto"/>
              <w:right w:val="single" w:sz="4" w:space="0" w:color="auto"/>
            </w:tcBorders>
            <w:shd w:val="clear" w:color="auto" w:fill="auto"/>
            <w:noWrap/>
            <w:vAlign w:val="bottom"/>
            <w:hideMark/>
          </w:tcPr>
          <w:p w14:paraId="7DEF0628"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723</w:t>
            </w:r>
          </w:p>
        </w:tc>
        <w:tc>
          <w:tcPr>
            <w:tcW w:w="0" w:type="auto"/>
            <w:tcBorders>
              <w:top w:val="nil"/>
              <w:left w:val="nil"/>
              <w:bottom w:val="single" w:sz="4" w:space="0" w:color="auto"/>
              <w:right w:val="single" w:sz="4" w:space="0" w:color="auto"/>
            </w:tcBorders>
            <w:shd w:val="clear" w:color="auto" w:fill="auto"/>
            <w:noWrap/>
            <w:vAlign w:val="bottom"/>
            <w:hideMark/>
          </w:tcPr>
          <w:p w14:paraId="55CC21A5"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275</w:t>
            </w:r>
          </w:p>
        </w:tc>
        <w:tc>
          <w:tcPr>
            <w:tcW w:w="0" w:type="auto"/>
            <w:tcBorders>
              <w:top w:val="nil"/>
              <w:left w:val="nil"/>
              <w:bottom w:val="single" w:sz="4" w:space="0" w:color="auto"/>
              <w:right w:val="single" w:sz="4" w:space="0" w:color="auto"/>
            </w:tcBorders>
            <w:shd w:val="clear" w:color="auto" w:fill="auto"/>
            <w:noWrap/>
            <w:vAlign w:val="bottom"/>
            <w:hideMark/>
          </w:tcPr>
          <w:p w14:paraId="13338D30"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38%</w:t>
            </w:r>
          </w:p>
        </w:tc>
        <w:tc>
          <w:tcPr>
            <w:tcW w:w="0" w:type="auto"/>
            <w:tcBorders>
              <w:top w:val="nil"/>
              <w:left w:val="nil"/>
              <w:bottom w:val="single" w:sz="4" w:space="0" w:color="auto"/>
              <w:right w:val="single" w:sz="4" w:space="0" w:color="auto"/>
            </w:tcBorders>
            <w:shd w:val="clear" w:color="auto" w:fill="auto"/>
            <w:noWrap/>
            <w:vAlign w:val="bottom"/>
            <w:hideMark/>
          </w:tcPr>
          <w:p w14:paraId="3BBC2089"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268</w:t>
            </w:r>
          </w:p>
        </w:tc>
        <w:tc>
          <w:tcPr>
            <w:tcW w:w="0" w:type="auto"/>
            <w:tcBorders>
              <w:top w:val="nil"/>
              <w:left w:val="nil"/>
              <w:bottom w:val="single" w:sz="4" w:space="0" w:color="auto"/>
              <w:right w:val="single" w:sz="4" w:space="0" w:color="auto"/>
            </w:tcBorders>
            <w:shd w:val="clear" w:color="auto" w:fill="auto"/>
            <w:noWrap/>
            <w:vAlign w:val="bottom"/>
            <w:hideMark/>
          </w:tcPr>
          <w:p w14:paraId="3B390727"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(97.5)</w:t>
            </w:r>
          </w:p>
        </w:tc>
        <w:tc>
          <w:tcPr>
            <w:tcW w:w="0" w:type="auto"/>
            <w:tcBorders>
              <w:top w:val="nil"/>
              <w:left w:val="nil"/>
              <w:bottom w:val="single" w:sz="4" w:space="0" w:color="auto"/>
              <w:right w:val="single" w:sz="4" w:space="0" w:color="auto"/>
            </w:tcBorders>
            <w:shd w:val="clear" w:color="auto" w:fill="auto"/>
            <w:noWrap/>
            <w:vAlign w:val="bottom"/>
            <w:hideMark/>
          </w:tcPr>
          <w:p w14:paraId="15D445C7"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7</w:t>
            </w:r>
          </w:p>
        </w:tc>
        <w:tc>
          <w:tcPr>
            <w:tcW w:w="0" w:type="auto"/>
            <w:tcBorders>
              <w:top w:val="nil"/>
              <w:left w:val="nil"/>
              <w:bottom w:val="single" w:sz="4" w:space="0" w:color="auto"/>
              <w:right w:val="single" w:sz="4" w:space="0" w:color="auto"/>
            </w:tcBorders>
            <w:shd w:val="clear" w:color="auto" w:fill="auto"/>
            <w:noWrap/>
            <w:vAlign w:val="bottom"/>
            <w:hideMark/>
          </w:tcPr>
          <w:p w14:paraId="0B859845"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(2.5)</w:t>
            </w:r>
          </w:p>
        </w:tc>
        <w:tc>
          <w:tcPr>
            <w:tcW w:w="0" w:type="auto"/>
            <w:tcBorders>
              <w:top w:val="nil"/>
              <w:left w:val="nil"/>
              <w:bottom w:val="single" w:sz="4" w:space="0" w:color="auto"/>
              <w:right w:val="single" w:sz="4" w:space="0" w:color="auto"/>
            </w:tcBorders>
            <w:shd w:val="clear" w:color="auto" w:fill="auto"/>
            <w:noWrap/>
            <w:vAlign w:val="bottom"/>
            <w:hideMark/>
          </w:tcPr>
          <w:p w14:paraId="1F2F52A7"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7582A45C"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2FE85981"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7FBE7BE8"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49A46F83"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4456D4B9"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522B98C5"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6D90960E"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5ED984C8"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63%</w:t>
            </w:r>
          </w:p>
        </w:tc>
      </w:tr>
      <w:tr w:rsidR="0067156B" w:rsidRPr="00BA48F1" w14:paraId="6803B539" w14:textId="77777777" w:rsidTr="0067156B">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FA3CCFB"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NORTHFIELD</w:t>
            </w:r>
          </w:p>
        </w:tc>
        <w:tc>
          <w:tcPr>
            <w:tcW w:w="0" w:type="auto"/>
            <w:tcBorders>
              <w:top w:val="nil"/>
              <w:left w:val="nil"/>
              <w:bottom w:val="single" w:sz="4" w:space="0" w:color="auto"/>
              <w:right w:val="single" w:sz="4" w:space="0" w:color="auto"/>
            </w:tcBorders>
            <w:shd w:val="clear" w:color="auto" w:fill="auto"/>
            <w:noWrap/>
            <w:vAlign w:val="bottom"/>
            <w:hideMark/>
          </w:tcPr>
          <w:p w14:paraId="29FB9DF7"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64</w:t>
            </w:r>
          </w:p>
        </w:tc>
        <w:tc>
          <w:tcPr>
            <w:tcW w:w="0" w:type="auto"/>
            <w:tcBorders>
              <w:top w:val="nil"/>
              <w:left w:val="nil"/>
              <w:bottom w:val="single" w:sz="4" w:space="0" w:color="auto"/>
              <w:right w:val="single" w:sz="4" w:space="0" w:color="auto"/>
            </w:tcBorders>
            <w:shd w:val="clear" w:color="auto" w:fill="auto"/>
            <w:noWrap/>
            <w:vAlign w:val="bottom"/>
            <w:hideMark/>
          </w:tcPr>
          <w:p w14:paraId="34E7CBF9"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29</w:t>
            </w:r>
          </w:p>
        </w:tc>
        <w:tc>
          <w:tcPr>
            <w:tcW w:w="0" w:type="auto"/>
            <w:tcBorders>
              <w:top w:val="nil"/>
              <w:left w:val="nil"/>
              <w:bottom w:val="single" w:sz="4" w:space="0" w:color="auto"/>
              <w:right w:val="single" w:sz="4" w:space="0" w:color="auto"/>
            </w:tcBorders>
            <w:shd w:val="clear" w:color="auto" w:fill="auto"/>
            <w:noWrap/>
            <w:vAlign w:val="bottom"/>
            <w:hideMark/>
          </w:tcPr>
          <w:p w14:paraId="3B88CE9F"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45%</w:t>
            </w:r>
          </w:p>
        </w:tc>
        <w:tc>
          <w:tcPr>
            <w:tcW w:w="0" w:type="auto"/>
            <w:tcBorders>
              <w:top w:val="nil"/>
              <w:left w:val="nil"/>
              <w:bottom w:val="single" w:sz="4" w:space="0" w:color="auto"/>
              <w:right w:val="single" w:sz="4" w:space="0" w:color="auto"/>
            </w:tcBorders>
            <w:shd w:val="clear" w:color="auto" w:fill="auto"/>
            <w:noWrap/>
            <w:vAlign w:val="bottom"/>
            <w:hideMark/>
          </w:tcPr>
          <w:p w14:paraId="0A6B8853"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27</w:t>
            </w:r>
          </w:p>
        </w:tc>
        <w:tc>
          <w:tcPr>
            <w:tcW w:w="0" w:type="auto"/>
            <w:tcBorders>
              <w:top w:val="nil"/>
              <w:left w:val="nil"/>
              <w:bottom w:val="single" w:sz="4" w:space="0" w:color="auto"/>
              <w:right w:val="single" w:sz="4" w:space="0" w:color="auto"/>
            </w:tcBorders>
            <w:shd w:val="clear" w:color="auto" w:fill="auto"/>
            <w:noWrap/>
            <w:vAlign w:val="bottom"/>
            <w:hideMark/>
          </w:tcPr>
          <w:p w14:paraId="5A599478"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(93.1)</w:t>
            </w:r>
          </w:p>
        </w:tc>
        <w:tc>
          <w:tcPr>
            <w:tcW w:w="0" w:type="auto"/>
            <w:tcBorders>
              <w:top w:val="nil"/>
              <w:left w:val="nil"/>
              <w:bottom w:val="single" w:sz="4" w:space="0" w:color="auto"/>
              <w:right w:val="single" w:sz="4" w:space="0" w:color="auto"/>
            </w:tcBorders>
            <w:shd w:val="clear" w:color="auto" w:fill="auto"/>
            <w:noWrap/>
            <w:vAlign w:val="bottom"/>
            <w:hideMark/>
          </w:tcPr>
          <w:p w14:paraId="39A1A1E6"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08CCDA63"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35E2B5AC"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556059AE"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6C5D4C03"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523A0D32"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1819059E"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12F938B2"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7E00C446"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7E76B9CC"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2BC2B76E"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44%</w:t>
            </w:r>
          </w:p>
        </w:tc>
      </w:tr>
      <w:tr w:rsidR="0067156B" w:rsidRPr="00BA48F1" w14:paraId="3DDA14D9" w14:textId="77777777" w:rsidTr="0067156B">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14C49BC"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NORTON</w:t>
            </w:r>
          </w:p>
        </w:tc>
        <w:tc>
          <w:tcPr>
            <w:tcW w:w="0" w:type="auto"/>
            <w:tcBorders>
              <w:top w:val="nil"/>
              <w:left w:val="nil"/>
              <w:bottom w:val="single" w:sz="4" w:space="0" w:color="auto"/>
              <w:right w:val="single" w:sz="4" w:space="0" w:color="auto"/>
            </w:tcBorders>
            <w:shd w:val="clear" w:color="auto" w:fill="auto"/>
            <w:noWrap/>
            <w:vAlign w:val="bottom"/>
            <w:hideMark/>
          </w:tcPr>
          <w:p w14:paraId="16B59F12"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605</w:t>
            </w:r>
          </w:p>
        </w:tc>
        <w:tc>
          <w:tcPr>
            <w:tcW w:w="0" w:type="auto"/>
            <w:tcBorders>
              <w:top w:val="nil"/>
              <w:left w:val="nil"/>
              <w:bottom w:val="single" w:sz="4" w:space="0" w:color="auto"/>
              <w:right w:val="single" w:sz="4" w:space="0" w:color="auto"/>
            </w:tcBorders>
            <w:shd w:val="clear" w:color="auto" w:fill="auto"/>
            <w:noWrap/>
            <w:vAlign w:val="bottom"/>
            <w:hideMark/>
          </w:tcPr>
          <w:p w14:paraId="50A42D0F"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360</w:t>
            </w:r>
          </w:p>
        </w:tc>
        <w:tc>
          <w:tcPr>
            <w:tcW w:w="0" w:type="auto"/>
            <w:tcBorders>
              <w:top w:val="nil"/>
              <w:left w:val="nil"/>
              <w:bottom w:val="single" w:sz="4" w:space="0" w:color="auto"/>
              <w:right w:val="single" w:sz="4" w:space="0" w:color="auto"/>
            </w:tcBorders>
            <w:shd w:val="clear" w:color="auto" w:fill="auto"/>
            <w:noWrap/>
            <w:vAlign w:val="bottom"/>
            <w:hideMark/>
          </w:tcPr>
          <w:p w14:paraId="45618924"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60%</w:t>
            </w:r>
          </w:p>
        </w:tc>
        <w:tc>
          <w:tcPr>
            <w:tcW w:w="0" w:type="auto"/>
            <w:tcBorders>
              <w:top w:val="nil"/>
              <w:left w:val="nil"/>
              <w:bottom w:val="single" w:sz="4" w:space="0" w:color="auto"/>
              <w:right w:val="single" w:sz="4" w:space="0" w:color="auto"/>
            </w:tcBorders>
            <w:shd w:val="clear" w:color="auto" w:fill="auto"/>
            <w:noWrap/>
            <w:vAlign w:val="bottom"/>
            <w:hideMark/>
          </w:tcPr>
          <w:p w14:paraId="49D70B1C"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356</w:t>
            </w:r>
          </w:p>
        </w:tc>
        <w:tc>
          <w:tcPr>
            <w:tcW w:w="0" w:type="auto"/>
            <w:tcBorders>
              <w:top w:val="nil"/>
              <w:left w:val="nil"/>
              <w:bottom w:val="single" w:sz="4" w:space="0" w:color="auto"/>
              <w:right w:val="single" w:sz="4" w:space="0" w:color="auto"/>
            </w:tcBorders>
            <w:shd w:val="clear" w:color="auto" w:fill="auto"/>
            <w:noWrap/>
            <w:vAlign w:val="bottom"/>
            <w:hideMark/>
          </w:tcPr>
          <w:p w14:paraId="59D213A0"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(98.9)</w:t>
            </w:r>
          </w:p>
        </w:tc>
        <w:tc>
          <w:tcPr>
            <w:tcW w:w="0" w:type="auto"/>
            <w:tcBorders>
              <w:top w:val="nil"/>
              <w:left w:val="nil"/>
              <w:bottom w:val="single" w:sz="4" w:space="0" w:color="auto"/>
              <w:right w:val="single" w:sz="4" w:space="0" w:color="auto"/>
            </w:tcBorders>
            <w:shd w:val="clear" w:color="auto" w:fill="auto"/>
            <w:noWrap/>
            <w:vAlign w:val="bottom"/>
            <w:hideMark/>
          </w:tcPr>
          <w:p w14:paraId="6B47D4E3"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3DBEFAA8"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62A2D1FA"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1B5E4096"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09E06907"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0129DD4E"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3E1BAFCF"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47347410"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42556347"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60CE6FFC"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6AAB048A"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67%</w:t>
            </w:r>
          </w:p>
        </w:tc>
      </w:tr>
      <w:tr w:rsidR="0067156B" w:rsidRPr="00BA48F1" w14:paraId="07B99279" w14:textId="77777777" w:rsidTr="0067156B">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25EA631"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NORWELL</w:t>
            </w:r>
          </w:p>
        </w:tc>
        <w:tc>
          <w:tcPr>
            <w:tcW w:w="0" w:type="auto"/>
            <w:tcBorders>
              <w:top w:val="nil"/>
              <w:left w:val="nil"/>
              <w:bottom w:val="single" w:sz="4" w:space="0" w:color="auto"/>
              <w:right w:val="single" w:sz="4" w:space="0" w:color="auto"/>
            </w:tcBorders>
            <w:shd w:val="clear" w:color="auto" w:fill="auto"/>
            <w:noWrap/>
            <w:vAlign w:val="bottom"/>
            <w:hideMark/>
          </w:tcPr>
          <w:p w14:paraId="341A8C14"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369</w:t>
            </w:r>
          </w:p>
        </w:tc>
        <w:tc>
          <w:tcPr>
            <w:tcW w:w="0" w:type="auto"/>
            <w:tcBorders>
              <w:top w:val="nil"/>
              <w:left w:val="nil"/>
              <w:bottom w:val="single" w:sz="4" w:space="0" w:color="auto"/>
              <w:right w:val="single" w:sz="4" w:space="0" w:color="auto"/>
            </w:tcBorders>
            <w:shd w:val="clear" w:color="auto" w:fill="auto"/>
            <w:noWrap/>
            <w:vAlign w:val="bottom"/>
            <w:hideMark/>
          </w:tcPr>
          <w:p w14:paraId="797CB2DB"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325</w:t>
            </w:r>
          </w:p>
        </w:tc>
        <w:tc>
          <w:tcPr>
            <w:tcW w:w="0" w:type="auto"/>
            <w:tcBorders>
              <w:top w:val="nil"/>
              <w:left w:val="nil"/>
              <w:bottom w:val="single" w:sz="4" w:space="0" w:color="auto"/>
              <w:right w:val="single" w:sz="4" w:space="0" w:color="auto"/>
            </w:tcBorders>
            <w:shd w:val="clear" w:color="auto" w:fill="auto"/>
            <w:noWrap/>
            <w:vAlign w:val="bottom"/>
            <w:hideMark/>
          </w:tcPr>
          <w:p w14:paraId="3FE6625C"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88%</w:t>
            </w:r>
          </w:p>
        </w:tc>
        <w:tc>
          <w:tcPr>
            <w:tcW w:w="0" w:type="auto"/>
            <w:tcBorders>
              <w:top w:val="nil"/>
              <w:left w:val="nil"/>
              <w:bottom w:val="single" w:sz="4" w:space="0" w:color="auto"/>
              <w:right w:val="single" w:sz="4" w:space="0" w:color="auto"/>
            </w:tcBorders>
            <w:shd w:val="clear" w:color="auto" w:fill="auto"/>
            <w:noWrap/>
            <w:vAlign w:val="bottom"/>
            <w:hideMark/>
          </w:tcPr>
          <w:p w14:paraId="0458455B"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324</w:t>
            </w:r>
          </w:p>
        </w:tc>
        <w:tc>
          <w:tcPr>
            <w:tcW w:w="0" w:type="auto"/>
            <w:tcBorders>
              <w:top w:val="nil"/>
              <w:left w:val="nil"/>
              <w:bottom w:val="single" w:sz="4" w:space="0" w:color="auto"/>
              <w:right w:val="single" w:sz="4" w:space="0" w:color="auto"/>
            </w:tcBorders>
            <w:shd w:val="clear" w:color="auto" w:fill="auto"/>
            <w:noWrap/>
            <w:vAlign w:val="bottom"/>
            <w:hideMark/>
          </w:tcPr>
          <w:p w14:paraId="4969770B"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(99.7)</w:t>
            </w:r>
          </w:p>
        </w:tc>
        <w:tc>
          <w:tcPr>
            <w:tcW w:w="0" w:type="auto"/>
            <w:tcBorders>
              <w:top w:val="nil"/>
              <w:left w:val="nil"/>
              <w:bottom w:val="single" w:sz="4" w:space="0" w:color="auto"/>
              <w:right w:val="single" w:sz="4" w:space="0" w:color="auto"/>
            </w:tcBorders>
            <w:shd w:val="clear" w:color="auto" w:fill="auto"/>
            <w:noWrap/>
            <w:vAlign w:val="bottom"/>
            <w:hideMark/>
          </w:tcPr>
          <w:p w14:paraId="6E08C9AB"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622D9BCE"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0ABF2341"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61B819ED"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6EC78478"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7731D498"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4DB5C5BA"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516F49CF"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356F70DA"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0F492F31"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05A43608"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77%</w:t>
            </w:r>
          </w:p>
        </w:tc>
      </w:tr>
      <w:tr w:rsidR="0067156B" w:rsidRPr="00BA48F1" w14:paraId="28FF06A9" w14:textId="77777777" w:rsidTr="005E6FB1">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534DCF5"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NORWOOD</w:t>
            </w:r>
          </w:p>
        </w:tc>
        <w:tc>
          <w:tcPr>
            <w:tcW w:w="0" w:type="auto"/>
            <w:tcBorders>
              <w:top w:val="nil"/>
              <w:left w:val="nil"/>
              <w:bottom w:val="single" w:sz="4" w:space="0" w:color="auto"/>
              <w:right w:val="single" w:sz="4" w:space="0" w:color="auto"/>
            </w:tcBorders>
            <w:shd w:val="clear" w:color="auto" w:fill="auto"/>
            <w:noWrap/>
            <w:vAlign w:val="bottom"/>
            <w:hideMark/>
          </w:tcPr>
          <w:p w14:paraId="080D9B44"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1,212</w:t>
            </w:r>
          </w:p>
        </w:tc>
        <w:tc>
          <w:tcPr>
            <w:tcW w:w="0" w:type="auto"/>
            <w:tcBorders>
              <w:top w:val="nil"/>
              <w:left w:val="nil"/>
              <w:bottom w:val="single" w:sz="4" w:space="0" w:color="auto"/>
              <w:right w:val="single" w:sz="4" w:space="0" w:color="auto"/>
            </w:tcBorders>
            <w:shd w:val="clear" w:color="auto" w:fill="auto"/>
            <w:noWrap/>
            <w:vAlign w:val="bottom"/>
            <w:hideMark/>
          </w:tcPr>
          <w:p w14:paraId="0D0A47B6"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842</w:t>
            </w:r>
          </w:p>
        </w:tc>
        <w:tc>
          <w:tcPr>
            <w:tcW w:w="0" w:type="auto"/>
            <w:tcBorders>
              <w:top w:val="nil"/>
              <w:left w:val="nil"/>
              <w:bottom w:val="single" w:sz="4" w:space="0" w:color="auto"/>
              <w:right w:val="single" w:sz="4" w:space="0" w:color="auto"/>
            </w:tcBorders>
            <w:shd w:val="clear" w:color="auto" w:fill="auto"/>
            <w:noWrap/>
            <w:vAlign w:val="bottom"/>
            <w:hideMark/>
          </w:tcPr>
          <w:p w14:paraId="5E6DD9F2"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69%</w:t>
            </w:r>
          </w:p>
        </w:tc>
        <w:tc>
          <w:tcPr>
            <w:tcW w:w="0" w:type="auto"/>
            <w:tcBorders>
              <w:top w:val="nil"/>
              <w:left w:val="nil"/>
              <w:bottom w:val="single" w:sz="4" w:space="0" w:color="auto"/>
              <w:right w:val="single" w:sz="4" w:space="0" w:color="auto"/>
            </w:tcBorders>
            <w:shd w:val="clear" w:color="auto" w:fill="auto"/>
            <w:noWrap/>
            <w:vAlign w:val="bottom"/>
            <w:hideMark/>
          </w:tcPr>
          <w:p w14:paraId="374F0809"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826</w:t>
            </w:r>
          </w:p>
        </w:tc>
        <w:tc>
          <w:tcPr>
            <w:tcW w:w="0" w:type="auto"/>
            <w:tcBorders>
              <w:top w:val="nil"/>
              <w:left w:val="nil"/>
              <w:bottom w:val="single" w:sz="4" w:space="0" w:color="auto"/>
              <w:right w:val="single" w:sz="4" w:space="0" w:color="auto"/>
            </w:tcBorders>
            <w:shd w:val="clear" w:color="auto" w:fill="auto"/>
            <w:noWrap/>
            <w:vAlign w:val="bottom"/>
            <w:hideMark/>
          </w:tcPr>
          <w:p w14:paraId="6DF4030E"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(98.1)</w:t>
            </w:r>
          </w:p>
        </w:tc>
        <w:tc>
          <w:tcPr>
            <w:tcW w:w="0" w:type="auto"/>
            <w:tcBorders>
              <w:top w:val="nil"/>
              <w:left w:val="nil"/>
              <w:bottom w:val="single" w:sz="4" w:space="0" w:color="auto"/>
              <w:right w:val="single" w:sz="4" w:space="0" w:color="auto"/>
            </w:tcBorders>
            <w:shd w:val="clear" w:color="auto" w:fill="auto"/>
            <w:noWrap/>
            <w:vAlign w:val="bottom"/>
            <w:hideMark/>
          </w:tcPr>
          <w:p w14:paraId="45261C5B"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13</w:t>
            </w:r>
          </w:p>
        </w:tc>
        <w:tc>
          <w:tcPr>
            <w:tcW w:w="0" w:type="auto"/>
            <w:tcBorders>
              <w:top w:val="nil"/>
              <w:left w:val="nil"/>
              <w:bottom w:val="single" w:sz="4" w:space="0" w:color="auto"/>
              <w:right w:val="single" w:sz="4" w:space="0" w:color="auto"/>
            </w:tcBorders>
            <w:shd w:val="clear" w:color="auto" w:fill="auto"/>
            <w:noWrap/>
            <w:vAlign w:val="bottom"/>
            <w:hideMark/>
          </w:tcPr>
          <w:p w14:paraId="621ABB07"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(1.5)</w:t>
            </w:r>
          </w:p>
        </w:tc>
        <w:tc>
          <w:tcPr>
            <w:tcW w:w="0" w:type="auto"/>
            <w:tcBorders>
              <w:top w:val="nil"/>
              <w:left w:val="nil"/>
              <w:bottom w:val="single" w:sz="4" w:space="0" w:color="auto"/>
              <w:right w:val="single" w:sz="4" w:space="0" w:color="auto"/>
            </w:tcBorders>
            <w:shd w:val="clear" w:color="auto" w:fill="auto"/>
            <w:noWrap/>
            <w:vAlign w:val="bottom"/>
            <w:hideMark/>
          </w:tcPr>
          <w:p w14:paraId="3685F1EE"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4B9F1100"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305C092A"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55D853C4"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6712794A"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11</w:t>
            </w:r>
          </w:p>
        </w:tc>
        <w:tc>
          <w:tcPr>
            <w:tcW w:w="0" w:type="auto"/>
            <w:tcBorders>
              <w:top w:val="nil"/>
              <w:left w:val="nil"/>
              <w:bottom w:val="single" w:sz="4" w:space="0" w:color="auto"/>
              <w:right w:val="single" w:sz="4" w:space="0" w:color="auto"/>
            </w:tcBorders>
            <w:shd w:val="clear" w:color="auto" w:fill="auto"/>
            <w:noWrap/>
            <w:vAlign w:val="bottom"/>
            <w:hideMark/>
          </w:tcPr>
          <w:p w14:paraId="4AC40C16"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(1.3)</w:t>
            </w:r>
          </w:p>
        </w:tc>
        <w:tc>
          <w:tcPr>
            <w:tcW w:w="0" w:type="auto"/>
            <w:tcBorders>
              <w:top w:val="nil"/>
              <w:left w:val="nil"/>
              <w:bottom w:val="single" w:sz="4" w:space="0" w:color="auto"/>
              <w:right w:val="single" w:sz="4" w:space="0" w:color="auto"/>
            </w:tcBorders>
            <w:shd w:val="clear" w:color="auto" w:fill="auto"/>
            <w:noWrap/>
            <w:vAlign w:val="bottom"/>
            <w:hideMark/>
          </w:tcPr>
          <w:p w14:paraId="5E1079AA"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39184826"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7394A807"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43%</w:t>
            </w:r>
          </w:p>
        </w:tc>
      </w:tr>
      <w:tr w:rsidR="0067156B" w:rsidRPr="00BA48F1" w14:paraId="130F79BB" w14:textId="77777777" w:rsidTr="005E6FB1">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AF4D72"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OAK BLUFFS</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123AF645"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177</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7B065F19"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59</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3E7B3E77"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33%</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191822CA"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58</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4DFB64C4"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(98.3)</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405594AF"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2E35E37A"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64649A5B"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02828980"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64E1B150"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415C44A6"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0BC26515"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3BAC82C3"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64214C27"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6C7361C9"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217B5242"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42%</w:t>
            </w:r>
          </w:p>
        </w:tc>
      </w:tr>
      <w:tr w:rsidR="0067156B" w:rsidRPr="00BA48F1" w14:paraId="288F567B" w14:textId="77777777" w:rsidTr="005E6FB1">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BDC6E9"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OAKHAM</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3284B987"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41</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28CE4490"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18</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0C291DF6"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44%</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206F0B16"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18</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5F08FE9E"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(100.0)</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771CD301"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27D7C4E0"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1BA8946D"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2D52E547"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603299CD"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1043327B"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7CF44676"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42401C65"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308E2E87"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599BB0BB"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44D7DEE8"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73%</w:t>
            </w:r>
          </w:p>
        </w:tc>
      </w:tr>
      <w:tr w:rsidR="0067156B" w:rsidRPr="00BA48F1" w14:paraId="234983FD" w14:textId="77777777" w:rsidTr="0067156B">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F56B40"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lastRenderedPageBreak/>
              <w:t>ORANGE</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6B20436D"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275</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4FC789E2"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72</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3501827C"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26%</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15F7B1A8"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65</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5A672F01"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(90.3)</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43832350"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6</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18EE87C3"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(8.3)</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11DAF333"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17B09737"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6CA5C87C"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2F091D08"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0BAB899C"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4ECAE702"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590D208D"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67A69F7B"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7E411EDA"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57%</w:t>
            </w:r>
          </w:p>
        </w:tc>
      </w:tr>
      <w:tr w:rsidR="0067156B" w:rsidRPr="00BA48F1" w14:paraId="42556A46" w14:textId="77777777" w:rsidTr="0067156B">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6593EE0"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ORLEANS</w:t>
            </w:r>
          </w:p>
        </w:tc>
        <w:tc>
          <w:tcPr>
            <w:tcW w:w="0" w:type="auto"/>
            <w:tcBorders>
              <w:top w:val="nil"/>
              <w:left w:val="nil"/>
              <w:bottom w:val="single" w:sz="4" w:space="0" w:color="auto"/>
              <w:right w:val="single" w:sz="4" w:space="0" w:color="auto"/>
            </w:tcBorders>
            <w:shd w:val="clear" w:color="auto" w:fill="auto"/>
            <w:noWrap/>
            <w:vAlign w:val="bottom"/>
            <w:hideMark/>
          </w:tcPr>
          <w:p w14:paraId="38CDF988"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84</w:t>
            </w:r>
          </w:p>
        </w:tc>
        <w:tc>
          <w:tcPr>
            <w:tcW w:w="0" w:type="auto"/>
            <w:tcBorders>
              <w:top w:val="nil"/>
              <w:left w:val="nil"/>
              <w:bottom w:val="single" w:sz="4" w:space="0" w:color="auto"/>
              <w:right w:val="single" w:sz="4" w:space="0" w:color="auto"/>
            </w:tcBorders>
            <w:shd w:val="clear" w:color="auto" w:fill="auto"/>
            <w:noWrap/>
            <w:vAlign w:val="bottom"/>
            <w:hideMark/>
          </w:tcPr>
          <w:p w14:paraId="50EAAE4C"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42</w:t>
            </w:r>
          </w:p>
        </w:tc>
        <w:tc>
          <w:tcPr>
            <w:tcW w:w="0" w:type="auto"/>
            <w:tcBorders>
              <w:top w:val="nil"/>
              <w:left w:val="nil"/>
              <w:bottom w:val="single" w:sz="4" w:space="0" w:color="auto"/>
              <w:right w:val="single" w:sz="4" w:space="0" w:color="auto"/>
            </w:tcBorders>
            <w:shd w:val="clear" w:color="auto" w:fill="auto"/>
            <w:noWrap/>
            <w:vAlign w:val="bottom"/>
            <w:hideMark/>
          </w:tcPr>
          <w:p w14:paraId="562D75EC"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50%</w:t>
            </w:r>
          </w:p>
        </w:tc>
        <w:tc>
          <w:tcPr>
            <w:tcW w:w="0" w:type="auto"/>
            <w:tcBorders>
              <w:top w:val="nil"/>
              <w:left w:val="nil"/>
              <w:bottom w:val="single" w:sz="4" w:space="0" w:color="auto"/>
              <w:right w:val="single" w:sz="4" w:space="0" w:color="auto"/>
            </w:tcBorders>
            <w:shd w:val="clear" w:color="auto" w:fill="auto"/>
            <w:noWrap/>
            <w:vAlign w:val="bottom"/>
            <w:hideMark/>
          </w:tcPr>
          <w:p w14:paraId="2911B02F"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40</w:t>
            </w:r>
          </w:p>
        </w:tc>
        <w:tc>
          <w:tcPr>
            <w:tcW w:w="0" w:type="auto"/>
            <w:tcBorders>
              <w:top w:val="nil"/>
              <w:left w:val="nil"/>
              <w:bottom w:val="single" w:sz="4" w:space="0" w:color="auto"/>
              <w:right w:val="single" w:sz="4" w:space="0" w:color="auto"/>
            </w:tcBorders>
            <w:shd w:val="clear" w:color="auto" w:fill="auto"/>
            <w:noWrap/>
            <w:vAlign w:val="bottom"/>
            <w:hideMark/>
          </w:tcPr>
          <w:p w14:paraId="26A0BF90"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(95.2)</w:t>
            </w:r>
          </w:p>
        </w:tc>
        <w:tc>
          <w:tcPr>
            <w:tcW w:w="0" w:type="auto"/>
            <w:tcBorders>
              <w:top w:val="nil"/>
              <w:left w:val="nil"/>
              <w:bottom w:val="single" w:sz="4" w:space="0" w:color="auto"/>
              <w:right w:val="single" w:sz="4" w:space="0" w:color="auto"/>
            </w:tcBorders>
            <w:shd w:val="clear" w:color="auto" w:fill="auto"/>
            <w:noWrap/>
            <w:vAlign w:val="bottom"/>
            <w:hideMark/>
          </w:tcPr>
          <w:p w14:paraId="7FE1AB89"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0F7E97C4"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0690EA63"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007C8394"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43D06D4D"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2DFE0714"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056262FC"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2A7C136C"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7501E0B6"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64169516"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51624748"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61%</w:t>
            </w:r>
          </w:p>
        </w:tc>
      </w:tr>
      <w:tr w:rsidR="0067156B" w:rsidRPr="00BA48F1" w14:paraId="16E6532A" w14:textId="77777777" w:rsidTr="0067156B">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1DAE674"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OTIS</w:t>
            </w:r>
          </w:p>
        </w:tc>
        <w:tc>
          <w:tcPr>
            <w:tcW w:w="0" w:type="auto"/>
            <w:tcBorders>
              <w:top w:val="nil"/>
              <w:left w:val="nil"/>
              <w:bottom w:val="single" w:sz="4" w:space="0" w:color="auto"/>
              <w:right w:val="single" w:sz="4" w:space="0" w:color="auto"/>
            </w:tcBorders>
            <w:shd w:val="clear" w:color="auto" w:fill="auto"/>
            <w:noWrap/>
            <w:vAlign w:val="bottom"/>
            <w:hideMark/>
          </w:tcPr>
          <w:p w14:paraId="25C7E6FB"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43</w:t>
            </w:r>
          </w:p>
        </w:tc>
        <w:tc>
          <w:tcPr>
            <w:tcW w:w="0" w:type="auto"/>
            <w:tcBorders>
              <w:top w:val="nil"/>
              <w:left w:val="nil"/>
              <w:bottom w:val="single" w:sz="4" w:space="0" w:color="auto"/>
              <w:right w:val="single" w:sz="4" w:space="0" w:color="auto"/>
            </w:tcBorders>
            <w:shd w:val="clear" w:color="auto" w:fill="auto"/>
            <w:noWrap/>
            <w:vAlign w:val="bottom"/>
            <w:hideMark/>
          </w:tcPr>
          <w:p w14:paraId="00F4E1CF"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19</w:t>
            </w:r>
          </w:p>
        </w:tc>
        <w:tc>
          <w:tcPr>
            <w:tcW w:w="0" w:type="auto"/>
            <w:tcBorders>
              <w:top w:val="nil"/>
              <w:left w:val="nil"/>
              <w:bottom w:val="single" w:sz="4" w:space="0" w:color="auto"/>
              <w:right w:val="single" w:sz="4" w:space="0" w:color="auto"/>
            </w:tcBorders>
            <w:shd w:val="clear" w:color="auto" w:fill="auto"/>
            <w:noWrap/>
            <w:vAlign w:val="bottom"/>
            <w:hideMark/>
          </w:tcPr>
          <w:p w14:paraId="4D8785A2"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44%</w:t>
            </w:r>
          </w:p>
        </w:tc>
        <w:tc>
          <w:tcPr>
            <w:tcW w:w="0" w:type="auto"/>
            <w:tcBorders>
              <w:top w:val="nil"/>
              <w:left w:val="nil"/>
              <w:bottom w:val="single" w:sz="4" w:space="0" w:color="auto"/>
              <w:right w:val="single" w:sz="4" w:space="0" w:color="auto"/>
            </w:tcBorders>
            <w:shd w:val="clear" w:color="auto" w:fill="auto"/>
            <w:noWrap/>
            <w:vAlign w:val="bottom"/>
            <w:hideMark/>
          </w:tcPr>
          <w:p w14:paraId="631E83F9"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18</w:t>
            </w:r>
          </w:p>
        </w:tc>
        <w:tc>
          <w:tcPr>
            <w:tcW w:w="0" w:type="auto"/>
            <w:tcBorders>
              <w:top w:val="nil"/>
              <w:left w:val="nil"/>
              <w:bottom w:val="single" w:sz="4" w:space="0" w:color="auto"/>
              <w:right w:val="single" w:sz="4" w:space="0" w:color="auto"/>
            </w:tcBorders>
            <w:shd w:val="clear" w:color="auto" w:fill="auto"/>
            <w:noWrap/>
            <w:vAlign w:val="bottom"/>
            <w:hideMark/>
          </w:tcPr>
          <w:p w14:paraId="24B9D0E2"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(94.7)</w:t>
            </w:r>
          </w:p>
        </w:tc>
        <w:tc>
          <w:tcPr>
            <w:tcW w:w="0" w:type="auto"/>
            <w:tcBorders>
              <w:top w:val="nil"/>
              <w:left w:val="nil"/>
              <w:bottom w:val="single" w:sz="4" w:space="0" w:color="auto"/>
              <w:right w:val="single" w:sz="4" w:space="0" w:color="auto"/>
            </w:tcBorders>
            <w:shd w:val="clear" w:color="auto" w:fill="auto"/>
            <w:noWrap/>
            <w:vAlign w:val="bottom"/>
            <w:hideMark/>
          </w:tcPr>
          <w:p w14:paraId="078F3763"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1C4C76CE"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3C768C43"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2AEFAE7F"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480614E7"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2C5CC8CC"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7E8FFCA4"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74DC2B2B"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3D70F9BF"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3229E83C"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0CBF0317"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62%</w:t>
            </w:r>
          </w:p>
        </w:tc>
      </w:tr>
      <w:tr w:rsidR="0067156B" w:rsidRPr="00BA48F1" w14:paraId="4CC696E5" w14:textId="77777777" w:rsidTr="0067156B">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D112284"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OXFORD</w:t>
            </w:r>
          </w:p>
        </w:tc>
        <w:tc>
          <w:tcPr>
            <w:tcW w:w="0" w:type="auto"/>
            <w:tcBorders>
              <w:top w:val="nil"/>
              <w:left w:val="nil"/>
              <w:bottom w:val="single" w:sz="4" w:space="0" w:color="auto"/>
              <w:right w:val="single" w:sz="4" w:space="0" w:color="auto"/>
            </w:tcBorders>
            <w:shd w:val="clear" w:color="auto" w:fill="auto"/>
            <w:noWrap/>
            <w:vAlign w:val="bottom"/>
            <w:hideMark/>
          </w:tcPr>
          <w:p w14:paraId="3565D488"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457</w:t>
            </w:r>
          </w:p>
        </w:tc>
        <w:tc>
          <w:tcPr>
            <w:tcW w:w="0" w:type="auto"/>
            <w:tcBorders>
              <w:top w:val="nil"/>
              <w:left w:val="nil"/>
              <w:bottom w:val="single" w:sz="4" w:space="0" w:color="auto"/>
              <w:right w:val="single" w:sz="4" w:space="0" w:color="auto"/>
            </w:tcBorders>
            <w:shd w:val="clear" w:color="auto" w:fill="auto"/>
            <w:noWrap/>
            <w:vAlign w:val="bottom"/>
            <w:hideMark/>
          </w:tcPr>
          <w:p w14:paraId="1E973030"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261</w:t>
            </w:r>
          </w:p>
        </w:tc>
        <w:tc>
          <w:tcPr>
            <w:tcW w:w="0" w:type="auto"/>
            <w:tcBorders>
              <w:top w:val="nil"/>
              <w:left w:val="nil"/>
              <w:bottom w:val="single" w:sz="4" w:space="0" w:color="auto"/>
              <w:right w:val="single" w:sz="4" w:space="0" w:color="auto"/>
            </w:tcBorders>
            <w:shd w:val="clear" w:color="auto" w:fill="auto"/>
            <w:noWrap/>
            <w:vAlign w:val="bottom"/>
            <w:hideMark/>
          </w:tcPr>
          <w:p w14:paraId="29205F8E"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57%</w:t>
            </w:r>
          </w:p>
        </w:tc>
        <w:tc>
          <w:tcPr>
            <w:tcW w:w="0" w:type="auto"/>
            <w:tcBorders>
              <w:top w:val="nil"/>
              <w:left w:val="nil"/>
              <w:bottom w:val="single" w:sz="4" w:space="0" w:color="auto"/>
              <w:right w:val="single" w:sz="4" w:space="0" w:color="auto"/>
            </w:tcBorders>
            <w:shd w:val="clear" w:color="auto" w:fill="auto"/>
            <w:noWrap/>
            <w:vAlign w:val="bottom"/>
            <w:hideMark/>
          </w:tcPr>
          <w:p w14:paraId="59FE9450"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259</w:t>
            </w:r>
          </w:p>
        </w:tc>
        <w:tc>
          <w:tcPr>
            <w:tcW w:w="0" w:type="auto"/>
            <w:tcBorders>
              <w:top w:val="nil"/>
              <w:left w:val="nil"/>
              <w:bottom w:val="single" w:sz="4" w:space="0" w:color="auto"/>
              <w:right w:val="single" w:sz="4" w:space="0" w:color="auto"/>
            </w:tcBorders>
            <w:shd w:val="clear" w:color="auto" w:fill="auto"/>
            <w:noWrap/>
            <w:vAlign w:val="bottom"/>
            <w:hideMark/>
          </w:tcPr>
          <w:p w14:paraId="168CB714"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(99.2)</w:t>
            </w:r>
          </w:p>
        </w:tc>
        <w:tc>
          <w:tcPr>
            <w:tcW w:w="0" w:type="auto"/>
            <w:tcBorders>
              <w:top w:val="nil"/>
              <w:left w:val="nil"/>
              <w:bottom w:val="single" w:sz="4" w:space="0" w:color="auto"/>
              <w:right w:val="single" w:sz="4" w:space="0" w:color="auto"/>
            </w:tcBorders>
            <w:shd w:val="clear" w:color="auto" w:fill="auto"/>
            <w:noWrap/>
            <w:vAlign w:val="bottom"/>
            <w:hideMark/>
          </w:tcPr>
          <w:p w14:paraId="2F5830F7"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655B3E22"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786B8659"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500E0908"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457D45C2"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71E9F2BF"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37129055"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5E37EBF6"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22642977"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77977FB0"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0A0A6B64"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70%</w:t>
            </w:r>
          </w:p>
        </w:tc>
      </w:tr>
      <w:tr w:rsidR="0067156B" w:rsidRPr="00BA48F1" w14:paraId="7003B379" w14:textId="77777777" w:rsidTr="0067156B">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997B88A"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PALMER</w:t>
            </w:r>
          </w:p>
        </w:tc>
        <w:tc>
          <w:tcPr>
            <w:tcW w:w="0" w:type="auto"/>
            <w:tcBorders>
              <w:top w:val="nil"/>
              <w:left w:val="nil"/>
              <w:bottom w:val="single" w:sz="4" w:space="0" w:color="auto"/>
              <w:right w:val="single" w:sz="4" w:space="0" w:color="auto"/>
            </w:tcBorders>
            <w:shd w:val="clear" w:color="auto" w:fill="auto"/>
            <w:noWrap/>
            <w:vAlign w:val="bottom"/>
            <w:hideMark/>
          </w:tcPr>
          <w:p w14:paraId="4C8F6ECF"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334</w:t>
            </w:r>
          </w:p>
        </w:tc>
        <w:tc>
          <w:tcPr>
            <w:tcW w:w="0" w:type="auto"/>
            <w:tcBorders>
              <w:top w:val="nil"/>
              <w:left w:val="nil"/>
              <w:bottom w:val="single" w:sz="4" w:space="0" w:color="auto"/>
              <w:right w:val="single" w:sz="4" w:space="0" w:color="auto"/>
            </w:tcBorders>
            <w:shd w:val="clear" w:color="auto" w:fill="auto"/>
            <w:noWrap/>
            <w:vAlign w:val="bottom"/>
            <w:hideMark/>
          </w:tcPr>
          <w:p w14:paraId="359ACB99"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236</w:t>
            </w:r>
          </w:p>
        </w:tc>
        <w:tc>
          <w:tcPr>
            <w:tcW w:w="0" w:type="auto"/>
            <w:tcBorders>
              <w:top w:val="nil"/>
              <w:left w:val="nil"/>
              <w:bottom w:val="single" w:sz="4" w:space="0" w:color="auto"/>
              <w:right w:val="single" w:sz="4" w:space="0" w:color="auto"/>
            </w:tcBorders>
            <w:shd w:val="clear" w:color="auto" w:fill="auto"/>
            <w:noWrap/>
            <w:vAlign w:val="bottom"/>
            <w:hideMark/>
          </w:tcPr>
          <w:p w14:paraId="0E81829A"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71%</w:t>
            </w:r>
          </w:p>
        </w:tc>
        <w:tc>
          <w:tcPr>
            <w:tcW w:w="0" w:type="auto"/>
            <w:tcBorders>
              <w:top w:val="nil"/>
              <w:left w:val="nil"/>
              <w:bottom w:val="single" w:sz="4" w:space="0" w:color="auto"/>
              <w:right w:val="single" w:sz="4" w:space="0" w:color="auto"/>
            </w:tcBorders>
            <w:shd w:val="clear" w:color="auto" w:fill="auto"/>
            <w:noWrap/>
            <w:vAlign w:val="bottom"/>
            <w:hideMark/>
          </w:tcPr>
          <w:p w14:paraId="197C1581"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226</w:t>
            </w:r>
          </w:p>
        </w:tc>
        <w:tc>
          <w:tcPr>
            <w:tcW w:w="0" w:type="auto"/>
            <w:tcBorders>
              <w:top w:val="nil"/>
              <w:left w:val="nil"/>
              <w:bottom w:val="single" w:sz="4" w:space="0" w:color="auto"/>
              <w:right w:val="single" w:sz="4" w:space="0" w:color="auto"/>
            </w:tcBorders>
            <w:shd w:val="clear" w:color="auto" w:fill="auto"/>
            <w:noWrap/>
            <w:vAlign w:val="bottom"/>
            <w:hideMark/>
          </w:tcPr>
          <w:p w14:paraId="4851BB3F"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(95.8)</w:t>
            </w:r>
          </w:p>
        </w:tc>
        <w:tc>
          <w:tcPr>
            <w:tcW w:w="0" w:type="auto"/>
            <w:tcBorders>
              <w:top w:val="nil"/>
              <w:left w:val="nil"/>
              <w:bottom w:val="single" w:sz="4" w:space="0" w:color="auto"/>
              <w:right w:val="single" w:sz="4" w:space="0" w:color="auto"/>
            </w:tcBorders>
            <w:shd w:val="clear" w:color="auto" w:fill="auto"/>
            <w:noWrap/>
            <w:vAlign w:val="bottom"/>
            <w:hideMark/>
          </w:tcPr>
          <w:p w14:paraId="0289415F"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7</w:t>
            </w:r>
          </w:p>
        </w:tc>
        <w:tc>
          <w:tcPr>
            <w:tcW w:w="0" w:type="auto"/>
            <w:tcBorders>
              <w:top w:val="nil"/>
              <w:left w:val="nil"/>
              <w:bottom w:val="single" w:sz="4" w:space="0" w:color="auto"/>
              <w:right w:val="single" w:sz="4" w:space="0" w:color="auto"/>
            </w:tcBorders>
            <w:shd w:val="clear" w:color="auto" w:fill="auto"/>
            <w:noWrap/>
            <w:vAlign w:val="bottom"/>
            <w:hideMark/>
          </w:tcPr>
          <w:p w14:paraId="669D990D"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(3.0)</w:t>
            </w:r>
          </w:p>
        </w:tc>
        <w:tc>
          <w:tcPr>
            <w:tcW w:w="0" w:type="auto"/>
            <w:tcBorders>
              <w:top w:val="nil"/>
              <w:left w:val="nil"/>
              <w:bottom w:val="single" w:sz="4" w:space="0" w:color="auto"/>
              <w:right w:val="single" w:sz="4" w:space="0" w:color="auto"/>
            </w:tcBorders>
            <w:shd w:val="clear" w:color="auto" w:fill="auto"/>
            <w:noWrap/>
            <w:vAlign w:val="bottom"/>
            <w:hideMark/>
          </w:tcPr>
          <w:p w14:paraId="470562C3"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34AAB7EB"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145E8D7D"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0A66A318"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1E8B896A"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9</w:t>
            </w:r>
          </w:p>
        </w:tc>
        <w:tc>
          <w:tcPr>
            <w:tcW w:w="0" w:type="auto"/>
            <w:tcBorders>
              <w:top w:val="nil"/>
              <w:left w:val="nil"/>
              <w:bottom w:val="single" w:sz="4" w:space="0" w:color="auto"/>
              <w:right w:val="single" w:sz="4" w:space="0" w:color="auto"/>
            </w:tcBorders>
            <w:shd w:val="clear" w:color="auto" w:fill="auto"/>
            <w:noWrap/>
            <w:vAlign w:val="bottom"/>
            <w:hideMark/>
          </w:tcPr>
          <w:p w14:paraId="6A237C19"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(3.8)</w:t>
            </w:r>
          </w:p>
        </w:tc>
        <w:tc>
          <w:tcPr>
            <w:tcW w:w="0" w:type="auto"/>
            <w:tcBorders>
              <w:top w:val="nil"/>
              <w:left w:val="nil"/>
              <w:bottom w:val="single" w:sz="4" w:space="0" w:color="auto"/>
              <w:right w:val="single" w:sz="4" w:space="0" w:color="auto"/>
            </w:tcBorders>
            <w:shd w:val="clear" w:color="auto" w:fill="auto"/>
            <w:noWrap/>
            <w:vAlign w:val="bottom"/>
            <w:hideMark/>
          </w:tcPr>
          <w:p w14:paraId="6E5CCE0E"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7959DC67"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07695C39"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70%</w:t>
            </w:r>
          </w:p>
        </w:tc>
      </w:tr>
      <w:tr w:rsidR="0067156B" w:rsidRPr="00BA48F1" w14:paraId="7AA27B20" w14:textId="77777777" w:rsidTr="0067156B">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9090EB5"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PAXTON</w:t>
            </w:r>
          </w:p>
        </w:tc>
        <w:tc>
          <w:tcPr>
            <w:tcW w:w="0" w:type="auto"/>
            <w:tcBorders>
              <w:top w:val="nil"/>
              <w:left w:val="nil"/>
              <w:bottom w:val="single" w:sz="4" w:space="0" w:color="auto"/>
              <w:right w:val="single" w:sz="4" w:space="0" w:color="auto"/>
            </w:tcBorders>
            <w:shd w:val="clear" w:color="auto" w:fill="auto"/>
            <w:noWrap/>
            <w:vAlign w:val="bottom"/>
            <w:hideMark/>
          </w:tcPr>
          <w:p w14:paraId="4B86295E"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144</w:t>
            </w:r>
          </w:p>
        </w:tc>
        <w:tc>
          <w:tcPr>
            <w:tcW w:w="0" w:type="auto"/>
            <w:tcBorders>
              <w:top w:val="nil"/>
              <w:left w:val="nil"/>
              <w:bottom w:val="single" w:sz="4" w:space="0" w:color="auto"/>
              <w:right w:val="single" w:sz="4" w:space="0" w:color="auto"/>
            </w:tcBorders>
            <w:shd w:val="clear" w:color="auto" w:fill="auto"/>
            <w:noWrap/>
            <w:vAlign w:val="bottom"/>
            <w:hideMark/>
          </w:tcPr>
          <w:p w14:paraId="74EDDF66"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80</w:t>
            </w:r>
          </w:p>
        </w:tc>
        <w:tc>
          <w:tcPr>
            <w:tcW w:w="0" w:type="auto"/>
            <w:tcBorders>
              <w:top w:val="nil"/>
              <w:left w:val="nil"/>
              <w:bottom w:val="single" w:sz="4" w:space="0" w:color="auto"/>
              <w:right w:val="single" w:sz="4" w:space="0" w:color="auto"/>
            </w:tcBorders>
            <w:shd w:val="clear" w:color="auto" w:fill="auto"/>
            <w:noWrap/>
            <w:vAlign w:val="bottom"/>
            <w:hideMark/>
          </w:tcPr>
          <w:p w14:paraId="64A04D9B"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56%</w:t>
            </w:r>
          </w:p>
        </w:tc>
        <w:tc>
          <w:tcPr>
            <w:tcW w:w="0" w:type="auto"/>
            <w:tcBorders>
              <w:top w:val="nil"/>
              <w:left w:val="nil"/>
              <w:bottom w:val="single" w:sz="4" w:space="0" w:color="auto"/>
              <w:right w:val="single" w:sz="4" w:space="0" w:color="auto"/>
            </w:tcBorders>
            <w:shd w:val="clear" w:color="auto" w:fill="auto"/>
            <w:noWrap/>
            <w:vAlign w:val="bottom"/>
            <w:hideMark/>
          </w:tcPr>
          <w:p w14:paraId="74CE0F64"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79</w:t>
            </w:r>
          </w:p>
        </w:tc>
        <w:tc>
          <w:tcPr>
            <w:tcW w:w="0" w:type="auto"/>
            <w:tcBorders>
              <w:top w:val="nil"/>
              <w:left w:val="nil"/>
              <w:bottom w:val="single" w:sz="4" w:space="0" w:color="auto"/>
              <w:right w:val="single" w:sz="4" w:space="0" w:color="auto"/>
            </w:tcBorders>
            <w:shd w:val="clear" w:color="auto" w:fill="auto"/>
            <w:noWrap/>
            <w:vAlign w:val="bottom"/>
            <w:hideMark/>
          </w:tcPr>
          <w:p w14:paraId="20317899"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(98.8)</w:t>
            </w:r>
          </w:p>
        </w:tc>
        <w:tc>
          <w:tcPr>
            <w:tcW w:w="0" w:type="auto"/>
            <w:tcBorders>
              <w:top w:val="nil"/>
              <w:left w:val="nil"/>
              <w:bottom w:val="single" w:sz="4" w:space="0" w:color="auto"/>
              <w:right w:val="single" w:sz="4" w:space="0" w:color="auto"/>
            </w:tcBorders>
            <w:shd w:val="clear" w:color="auto" w:fill="auto"/>
            <w:noWrap/>
            <w:vAlign w:val="bottom"/>
            <w:hideMark/>
          </w:tcPr>
          <w:p w14:paraId="24EC566E"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19BC936E"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727091CA"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6395E060"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07CDB598"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79BC3F37"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45D20742"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256D4692"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6C390F7A"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64139D40"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5F8489AC"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67%</w:t>
            </w:r>
          </w:p>
        </w:tc>
      </w:tr>
      <w:tr w:rsidR="0067156B" w:rsidRPr="00BA48F1" w14:paraId="101374C1" w14:textId="77777777" w:rsidTr="0067156B">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65A6D31"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PEABODY</w:t>
            </w:r>
          </w:p>
        </w:tc>
        <w:tc>
          <w:tcPr>
            <w:tcW w:w="0" w:type="auto"/>
            <w:tcBorders>
              <w:top w:val="nil"/>
              <w:left w:val="nil"/>
              <w:bottom w:val="single" w:sz="4" w:space="0" w:color="auto"/>
              <w:right w:val="single" w:sz="4" w:space="0" w:color="auto"/>
            </w:tcBorders>
            <w:shd w:val="clear" w:color="auto" w:fill="auto"/>
            <w:noWrap/>
            <w:vAlign w:val="bottom"/>
            <w:hideMark/>
          </w:tcPr>
          <w:p w14:paraId="161BC04D"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1,774</w:t>
            </w:r>
          </w:p>
        </w:tc>
        <w:tc>
          <w:tcPr>
            <w:tcW w:w="0" w:type="auto"/>
            <w:tcBorders>
              <w:top w:val="nil"/>
              <w:left w:val="nil"/>
              <w:bottom w:val="single" w:sz="4" w:space="0" w:color="auto"/>
              <w:right w:val="single" w:sz="4" w:space="0" w:color="auto"/>
            </w:tcBorders>
            <w:shd w:val="clear" w:color="auto" w:fill="auto"/>
            <w:noWrap/>
            <w:vAlign w:val="bottom"/>
            <w:hideMark/>
          </w:tcPr>
          <w:p w14:paraId="41AD1919"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1,369</w:t>
            </w:r>
          </w:p>
        </w:tc>
        <w:tc>
          <w:tcPr>
            <w:tcW w:w="0" w:type="auto"/>
            <w:tcBorders>
              <w:top w:val="nil"/>
              <w:left w:val="nil"/>
              <w:bottom w:val="single" w:sz="4" w:space="0" w:color="auto"/>
              <w:right w:val="single" w:sz="4" w:space="0" w:color="auto"/>
            </w:tcBorders>
            <w:shd w:val="clear" w:color="auto" w:fill="auto"/>
            <w:noWrap/>
            <w:vAlign w:val="bottom"/>
            <w:hideMark/>
          </w:tcPr>
          <w:p w14:paraId="28A8A6BB"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77%</w:t>
            </w:r>
          </w:p>
        </w:tc>
        <w:tc>
          <w:tcPr>
            <w:tcW w:w="0" w:type="auto"/>
            <w:tcBorders>
              <w:top w:val="nil"/>
              <w:left w:val="nil"/>
              <w:bottom w:val="single" w:sz="4" w:space="0" w:color="auto"/>
              <w:right w:val="single" w:sz="4" w:space="0" w:color="auto"/>
            </w:tcBorders>
            <w:shd w:val="clear" w:color="auto" w:fill="auto"/>
            <w:noWrap/>
            <w:vAlign w:val="bottom"/>
            <w:hideMark/>
          </w:tcPr>
          <w:p w14:paraId="691114D2"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1,358</w:t>
            </w:r>
          </w:p>
        </w:tc>
        <w:tc>
          <w:tcPr>
            <w:tcW w:w="0" w:type="auto"/>
            <w:tcBorders>
              <w:top w:val="nil"/>
              <w:left w:val="nil"/>
              <w:bottom w:val="single" w:sz="4" w:space="0" w:color="auto"/>
              <w:right w:val="single" w:sz="4" w:space="0" w:color="auto"/>
            </w:tcBorders>
            <w:shd w:val="clear" w:color="auto" w:fill="auto"/>
            <w:noWrap/>
            <w:vAlign w:val="bottom"/>
            <w:hideMark/>
          </w:tcPr>
          <w:p w14:paraId="4F58A1AB"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(99.2)</w:t>
            </w:r>
          </w:p>
        </w:tc>
        <w:tc>
          <w:tcPr>
            <w:tcW w:w="0" w:type="auto"/>
            <w:tcBorders>
              <w:top w:val="nil"/>
              <w:left w:val="nil"/>
              <w:bottom w:val="single" w:sz="4" w:space="0" w:color="auto"/>
              <w:right w:val="single" w:sz="4" w:space="0" w:color="auto"/>
            </w:tcBorders>
            <w:shd w:val="clear" w:color="auto" w:fill="auto"/>
            <w:noWrap/>
            <w:vAlign w:val="bottom"/>
            <w:hideMark/>
          </w:tcPr>
          <w:p w14:paraId="163EEDBF"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10</w:t>
            </w:r>
          </w:p>
        </w:tc>
        <w:tc>
          <w:tcPr>
            <w:tcW w:w="0" w:type="auto"/>
            <w:tcBorders>
              <w:top w:val="nil"/>
              <w:left w:val="nil"/>
              <w:bottom w:val="single" w:sz="4" w:space="0" w:color="auto"/>
              <w:right w:val="single" w:sz="4" w:space="0" w:color="auto"/>
            </w:tcBorders>
            <w:shd w:val="clear" w:color="auto" w:fill="auto"/>
            <w:noWrap/>
            <w:vAlign w:val="bottom"/>
            <w:hideMark/>
          </w:tcPr>
          <w:p w14:paraId="07337CF3"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(0.7)</w:t>
            </w:r>
          </w:p>
        </w:tc>
        <w:tc>
          <w:tcPr>
            <w:tcW w:w="0" w:type="auto"/>
            <w:tcBorders>
              <w:top w:val="nil"/>
              <w:left w:val="nil"/>
              <w:bottom w:val="single" w:sz="4" w:space="0" w:color="auto"/>
              <w:right w:val="single" w:sz="4" w:space="0" w:color="auto"/>
            </w:tcBorders>
            <w:shd w:val="clear" w:color="auto" w:fill="auto"/>
            <w:noWrap/>
            <w:vAlign w:val="bottom"/>
            <w:hideMark/>
          </w:tcPr>
          <w:p w14:paraId="5D4D3178"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1</w:t>
            </w:r>
          </w:p>
        </w:tc>
        <w:tc>
          <w:tcPr>
            <w:tcW w:w="0" w:type="auto"/>
            <w:tcBorders>
              <w:top w:val="nil"/>
              <w:left w:val="nil"/>
              <w:bottom w:val="single" w:sz="4" w:space="0" w:color="auto"/>
              <w:right w:val="single" w:sz="4" w:space="0" w:color="auto"/>
            </w:tcBorders>
            <w:shd w:val="clear" w:color="auto" w:fill="auto"/>
            <w:noWrap/>
            <w:vAlign w:val="bottom"/>
            <w:hideMark/>
          </w:tcPr>
          <w:p w14:paraId="756FB576"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(0.1)</w:t>
            </w:r>
          </w:p>
        </w:tc>
        <w:tc>
          <w:tcPr>
            <w:tcW w:w="0" w:type="auto"/>
            <w:tcBorders>
              <w:top w:val="nil"/>
              <w:left w:val="nil"/>
              <w:bottom w:val="single" w:sz="4" w:space="0" w:color="auto"/>
              <w:right w:val="single" w:sz="4" w:space="0" w:color="auto"/>
            </w:tcBorders>
            <w:shd w:val="clear" w:color="auto" w:fill="auto"/>
            <w:noWrap/>
            <w:vAlign w:val="bottom"/>
            <w:hideMark/>
          </w:tcPr>
          <w:p w14:paraId="59916D25"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3B151941"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3376B346"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8</w:t>
            </w:r>
          </w:p>
        </w:tc>
        <w:tc>
          <w:tcPr>
            <w:tcW w:w="0" w:type="auto"/>
            <w:tcBorders>
              <w:top w:val="nil"/>
              <w:left w:val="nil"/>
              <w:bottom w:val="single" w:sz="4" w:space="0" w:color="auto"/>
              <w:right w:val="single" w:sz="4" w:space="0" w:color="auto"/>
            </w:tcBorders>
            <w:shd w:val="clear" w:color="auto" w:fill="auto"/>
            <w:noWrap/>
            <w:vAlign w:val="bottom"/>
            <w:hideMark/>
          </w:tcPr>
          <w:p w14:paraId="6BC8440B"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(0.6)</w:t>
            </w:r>
          </w:p>
        </w:tc>
        <w:tc>
          <w:tcPr>
            <w:tcW w:w="0" w:type="auto"/>
            <w:tcBorders>
              <w:top w:val="nil"/>
              <w:left w:val="nil"/>
              <w:bottom w:val="single" w:sz="4" w:space="0" w:color="auto"/>
              <w:right w:val="single" w:sz="4" w:space="0" w:color="auto"/>
            </w:tcBorders>
            <w:shd w:val="clear" w:color="auto" w:fill="auto"/>
            <w:noWrap/>
            <w:vAlign w:val="bottom"/>
            <w:hideMark/>
          </w:tcPr>
          <w:p w14:paraId="7CE73C00"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1</w:t>
            </w:r>
          </w:p>
        </w:tc>
        <w:tc>
          <w:tcPr>
            <w:tcW w:w="0" w:type="auto"/>
            <w:tcBorders>
              <w:top w:val="nil"/>
              <w:left w:val="nil"/>
              <w:bottom w:val="single" w:sz="4" w:space="0" w:color="auto"/>
              <w:right w:val="single" w:sz="4" w:space="0" w:color="auto"/>
            </w:tcBorders>
            <w:shd w:val="clear" w:color="auto" w:fill="auto"/>
            <w:noWrap/>
            <w:vAlign w:val="bottom"/>
            <w:hideMark/>
          </w:tcPr>
          <w:p w14:paraId="4DF5BC51"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(0.1)</w:t>
            </w:r>
          </w:p>
        </w:tc>
        <w:tc>
          <w:tcPr>
            <w:tcW w:w="0" w:type="auto"/>
            <w:tcBorders>
              <w:top w:val="nil"/>
              <w:left w:val="nil"/>
              <w:bottom w:val="single" w:sz="4" w:space="0" w:color="auto"/>
              <w:right w:val="single" w:sz="4" w:space="0" w:color="auto"/>
            </w:tcBorders>
            <w:shd w:val="clear" w:color="auto" w:fill="auto"/>
            <w:noWrap/>
            <w:vAlign w:val="bottom"/>
            <w:hideMark/>
          </w:tcPr>
          <w:p w14:paraId="6746540D"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59%</w:t>
            </w:r>
          </w:p>
        </w:tc>
      </w:tr>
      <w:tr w:rsidR="0067156B" w:rsidRPr="00BA48F1" w14:paraId="16FD5B08" w14:textId="77777777" w:rsidTr="0067156B">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572D785"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PELHAM</w:t>
            </w:r>
          </w:p>
        </w:tc>
        <w:tc>
          <w:tcPr>
            <w:tcW w:w="0" w:type="auto"/>
            <w:tcBorders>
              <w:top w:val="nil"/>
              <w:left w:val="nil"/>
              <w:bottom w:val="single" w:sz="4" w:space="0" w:color="auto"/>
              <w:right w:val="single" w:sz="4" w:space="0" w:color="auto"/>
            </w:tcBorders>
            <w:shd w:val="clear" w:color="auto" w:fill="auto"/>
            <w:noWrap/>
            <w:vAlign w:val="bottom"/>
            <w:hideMark/>
          </w:tcPr>
          <w:p w14:paraId="31C2E721"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31</w:t>
            </w:r>
          </w:p>
        </w:tc>
        <w:tc>
          <w:tcPr>
            <w:tcW w:w="0" w:type="auto"/>
            <w:tcBorders>
              <w:top w:val="nil"/>
              <w:left w:val="nil"/>
              <w:bottom w:val="single" w:sz="4" w:space="0" w:color="auto"/>
              <w:right w:val="single" w:sz="4" w:space="0" w:color="auto"/>
            </w:tcBorders>
            <w:shd w:val="clear" w:color="auto" w:fill="auto"/>
            <w:noWrap/>
            <w:vAlign w:val="bottom"/>
            <w:hideMark/>
          </w:tcPr>
          <w:p w14:paraId="1D29A05A"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11</w:t>
            </w:r>
          </w:p>
        </w:tc>
        <w:tc>
          <w:tcPr>
            <w:tcW w:w="0" w:type="auto"/>
            <w:tcBorders>
              <w:top w:val="nil"/>
              <w:left w:val="nil"/>
              <w:bottom w:val="single" w:sz="4" w:space="0" w:color="auto"/>
              <w:right w:val="single" w:sz="4" w:space="0" w:color="auto"/>
            </w:tcBorders>
            <w:shd w:val="clear" w:color="auto" w:fill="auto"/>
            <w:noWrap/>
            <w:vAlign w:val="bottom"/>
            <w:hideMark/>
          </w:tcPr>
          <w:p w14:paraId="60F95B7C"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35%</w:t>
            </w:r>
          </w:p>
        </w:tc>
        <w:tc>
          <w:tcPr>
            <w:tcW w:w="0" w:type="auto"/>
            <w:tcBorders>
              <w:top w:val="nil"/>
              <w:left w:val="nil"/>
              <w:bottom w:val="single" w:sz="4" w:space="0" w:color="auto"/>
              <w:right w:val="single" w:sz="4" w:space="0" w:color="auto"/>
            </w:tcBorders>
            <w:shd w:val="clear" w:color="auto" w:fill="auto"/>
            <w:noWrap/>
            <w:vAlign w:val="bottom"/>
            <w:hideMark/>
          </w:tcPr>
          <w:p w14:paraId="59378620"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11</w:t>
            </w:r>
          </w:p>
        </w:tc>
        <w:tc>
          <w:tcPr>
            <w:tcW w:w="0" w:type="auto"/>
            <w:tcBorders>
              <w:top w:val="nil"/>
              <w:left w:val="nil"/>
              <w:bottom w:val="single" w:sz="4" w:space="0" w:color="auto"/>
              <w:right w:val="single" w:sz="4" w:space="0" w:color="auto"/>
            </w:tcBorders>
            <w:shd w:val="clear" w:color="auto" w:fill="auto"/>
            <w:noWrap/>
            <w:vAlign w:val="bottom"/>
            <w:hideMark/>
          </w:tcPr>
          <w:p w14:paraId="422170E9"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(100.0)</w:t>
            </w:r>
          </w:p>
        </w:tc>
        <w:tc>
          <w:tcPr>
            <w:tcW w:w="0" w:type="auto"/>
            <w:tcBorders>
              <w:top w:val="nil"/>
              <w:left w:val="nil"/>
              <w:bottom w:val="single" w:sz="4" w:space="0" w:color="auto"/>
              <w:right w:val="single" w:sz="4" w:space="0" w:color="auto"/>
            </w:tcBorders>
            <w:shd w:val="clear" w:color="auto" w:fill="auto"/>
            <w:noWrap/>
            <w:vAlign w:val="bottom"/>
            <w:hideMark/>
          </w:tcPr>
          <w:p w14:paraId="17F57B14"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3F7F7F57"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1944F49D"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0568F3DF"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26605468"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5892DB91"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14FE35F3"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776870CF"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7CBCA49D"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6C041F22"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752B3E2E"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53%</w:t>
            </w:r>
          </w:p>
        </w:tc>
      </w:tr>
      <w:tr w:rsidR="0067156B" w:rsidRPr="00BA48F1" w14:paraId="6061845E" w14:textId="77777777" w:rsidTr="0067156B">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09A002D"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PEMBROKE</w:t>
            </w:r>
          </w:p>
        </w:tc>
        <w:tc>
          <w:tcPr>
            <w:tcW w:w="0" w:type="auto"/>
            <w:tcBorders>
              <w:top w:val="nil"/>
              <w:left w:val="nil"/>
              <w:bottom w:val="single" w:sz="4" w:space="0" w:color="auto"/>
              <w:right w:val="single" w:sz="4" w:space="0" w:color="auto"/>
            </w:tcBorders>
            <w:shd w:val="clear" w:color="auto" w:fill="auto"/>
            <w:noWrap/>
            <w:vAlign w:val="bottom"/>
            <w:hideMark/>
          </w:tcPr>
          <w:p w14:paraId="7F056FA6"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643</w:t>
            </w:r>
          </w:p>
        </w:tc>
        <w:tc>
          <w:tcPr>
            <w:tcW w:w="0" w:type="auto"/>
            <w:tcBorders>
              <w:top w:val="nil"/>
              <w:left w:val="nil"/>
              <w:bottom w:val="single" w:sz="4" w:space="0" w:color="auto"/>
              <w:right w:val="single" w:sz="4" w:space="0" w:color="auto"/>
            </w:tcBorders>
            <w:shd w:val="clear" w:color="auto" w:fill="auto"/>
            <w:noWrap/>
            <w:vAlign w:val="bottom"/>
            <w:hideMark/>
          </w:tcPr>
          <w:p w14:paraId="0E992114"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407</w:t>
            </w:r>
          </w:p>
        </w:tc>
        <w:tc>
          <w:tcPr>
            <w:tcW w:w="0" w:type="auto"/>
            <w:tcBorders>
              <w:top w:val="nil"/>
              <w:left w:val="nil"/>
              <w:bottom w:val="single" w:sz="4" w:space="0" w:color="auto"/>
              <w:right w:val="single" w:sz="4" w:space="0" w:color="auto"/>
            </w:tcBorders>
            <w:shd w:val="clear" w:color="auto" w:fill="auto"/>
            <w:noWrap/>
            <w:vAlign w:val="bottom"/>
            <w:hideMark/>
          </w:tcPr>
          <w:p w14:paraId="2396B3CA"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63%</w:t>
            </w:r>
          </w:p>
        </w:tc>
        <w:tc>
          <w:tcPr>
            <w:tcW w:w="0" w:type="auto"/>
            <w:tcBorders>
              <w:top w:val="nil"/>
              <w:left w:val="nil"/>
              <w:bottom w:val="single" w:sz="4" w:space="0" w:color="auto"/>
              <w:right w:val="single" w:sz="4" w:space="0" w:color="auto"/>
            </w:tcBorders>
            <w:shd w:val="clear" w:color="auto" w:fill="auto"/>
            <w:noWrap/>
            <w:vAlign w:val="bottom"/>
            <w:hideMark/>
          </w:tcPr>
          <w:p w14:paraId="677C16B6"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406</w:t>
            </w:r>
          </w:p>
        </w:tc>
        <w:tc>
          <w:tcPr>
            <w:tcW w:w="0" w:type="auto"/>
            <w:tcBorders>
              <w:top w:val="nil"/>
              <w:left w:val="nil"/>
              <w:bottom w:val="single" w:sz="4" w:space="0" w:color="auto"/>
              <w:right w:val="single" w:sz="4" w:space="0" w:color="auto"/>
            </w:tcBorders>
            <w:shd w:val="clear" w:color="auto" w:fill="auto"/>
            <w:noWrap/>
            <w:vAlign w:val="bottom"/>
            <w:hideMark/>
          </w:tcPr>
          <w:p w14:paraId="1E802527"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(99.8)</w:t>
            </w:r>
          </w:p>
        </w:tc>
        <w:tc>
          <w:tcPr>
            <w:tcW w:w="0" w:type="auto"/>
            <w:tcBorders>
              <w:top w:val="nil"/>
              <w:left w:val="nil"/>
              <w:bottom w:val="single" w:sz="4" w:space="0" w:color="auto"/>
              <w:right w:val="single" w:sz="4" w:space="0" w:color="auto"/>
            </w:tcBorders>
            <w:shd w:val="clear" w:color="auto" w:fill="auto"/>
            <w:noWrap/>
            <w:vAlign w:val="bottom"/>
            <w:hideMark/>
          </w:tcPr>
          <w:p w14:paraId="351E0543"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5BBCA8BD"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6FA24CD9"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406B1A24"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67D6B3EA"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32C0F3DF"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2F588003"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7133D04C"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6BCAF250"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63BEC6E5"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28E12552"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50%</w:t>
            </w:r>
          </w:p>
        </w:tc>
      </w:tr>
      <w:tr w:rsidR="0067156B" w:rsidRPr="00BA48F1" w14:paraId="1A7579B9" w14:textId="77777777" w:rsidTr="0067156B">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81FF23A"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PEPPERELL</w:t>
            </w:r>
          </w:p>
        </w:tc>
        <w:tc>
          <w:tcPr>
            <w:tcW w:w="0" w:type="auto"/>
            <w:tcBorders>
              <w:top w:val="nil"/>
              <w:left w:val="nil"/>
              <w:bottom w:val="single" w:sz="4" w:space="0" w:color="auto"/>
              <w:right w:val="single" w:sz="4" w:space="0" w:color="auto"/>
            </w:tcBorders>
            <w:shd w:val="clear" w:color="auto" w:fill="auto"/>
            <w:noWrap/>
            <w:vAlign w:val="bottom"/>
            <w:hideMark/>
          </w:tcPr>
          <w:p w14:paraId="1C9C5A03"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382</w:t>
            </w:r>
          </w:p>
        </w:tc>
        <w:tc>
          <w:tcPr>
            <w:tcW w:w="0" w:type="auto"/>
            <w:tcBorders>
              <w:top w:val="nil"/>
              <w:left w:val="nil"/>
              <w:bottom w:val="single" w:sz="4" w:space="0" w:color="auto"/>
              <w:right w:val="single" w:sz="4" w:space="0" w:color="auto"/>
            </w:tcBorders>
            <w:shd w:val="clear" w:color="auto" w:fill="auto"/>
            <w:noWrap/>
            <w:vAlign w:val="bottom"/>
            <w:hideMark/>
          </w:tcPr>
          <w:p w14:paraId="3535EEBF"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235</w:t>
            </w:r>
          </w:p>
        </w:tc>
        <w:tc>
          <w:tcPr>
            <w:tcW w:w="0" w:type="auto"/>
            <w:tcBorders>
              <w:top w:val="nil"/>
              <w:left w:val="nil"/>
              <w:bottom w:val="single" w:sz="4" w:space="0" w:color="auto"/>
              <w:right w:val="single" w:sz="4" w:space="0" w:color="auto"/>
            </w:tcBorders>
            <w:shd w:val="clear" w:color="auto" w:fill="auto"/>
            <w:noWrap/>
            <w:vAlign w:val="bottom"/>
            <w:hideMark/>
          </w:tcPr>
          <w:p w14:paraId="7114DE11"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62%</w:t>
            </w:r>
          </w:p>
        </w:tc>
        <w:tc>
          <w:tcPr>
            <w:tcW w:w="0" w:type="auto"/>
            <w:tcBorders>
              <w:top w:val="nil"/>
              <w:left w:val="nil"/>
              <w:bottom w:val="single" w:sz="4" w:space="0" w:color="auto"/>
              <w:right w:val="single" w:sz="4" w:space="0" w:color="auto"/>
            </w:tcBorders>
            <w:shd w:val="clear" w:color="auto" w:fill="auto"/>
            <w:noWrap/>
            <w:vAlign w:val="bottom"/>
            <w:hideMark/>
          </w:tcPr>
          <w:p w14:paraId="4898135C"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229</w:t>
            </w:r>
          </w:p>
        </w:tc>
        <w:tc>
          <w:tcPr>
            <w:tcW w:w="0" w:type="auto"/>
            <w:tcBorders>
              <w:top w:val="nil"/>
              <w:left w:val="nil"/>
              <w:bottom w:val="single" w:sz="4" w:space="0" w:color="auto"/>
              <w:right w:val="single" w:sz="4" w:space="0" w:color="auto"/>
            </w:tcBorders>
            <w:shd w:val="clear" w:color="auto" w:fill="auto"/>
            <w:noWrap/>
            <w:vAlign w:val="bottom"/>
            <w:hideMark/>
          </w:tcPr>
          <w:p w14:paraId="0D2B7A88"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(97.4)</w:t>
            </w:r>
          </w:p>
        </w:tc>
        <w:tc>
          <w:tcPr>
            <w:tcW w:w="0" w:type="auto"/>
            <w:tcBorders>
              <w:top w:val="nil"/>
              <w:left w:val="nil"/>
              <w:bottom w:val="single" w:sz="4" w:space="0" w:color="auto"/>
              <w:right w:val="single" w:sz="4" w:space="0" w:color="auto"/>
            </w:tcBorders>
            <w:shd w:val="clear" w:color="auto" w:fill="auto"/>
            <w:noWrap/>
            <w:vAlign w:val="bottom"/>
            <w:hideMark/>
          </w:tcPr>
          <w:p w14:paraId="5808592B"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6</w:t>
            </w:r>
          </w:p>
        </w:tc>
        <w:tc>
          <w:tcPr>
            <w:tcW w:w="0" w:type="auto"/>
            <w:tcBorders>
              <w:top w:val="nil"/>
              <w:left w:val="nil"/>
              <w:bottom w:val="single" w:sz="4" w:space="0" w:color="auto"/>
              <w:right w:val="single" w:sz="4" w:space="0" w:color="auto"/>
            </w:tcBorders>
            <w:shd w:val="clear" w:color="auto" w:fill="auto"/>
            <w:noWrap/>
            <w:vAlign w:val="bottom"/>
            <w:hideMark/>
          </w:tcPr>
          <w:p w14:paraId="5351B570"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(2.6)</w:t>
            </w:r>
          </w:p>
        </w:tc>
        <w:tc>
          <w:tcPr>
            <w:tcW w:w="0" w:type="auto"/>
            <w:tcBorders>
              <w:top w:val="nil"/>
              <w:left w:val="nil"/>
              <w:bottom w:val="single" w:sz="4" w:space="0" w:color="auto"/>
              <w:right w:val="single" w:sz="4" w:space="0" w:color="auto"/>
            </w:tcBorders>
            <w:shd w:val="clear" w:color="auto" w:fill="auto"/>
            <w:noWrap/>
            <w:vAlign w:val="bottom"/>
            <w:hideMark/>
          </w:tcPr>
          <w:p w14:paraId="00AA7C55"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277078E9"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20DB46AF"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173363DB"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298A9433"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44643D3C"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548DFAAE"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65D6B921"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7989119C"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54%</w:t>
            </w:r>
          </w:p>
        </w:tc>
      </w:tr>
      <w:tr w:rsidR="0067156B" w:rsidRPr="00BA48F1" w14:paraId="4474F48F" w14:textId="77777777" w:rsidTr="0067156B">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7CB5EFD"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PERU</w:t>
            </w:r>
          </w:p>
        </w:tc>
        <w:tc>
          <w:tcPr>
            <w:tcW w:w="0" w:type="auto"/>
            <w:tcBorders>
              <w:top w:val="nil"/>
              <w:left w:val="nil"/>
              <w:bottom w:val="single" w:sz="4" w:space="0" w:color="auto"/>
              <w:right w:val="single" w:sz="4" w:space="0" w:color="auto"/>
            </w:tcBorders>
            <w:shd w:val="clear" w:color="auto" w:fill="auto"/>
            <w:noWrap/>
            <w:vAlign w:val="bottom"/>
            <w:hideMark/>
          </w:tcPr>
          <w:p w14:paraId="4007CCE7"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17</w:t>
            </w:r>
          </w:p>
        </w:tc>
        <w:tc>
          <w:tcPr>
            <w:tcW w:w="0" w:type="auto"/>
            <w:tcBorders>
              <w:top w:val="nil"/>
              <w:left w:val="nil"/>
              <w:bottom w:val="single" w:sz="4" w:space="0" w:color="auto"/>
              <w:right w:val="single" w:sz="4" w:space="0" w:color="auto"/>
            </w:tcBorders>
            <w:shd w:val="clear" w:color="auto" w:fill="auto"/>
            <w:noWrap/>
            <w:vAlign w:val="bottom"/>
            <w:hideMark/>
          </w:tcPr>
          <w:p w14:paraId="064C8E37"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14</w:t>
            </w:r>
          </w:p>
        </w:tc>
        <w:tc>
          <w:tcPr>
            <w:tcW w:w="0" w:type="auto"/>
            <w:tcBorders>
              <w:top w:val="nil"/>
              <w:left w:val="nil"/>
              <w:bottom w:val="single" w:sz="4" w:space="0" w:color="auto"/>
              <w:right w:val="single" w:sz="4" w:space="0" w:color="auto"/>
            </w:tcBorders>
            <w:shd w:val="clear" w:color="auto" w:fill="auto"/>
            <w:noWrap/>
            <w:vAlign w:val="bottom"/>
            <w:hideMark/>
          </w:tcPr>
          <w:p w14:paraId="41F894B8"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82%</w:t>
            </w:r>
          </w:p>
        </w:tc>
        <w:tc>
          <w:tcPr>
            <w:tcW w:w="0" w:type="auto"/>
            <w:tcBorders>
              <w:top w:val="nil"/>
              <w:left w:val="nil"/>
              <w:bottom w:val="single" w:sz="4" w:space="0" w:color="auto"/>
              <w:right w:val="single" w:sz="4" w:space="0" w:color="auto"/>
            </w:tcBorders>
            <w:shd w:val="clear" w:color="auto" w:fill="auto"/>
            <w:noWrap/>
            <w:vAlign w:val="bottom"/>
            <w:hideMark/>
          </w:tcPr>
          <w:p w14:paraId="786E2E48"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14</w:t>
            </w:r>
          </w:p>
        </w:tc>
        <w:tc>
          <w:tcPr>
            <w:tcW w:w="0" w:type="auto"/>
            <w:tcBorders>
              <w:top w:val="nil"/>
              <w:left w:val="nil"/>
              <w:bottom w:val="single" w:sz="4" w:space="0" w:color="auto"/>
              <w:right w:val="single" w:sz="4" w:space="0" w:color="auto"/>
            </w:tcBorders>
            <w:shd w:val="clear" w:color="auto" w:fill="auto"/>
            <w:noWrap/>
            <w:vAlign w:val="bottom"/>
            <w:hideMark/>
          </w:tcPr>
          <w:p w14:paraId="35F27F63"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(100.0)</w:t>
            </w:r>
          </w:p>
        </w:tc>
        <w:tc>
          <w:tcPr>
            <w:tcW w:w="0" w:type="auto"/>
            <w:tcBorders>
              <w:top w:val="nil"/>
              <w:left w:val="nil"/>
              <w:bottom w:val="single" w:sz="4" w:space="0" w:color="auto"/>
              <w:right w:val="single" w:sz="4" w:space="0" w:color="auto"/>
            </w:tcBorders>
            <w:shd w:val="clear" w:color="auto" w:fill="auto"/>
            <w:noWrap/>
            <w:vAlign w:val="bottom"/>
            <w:hideMark/>
          </w:tcPr>
          <w:p w14:paraId="330DBCED"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3115A046"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25B25E8B"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46E1CE6A"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5FB8A321"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49571509"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2CCED143"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153ECCC3"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25420B04"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71AD5870"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2226C58A"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68%</w:t>
            </w:r>
          </w:p>
        </w:tc>
      </w:tr>
      <w:tr w:rsidR="0067156B" w:rsidRPr="00BA48F1" w14:paraId="2066BCA2" w14:textId="77777777" w:rsidTr="0067156B">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5D6D8FB"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PETERSHAM</w:t>
            </w:r>
          </w:p>
        </w:tc>
        <w:tc>
          <w:tcPr>
            <w:tcW w:w="0" w:type="auto"/>
            <w:tcBorders>
              <w:top w:val="nil"/>
              <w:left w:val="nil"/>
              <w:bottom w:val="single" w:sz="4" w:space="0" w:color="auto"/>
              <w:right w:val="single" w:sz="4" w:space="0" w:color="auto"/>
            </w:tcBorders>
            <w:shd w:val="clear" w:color="auto" w:fill="auto"/>
            <w:noWrap/>
            <w:vAlign w:val="bottom"/>
            <w:hideMark/>
          </w:tcPr>
          <w:p w14:paraId="2E4EF684"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32</w:t>
            </w:r>
          </w:p>
        </w:tc>
        <w:tc>
          <w:tcPr>
            <w:tcW w:w="0" w:type="auto"/>
            <w:tcBorders>
              <w:top w:val="nil"/>
              <w:left w:val="nil"/>
              <w:bottom w:val="single" w:sz="4" w:space="0" w:color="auto"/>
              <w:right w:val="single" w:sz="4" w:space="0" w:color="auto"/>
            </w:tcBorders>
            <w:shd w:val="clear" w:color="auto" w:fill="auto"/>
            <w:noWrap/>
            <w:vAlign w:val="bottom"/>
            <w:hideMark/>
          </w:tcPr>
          <w:p w14:paraId="2653FDEC"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18</w:t>
            </w:r>
          </w:p>
        </w:tc>
        <w:tc>
          <w:tcPr>
            <w:tcW w:w="0" w:type="auto"/>
            <w:tcBorders>
              <w:top w:val="nil"/>
              <w:left w:val="nil"/>
              <w:bottom w:val="single" w:sz="4" w:space="0" w:color="auto"/>
              <w:right w:val="single" w:sz="4" w:space="0" w:color="auto"/>
            </w:tcBorders>
            <w:shd w:val="clear" w:color="auto" w:fill="auto"/>
            <w:noWrap/>
            <w:vAlign w:val="bottom"/>
            <w:hideMark/>
          </w:tcPr>
          <w:p w14:paraId="7F4103A6"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56%</w:t>
            </w:r>
          </w:p>
        </w:tc>
        <w:tc>
          <w:tcPr>
            <w:tcW w:w="0" w:type="auto"/>
            <w:tcBorders>
              <w:top w:val="nil"/>
              <w:left w:val="nil"/>
              <w:bottom w:val="single" w:sz="4" w:space="0" w:color="auto"/>
              <w:right w:val="single" w:sz="4" w:space="0" w:color="auto"/>
            </w:tcBorders>
            <w:shd w:val="clear" w:color="auto" w:fill="auto"/>
            <w:noWrap/>
            <w:vAlign w:val="bottom"/>
            <w:hideMark/>
          </w:tcPr>
          <w:p w14:paraId="7C35EAFE"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16</w:t>
            </w:r>
          </w:p>
        </w:tc>
        <w:tc>
          <w:tcPr>
            <w:tcW w:w="0" w:type="auto"/>
            <w:tcBorders>
              <w:top w:val="nil"/>
              <w:left w:val="nil"/>
              <w:bottom w:val="single" w:sz="4" w:space="0" w:color="auto"/>
              <w:right w:val="single" w:sz="4" w:space="0" w:color="auto"/>
            </w:tcBorders>
            <w:shd w:val="clear" w:color="auto" w:fill="auto"/>
            <w:noWrap/>
            <w:vAlign w:val="bottom"/>
            <w:hideMark/>
          </w:tcPr>
          <w:p w14:paraId="3B84FD7F"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(88.9)</w:t>
            </w:r>
          </w:p>
        </w:tc>
        <w:tc>
          <w:tcPr>
            <w:tcW w:w="0" w:type="auto"/>
            <w:tcBorders>
              <w:top w:val="nil"/>
              <w:left w:val="nil"/>
              <w:bottom w:val="single" w:sz="4" w:space="0" w:color="auto"/>
              <w:right w:val="single" w:sz="4" w:space="0" w:color="auto"/>
            </w:tcBorders>
            <w:shd w:val="clear" w:color="auto" w:fill="auto"/>
            <w:noWrap/>
            <w:vAlign w:val="bottom"/>
            <w:hideMark/>
          </w:tcPr>
          <w:p w14:paraId="77FDC846"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5DF92F25"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3B929940"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020DFAEE"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6D60254B"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1C83AE3A"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02BFBAEB"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107286AA"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14A4F191"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16D40EEF"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604DB6B2"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45%</w:t>
            </w:r>
          </w:p>
        </w:tc>
      </w:tr>
      <w:tr w:rsidR="0067156B" w:rsidRPr="00BA48F1" w14:paraId="12FC4FB0" w14:textId="77777777" w:rsidTr="0067156B">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05F50E5"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PHILLIPSTON</w:t>
            </w:r>
          </w:p>
        </w:tc>
        <w:tc>
          <w:tcPr>
            <w:tcW w:w="0" w:type="auto"/>
            <w:tcBorders>
              <w:top w:val="nil"/>
              <w:left w:val="nil"/>
              <w:bottom w:val="single" w:sz="4" w:space="0" w:color="auto"/>
              <w:right w:val="single" w:sz="4" w:space="0" w:color="auto"/>
            </w:tcBorders>
            <w:shd w:val="clear" w:color="auto" w:fill="auto"/>
            <w:noWrap/>
            <w:vAlign w:val="bottom"/>
            <w:hideMark/>
          </w:tcPr>
          <w:p w14:paraId="03AF23F5"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41</w:t>
            </w:r>
          </w:p>
        </w:tc>
        <w:tc>
          <w:tcPr>
            <w:tcW w:w="0" w:type="auto"/>
            <w:tcBorders>
              <w:top w:val="nil"/>
              <w:left w:val="nil"/>
              <w:bottom w:val="single" w:sz="4" w:space="0" w:color="auto"/>
              <w:right w:val="single" w:sz="4" w:space="0" w:color="auto"/>
            </w:tcBorders>
            <w:shd w:val="clear" w:color="auto" w:fill="auto"/>
            <w:noWrap/>
            <w:vAlign w:val="bottom"/>
            <w:hideMark/>
          </w:tcPr>
          <w:p w14:paraId="71031B68"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22</w:t>
            </w:r>
          </w:p>
        </w:tc>
        <w:tc>
          <w:tcPr>
            <w:tcW w:w="0" w:type="auto"/>
            <w:tcBorders>
              <w:top w:val="nil"/>
              <w:left w:val="nil"/>
              <w:bottom w:val="single" w:sz="4" w:space="0" w:color="auto"/>
              <w:right w:val="single" w:sz="4" w:space="0" w:color="auto"/>
            </w:tcBorders>
            <w:shd w:val="clear" w:color="auto" w:fill="auto"/>
            <w:noWrap/>
            <w:vAlign w:val="bottom"/>
            <w:hideMark/>
          </w:tcPr>
          <w:p w14:paraId="1F3F67D5"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54%</w:t>
            </w:r>
          </w:p>
        </w:tc>
        <w:tc>
          <w:tcPr>
            <w:tcW w:w="0" w:type="auto"/>
            <w:tcBorders>
              <w:top w:val="nil"/>
              <w:left w:val="nil"/>
              <w:bottom w:val="single" w:sz="4" w:space="0" w:color="auto"/>
              <w:right w:val="single" w:sz="4" w:space="0" w:color="auto"/>
            </w:tcBorders>
            <w:shd w:val="clear" w:color="auto" w:fill="auto"/>
            <w:noWrap/>
            <w:vAlign w:val="bottom"/>
            <w:hideMark/>
          </w:tcPr>
          <w:p w14:paraId="5E7F2461"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20</w:t>
            </w:r>
          </w:p>
        </w:tc>
        <w:tc>
          <w:tcPr>
            <w:tcW w:w="0" w:type="auto"/>
            <w:tcBorders>
              <w:top w:val="nil"/>
              <w:left w:val="nil"/>
              <w:bottom w:val="single" w:sz="4" w:space="0" w:color="auto"/>
              <w:right w:val="single" w:sz="4" w:space="0" w:color="auto"/>
            </w:tcBorders>
            <w:shd w:val="clear" w:color="auto" w:fill="auto"/>
            <w:noWrap/>
            <w:vAlign w:val="bottom"/>
            <w:hideMark/>
          </w:tcPr>
          <w:p w14:paraId="4EA37A73"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(90.9)</w:t>
            </w:r>
          </w:p>
        </w:tc>
        <w:tc>
          <w:tcPr>
            <w:tcW w:w="0" w:type="auto"/>
            <w:tcBorders>
              <w:top w:val="nil"/>
              <w:left w:val="nil"/>
              <w:bottom w:val="single" w:sz="4" w:space="0" w:color="auto"/>
              <w:right w:val="single" w:sz="4" w:space="0" w:color="auto"/>
            </w:tcBorders>
            <w:shd w:val="clear" w:color="auto" w:fill="auto"/>
            <w:noWrap/>
            <w:vAlign w:val="bottom"/>
            <w:hideMark/>
          </w:tcPr>
          <w:p w14:paraId="709D661D"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61636CA8"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3E4C4844"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0F7D2D60"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50427917"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212C508F"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3C1B3253"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7A6672B7"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474BCB25"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41BD1D3D"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0F177BFD"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83%</w:t>
            </w:r>
          </w:p>
        </w:tc>
      </w:tr>
      <w:tr w:rsidR="0067156B" w:rsidRPr="00BA48F1" w14:paraId="7B8803F7" w14:textId="77777777" w:rsidTr="0067156B">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489BDF2"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PITTSFIELD</w:t>
            </w:r>
          </w:p>
        </w:tc>
        <w:tc>
          <w:tcPr>
            <w:tcW w:w="0" w:type="auto"/>
            <w:tcBorders>
              <w:top w:val="nil"/>
              <w:left w:val="nil"/>
              <w:bottom w:val="single" w:sz="4" w:space="0" w:color="auto"/>
              <w:right w:val="single" w:sz="4" w:space="0" w:color="auto"/>
            </w:tcBorders>
            <w:shd w:val="clear" w:color="auto" w:fill="auto"/>
            <w:noWrap/>
            <w:vAlign w:val="bottom"/>
            <w:hideMark/>
          </w:tcPr>
          <w:p w14:paraId="6348D0CB"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1,557</w:t>
            </w:r>
          </w:p>
        </w:tc>
        <w:tc>
          <w:tcPr>
            <w:tcW w:w="0" w:type="auto"/>
            <w:tcBorders>
              <w:top w:val="nil"/>
              <w:left w:val="nil"/>
              <w:bottom w:val="single" w:sz="4" w:space="0" w:color="auto"/>
              <w:right w:val="single" w:sz="4" w:space="0" w:color="auto"/>
            </w:tcBorders>
            <w:shd w:val="clear" w:color="auto" w:fill="auto"/>
            <w:noWrap/>
            <w:vAlign w:val="bottom"/>
            <w:hideMark/>
          </w:tcPr>
          <w:p w14:paraId="7B7EDA87"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945</w:t>
            </w:r>
          </w:p>
        </w:tc>
        <w:tc>
          <w:tcPr>
            <w:tcW w:w="0" w:type="auto"/>
            <w:tcBorders>
              <w:top w:val="nil"/>
              <w:left w:val="nil"/>
              <w:bottom w:val="single" w:sz="4" w:space="0" w:color="auto"/>
              <w:right w:val="single" w:sz="4" w:space="0" w:color="auto"/>
            </w:tcBorders>
            <w:shd w:val="clear" w:color="auto" w:fill="auto"/>
            <w:noWrap/>
            <w:vAlign w:val="bottom"/>
            <w:hideMark/>
          </w:tcPr>
          <w:p w14:paraId="4C9264A1"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61%</w:t>
            </w:r>
          </w:p>
        </w:tc>
        <w:tc>
          <w:tcPr>
            <w:tcW w:w="0" w:type="auto"/>
            <w:tcBorders>
              <w:top w:val="nil"/>
              <w:left w:val="nil"/>
              <w:bottom w:val="single" w:sz="4" w:space="0" w:color="auto"/>
              <w:right w:val="single" w:sz="4" w:space="0" w:color="auto"/>
            </w:tcBorders>
            <w:shd w:val="clear" w:color="auto" w:fill="auto"/>
            <w:noWrap/>
            <w:vAlign w:val="bottom"/>
            <w:hideMark/>
          </w:tcPr>
          <w:p w14:paraId="272B4A6F"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900</w:t>
            </w:r>
          </w:p>
        </w:tc>
        <w:tc>
          <w:tcPr>
            <w:tcW w:w="0" w:type="auto"/>
            <w:tcBorders>
              <w:top w:val="nil"/>
              <w:left w:val="nil"/>
              <w:bottom w:val="single" w:sz="4" w:space="0" w:color="auto"/>
              <w:right w:val="single" w:sz="4" w:space="0" w:color="auto"/>
            </w:tcBorders>
            <w:shd w:val="clear" w:color="auto" w:fill="auto"/>
            <w:noWrap/>
            <w:vAlign w:val="bottom"/>
            <w:hideMark/>
          </w:tcPr>
          <w:p w14:paraId="42D344EA"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(95.2)</w:t>
            </w:r>
          </w:p>
        </w:tc>
        <w:tc>
          <w:tcPr>
            <w:tcW w:w="0" w:type="auto"/>
            <w:tcBorders>
              <w:top w:val="nil"/>
              <w:left w:val="nil"/>
              <w:bottom w:val="single" w:sz="4" w:space="0" w:color="auto"/>
              <w:right w:val="single" w:sz="4" w:space="0" w:color="auto"/>
            </w:tcBorders>
            <w:shd w:val="clear" w:color="auto" w:fill="auto"/>
            <w:noWrap/>
            <w:vAlign w:val="bottom"/>
            <w:hideMark/>
          </w:tcPr>
          <w:p w14:paraId="3E078E83"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41</w:t>
            </w:r>
          </w:p>
        </w:tc>
        <w:tc>
          <w:tcPr>
            <w:tcW w:w="0" w:type="auto"/>
            <w:tcBorders>
              <w:top w:val="nil"/>
              <w:left w:val="nil"/>
              <w:bottom w:val="single" w:sz="4" w:space="0" w:color="auto"/>
              <w:right w:val="single" w:sz="4" w:space="0" w:color="auto"/>
            </w:tcBorders>
            <w:shd w:val="clear" w:color="auto" w:fill="auto"/>
            <w:noWrap/>
            <w:vAlign w:val="bottom"/>
            <w:hideMark/>
          </w:tcPr>
          <w:p w14:paraId="42F318B2"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(4.3)</w:t>
            </w:r>
          </w:p>
        </w:tc>
        <w:tc>
          <w:tcPr>
            <w:tcW w:w="0" w:type="auto"/>
            <w:tcBorders>
              <w:top w:val="nil"/>
              <w:left w:val="nil"/>
              <w:bottom w:val="single" w:sz="4" w:space="0" w:color="auto"/>
              <w:right w:val="single" w:sz="4" w:space="0" w:color="auto"/>
            </w:tcBorders>
            <w:shd w:val="clear" w:color="auto" w:fill="auto"/>
            <w:noWrap/>
            <w:vAlign w:val="bottom"/>
            <w:hideMark/>
          </w:tcPr>
          <w:p w14:paraId="03074E18"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4A4B91A3"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501EE66B"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4C7A7D4C"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1225B211"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30</w:t>
            </w:r>
          </w:p>
        </w:tc>
        <w:tc>
          <w:tcPr>
            <w:tcW w:w="0" w:type="auto"/>
            <w:tcBorders>
              <w:top w:val="nil"/>
              <w:left w:val="nil"/>
              <w:bottom w:val="single" w:sz="4" w:space="0" w:color="auto"/>
              <w:right w:val="single" w:sz="4" w:space="0" w:color="auto"/>
            </w:tcBorders>
            <w:shd w:val="clear" w:color="auto" w:fill="auto"/>
            <w:noWrap/>
            <w:vAlign w:val="bottom"/>
            <w:hideMark/>
          </w:tcPr>
          <w:p w14:paraId="4B2CE767"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(3.2)</w:t>
            </w:r>
          </w:p>
        </w:tc>
        <w:tc>
          <w:tcPr>
            <w:tcW w:w="0" w:type="auto"/>
            <w:tcBorders>
              <w:top w:val="nil"/>
              <w:left w:val="nil"/>
              <w:bottom w:val="single" w:sz="4" w:space="0" w:color="auto"/>
              <w:right w:val="single" w:sz="4" w:space="0" w:color="auto"/>
            </w:tcBorders>
            <w:shd w:val="clear" w:color="auto" w:fill="auto"/>
            <w:noWrap/>
            <w:vAlign w:val="bottom"/>
            <w:hideMark/>
          </w:tcPr>
          <w:p w14:paraId="14B64139"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2EF0E347"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6A4BDDC7"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59%</w:t>
            </w:r>
          </w:p>
        </w:tc>
      </w:tr>
      <w:tr w:rsidR="0067156B" w:rsidRPr="00BA48F1" w14:paraId="1B1432B5" w14:textId="77777777" w:rsidTr="0067156B">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C0D116B"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PLAINFIELD</w:t>
            </w:r>
          </w:p>
        </w:tc>
        <w:tc>
          <w:tcPr>
            <w:tcW w:w="0" w:type="auto"/>
            <w:tcBorders>
              <w:top w:val="nil"/>
              <w:left w:val="nil"/>
              <w:bottom w:val="single" w:sz="4" w:space="0" w:color="auto"/>
              <w:right w:val="single" w:sz="4" w:space="0" w:color="auto"/>
            </w:tcBorders>
            <w:shd w:val="clear" w:color="auto" w:fill="auto"/>
            <w:noWrap/>
            <w:vAlign w:val="bottom"/>
            <w:hideMark/>
          </w:tcPr>
          <w:p w14:paraId="0C6204ED"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19</w:t>
            </w:r>
          </w:p>
        </w:tc>
        <w:tc>
          <w:tcPr>
            <w:tcW w:w="0" w:type="auto"/>
            <w:tcBorders>
              <w:top w:val="nil"/>
              <w:left w:val="nil"/>
              <w:bottom w:val="single" w:sz="4" w:space="0" w:color="auto"/>
              <w:right w:val="single" w:sz="4" w:space="0" w:color="auto"/>
            </w:tcBorders>
            <w:shd w:val="clear" w:color="auto" w:fill="auto"/>
            <w:noWrap/>
            <w:vAlign w:val="bottom"/>
            <w:hideMark/>
          </w:tcPr>
          <w:p w14:paraId="27639D6A"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13</w:t>
            </w:r>
          </w:p>
        </w:tc>
        <w:tc>
          <w:tcPr>
            <w:tcW w:w="0" w:type="auto"/>
            <w:tcBorders>
              <w:top w:val="nil"/>
              <w:left w:val="nil"/>
              <w:bottom w:val="single" w:sz="4" w:space="0" w:color="auto"/>
              <w:right w:val="single" w:sz="4" w:space="0" w:color="auto"/>
            </w:tcBorders>
            <w:shd w:val="clear" w:color="auto" w:fill="auto"/>
            <w:noWrap/>
            <w:vAlign w:val="bottom"/>
            <w:hideMark/>
          </w:tcPr>
          <w:p w14:paraId="339AB085"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68%</w:t>
            </w:r>
          </w:p>
        </w:tc>
        <w:tc>
          <w:tcPr>
            <w:tcW w:w="0" w:type="auto"/>
            <w:tcBorders>
              <w:top w:val="nil"/>
              <w:left w:val="nil"/>
              <w:bottom w:val="single" w:sz="4" w:space="0" w:color="auto"/>
              <w:right w:val="single" w:sz="4" w:space="0" w:color="auto"/>
            </w:tcBorders>
            <w:shd w:val="clear" w:color="auto" w:fill="auto"/>
            <w:noWrap/>
            <w:vAlign w:val="bottom"/>
            <w:hideMark/>
          </w:tcPr>
          <w:p w14:paraId="50729CF5"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13</w:t>
            </w:r>
          </w:p>
        </w:tc>
        <w:tc>
          <w:tcPr>
            <w:tcW w:w="0" w:type="auto"/>
            <w:tcBorders>
              <w:top w:val="nil"/>
              <w:left w:val="nil"/>
              <w:bottom w:val="single" w:sz="4" w:space="0" w:color="auto"/>
              <w:right w:val="single" w:sz="4" w:space="0" w:color="auto"/>
            </w:tcBorders>
            <w:shd w:val="clear" w:color="auto" w:fill="auto"/>
            <w:noWrap/>
            <w:vAlign w:val="bottom"/>
            <w:hideMark/>
          </w:tcPr>
          <w:p w14:paraId="57FC3726"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(100.0)</w:t>
            </w:r>
          </w:p>
        </w:tc>
        <w:tc>
          <w:tcPr>
            <w:tcW w:w="0" w:type="auto"/>
            <w:tcBorders>
              <w:top w:val="nil"/>
              <w:left w:val="nil"/>
              <w:bottom w:val="single" w:sz="4" w:space="0" w:color="auto"/>
              <w:right w:val="single" w:sz="4" w:space="0" w:color="auto"/>
            </w:tcBorders>
            <w:shd w:val="clear" w:color="auto" w:fill="auto"/>
            <w:noWrap/>
            <w:vAlign w:val="bottom"/>
            <w:hideMark/>
          </w:tcPr>
          <w:p w14:paraId="01DC85F9"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040C5AC8"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69035C69"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40FD09FE"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4675285E"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179A88D9"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1E80B97C"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4B589CEB"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2188B92B"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15345947"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1451A42E"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44%</w:t>
            </w:r>
          </w:p>
        </w:tc>
      </w:tr>
      <w:tr w:rsidR="0067156B" w:rsidRPr="00BA48F1" w14:paraId="1904D8BD" w14:textId="77777777" w:rsidTr="0067156B">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0EA13DB"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PLAINVILLE</w:t>
            </w:r>
          </w:p>
        </w:tc>
        <w:tc>
          <w:tcPr>
            <w:tcW w:w="0" w:type="auto"/>
            <w:tcBorders>
              <w:top w:val="nil"/>
              <w:left w:val="nil"/>
              <w:bottom w:val="single" w:sz="4" w:space="0" w:color="auto"/>
              <w:right w:val="single" w:sz="4" w:space="0" w:color="auto"/>
            </w:tcBorders>
            <w:shd w:val="clear" w:color="auto" w:fill="auto"/>
            <w:noWrap/>
            <w:vAlign w:val="bottom"/>
            <w:hideMark/>
          </w:tcPr>
          <w:p w14:paraId="5F08AB0C"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338</w:t>
            </w:r>
          </w:p>
        </w:tc>
        <w:tc>
          <w:tcPr>
            <w:tcW w:w="0" w:type="auto"/>
            <w:tcBorders>
              <w:top w:val="nil"/>
              <w:left w:val="nil"/>
              <w:bottom w:val="single" w:sz="4" w:space="0" w:color="auto"/>
              <w:right w:val="single" w:sz="4" w:space="0" w:color="auto"/>
            </w:tcBorders>
            <w:shd w:val="clear" w:color="auto" w:fill="auto"/>
            <w:noWrap/>
            <w:vAlign w:val="bottom"/>
            <w:hideMark/>
          </w:tcPr>
          <w:p w14:paraId="6A96DA2D"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219</w:t>
            </w:r>
          </w:p>
        </w:tc>
        <w:tc>
          <w:tcPr>
            <w:tcW w:w="0" w:type="auto"/>
            <w:tcBorders>
              <w:top w:val="nil"/>
              <w:left w:val="nil"/>
              <w:bottom w:val="single" w:sz="4" w:space="0" w:color="auto"/>
              <w:right w:val="single" w:sz="4" w:space="0" w:color="auto"/>
            </w:tcBorders>
            <w:shd w:val="clear" w:color="auto" w:fill="auto"/>
            <w:noWrap/>
            <w:vAlign w:val="bottom"/>
            <w:hideMark/>
          </w:tcPr>
          <w:p w14:paraId="383CE2FD"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65%</w:t>
            </w:r>
          </w:p>
        </w:tc>
        <w:tc>
          <w:tcPr>
            <w:tcW w:w="0" w:type="auto"/>
            <w:tcBorders>
              <w:top w:val="nil"/>
              <w:left w:val="nil"/>
              <w:bottom w:val="single" w:sz="4" w:space="0" w:color="auto"/>
              <w:right w:val="single" w:sz="4" w:space="0" w:color="auto"/>
            </w:tcBorders>
            <w:shd w:val="clear" w:color="auto" w:fill="auto"/>
            <w:noWrap/>
            <w:vAlign w:val="bottom"/>
            <w:hideMark/>
          </w:tcPr>
          <w:p w14:paraId="12DCDA4E"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219</w:t>
            </w:r>
          </w:p>
        </w:tc>
        <w:tc>
          <w:tcPr>
            <w:tcW w:w="0" w:type="auto"/>
            <w:tcBorders>
              <w:top w:val="nil"/>
              <w:left w:val="nil"/>
              <w:bottom w:val="single" w:sz="4" w:space="0" w:color="auto"/>
              <w:right w:val="single" w:sz="4" w:space="0" w:color="auto"/>
            </w:tcBorders>
            <w:shd w:val="clear" w:color="auto" w:fill="auto"/>
            <w:noWrap/>
            <w:vAlign w:val="bottom"/>
            <w:hideMark/>
          </w:tcPr>
          <w:p w14:paraId="3DAFA65F"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(100.0)</w:t>
            </w:r>
          </w:p>
        </w:tc>
        <w:tc>
          <w:tcPr>
            <w:tcW w:w="0" w:type="auto"/>
            <w:tcBorders>
              <w:top w:val="nil"/>
              <w:left w:val="nil"/>
              <w:bottom w:val="single" w:sz="4" w:space="0" w:color="auto"/>
              <w:right w:val="single" w:sz="4" w:space="0" w:color="auto"/>
            </w:tcBorders>
            <w:shd w:val="clear" w:color="auto" w:fill="auto"/>
            <w:noWrap/>
            <w:vAlign w:val="bottom"/>
            <w:hideMark/>
          </w:tcPr>
          <w:p w14:paraId="168E61A8"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6F452705"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4AF6E579"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7CCE3A21"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0E9908C4"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1FF1F596"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20673FAE"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3402B4ED"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66E3C335"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4AC4C3A9"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79930A73"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52%</w:t>
            </w:r>
          </w:p>
        </w:tc>
      </w:tr>
      <w:tr w:rsidR="0067156B" w:rsidRPr="00BA48F1" w14:paraId="52CF0855" w14:textId="77777777" w:rsidTr="0067156B">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9FB80FB"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PLYMOUTH</w:t>
            </w:r>
          </w:p>
        </w:tc>
        <w:tc>
          <w:tcPr>
            <w:tcW w:w="0" w:type="auto"/>
            <w:tcBorders>
              <w:top w:val="nil"/>
              <w:left w:val="nil"/>
              <w:bottom w:val="single" w:sz="4" w:space="0" w:color="auto"/>
              <w:right w:val="single" w:sz="4" w:space="0" w:color="auto"/>
            </w:tcBorders>
            <w:shd w:val="clear" w:color="auto" w:fill="auto"/>
            <w:noWrap/>
            <w:vAlign w:val="bottom"/>
            <w:hideMark/>
          </w:tcPr>
          <w:p w14:paraId="70901178"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2,091</w:t>
            </w:r>
          </w:p>
        </w:tc>
        <w:tc>
          <w:tcPr>
            <w:tcW w:w="0" w:type="auto"/>
            <w:tcBorders>
              <w:top w:val="nil"/>
              <w:left w:val="nil"/>
              <w:bottom w:val="single" w:sz="4" w:space="0" w:color="auto"/>
              <w:right w:val="single" w:sz="4" w:space="0" w:color="auto"/>
            </w:tcBorders>
            <w:shd w:val="clear" w:color="auto" w:fill="auto"/>
            <w:noWrap/>
            <w:vAlign w:val="bottom"/>
            <w:hideMark/>
          </w:tcPr>
          <w:p w14:paraId="61FB2533"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817</w:t>
            </w:r>
          </w:p>
        </w:tc>
        <w:tc>
          <w:tcPr>
            <w:tcW w:w="0" w:type="auto"/>
            <w:tcBorders>
              <w:top w:val="nil"/>
              <w:left w:val="nil"/>
              <w:bottom w:val="single" w:sz="4" w:space="0" w:color="auto"/>
              <w:right w:val="single" w:sz="4" w:space="0" w:color="auto"/>
            </w:tcBorders>
            <w:shd w:val="clear" w:color="auto" w:fill="auto"/>
            <w:noWrap/>
            <w:vAlign w:val="bottom"/>
            <w:hideMark/>
          </w:tcPr>
          <w:p w14:paraId="7ACEF20F"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39%</w:t>
            </w:r>
          </w:p>
        </w:tc>
        <w:tc>
          <w:tcPr>
            <w:tcW w:w="0" w:type="auto"/>
            <w:tcBorders>
              <w:top w:val="nil"/>
              <w:left w:val="nil"/>
              <w:bottom w:val="single" w:sz="4" w:space="0" w:color="auto"/>
              <w:right w:val="single" w:sz="4" w:space="0" w:color="auto"/>
            </w:tcBorders>
            <w:shd w:val="clear" w:color="auto" w:fill="auto"/>
            <w:noWrap/>
            <w:vAlign w:val="bottom"/>
            <w:hideMark/>
          </w:tcPr>
          <w:p w14:paraId="70293629"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813</w:t>
            </w:r>
          </w:p>
        </w:tc>
        <w:tc>
          <w:tcPr>
            <w:tcW w:w="0" w:type="auto"/>
            <w:tcBorders>
              <w:top w:val="nil"/>
              <w:left w:val="nil"/>
              <w:bottom w:val="single" w:sz="4" w:space="0" w:color="auto"/>
              <w:right w:val="single" w:sz="4" w:space="0" w:color="auto"/>
            </w:tcBorders>
            <w:shd w:val="clear" w:color="auto" w:fill="auto"/>
            <w:noWrap/>
            <w:vAlign w:val="bottom"/>
            <w:hideMark/>
          </w:tcPr>
          <w:p w14:paraId="780FC7E4"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(99.5)</w:t>
            </w:r>
          </w:p>
        </w:tc>
        <w:tc>
          <w:tcPr>
            <w:tcW w:w="0" w:type="auto"/>
            <w:tcBorders>
              <w:top w:val="nil"/>
              <w:left w:val="nil"/>
              <w:bottom w:val="single" w:sz="4" w:space="0" w:color="auto"/>
              <w:right w:val="single" w:sz="4" w:space="0" w:color="auto"/>
            </w:tcBorders>
            <w:shd w:val="clear" w:color="auto" w:fill="auto"/>
            <w:noWrap/>
            <w:vAlign w:val="bottom"/>
            <w:hideMark/>
          </w:tcPr>
          <w:p w14:paraId="10745F8E"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5B828973"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39DFE9D4"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5E1A36D1"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2EB5D0BC"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101589DA"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25562399"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74A06F48"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49DA2108"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5031FDC2"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28E0CAC1"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50%</w:t>
            </w:r>
          </w:p>
        </w:tc>
      </w:tr>
      <w:tr w:rsidR="0067156B" w:rsidRPr="00BA48F1" w14:paraId="5AB460E5" w14:textId="77777777" w:rsidTr="0067156B">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B7F83E3"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PLYMPTON</w:t>
            </w:r>
          </w:p>
        </w:tc>
        <w:tc>
          <w:tcPr>
            <w:tcW w:w="0" w:type="auto"/>
            <w:tcBorders>
              <w:top w:val="nil"/>
              <w:left w:val="nil"/>
              <w:bottom w:val="single" w:sz="4" w:space="0" w:color="auto"/>
              <w:right w:val="single" w:sz="4" w:space="0" w:color="auto"/>
            </w:tcBorders>
            <w:shd w:val="clear" w:color="auto" w:fill="auto"/>
            <w:noWrap/>
            <w:vAlign w:val="bottom"/>
            <w:hideMark/>
          </w:tcPr>
          <w:p w14:paraId="15F38198"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73</w:t>
            </w:r>
          </w:p>
        </w:tc>
        <w:tc>
          <w:tcPr>
            <w:tcW w:w="0" w:type="auto"/>
            <w:tcBorders>
              <w:top w:val="nil"/>
              <w:left w:val="nil"/>
              <w:bottom w:val="single" w:sz="4" w:space="0" w:color="auto"/>
              <w:right w:val="single" w:sz="4" w:space="0" w:color="auto"/>
            </w:tcBorders>
            <w:shd w:val="clear" w:color="auto" w:fill="auto"/>
            <w:noWrap/>
            <w:vAlign w:val="bottom"/>
            <w:hideMark/>
          </w:tcPr>
          <w:p w14:paraId="39BF6DE0"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63</w:t>
            </w:r>
          </w:p>
        </w:tc>
        <w:tc>
          <w:tcPr>
            <w:tcW w:w="0" w:type="auto"/>
            <w:tcBorders>
              <w:top w:val="nil"/>
              <w:left w:val="nil"/>
              <w:bottom w:val="single" w:sz="4" w:space="0" w:color="auto"/>
              <w:right w:val="single" w:sz="4" w:space="0" w:color="auto"/>
            </w:tcBorders>
            <w:shd w:val="clear" w:color="auto" w:fill="auto"/>
            <w:noWrap/>
            <w:vAlign w:val="bottom"/>
            <w:hideMark/>
          </w:tcPr>
          <w:p w14:paraId="7FE6F30D"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86%</w:t>
            </w:r>
          </w:p>
        </w:tc>
        <w:tc>
          <w:tcPr>
            <w:tcW w:w="0" w:type="auto"/>
            <w:tcBorders>
              <w:top w:val="nil"/>
              <w:left w:val="nil"/>
              <w:bottom w:val="single" w:sz="4" w:space="0" w:color="auto"/>
              <w:right w:val="single" w:sz="4" w:space="0" w:color="auto"/>
            </w:tcBorders>
            <w:shd w:val="clear" w:color="auto" w:fill="auto"/>
            <w:noWrap/>
            <w:vAlign w:val="bottom"/>
            <w:hideMark/>
          </w:tcPr>
          <w:p w14:paraId="5A074144"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63</w:t>
            </w:r>
          </w:p>
        </w:tc>
        <w:tc>
          <w:tcPr>
            <w:tcW w:w="0" w:type="auto"/>
            <w:tcBorders>
              <w:top w:val="nil"/>
              <w:left w:val="nil"/>
              <w:bottom w:val="single" w:sz="4" w:space="0" w:color="auto"/>
              <w:right w:val="single" w:sz="4" w:space="0" w:color="auto"/>
            </w:tcBorders>
            <w:shd w:val="clear" w:color="auto" w:fill="auto"/>
            <w:noWrap/>
            <w:vAlign w:val="bottom"/>
            <w:hideMark/>
          </w:tcPr>
          <w:p w14:paraId="635FBE2B"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(100.0)</w:t>
            </w:r>
          </w:p>
        </w:tc>
        <w:tc>
          <w:tcPr>
            <w:tcW w:w="0" w:type="auto"/>
            <w:tcBorders>
              <w:top w:val="nil"/>
              <w:left w:val="nil"/>
              <w:bottom w:val="single" w:sz="4" w:space="0" w:color="auto"/>
              <w:right w:val="single" w:sz="4" w:space="0" w:color="auto"/>
            </w:tcBorders>
            <w:shd w:val="clear" w:color="auto" w:fill="auto"/>
            <w:noWrap/>
            <w:vAlign w:val="bottom"/>
            <w:hideMark/>
          </w:tcPr>
          <w:p w14:paraId="6B0F6A1C"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4966A2FE"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0187B6A1"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4E75F57C"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1E577C54"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1D495F23"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22D3732B"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24F60DF7"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0E82924D"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42335815"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46C6FBBD"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50%</w:t>
            </w:r>
          </w:p>
        </w:tc>
      </w:tr>
      <w:tr w:rsidR="0067156B" w:rsidRPr="00BA48F1" w14:paraId="48BBC18D" w14:textId="77777777" w:rsidTr="0067156B">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4F605DC"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PRINCETON</w:t>
            </w:r>
          </w:p>
        </w:tc>
        <w:tc>
          <w:tcPr>
            <w:tcW w:w="0" w:type="auto"/>
            <w:tcBorders>
              <w:top w:val="nil"/>
              <w:left w:val="nil"/>
              <w:bottom w:val="single" w:sz="4" w:space="0" w:color="auto"/>
              <w:right w:val="single" w:sz="4" w:space="0" w:color="auto"/>
            </w:tcBorders>
            <w:shd w:val="clear" w:color="auto" w:fill="auto"/>
            <w:noWrap/>
            <w:vAlign w:val="bottom"/>
            <w:hideMark/>
          </w:tcPr>
          <w:p w14:paraId="7D4BAC80"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72</w:t>
            </w:r>
          </w:p>
        </w:tc>
        <w:tc>
          <w:tcPr>
            <w:tcW w:w="0" w:type="auto"/>
            <w:tcBorders>
              <w:top w:val="nil"/>
              <w:left w:val="nil"/>
              <w:bottom w:val="single" w:sz="4" w:space="0" w:color="auto"/>
              <w:right w:val="single" w:sz="4" w:space="0" w:color="auto"/>
            </w:tcBorders>
            <w:shd w:val="clear" w:color="auto" w:fill="auto"/>
            <w:noWrap/>
            <w:vAlign w:val="bottom"/>
            <w:hideMark/>
          </w:tcPr>
          <w:p w14:paraId="5B2593B3"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59</w:t>
            </w:r>
          </w:p>
        </w:tc>
        <w:tc>
          <w:tcPr>
            <w:tcW w:w="0" w:type="auto"/>
            <w:tcBorders>
              <w:top w:val="nil"/>
              <w:left w:val="nil"/>
              <w:bottom w:val="single" w:sz="4" w:space="0" w:color="auto"/>
              <w:right w:val="single" w:sz="4" w:space="0" w:color="auto"/>
            </w:tcBorders>
            <w:shd w:val="clear" w:color="auto" w:fill="auto"/>
            <w:noWrap/>
            <w:vAlign w:val="bottom"/>
            <w:hideMark/>
          </w:tcPr>
          <w:p w14:paraId="4BA014C4"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82%</w:t>
            </w:r>
          </w:p>
        </w:tc>
        <w:tc>
          <w:tcPr>
            <w:tcW w:w="0" w:type="auto"/>
            <w:tcBorders>
              <w:top w:val="nil"/>
              <w:left w:val="nil"/>
              <w:bottom w:val="single" w:sz="4" w:space="0" w:color="auto"/>
              <w:right w:val="single" w:sz="4" w:space="0" w:color="auto"/>
            </w:tcBorders>
            <w:shd w:val="clear" w:color="auto" w:fill="auto"/>
            <w:noWrap/>
            <w:vAlign w:val="bottom"/>
            <w:hideMark/>
          </w:tcPr>
          <w:p w14:paraId="57497BC4"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58</w:t>
            </w:r>
          </w:p>
        </w:tc>
        <w:tc>
          <w:tcPr>
            <w:tcW w:w="0" w:type="auto"/>
            <w:tcBorders>
              <w:top w:val="nil"/>
              <w:left w:val="nil"/>
              <w:bottom w:val="single" w:sz="4" w:space="0" w:color="auto"/>
              <w:right w:val="single" w:sz="4" w:space="0" w:color="auto"/>
            </w:tcBorders>
            <w:shd w:val="clear" w:color="auto" w:fill="auto"/>
            <w:noWrap/>
            <w:vAlign w:val="bottom"/>
            <w:hideMark/>
          </w:tcPr>
          <w:p w14:paraId="391E02DE"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(98.3)</w:t>
            </w:r>
          </w:p>
        </w:tc>
        <w:tc>
          <w:tcPr>
            <w:tcW w:w="0" w:type="auto"/>
            <w:tcBorders>
              <w:top w:val="nil"/>
              <w:left w:val="nil"/>
              <w:bottom w:val="single" w:sz="4" w:space="0" w:color="auto"/>
              <w:right w:val="single" w:sz="4" w:space="0" w:color="auto"/>
            </w:tcBorders>
            <w:shd w:val="clear" w:color="auto" w:fill="auto"/>
            <w:noWrap/>
            <w:vAlign w:val="bottom"/>
            <w:hideMark/>
          </w:tcPr>
          <w:p w14:paraId="4F60D15E"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504CF15E"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32D48468"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1DE85AC8"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75EF6BB1"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7D03589D"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046B6DDC"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286236EA"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5AE16601"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14131AA5"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3BF1DD18"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70%</w:t>
            </w:r>
          </w:p>
        </w:tc>
      </w:tr>
      <w:tr w:rsidR="0067156B" w:rsidRPr="00BA48F1" w14:paraId="643A9CE8" w14:textId="77777777" w:rsidTr="0067156B">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5FD2446"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PROVINCETOWN</w:t>
            </w:r>
          </w:p>
        </w:tc>
        <w:tc>
          <w:tcPr>
            <w:tcW w:w="0" w:type="auto"/>
            <w:tcBorders>
              <w:top w:val="nil"/>
              <w:left w:val="nil"/>
              <w:bottom w:val="single" w:sz="4" w:space="0" w:color="auto"/>
              <w:right w:val="single" w:sz="4" w:space="0" w:color="auto"/>
            </w:tcBorders>
            <w:shd w:val="clear" w:color="auto" w:fill="auto"/>
            <w:noWrap/>
            <w:vAlign w:val="bottom"/>
            <w:hideMark/>
          </w:tcPr>
          <w:p w14:paraId="3B657A68"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29</w:t>
            </w:r>
          </w:p>
        </w:tc>
        <w:tc>
          <w:tcPr>
            <w:tcW w:w="0" w:type="auto"/>
            <w:tcBorders>
              <w:top w:val="nil"/>
              <w:left w:val="nil"/>
              <w:bottom w:val="single" w:sz="4" w:space="0" w:color="auto"/>
              <w:right w:val="single" w:sz="4" w:space="0" w:color="auto"/>
            </w:tcBorders>
            <w:shd w:val="clear" w:color="auto" w:fill="auto"/>
            <w:noWrap/>
            <w:vAlign w:val="bottom"/>
            <w:hideMark/>
          </w:tcPr>
          <w:p w14:paraId="3F15AD9D"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13</w:t>
            </w:r>
          </w:p>
        </w:tc>
        <w:tc>
          <w:tcPr>
            <w:tcW w:w="0" w:type="auto"/>
            <w:tcBorders>
              <w:top w:val="nil"/>
              <w:left w:val="nil"/>
              <w:bottom w:val="single" w:sz="4" w:space="0" w:color="auto"/>
              <w:right w:val="single" w:sz="4" w:space="0" w:color="auto"/>
            </w:tcBorders>
            <w:shd w:val="clear" w:color="auto" w:fill="auto"/>
            <w:noWrap/>
            <w:vAlign w:val="bottom"/>
            <w:hideMark/>
          </w:tcPr>
          <w:p w14:paraId="3DB244F7"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45%</w:t>
            </w:r>
          </w:p>
        </w:tc>
        <w:tc>
          <w:tcPr>
            <w:tcW w:w="0" w:type="auto"/>
            <w:tcBorders>
              <w:top w:val="nil"/>
              <w:left w:val="nil"/>
              <w:bottom w:val="single" w:sz="4" w:space="0" w:color="auto"/>
              <w:right w:val="single" w:sz="4" w:space="0" w:color="auto"/>
            </w:tcBorders>
            <w:shd w:val="clear" w:color="auto" w:fill="auto"/>
            <w:noWrap/>
            <w:vAlign w:val="bottom"/>
            <w:hideMark/>
          </w:tcPr>
          <w:p w14:paraId="7B0C84E7"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13</w:t>
            </w:r>
          </w:p>
        </w:tc>
        <w:tc>
          <w:tcPr>
            <w:tcW w:w="0" w:type="auto"/>
            <w:tcBorders>
              <w:top w:val="nil"/>
              <w:left w:val="nil"/>
              <w:bottom w:val="single" w:sz="4" w:space="0" w:color="auto"/>
              <w:right w:val="single" w:sz="4" w:space="0" w:color="auto"/>
            </w:tcBorders>
            <w:shd w:val="clear" w:color="auto" w:fill="auto"/>
            <w:noWrap/>
            <w:vAlign w:val="bottom"/>
            <w:hideMark/>
          </w:tcPr>
          <w:p w14:paraId="2A539592"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(100.0)</w:t>
            </w:r>
          </w:p>
        </w:tc>
        <w:tc>
          <w:tcPr>
            <w:tcW w:w="0" w:type="auto"/>
            <w:tcBorders>
              <w:top w:val="nil"/>
              <w:left w:val="nil"/>
              <w:bottom w:val="single" w:sz="4" w:space="0" w:color="auto"/>
              <w:right w:val="single" w:sz="4" w:space="0" w:color="auto"/>
            </w:tcBorders>
            <w:shd w:val="clear" w:color="auto" w:fill="auto"/>
            <w:noWrap/>
            <w:vAlign w:val="bottom"/>
            <w:hideMark/>
          </w:tcPr>
          <w:p w14:paraId="639DBB0F"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351E110E"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5D81216C"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3DEC162F"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251BDCC5"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38F14749"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1B488D92"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496BC98B"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471FB97B"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271B7150"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62D6C46E"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70%</w:t>
            </w:r>
          </w:p>
        </w:tc>
      </w:tr>
      <w:tr w:rsidR="0067156B" w:rsidRPr="00BA48F1" w14:paraId="6237B689" w14:textId="77777777" w:rsidTr="0067156B">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7A24E2B"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QUINCY</w:t>
            </w:r>
          </w:p>
        </w:tc>
        <w:tc>
          <w:tcPr>
            <w:tcW w:w="0" w:type="auto"/>
            <w:tcBorders>
              <w:top w:val="nil"/>
              <w:left w:val="nil"/>
              <w:bottom w:val="single" w:sz="4" w:space="0" w:color="auto"/>
              <w:right w:val="single" w:sz="4" w:space="0" w:color="auto"/>
            </w:tcBorders>
            <w:shd w:val="clear" w:color="auto" w:fill="auto"/>
            <w:noWrap/>
            <w:vAlign w:val="bottom"/>
            <w:hideMark/>
          </w:tcPr>
          <w:p w14:paraId="689D91F3"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3,423</w:t>
            </w:r>
          </w:p>
        </w:tc>
        <w:tc>
          <w:tcPr>
            <w:tcW w:w="0" w:type="auto"/>
            <w:tcBorders>
              <w:top w:val="nil"/>
              <w:left w:val="nil"/>
              <w:bottom w:val="single" w:sz="4" w:space="0" w:color="auto"/>
              <w:right w:val="single" w:sz="4" w:space="0" w:color="auto"/>
            </w:tcBorders>
            <w:shd w:val="clear" w:color="auto" w:fill="auto"/>
            <w:noWrap/>
            <w:vAlign w:val="bottom"/>
            <w:hideMark/>
          </w:tcPr>
          <w:p w14:paraId="7FF4F84E"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2,209</w:t>
            </w:r>
          </w:p>
        </w:tc>
        <w:tc>
          <w:tcPr>
            <w:tcW w:w="0" w:type="auto"/>
            <w:tcBorders>
              <w:top w:val="nil"/>
              <w:left w:val="nil"/>
              <w:bottom w:val="single" w:sz="4" w:space="0" w:color="auto"/>
              <w:right w:val="single" w:sz="4" w:space="0" w:color="auto"/>
            </w:tcBorders>
            <w:shd w:val="clear" w:color="auto" w:fill="auto"/>
            <w:noWrap/>
            <w:vAlign w:val="bottom"/>
            <w:hideMark/>
          </w:tcPr>
          <w:p w14:paraId="73E6D127"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65%</w:t>
            </w:r>
          </w:p>
        </w:tc>
        <w:tc>
          <w:tcPr>
            <w:tcW w:w="0" w:type="auto"/>
            <w:tcBorders>
              <w:top w:val="nil"/>
              <w:left w:val="nil"/>
              <w:bottom w:val="single" w:sz="4" w:space="0" w:color="auto"/>
              <w:right w:val="single" w:sz="4" w:space="0" w:color="auto"/>
            </w:tcBorders>
            <w:shd w:val="clear" w:color="auto" w:fill="auto"/>
            <w:noWrap/>
            <w:vAlign w:val="bottom"/>
            <w:hideMark/>
          </w:tcPr>
          <w:p w14:paraId="78F2B914"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2,179</w:t>
            </w:r>
          </w:p>
        </w:tc>
        <w:tc>
          <w:tcPr>
            <w:tcW w:w="0" w:type="auto"/>
            <w:tcBorders>
              <w:top w:val="nil"/>
              <w:left w:val="nil"/>
              <w:bottom w:val="single" w:sz="4" w:space="0" w:color="auto"/>
              <w:right w:val="single" w:sz="4" w:space="0" w:color="auto"/>
            </w:tcBorders>
            <w:shd w:val="clear" w:color="auto" w:fill="auto"/>
            <w:noWrap/>
            <w:vAlign w:val="bottom"/>
            <w:hideMark/>
          </w:tcPr>
          <w:p w14:paraId="12B33479"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(98.6)</w:t>
            </w:r>
          </w:p>
        </w:tc>
        <w:tc>
          <w:tcPr>
            <w:tcW w:w="0" w:type="auto"/>
            <w:tcBorders>
              <w:top w:val="nil"/>
              <w:left w:val="nil"/>
              <w:bottom w:val="single" w:sz="4" w:space="0" w:color="auto"/>
              <w:right w:val="single" w:sz="4" w:space="0" w:color="auto"/>
            </w:tcBorders>
            <w:shd w:val="clear" w:color="auto" w:fill="auto"/>
            <w:noWrap/>
            <w:vAlign w:val="bottom"/>
            <w:hideMark/>
          </w:tcPr>
          <w:p w14:paraId="7FF0B156"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26</w:t>
            </w:r>
          </w:p>
        </w:tc>
        <w:tc>
          <w:tcPr>
            <w:tcW w:w="0" w:type="auto"/>
            <w:tcBorders>
              <w:top w:val="nil"/>
              <w:left w:val="nil"/>
              <w:bottom w:val="single" w:sz="4" w:space="0" w:color="auto"/>
              <w:right w:val="single" w:sz="4" w:space="0" w:color="auto"/>
            </w:tcBorders>
            <w:shd w:val="clear" w:color="auto" w:fill="auto"/>
            <w:noWrap/>
            <w:vAlign w:val="bottom"/>
            <w:hideMark/>
          </w:tcPr>
          <w:p w14:paraId="4FD036F6"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(1.2)</w:t>
            </w:r>
          </w:p>
        </w:tc>
        <w:tc>
          <w:tcPr>
            <w:tcW w:w="0" w:type="auto"/>
            <w:tcBorders>
              <w:top w:val="nil"/>
              <w:left w:val="nil"/>
              <w:bottom w:val="single" w:sz="4" w:space="0" w:color="auto"/>
              <w:right w:val="single" w:sz="4" w:space="0" w:color="auto"/>
            </w:tcBorders>
            <w:shd w:val="clear" w:color="auto" w:fill="auto"/>
            <w:noWrap/>
            <w:vAlign w:val="bottom"/>
            <w:hideMark/>
          </w:tcPr>
          <w:p w14:paraId="01D96BFD"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4</w:t>
            </w:r>
          </w:p>
        </w:tc>
        <w:tc>
          <w:tcPr>
            <w:tcW w:w="0" w:type="auto"/>
            <w:tcBorders>
              <w:top w:val="nil"/>
              <w:left w:val="nil"/>
              <w:bottom w:val="single" w:sz="4" w:space="0" w:color="auto"/>
              <w:right w:val="single" w:sz="4" w:space="0" w:color="auto"/>
            </w:tcBorders>
            <w:shd w:val="clear" w:color="auto" w:fill="auto"/>
            <w:noWrap/>
            <w:vAlign w:val="bottom"/>
            <w:hideMark/>
          </w:tcPr>
          <w:p w14:paraId="0D107C9D"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(0.2)</w:t>
            </w:r>
          </w:p>
        </w:tc>
        <w:tc>
          <w:tcPr>
            <w:tcW w:w="0" w:type="auto"/>
            <w:tcBorders>
              <w:top w:val="nil"/>
              <w:left w:val="nil"/>
              <w:bottom w:val="single" w:sz="4" w:space="0" w:color="auto"/>
              <w:right w:val="single" w:sz="4" w:space="0" w:color="auto"/>
            </w:tcBorders>
            <w:shd w:val="clear" w:color="auto" w:fill="auto"/>
            <w:noWrap/>
            <w:vAlign w:val="bottom"/>
            <w:hideMark/>
          </w:tcPr>
          <w:p w14:paraId="4C895340"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4B4BA245"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2F9D0E6E"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25</w:t>
            </w:r>
          </w:p>
        </w:tc>
        <w:tc>
          <w:tcPr>
            <w:tcW w:w="0" w:type="auto"/>
            <w:tcBorders>
              <w:top w:val="nil"/>
              <w:left w:val="nil"/>
              <w:bottom w:val="single" w:sz="4" w:space="0" w:color="auto"/>
              <w:right w:val="single" w:sz="4" w:space="0" w:color="auto"/>
            </w:tcBorders>
            <w:shd w:val="clear" w:color="auto" w:fill="auto"/>
            <w:noWrap/>
            <w:vAlign w:val="bottom"/>
            <w:hideMark/>
          </w:tcPr>
          <w:p w14:paraId="373F51E0"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(1.1)</w:t>
            </w:r>
          </w:p>
        </w:tc>
        <w:tc>
          <w:tcPr>
            <w:tcW w:w="0" w:type="auto"/>
            <w:tcBorders>
              <w:top w:val="nil"/>
              <w:left w:val="nil"/>
              <w:bottom w:val="single" w:sz="4" w:space="0" w:color="auto"/>
              <w:right w:val="single" w:sz="4" w:space="0" w:color="auto"/>
            </w:tcBorders>
            <w:shd w:val="clear" w:color="auto" w:fill="auto"/>
            <w:noWrap/>
            <w:vAlign w:val="bottom"/>
            <w:hideMark/>
          </w:tcPr>
          <w:p w14:paraId="1334D5E5"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3</w:t>
            </w:r>
          </w:p>
        </w:tc>
        <w:tc>
          <w:tcPr>
            <w:tcW w:w="0" w:type="auto"/>
            <w:tcBorders>
              <w:top w:val="nil"/>
              <w:left w:val="nil"/>
              <w:bottom w:val="single" w:sz="4" w:space="0" w:color="auto"/>
              <w:right w:val="single" w:sz="4" w:space="0" w:color="auto"/>
            </w:tcBorders>
            <w:shd w:val="clear" w:color="auto" w:fill="auto"/>
            <w:noWrap/>
            <w:vAlign w:val="bottom"/>
            <w:hideMark/>
          </w:tcPr>
          <w:p w14:paraId="6CFE6BA9"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(0.1)</w:t>
            </w:r>
          </w:p>
        </w:tc>
        <w:tc>
          <w:tcPr>
            <w:tcW w:w="0" w:type="auto"/>
            <w:tcBorders>
              <w:top w:val="nil"/>
              <w:left w:val="nil"/>
              <w:bottom w:val="single" w:sz="4" w:space="0" w:color="auto"/>
              <w:right w:val="single" w:sz="4" w:space="0" w:color="auto"/>
            </w:tcBorders>
            <w:shd w:val="clear" w:color="auto" w:fill="auto"/>
            <w:noWrap/>
            <w:vAlign w:val="bottom"/>
            <w:hideMark/>
          </w:tcPr>
          <w:p w14:paraId="77751872"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68%</w:t>
            </w:r>
          </w:p>
        </w:tc>
      </w:tr>
      <w:tr w:rsidR="0067156B" w:rsidRPr="00BA48F1" w14:paraId="08A97982" w14:textId="77777777" w:rsidTr="0067156B">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E629FFB"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RANDOLPH</w:t>
            </w:r>
          </w:p>
        </w:tc>
        <w:tc>
          <w:tcPr>
            <w:tcW w:w="0" w:type="auto"/>
            <w:tcBorders>
              <w:top w:val="nil"/>
              <w:left w:val="nil"/>
              <w:bottom w:val="single" w:sz="4" w:space="0" w:color="auto"/>
              <w:right w:val="single" w:sz="4" w:space="0" w:color="auto"/>
            </w:tcBorders>
            <w:shd w:val="clear" w:color="auto" w:fill="auto"/>
            <w:noWrap/>
            <w:vAlign w:val="bottom"/>
            <w:hideMark/>
          </w:tcPr>
          <w:p w14:paraId="78A01D79"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1,327</w:t>
            </w:r>
          </w:p>
        </w:tc>
        <w:tc>
          <w:tcPr>
            <w:tcW w:w="0" w:type="auto"/>
            <w:tcBorders>
              <w:top w:val="nil"/>
              <w:left w:val="nil"/>
              <w:bottom w:val="single" w:sz="4" w:space="0" w:color="auto"/>
              <w:right w:val="single" w:sz="4" w:space="0" w:color="auto"/>
            </w:tcBorders>
            <w:shd w:val="clear" w:color="auto" w:fill="auto"/>
            <w:noWrap/>
            <w:vAlign w:val="bottom"/>
            <w:hideMark/>
          </w:tcPr>
          <w:p w14:paraId="31979B20"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772</w:t>
            </w:r>
          </w:p>
        </w:tc>
        <w:tc>
          <w:tcPr>
            <w:tcW w:w="0" w:type="auto"/>
            <w:tcBorders>
              <w:top w:val="nil"/>
              <w:left w:val="nil"/>
              <w:bottom w:val="single" w:sz="4" w:space="0" w:color="auto"/>
              <w:right w:val="single" w:sz="4" w:space="0" w:color="auto"/>
            </w:tcBorders>
            <w:shd w:val="clear" w:color="auto" w:fill="auto"/>
            <w:noWrap/>
            <w:vAlign w:val="bottom"/>
            <w:hideMark/>
          </w:tcPr>
          <w:p w14:paraId="2026F152"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58%</w:t>
            </w:r>
          </w:p>
        </w:tc>
        <w:tc>
          <w:tcPr>
            <w:tcW w:w="0" w:type="auto"/>
            <w:tcBorders>
              <w:top w:val="nil"/>
              <w:left w:val="nil"/>
              <w:bottom w:val="single" w:sz="4" w:space="0" w:color="auto"/>
              <w:right w:val="single" w:sz="4" w:space="0" w:color="auto"/>
            </w:tcBorders>
            <w:shd w:val="clear" w:color="auto" w:fill="auto"/>
            <w:noWrap/>
            <w:vAlign w:val="bottom"/>
            <w:hideMark/>
          </w:tcPr>
          <w:p w14:paraId="11049056"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770</w:t>
            </w:r>
          </w:p>
        </w:tc>
        <w:tc>
          <w:tcPr>
            <w:tcW w:w="0" w:type="auto"/>
            <w:tcBorders>
              <w:top w:val="nil"/>
              <w:left w:val="nil"/>
              <w:bottom w:val="single" w:sz="4" w:space="0" w:color="auto"/>
              <w:right w:val="single" w:sz="4" w:space="0" w:color="auto"/>
            </w:tcBorders>
            <w:shd w:val="clear" w:color="auto" w:fill="auto"/>
            <w:noWrap/>
            <w:vAlign w:val="bottom"/>
            <w:hideMark/>
          </w:tcPr>
          <w:p w14:paraId="7721F9E6"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(99.7)</w:t>
            </w:r>
          </w:p>
        </w:tc>
        <w:tc>
          <w:tcPr>
            <w:tcW w:w="0" w:type="auto"/>
            <w:tcBorders>
              <w:top w:val="nil"/>
              <w:left w:val="nil"/>
              <w:bottom w:val="single" w:sz="4" w:space="0" w:color="auto"/>
              <w:right w:val="single" w:sz="4" w:space="0" w:color="auto"/>
            </w:tcBorders>
            <w:shd w:val="clear" w:color="auto" w:fill="auto"/>
            <w:noWrap/>
            <w:vAlign w:val="bottom"/>
            <w:hideMark/>
          </w:tcPr>
          <w:p w14:paraId="6D7CD168"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687A6F80"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3C1470EB"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773CC507"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715F9FB1"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7C7E36C5"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11080BF2"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7CBEF76F"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45276A30"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14219FDD"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68FE8E64"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50%</w:t>
            </w:r>
          </w:p>
        </w:tc>
      </w:tr>
      <w:tr w:rsidR="0067156B" w:rsidRPr="00BA48F1" w14:paraId="6D3315E3" w14:textId="77777777" w:rsidTr="0067156B">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8A72845"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RAYNHAM</w:t>
            </w:r>
          </w:p>
        </w:tc>
        <w:tc>
          <w:tcPr>
            <w:tcW w:w="0" w:type="auto"/>
            <w:tcBorders>
              <w:top w:val="nil"/>
              <w:left w:val="nil"/>
              <w:bottom w:val="single" w:sz="4" w:space="0" w:color="auto"/>
              <w:right w:val="single" w:sz="4" w:space="0" w:color="auto"/>
            </w:tcBorders>
            <w:shd w:val="clear" w:color="auto" w:fill="auto"/>
            <w:noWrap/>
            <w:vAlign w:val="bottom"/>
            <w:hideMark/>
          </w:tcPr>
          <w:p w14:paraId="6FC0DA2C"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507</w:t>
            </w:r>
          </w:p>
        </w:tc>
        <w:tc>
          <w:tcPr>
            <w:tcW w:w="0" w:type="auto"/>
            <w:tcBorders>
              <w:top w:val="nil"/>
              <w:left w:val="nil"/>
              <w:bottom w:val="single" w:sz="4" w:space="0" w:color="auto"/>
              <w:right w:val="single" w:sz="4" w:space="0" w:color="auto"/>
            </w:tcBorders>
            <w:shd w:val="clear" w:color="auto" w:fill="auto"/>
            <w:noWrap/>
            <w:vAlign w:val="bottom"/>
            <w:hideMark/>
          </w:tcPr>
          <w:p w14:paraId="547EB488"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410</w:t>
            </w:r>
          </w:p>
        </w:tc>
        <w:tc>
          <w:tcPr>
            <w:tcW w:w="0" w:type="auto"/>
            <w:tcBorders>
              <w:top w:val="nil"/>
              <w:left w:val="nil"/>
              <w:bottom w:val="single" w:sz="4" w:space="0" w:color="auto"/>
              <w:right w:val="single" w:sz="4" w:space="0" w:color="auto"/>
            </w:tcBorders>
            <w:shd w:val="clear" w:color="auto" w:fill="auto"/>
            <w:noWrap/>
            <w:vAlign w:val="bottom"/>
            <w:hideMark/>
          </w:tcPr>
          <w:p w14:paraId="1BE0AAA3"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81%</w:t>
            </w:r>
          </w:p>
        </w:tc>
        <w:tc>
          <w:tcPr>
            <w:tcW w:w="0" w:type="auto"/>
            <w:tcBorders>
              <w:top w:val="nil"/>
              <w:left w:val="nil"/>
              <w:bottom w:val="single" w:sz="4" w:space="0" w:color="auto"/>
              <w:right w:val="single" w:sz="4" w:space="0" w:color="auto"/>
            </w:tcBorders>
            <w:shd w:val="clear" w:color="auto" w:fill="auto"/>
            <w:noWrap/>
            <w:vAlign w:val="bottom"/>
            <w:hideMark/>
          </w:tcPr>
          <w:p w14:paraId="14FEF1E7"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407</w:t>
            </w:r>
          </w:p>
        </w:tc>
        <w:tc>
          <w:tcPr>
            <w:tcW w:w="0" w:type="auto"/>
            <w:tcBorders>
              <w:top w:val="nil"/>
              <w:left w:val="nil"/>
              <w:bottom w:val="single" w:sz="4" w:space="0" w:color="auto"/>
              <w:right w:val="single" w:sz="4" w:space="0" w:color="auto"/>
            </w:tcBorders>
            <w:shd w:val="clear" w:color="auto" w:fill="auto"/>
            <w:noWrap/>
            <w:vAlign w:val="bottom"/>
            <w:hideMark/>
          </w:tcPr>
          <w:p w14:paraId="1392F7B9"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(99.3)</w:t>
            </w:r>
          </w:p>
        </w:tc>
        <w:tc>
          <w:tcPr>
            <w:tcW w:w="0" w:type="auto"/>
            <w:tcBorders>
              <w:top w:val="nil"/>
              <w:left w:val="nil"/>
              <w:bottom w:val="single" w:sz="4" w:space="0" w:color="auto"/>
              <w:right w:val="single" w:sz="4" w:space="0" w:color="auto"/>
            </w:tcBorders>
            <w:shd w:val="clear" w:color="auto" w:fill="auto"/>
            <w:noWrap/>
            <w:vAlign w:val="bottom"/>
            <w:hideMark/>
          </w:tcPr>
          <w:p w14:paraId="08362EA8"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21A88A39"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59CB601B"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6A32DCE0"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3C505AE3"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71BB8450"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41CFE6B3"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5FD241C2"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20319C6D"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2A4AB91F"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0FACA498"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47%</w:t>
            </w:r>
          </w:p>
        </w:tc>
      </w:tr>
      <w:tr w:rsidR="0067156B" w:rsidRPr="00BA48F1" w14:paraId="1F7A97F2" w14:textId="77777777" w:rsidTr="0067156B">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BDB87EB"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READING</w:t>
            </w:r>
          </w:p>
        </w:tc>
        <w:tc>
          <w:tcPr>
            <w:tcW w:w="0" w:type="auto"/>
            <w:tcBorders>
              <w:top w:val="nil"/>
              <w:left w:val="nil"/>
              <w:bottom w:val="single" w:sz="4" w:space="0" w:color="auto"/>
              <w:right w:val="single" w:sz="4" w:space="0" w:color="auto"/>
            </w:tcBorders>
            <w:shd w:val="clear" w:color="auto" w:fill="auto"/>
            <w:noWrap/>
            <w:vAlign w:val="bottom"/>
            <w:hideMark/>
          </w:tcPr>
          <w:p w14:paraId="0FFA364A"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1,088</w:t>
            </w:r>
          </w:p>
        </w:tc>
        <w:tc>
          <w:tcPr>
            <w:tcW w:w="0" w:type="auto"/>
            <w:tcBorders>
              <w:top w:val="nil"/>
              <w:left w:val="nil"/>
              <w:bottom w:val="single" w:sz="4" w:space="0" w:color="auto"/>
              <w:right w:val="single" w:sz="4" w:space="0" w:color="auto"/>
            </w:tcBorders>
            <w:shd w:val="clear" w:color="auto" w:fill="auto"/>
            <w:noWrap/>
            <w:vAlign w:val="bottom"/>
            <w:hideMark/>
          </w:tcPr>
          <w:p w14:paraId="0D016849"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606</w:t>
            </w:r>
          </w:p>
        </w:tc>
        <w:tc>
          <w:tcPr>
            <w:tcW w:w="0" w:type="auto"/>
            <w:tcBorders>
              <w:top w:val="nil"/>
              <w:left w:val="nil"/>
              <w:bottom w:val="single" w:sz="4" w:space="0" w:color="auto"/>
              <w:right w:val="single" w:sz="4" w:space="0" w:color="auto"/>
            </w:tcBorders>
            <w:shd w:val="clear" w:color="auto" w:fill="auto"/>
            <w:noWrap/>
            <w:vAlign w:val="bottom"/>
            <w:hideMark/>
          </w:tcPr>
          <w:p w14:paraId="0A0A833A"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56%</w:t>
            </w:r>
          </w:p>
        </w:tc>
        <w:tc>
          <w:tcPr>
            <w:tcW w:w="0" w:type="auto"/>
            <w:tcBorders>
              <w:top w:val="nil"/>
              <w:left w:val="nil"/>
              <w:bottom w:val="single" w:sz="4" w:space="0" w:color="auto"/>
              <w:right w:val="single" w:sz="4" w:space="0" w:color="auto"/>
            </w:tcBorders>
            <w:shd w:val="clear" w:color="auto" w:fill="auto"/>
            <w:noWrap/>
            <w:vAlign w:val="bottom"/>
            <w:hideMark/>
          </w:tcPr>
          <w:p w14:paraId="5058FF38"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604</w:t>
            </w:r>
          </w:p>
        </w:tc>
        <w:tc>
          <w:tcPr>
            <w:tcW w:w="0" w:type="auto"/>
            <w:tcBorders>
              <w:top w:val="nil"/>
              <w:left w:val="nil"/>
              <w:bottom w:val="single" w:sz="4" w:space="0" w:color="auto"/>
              <w:right w:val="single" w:sz="4" w:space="0" w:color="auto"/>
            </w:tcBorders>
            <w:shd w:val="clear" w:color="auto" w:fill="auto"/>
            <w:noWrap/>
            <w:vAlign w:val="bottom"/>
            <w:hideMark/>
          </w:tcPr>
          <w:p w14:paraId="0143D533"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(99.7)</w:t>
            </w:r>
          </w:p>
        </w:tc>
        <w:tc>
          <w:tcPr>
            <w:tcW w:w="0" w:type="auto"/>
            <w:tcBorders>
              <w:top w:val="nil"/>
              <w:left w:val="nil"/>
              <w:bottom w:val="single" w:sz="4" w:space="0" w:color="auto"/>
              <w:right w:val="single" w:sz="4" w:space="0" w:color="auto"/>
            </w:tcBorders>
            <w:shd w:val="clear" w:color="auto" w:fill="auto"/>
            <w:noWrap/>
            <w:vAlign w:val="bottom"/>
            <w:hideMark/>
          </w:tcPr>
          <w:p w14:paraId="2256AE71"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726EDF45"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22784494"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7AEBB036"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3ED40EA3"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68426957"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56D01E8C"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0930C8F0"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2F995E21"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29BCE1A5"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4E293F9F"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70%</w:t>
            </w:r>
          </w:p>
        </w:tc>
      </w:tr>
      <w:tr w:rsidR="0067156B" w:rsidRPr="00BA48F1" w14:paraId="5CA21479" w14:textId="77777777" w:rsidTr="0067156B">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D23E8F2"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REHOBOTH</w:t>
            </w:r>
          </w:p>
        </w:tc>
        <w:tc>
          <w:tcPr>
            <w:tcW w:w="0" w:type="auto"/>
            <w:tcBorders>
              <w:top w:val="nil"/>
              <w:left w:val="nil"/>
              <w:bottom w:val="single" w:sz="4" w:space="0" w:color="auto"/>
              <w:right w:val="single" w:sz="4" w:space="0" w:color="auto"/>
            </w:tcBorders>
            <w:shd w:val="clear" w:color="auto" w:fill="auto"/>
            <w:noWrap/>
            <w:vAlign w:val="bottom"/>
            <w:hideMark/>
          </w:tcPr>
          <w:p w14:paraId="25AC5113"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354</w:t>
            </w:r>
          </w:p>
        </w:tc>
        <w:tc>
          <w:tcPr>
            <w:tcW w:w="0" w:type="auto"/>
            <w:tcBorders>
              <w:top w:val="nil"/>
              <w:left w:val="nil"/>
              <w:bottom w:val="single" w:sz="4" w:space="0" w:color="auto"/>
              <w:right w:val="single" w:sz="4" w:space="0" w:color="auto"/>
            </w:tcBorders>
            <w:shd w:val="clear" w:color="auto" w:fill="auto"/>
            <w:noWrap/>
            <w:vAlign w:val="bottom"/>
            <w:hideMark/>
          </w:tcPr>
          <w:p w14:paraId="5EAF127A"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191</w:t>
            </w:r>
          </w:p>
        </w:tc>
        <w:tc>
          <w:tcPr>
            <w:tcW w:w="0" w:type="auto"/>
            <w:tcBorders>
              <w:top w:val="nil"/>
              <w:left w:val="nil"/>
              <w:bottom w:val="single" w:sz="4" w:space="0" w:color="auto"/>
              <w:right w:val="single" w:sz="4" w:space="0" w:color="auto"/>
            </w:tcBorders>
            <w:shd w:val="clear" w:color="auto" w:fill="auto"/>
            <w:noWrap/>
            <w:vAlign w:val="bottom"/>
            <w:hideMark/>
          </w:tcPr>
          <w:p w14:paraId="7D64C495"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54%</w:t>
            </w:r>
          </w:p>
        </w:tc>
        <w:tc>
          <w:tcPr>
            <w:tcW w:w="0" w:type="auto"/>
            <w:tcBorders>
              <w:top w:val="nil"/>
              <w:left w:val="nil"/>
              <w:bottom w:val="single" w:sz="4" w:space="0" w:color="auto"/>
              <w:right w:val="single" w:sz="4" w:space="0" w:color="auto"/>
            </w:tcBorders>
            <w:shd w:val="clear" w:color="auto" w:fill="auto"/>
            <w:noWrap/>
            <w:vAlign w:val="bottom"/>
            <w:hideMark/>
          </w:tcPr>
          <w:p w14:paraId="1DD68869"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191</w:t>
            </w:r>
          </w:p>
        </w:tc>
        <w:tc>
          <w:tcPr>
            <w:tcW w:w="0" w:type="auto"/>
            <w:tcBorders>
              <w:top w:val="nil"/>
              <w:left w:val="nil"/>
              <w:bottom w:val="single" w:sz="4" w:space="0" w:color="auto"/>
              <w:right w:val="single" w:sz="4" w:space="0" w:color="auto"/>
            </w:tcBorders>
            <w:shd w:val="clear" w:color="auto" w:fill="auto"/>
            <w:noWrap/>
            <w:vAlign w:val="bottom"/>
            <w:hideMark/>
          </w:tcPr>
          <w:p w14:paraId="4A3BD66C"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(100.0)</w:t>
            </w:r>
          </w:p>
        </w:tc>
        <w:tc>
          <w:tcPr>
            <w:tcW w:w="0" w:type="auto"/>
            <w:tcBorders>
              <w:top w:val="nil"/>
              <w:left w:val="nil"/>
              <w:bottom w:val="single" w:sz="4" w:space="0" w:color="auto"/>
              <w:right w:val="single" w:sz="4" w:space="0" w:color="auto"/>
            </w:tcBorders>
            <w:shd w:val="clear" w:color="auto" w:fill="auto"/>
            <w:noWrap/>
            <w:vAlign w:val="bottom"/>
            <w:hideMark/>
          </w:tcPr>
          <w:p w14:paraId="749DC280"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633B9D76"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0114A68A"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1045BA7A"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5E0F9297"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1677A002"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0642332A"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34B17BD8"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17E8E00B"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5BE7BFEA"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64BA5D81"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74%</w:t>
            </w:r>
          </w:p>
        </w:tc>
      </w:tr>
      <w:tr w:rsidR="0067156B" w:rsidRPr="00BA48F1" w14:paraId="0587B5FE" w14:textId="77777777" w:rsidTr="0067156B">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0F85467"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REVERE</w:t>
            </w:r>
          </w:p>
        </w:tc>
        <w:tc>
          <w:tcPr>
            <w:tcW w:w="0" w:type="auto"/>
            <w:tcBorders>
              <w:top w:val="nil"/>
              <w:left w:val="nil"/>
              <w:bottom w:val="single" w:sz="4" w:space="0" w:color="auto"/>
              <w:right w:val="single" w:sz="4" w:space="0" w:color="auto"/>
            </w:tcBorders>
            <w:shd w:val="clear" w:color="auto" w:fill="auto"/>
            <w:noWrap/>
            <w:vAlign w:val="bottom"/>
            <w:hideMark/>
          </w:tcPr>
          <w:p w14:paraId="61CAC337"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2,443</w:t>
            </w:r>
          </w:p>
        </w:tc>
        <w:tc>
          <w:tcPr>
            <w:tcW w:w="0" w:type="auto"/>
            <w:tcBorders>
              <w:top w:val="nil"/>
              <w:left w:val="nil"/>
              <w:bottom w:val="single" w:sz="4" w:space="0" w:color="auto"/>
              <w:right w:val="single" w:sz="4" w:space="0" w:color="auto"/>
            </w:tcBorders>
            <w:shd w:val="clear" w:color="auto" w:fill="auto"/>
            <w:noWrap/>
            <w:vAlign w:val="bottom"/>
            <w:hideMark/>
          </w:tcPr>
          <w:p w14:paraId="3AAFFFFB"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1,481</w:t>
            </w:r>
          </w:p>
        </w:tc>
        <w:tc>
          <w:tcPr>
            <w:tcW w:w="0" w:type="auto"/>
            <w:tcBorders>
              <w:top w:val="nil"/>
              <w:left w:val="nil"/>
              <w:bottom w:val="single" w:sz="4" w:space="0" w:color="auto"/>
              <w:right w:val="single" w:sz="4" w:space="0" w:color="auto"/>
            </w:tcBorders>
            <w:shd w:val="clear" w:color="auto" w:fill="auto"/>
            <w:noWrap/>
            <w:vAlign w:val="bottom"/>
            <w:hideMark/>
          </w:tcPr>
          <w:p w14:paraId="0CFC0259"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61%</w:t>
            </w:r>
          </w:p>
        </w:tc>
        <w:tc>
          <w:tcPr>
            <w:tcW w:w="0" w:type="auto"/>
            <w:tcBorders>
              <w:top w:val="nil"/>
              <w:left w:val="nil"/>
              <w:bottom w:val="single" w:sz="4" w:space="0" w:color="auto"/>
              <w:right w:val="single" w:sz="4" w:space="0" w:color="auto"/>
            </w:tcBorders>
            <w:shd w:val="clear" w:color="auto" w:fill="auto"/>
            <w:noWrap/>
            <w:vAlign w:val="bottom"/>
            <w:hideMark/>
          </w:tcPr>
          <w:p w14:paraId="3AF2D2B8"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1,460</w:t>
            </w:r>
          </w:p>
        </w:tc>
        <w:tc>
          <w:tcPr>
            <w:tcW w:w="0" w:type="auto"/>
            <w:tcBorders>
              <w:top w:val="nil"/>
              <w:left w:val="nil"/>
              <w:bottom w:val="single" w:sz="4" w:space="0" w:color="auto"/>
              <w:right w:val="single" w:sz="4" w:space="0" w:color="auto"/>
            </w:tcBorders>
            <w:shd w:val="clear" w:color="auto" w:fill="auto"/>
            <w:noWrap/>
            <w:vAlign w:val="bottom"/>
            <w:hideMark/>
          </w:tcPr>
          <w:p w14:paraId="108AB423"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(98.6)</w:t>
            </w:r>
          </w:p>
        </w:tc>
        <w:tc>
          <w:tcPr>
            <w:tcW w:w="0" w:type="auto"/>
            <w:tcBorders>
              <w:top w:val="nil"/>
              <w:left w:val="nil"/>
              <w:bottom w:val="single" w:sz="4" w:space="0" w:color="auto"/>
              <w:right w:val="single" w:sz="4" w:space="0" w:color="auto"/>
            </w:tcBorders>
            <w:shd w:val="clear" w:color="auto" w:fill="auto"/>
            <w:noWrap/>
            <w:vAlign w:val="bottom"/>
            <w:hideMark/>
          </w:tcPr>
          <w:p w14:paraId="342D6DA5"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15</w:t>
            </w:r>
          </w:p>
        </w:tc>
        <w:tc>
          <w:tcPr>
            <w:tcW w:w="0" w:type="auto"/>
            <w:tcBorders>
              <w:top w:val="nil"/>
              <w:left w:val="nil"/>
              <w:bottom w:val="single" w:sz="4" w:space="0" w:color="auto"/>
              <w:right w:val="single" w:sz="4" w:space="0" w:color="auto"/>
            </w:tcBorders>
            <w:shd w:val="clear" w:color="auto" w:fill="auto"/>
            <w:noWrap/>
            <w:vAlign w:val="bottom"/>
            <w:hideMark/>
          </w:tcPr>
          <w:p w14:paraId="4DD41EFE"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(1.0)</w:t>
            </w:r>
          </w:p>
        </w:tc>
        <w:tc>
          <w:tcPr>
            <w:tcW w:w="0" w:type="auto"/>
            <w:tcBorders>
              <w:top w:val="nil"/>
              <w:left w:val="nil"/>
              <w:bottom w:val="single" w:sz="4" w:space="0" w:color="auto"/>
              <w:right w:val="single" w:sz="4" w:space="0" w:color="auto"/>
            </w:tcBorders>
            <w:shd w:val="clear" w:color="auto" w:fill="auto"/>
            <w:noWrap/>
            <w:vAlign w:val="bottom"/>
            <w:hideMark/>
          </w:tcPr>
          <w:p w14:paraId="5DB5DE1F"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6</w:t>
            </w:r>
          </w:p>
        </w:tc>
        <w:tc>
          <w:tcPr>
            <w:tcW w:w="0" w:type="auto"/>
            <w:tcBorders>
              <w:top w:val="nil"/>
              <w:left w:val="nil"/>
              <w:bottom w:val="single" w:sz="4" w:space="0" w:color="auto"/>
              <w:right w:val="single" w:sz="4" w:space="0" w:color="auto"/>
            </w:tcBorders>
            <w:shd w:val="clear" w:color="auto" w:fill="auto"/>
            <w:noWrap/>
            <w:vAlign w:val="bottom"/>
            <w:hideMark/>
          </w:tcPr>
          <w:p w14:paraId="25174206"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(0.4)</w:t>
            </w:r>
          </w:p>
        </w:tc>
        <w:tc>
          <w:tcPr>
            <w:tcW w:w="0" w:type="auto"/>
            <w:tcBorders>
              <w:top w:val="nil"/>
              <w:left w:val="nil"/>
              <w:bottom w:val="single" w:sz="4" w:space="0" w:color="auto"/>
              <w:right w:val="single" w:sz="4" w:space="0" w:color="auto"/>
            </w:tcBorders>
            <w:shd w:val="clear" w:color="auto" w:fill="auto"/>
            <w:noWrap/>
            <w:vAlign w:val="bottom"/>
            <w:hideMark/>
          </w:tcPr>
          <w:p w14:paraId="084CB633"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01F68A17"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6A1C3360"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18</w:t>
            </w:r>
          </w:p>
        </w:tc>
        <w:tc>
          <w:tcPr>
            <w:tcW w:w="0" w:type="auto"/>
            <w:tcBorders>
              <w:top w:val="nil"/>
              <w:left w:val="nil"/>
              <w:bottom w:val="single" w:sz="4" w:space="0" w:color="auto"/>
              <w:right w:val="single" w:sz="4" w:space="0" w:color="auto"/>
            </w:tcBorders>
            <w:shd w:val="clear" w:color="auto" w:fill="auto"/>
            <w:noWrap/>
            <w:vAlign w:val="bottom"/>
            <w:hideMark/>
          </w:tcPr>
          <w:p w14:paraId="56EBCB5C"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(1.2)</w:t>
            </w:r>
          </w:p>
        </w:tc>
        <w:tc>
          <w:tcPr>
            <w:tcW w:w="0" w:type="auto"/>
            <w:tcBorders>
              <w:top w:val="nil"/>
              <w:left w:val="nil"/>
              <w:bottom w:val="single" w:sz="4" w:space="0" w:color="auto"/>
              <w:right w:val="single" w:sz="4" w:space="0" w:color="auto"/>
            </w:tcBorders>
            <w:shd w:val="clear" w:color="auto" w:fill="auto"/>
            <w:noWrap/>
            <w:vAlign w:val="bottom"/>
            <w:hideMark/>
          </w:tcPr>
          <w:p w14:paraId="2EE55EF7"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6</w:t>
            </w:r>
          </w:p>
        </w:tc>
        <w:tc>
          <w:tcPr>
            <w:tcW w:w="0" w:type="auto"/>
            <w:tcBorders>
              <w:top w:val="nil"/>
              <w:left w:val="nil"/>
              <w:bottom w:val="single" w:sz="4" w:space="0" w:color="auto"/>
              <w:right w:val="single" w:sz="4" w:space="0" w:color="auto"/>
            </w:tcBorders>
            <w:shd w:val="clear" w:color="auto" w:fill="auto"/>
            <w:noWrap/>
            <w:vAlign w:val="bottom"/>
            <w:hideMark/>
          </w:tcPr>
          <w:p w14:paraId="3078FBB4"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(0.4)</w:t>
            </w:r>
          </w:p>
        </w:tc>
        <w:tc>
          <w:tcPr>
            <w:tcW w:w="0" w:type="auto"/>
            <w:tcBorders>
              <w:top w:val="nil"/>
              <w:left w:val="nil"/>
              <w:bottom w:val="single" w:sz="4" w:space="0" w:color="auto"/>
              <w:right w:val="single" w:sz="4" w:space="0" w:color="auto"/>
            </w:tcBorders>
            <w:shd w:val="clear" w:color="auto" w:fill="auto"/>
            <w:noWrap/>
            <w:vAlign w:val="bottom"/>
            <w:hideMark/>
          </w:tcPr>
          <w:p w14:paraId="2C5CF74B"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40%</w:t>
            </w:r>
          </w:p>
        </w:tc>
      </w:tr>
      <w:tr w:rsidR="0067156B" w:rsidRPr="00BA48F1" w14:paraId="4D1AE6D9" w14:textId="77777777" w:rsidTr="0067156B">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25D7829"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RICHMOND</w:t>
            </w:r>
          </w:p>
        </w:tc>
        <w:tc>
          <w:tcPr>
            <w:tcW w:w="0" w:type="auto"/>
            <w:tcBorders>
              <w:top w:val="nil"/>
              <w:left w:val="nil"/>
              <w:bottom w:val="single" w:sz="4" w:space="0" w:color="auto"/>
              <w:right w:val="single" w:sz="4" w:space="0" w:color="auto"/>
            </w:tcBorders>
            <w:shd w:val="clear" w:color="auto" w:fill="auto"/>
            <w:noWrap/>
            <w:vAlign w:val="bottom"/>
            <w:hideMark/>
          </w:tcPr>
          <w:p w14:paraId="16D7A127"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15</w:t>
            </w:r>
          </w:p>
        </w:tc>
        <w:tc>
          <w:tcPr>
            <w:tcW w:w="0" w:type="auto"/>
            <w:tcBorders>
              <w:top w:val="nil"/>
              <w:left w:val="nil"/>
              <w:bottom w:val="single" w:sz="4" w:space="0" w:color="auto"/>
              <w:right w:val="single" w:sz="4" w:space="0" w:color="auto"/>
            </w:tcBorders>
            <w:shd w:val="clear" w:color="auto" w:fill="auto"/>
            <w:noWrap/>
            <w:vAlign w:val="bottom"/>
            <w:hideMark/>
          </w:tcPr>
          <w:p w14:paraId="694E09FD"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17</w:t>
            </w:r>
          </w:p>
        </w:tc>
        <w:tc>
          <w:tcPr>
            <w:tcW w:w="0" w:type="auto"/>
            <w:tcBorders>
              <w:top w:val="nil"/>
              <w:left w:val="nil"/>
              <w:bottom w:val="single" w:sz="4" w:space="0" w:color="auto"/>
              <w:right w:val="single" w:sz="4" w:space="0" w:color="auto"/>
            </w:tcBorders>
            <w:shd w:val="clear" w:color="auto" w:fill="auto"/>
            <w:noWrap/>
            <w:vAlign w:val="bottom"/>
            <w:hideMark/>
          </w:tcPr>
          <w:p w14:paraId="71E23148"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&gt;99%</w:t>
            </w:r>
          </w:p>
        </w:tc>
        <w:tc>
          <w:tcPr>
            <w:tcW w:w="0" w:type="auto"/>
            <w:tcBorders>
              <w:top w:val="nil"/>
              <w:left w:val="nil"/>
              <w:bottom w:val="single" w:sz="4" w:space="0" w:color="auto"/>
              <w:right w:val="single" w:sz="4" w:space="0" w:color="auto"/>
            </w:tcBorders>
            <w:shd w:val="clear" w:color="auto" w:fill="auto"/>
            <w:noWrap/>
            <w:vAlign w:val="bottom"/>
            <w:hideMark/>
          </w:tcPr>
          <w:p w14:paraId="0D899976"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14</w:t>
            </w:r>
          </w:p>
        </w:tc>
        <w:tc>
          <w:tcPr>
            <w:tcW w:w="0" w:type="auto"/>
            <w:tcBorders>
              <w:top w:val="nil"/>
              <w:left w:val="nil"/>
              <w:bottom w:val="single" w:sz="4" w:space="0" w:color="auto"/>
              <w:right w:val="single" w:sz="4" w:space="0" w:color="auto"/>
            </w:tcBorders>
            <w:shd w:val="clear" w:color="auto" w:fill="auto"/>
            <w:noWrap/>
            <w:vAlign w:val="bottom"/>
            <w:hideMark/>
          </w:tcPr>
          <w:p w14:paraId="72D0F28B"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(82.4)</w:t>
            </w:r>
          </w:p>
        </w:tc>
        <w:tc>
          <w:tcPr>
            <w:tcW w:w="0" w:type="auto"/>
            <w:tcBorders>
              <w:top w:val="nil"/>
              <w:left w:val="nil"/>
              <w:bottom w:val="single" w:sz="4" w:space="0" w:color="auto"/>
              <w:right w:val="single" w:sz="4" w:space="0" w:color="auto"/>
            </w:tcBorders>
            <w:shd w:val="clear" w:color="auto" w:fill="auto"/>
            <w:noWrap/>
            <w:vAlign w:val="bottom"/>
            <w:hideMark/>
          </w:tcPr>
          <w:p w14:paraId="54F5C4EB"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7390401D"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7FF88314"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7BC9A1DB"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015337B0"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708C086B"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472BD487"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77851462"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476BEF88"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12D11F08"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7BA03B96"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60%</w:t>
            </w:r>
          </w:p>
        </w:tc>
      </w:tr>
      <w:tr w:rsidR="0067156B" w:rsidRPr="00BA48F1" w14:paraId="64789176" w14:textId="77777777" w:rsidTr="0067156B">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C16E854"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ROCHESTER</w:t>
            </w:r>
          </w:p>
        </w:tc>
        <w:tc>
          <w:tcPr>
            <w:tcW w:w="0" w:type="auto"/>
            <w:tcBorders>
              <w:top w:val="nil"/>
              <w:left w:val="nil"/>
              <w:bottom w:val="single" w:sz="4" w:space="0" w:color="auto"/>
              <w:right w:val="single" w:sz="4" w:space="0" w:color="auto"/>
            </w:tcBorders>
            <w:shd w:val="clear" w:color="auto" w:fill="auto"/>
            <w:noWrap/>
            <w:vAlign w:val="bottom"/>
            <w:hideMark/>
          </w:tcPr>
          <w:p w14:paraId="35DB9BA8"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133</w:t>
            </w:r>
          </w:p>
        </w:tc>
        <w:tc>
          <w:tcPr>
            <w:tcW w:w="0" w:type="auto"/>
            <w:tcBorders>
              <w:top w:val="nil"/>
              <w:left w:val="nil"/>
              <w:bottom w:val="single" w:sz="4" w:space="0" w:color="auto"/>
              <w:right w:val="single" w:sz="4" w:space="0" w:color="auto"/>
            </w:tcBorders>
            <w:shd w:val="clear" w:color="auto" w:fill="auto"/>
            <w:noWrap/>
            <w:vAlign w:val="bottom"/>
            <w:hideMark/>
          </w:tcPr>
          <w:p w14:paraId="44EF5E43"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130</w:t>
            </w:r>
          </w:p>
        </w:tc>
        <w:tc>
          <w:tcPr>
            <w:tcW w:w="0" w:type="auto"/>
            <w:tcBorders>
              <w:top w:val="nil"/>
              <w:left w:val="nil"/>
              <w:bottom w:val="single" w:sz="4" w:space="0" w:color="auto"/>
              <w:right w:val="single" w:sz="4" w:space="0" w:color="auto"/>
            </w:tcBorders>
            <w:shd w:val="clear" w:color="auto" w:fill="auto"/>
            <w:noWrap/>
            <w:vAlign w:val="bottom"/>
            <w:hideMark/>
          </w:tcPr>
          <w:p w14:paraId="2E000F33"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98%</w:t>
            </w:r>
          </w:p>
        </w:tc>
        <w:tc>
          <w:tcPr>
            <w:tcW w:w="0" w:type="auto"/>
            <w:tcBorders>
              <w:top w:val="nil"/>
              <w:left w:val="nil"/>
              <w:bottom w:val="single" w:sz="4" w:space="0" w:color="auto"/>
              <w:right w:val="single" w:sz="4" w:space="0" w:color="auto"/>
            </w:tcBorders>
            <w:shd w:val="clear" w:color="auto" w:fill="auto"/>
            <w:noWrap/>
            <w:vAlign w:val="bottom"/>
            <w:hideMark/>
          </w:tcPr>
          <w:p w14:paraId="5353EFB8"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128</w:t>
            </w:r>
          </w:p>
        </w:tc>
        <w:tc>
          <w:tcPr>
            <w:tcW w:w="0" w:type="auto"/>
            <w:tcBorders>
              <w:top w:val="nil"/>
              <w:left w:val="nil"/>
              <w:bottom w:val="single" w:sz="4" w:space="0" w:color="auto"/>
              <w:right w:val="single" w:sz="4" w:space="0" w:color="auto"/>
            </w:tcBorders>
            <w:shd w:val="clear" w:color="auto" w:fill="auto"/>
            <w:noWrap/>
            <w:vAlign w:val="bottom"/>
            <w:hideMark/>
          </w:tcPr>
          <w:p w14:paraId="562037AA"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(98.5)</w:t>
            </w:r>
          </w:p>
        </w:tc>
        <w:tc>
          <w:tcPr>
            <w:tcW w:w="0" w:type="auto"/>
            <w:tcBorders>
              <w:top w:val="nil"/>
              <w:left w:val="nil"/>
              <w:bottom w:val="single" w:sz="4" w:space="0" w:color="auto"/>
              <w:right w:val="single" w:sz="4" w:space="0" w:color="auto"/>
            </w:tcBorders>
            <w:shd w:val="clear" w:color="auto" w:fill="auto"/>
            <w:noWrap/>
            <w:vAlign w:val="bottom"/>
            <w:hideMark/>
          </w:tcPr>
          <w:p w14:paraId="2D045C16"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1B4D7DFA"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06E6AC53"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5A6DB116"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3D2F7707"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60F61FCF"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5D2F20FD"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74116D1D"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5B93DE41"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52C25308"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03F83792"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79%</w:t>
            </w:r>
          </w:p>
        </w:tc>
      </w:tr>
      <w:tr w:rsidR="0067156B" w:rsidRPr="00BA48F1" w14:paraId="602847FE" w14:textId="77777777" w:rsidTr="0067156B">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0714944"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ROCKLAND</w:t>
            </w:r>
          </w:p>
        </w:tc>
        <w:tc>
          <w:tcPr>
            <w:tcW w:w="0" w:type="auto"/>
            <w:tcBorders>
              <w:top w:val="nil"/>
              <w:left w:val="nil"/>
              <w:bottom w:val="single" w:sz="4" w:space="0" w:color="auto"/>
              <w:right w:val="single" w:sz="4" w:space="0" w:color="auto"/>
            </w:tcBorders>
            <w:shd w:val="clear" w:color="auto" w:fill="auto"/>
            <w:noWrap/>
            <w:vAlign w:val="bottom"/>
            <w:hideMark/>
          </w:tcPr>
          <w:p w14:paraId="151470AD"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750</w:t>
            </w:r>
          </w:p>
        </w:tc>
        <w:tc>
          <w:tcPr>
            <w:tcW w:w="0" w:type="auto"/>
            <w:tcBorders>
              <w:top w:val="nil"/>
              <w:left w:val="nil"/>
              <w:bottom w:val="single" w:sz="4" w:space="0" w:color="auto"/>
              <w:right w:val="single" w:sz="4" w:space="0" w:color="auto"/>
            </w:tcBorders>
            <w:shd w:val="clear" w:color="auto" w:fill="auto"/>
            <w:noWrap/>
            <w:vAlign w:val="bottom"/>
            <w:hideMark/>
          </w:tcPr>
          <w:p w14:paraId="4C334E73"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419</w:t>
            </w:r>
          </w:p>
        </w:tc>
        <w:tc>
          <w:tcPr>
            <w:tcW w:w="0" w:type="auto"/>
            <w:tcBorders>
              <w:top w:val="nil"/>
              <w:left w:val="nil"/>
              <w:bottom w:val="single" w:sz="4" w:space="0" w:color="auto"/>
              <w:right w:val="single" w:sz="4" w:space="0" w:color="auto"/>
            </w:tcBorders>
            <w:shd w:val="clear" w:color="auto" w:fill="auto"/>
            <w:noWrap/>
            <w:vAlign w:val="bottom"/>
            <w:hideMark/>
          </w:tcPr>
          <w:p w14:paraId="6755808F"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56%</w:t>
            </w:r>
          </w:p>
        </w:tc>
        <w:tc>
          <w:tcPr>
            <w:tcW w:w="0" w:type="auto"/>
            <w:tcBorders>
              <w:top w:val="nil"/>
              <w:left w:val="nil"/>
              <w:bottom w:val="single" w:sz="4" w:space="0" w:color="auto"/>
              <w:right w:val="single" w:sz="4" w:space="0" w:color="auto"/>
            </w:tcBorders>
            <w:shd w:val="clear" w:color="auto" w:fill="auto"/>
            <w:noWrap/>
            <w:vAlign w:val="bottom"/>
            <w:hideMark/>
          </w:tcPr>
          <w:p w14:paraId="5631C9F6"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418</w:t>
            </w:r>
          </w:p>
        </w:tc>
        <w:tc>
          <w:tcPr>
            <w:tcW w:w="0" w:type="auto"/>
            <w:tcBorders>
              <w:top w:val="nil"/>
              <w:left w:val="nil"/>
              <w:bottom w:val="single" w:sz="4" w:space="0" w:color="auto"/>
              <w:right w:val="single" w:sz="4" w:space="0" w:color="auto"/>
            </w:tcBorders>
            <w:shd w:val="clear" w:color="auto" w:fill="auto"/>
            <w:noWrap/>
            <w:vAlign w:val="bottom"/>
            <w:hideMark/>
          </w:tcPr>
          <w:p w14:paraId="4F1DBE4E"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(99.8)</w:t>
            </w:r>
          </w:p>
        </w:tc>
        <w:tc>
          <w:tcPr>
            <w:tcW w:w="0" w:type="auto"/>
            <w:tcBorders>
              <w:top w:val="nil"/>
              <w:left w:val="nil"/>
              <w:bottom w:val="single" w:sz="4" w:space="0" w:color="auto"/>
              <w:right w:val="single" w:sz="4" w:space="0" w:color="auto"/>
            </w:tcBorders>
            <w:shd w:val="clear" w:color="auto" w:fill="auto"/>
            <w:noWrap/>
            <w:vAlign w:val="bottom"/>
            <w:hideMark/>
          </w:tcPr>
          <w:p w14:paraId="431A8B4E"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6C5F086C"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14D31651"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010BD74E"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3E4F6F74"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08737DC0"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51ABEE10"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4BD8C84F"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56895923"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6E2D76C4"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61324259"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75%</w:t>
            </w:r>
          </w:p>
        </w:tc>
      </w:tr>
      <w:tr w:rsidR="0067156B" w:rsidRPr="00BA48F1" w14:paraId="0CA2874F" w14:textId="77777777" w:rsidTr="0067156B">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45EB830"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ROCKPORT</w:t>
            </w:r>
          </w:p>
        </w:tc>
        <w:tc>
          <w:tcPr>
            <w:tcW w:w="0" w:type="auto"/>
            <w:tcBorders>
              <w:top w:val="nil"/>
              <w:left w:val="nil"/>
              <w:bottom w:val="single" w:sz="4" w:space="0" w:color="auto"/>
              <w:right w:val="single" w:sz="4" w:space="0" w:color="auto"/>
            </w:tcBorders>
            <w:shd w:val="clear" w:color="auto" w:fill="auto"/>
            <w:noWrap/>
            <w:vAlign w:val="bottom"/>
            <w:hideMark/>
          </w:tcPr>
          <w:p w14:paraId="40CCC5E8"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129</w:t>
            </w:r>
          </w:p>
        </w:tc>
        <w:tc>
          <w:tcPr>
            <w:tcW w:w="0" w:type="auto"/>
            <w:tcBorders>
              <w:top w:val="nil"/>
              <w:left w:val="nil"/>
              <w:bottom w:val="single" w:sz="4" w:space="0" w:color="auto"/>
              <w:right w:val="single" w:sz="4" w:space="0" w:color="auto"/>
            </w:tcBorders>
            <w:shd w:val="clear" w:color="auto" w:fill="auto"/>
            <w:noWrap/>
            <w:vAlign w:val="bottom"/>
            <w:hideMark/>
          </w:tcPr>
          <w:p w14:paraId="0AD11F2A"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89</w:t>
            </w:r>
          </w:p>
        </w:tc>
        <w:tc>
          <w:tcPr>
            <w:tcW w:w="0" w:type="auto"/>
            <w:tcBorders>
              <w:top w:val="nil"/>
              <w:left w:val="nil"/>
              <w:bottom w:val="single" w:sz="4" w:space="0" w:color="auto"/>
              <w:right w:val="single" w:sz="4" w:space="0" w:color="auto"/>
            </w:tcBorders>
            <w:shd w:val="clear" w:color="auto" w:fill="auto"/>
            <w:noWrap/>
            <w:vAlign w:val="bottom"/>
            <w:hideMark/>
          </w:tcPr>
          <w:p w14:paraId="13A5457C"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69%</w:t>
            </w:r>
          </w:p>
        </w:tc>
        <w:tc>
          <w:tcPr>
            <w:tcW w:w="0" w:type="auto"/>
            <w:tcBorders>
              <w:top w:val="nil"/>
              <w:left w:val="nil"/>
              <w:bottom w:val="single" w:sz="4" w:space="0" w:color="auto"/>
              <w:right w:val="single" w:sz="4" w:space="0" w:color="auto"/>
            </w:tcBorders>
            <w:shd w:val="clear" w:color="auto" w:fill="auto"/>
            <w:noWrap/>
            <w:vAlign w:val="bottom"/>
            <w:hideMark/>
          </w:tcPr>
          <w:p w14:paraId="46675481"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87</w:t>
            </w:r>
          </w:p>
        </w:tc>
        <w:tc>
          <w:tcPr>
            <w:tcW w:w="0" w:type="auto"/>
            <w:tcBorders>
              <w:top w:val="nil"/>
              <w:left w:val="nil"/>
              <w:bottom w:val="single" w:sz="4" w:space="0" w:color="auto"/>
              <w:right w:val="single" w:sz="4" w:space="0" w:color="auto"/>
            </w:tcBorders>
            <w:shd w:val="clear" w:color="auto" w:fill="auto"/>
            <w:noWrap/>
            <w:vAlign w:val="bottom"/>
            <w:hideMark/>
          </w:tcPr>
          <w:p w14:paraId="0521A405"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(97.8)</w:t>
            </w:r>
          </w:p>
        </w:tc>
        <w:tc>
          <w:tcPr>
            <w:tcW w:w="0" w:type="auto"/>
            <w:tcBorders>
              <w:top w:val="nil"/>
              <w:left w:val="nil"/>
              <w:bottom w:val="single" w:sz="4" w:space="0" w:color="auto"/>
              <w:right w:val="single" w:sz="4" w:space="0" w:color="auto"/>
            </w:tcBorders>
            <w:shd w:val="clear" w:color="auto" w:fill="auto"/>
            <w:noWrap/>
            <w:vAlign w:val="bottom"/>
            <w:hideMark/>
          </w:tcPr>
          <w:p w14:paraId="769E0E68"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289BADA2"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7760F172"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5D1B9B32"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071DC5E1"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1C3CEDC1"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6879D49C"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24DE5A29"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0135A98B"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02B5FA63"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1A5366FC"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49%</w:t>
            </w:r>
          </w:p>
        </w:tc>
      </w:tr>
      <w:tr w:rsidR="0067156B" w:rsidRPr="00BA48F1" w14:paraId="1BDD6022" w14:textId="77777777" w:rsidTr="0067156B">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22D9DE7"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ROWE</w:t>
            </w:r>
          </w:p>
        </w:tc>
        <w:tc>
          <w:tcPr>
            <w:tcW w:w="0" w:type="auto"/>
            <w:tcBorders>
              <w:top w:val="nil"/>
              <w:left w:val="nil"/>
              <w:bottom w:val="single" w:sz="4" w:space="0" w:color="auto"/>
              <w:right w:val="single" w:sz="4" w:space="0" w:color="auto"/>
            </w:tcBorders>
            <w:shd w:val="clear" w:color="auto" w:fill="auto"/>
            <w:noWrap/>
            <w:vAlign w:val="bottom"/>
            <w:hideMark/>
          </w:tcPr>
          <w:p w14:paraId="3B0F91F4"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12</w:t>
            </w:r>
          </w:p>
        </w:tc>
        <w:tc>
          <w:tcPr>
            <w:tcW w:w="0" w:type="auto"/>
            <w:tcBorders>
              <w:top w:val="nil"/>
              <w:left w:val="nil"/>
              <w:bottom w:val="single" w:sz="4" w:space="0" w:color="auto"/>
              <w:right w:val="single" w:sz="4" w:space="0" w:color="auto"/>
            </w:tcBorders>
            <w:shd w:val="clear" w:color="auto" w:fill="auto"/>
            <w:noWrap/>
            <w:vAlign w:val="bottom"/>
            <w:hideMark/>
          </w:tcPr>
          <w:p w14:paraId="5F5F1681"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4</w:t>
            </w:r>
          </w:p>
        </w:tc>
        <w:tc>
          <w:tcPr>
            <w:tcW w:w="0" w:type="auto"/>
            <w:tcBorders>
              <w:top w:val="nil"/>
              <w:left w:val="nil"/>
              <w:bottom w:val="single" w:sz="4" w:space="0" w:color="auto"/>
              <w:right w:val="single" w:sz="4" w:space="0" w:color="auto"/>
            </w:tcBorders>
            <w:shd w:val="clear" w:color="auto" w:fill="auto"/>
            <w:noWrap/>
            <w:vAlign w:val="bottom"/>
            <w:hideMark/>
          </w:tcPr>
          <w:p w14:paraId="5DEF3D09"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33%</w:t>
            </w:r>
          </w:p>
        </w:tc>
        <w:tc>
          <w:tcPr>
            <w:tcW w:w="0" w:type="auto"/>
            <w:tcBorders>
              <w:top w:val="nil"/>
              <w:left w:val="nil"/>
              <w:bottom w:val="single" w:sz="4" w:space="0" w:color="auto"/>
              <w:right w:val="single" w:sz="4" w:space="0" w:color="auto"/>
            </w:tcBorders>
            <w:shd w:val="clear" w:color="auto" w:fill="auto"/>
            <w:noWrap/>
            <w:vAlign w:val="bottom"/>
            <w:hideMark/>
          </w:tcPr>
          <w:p w14:paraId="3E056ADF"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70E1B65D"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1E1E0752"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010BA03F"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360F40FE"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023D1B48"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7D4C5146"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73D6EC81"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173C0E5F"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76000F93"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7B627C06"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0C3CFBAD"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1A8FDB51"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54%</w:t>
            </w:r>
          </w:p>
        </w:tc>
      </w:tr>
      <w:tr w:rsidR="0067156B" w:rsidRPr="00BA48F1" w14:paraId="044D2546" w14:textId="77777777" w:rsidTr="0067156B">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6BDCA8D"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ROWLEY</w:t>
            </w:r>
          </w:p>
        </w:tc>
        <w:tc>
          <w:tcPr>
            <w:tcW w:w="0" w:type="auto"/>
            <w:tcBorders>
              <w:top w:val="nil"/>
              <w:left w:val="nil"/>
              <w:bottom w:val="single" w:sz="4" w:space="0" w:color="auto"/>
              <w:right w:val="single" w:sz="4" w:space="0" w:color="auto"/>
            </w:tcBorders>
            <w:shd w:val="clear" w:color="auto" w:fill="auto"/>
            <w:noWrap/>
            <w:vAlign w:val="bottom"/>
            <w:hideMark/>
          </w:tcPr>
          <w:p w14:paraId="0A1040AB"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200</w:t>
            </w:r>
          </w:p>
        </w:tc>
        <w:tc>
          <w:tcPr>
            <w:tcW w:w="0" w:type="auto"/>
            <w:tcBorders>
              <w:top w:val="nil"/>
              <w:left w:val="nil"/>
              <w:bottom w:val="single" w:sz="4" w:space="0" w:color="auto"/>
              <w:right w:val="single" w:sz="4" w:space="0" w:color="auto"/>
            </w:tcBorders>
            <w:shd w:val="clear" w:color="auto" w:fill="auto"/>
            <w:noWrap/>
            <w:vAlign w:val="bottom"/>
            <w:hideMark/>
          </w:tcPr>
          <w:p w14:paraId="2C8D9180"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122</w:t>
            </w:r>
          </w:p>
        </w:tc>
        <w:tc>
          <w:tcPr>
            <w:tcW w:w="0" w:type="auto"/>
            <w:tcBorders>
              <w:top w:val="nil"/>
              <w:left w:val="nil"/>
              <w:bottom w:val="single" w:sz="4" w:space="0" w:color="auto"/>
              <w:right w:val="single" w:sz="4" w:space="0" w:color="auto"/>
            </w:tcBorders>
            <w:shd w:val="clear" w:color="auto" w:fill="auto"/>
            <w:noWrap/>
            <w:vAlign w:val="bottom"/>
            <w:hideMark/>
          </w:tcPr>
          <w:p w14:paraId="4E13A9E0"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61%</w:t>
            </w:r>
          </w:p>
        </w:tc>
        <w:tc>
          <w:tcPr>
            <w:tcW w:w="0" w:type="auto"/>
            <w:tcBorders>
              <w:top w:val="nil"/>
              <w:left w:val="nil"/>
              <w:bottom w:val="single" w:sz="4" w:space="0" w:color="auto"/>
              <w:right w:val="single" w:sz="4" w:space="0" w:color="auto"/>
            </w:tcBorders>
            <w:shd w:val="clear" w:color="auto" w:fill="auto"/>
            <w:noWrap/>
            <w:vAlign w:val="bottom"/>
            <w:hideMark/>
          </w:tcPr>
          <w:p w14:paraId="6368D010"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122</w:t>
            </w:r>
          </w:p>
        </w:tc>
        <w:tc>
          <w:tcPr>
            <w:tcW w:w="0" w:type="auto"/>
            <w:tcBorders>
              <w:top w:val="nil"/>
              <w:left w:val="nil"/>
              <w:bottom w:val="single" w:sz="4" w:space="0" w:color="auto"/>
              <w:right w:val="single" w:sz="4" w:space="0" w:color="auto"/>
            </w:tcBorders>
            <w:shd w:val="clear" w:color="auto" w:fill="auto"/>
            <w:noWrap/>
            <w:vAlign w:val="bottom"/>
            <w:hideMark/>
          </w:tcPr>
          <w:p w14:paraId="4702DFE9"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(100.0)</w:t>
            </w:r>
          </w:p>
        </w:tc>
        <w:tc>
          <w:tcPr>
            <w:tcW w:w="0" w:type="auto"/>
            <w:tcBorders>
              <w:top w:val="nil"/>
              <w:left w:val="nil"/>
              <w:bottom w:val="single" w:sz="4" w:space="0" w:color="auto"/>
              <w:right w:val="single" w:sz="4" w:space="0" w:color="auto"/>
            </w:tcBorders>
            <w:shd w:val="clear" w:color="auto" w:fill="auto"/>
            <w:noWrap/>
            <w:vAlign w:val="bottom"/>
            <w:hideMark/>
          </w:tcPr>
          <w:p w14:paraId="5454CF46"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54A0A445"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31CABDDD"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49E2961C"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14A58D50"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2E2AE113"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3E09536B"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06D20E96"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43863462"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0E946DAB"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6F3FF955"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64%</w:t>
            </w:r>
          </w:p>
        </w:tc>
      </w:tr>
      <w:tr w:rsidR="0067156B" w:rsidRPr="00BA48F1" w14:paraId="072DBDC5" w14:textId="77777777" w:rsidTr="0067156B">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E9B976B"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ROYALSTON</w:t>
            </w:r>
          </w:p>
        </w:tc>
        <w:tc>
          <w:tcPr>
            <w:tcW w:w="0" w:type="auto"/>
            <w:tcBorders>
              <w:top w:val="nil"/>
              <w:left w:val="nil"/>
              <w:bottom w:val="single" w:sz="4" w:space="0" w:color="auto"/>
              <w:right w:val="single" w:sz="4" w:space="0" w:color="auto"/>
            </w:tcBorders>
            <w:shd w:val="clear" w:color="auto" w:fill="auto"/>
            <w:noWrap/>
            <w:vAlign w:val="bottom"/>
            <w:hideMark/>
          </w:tcPr>
          <w:p w14:paraId="520CA50F"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36</w:t>
            </w:r>
          </w:p>
        </w:tc>
        <w:tc>
          <w:tcPr>
            <w:tcW w:w="0" w:type="auto"/>
            <w:tcBorders>
              <w:top w:val="nil"/>
              <w:left w:val="nil"/>
              <w:bottom w:val="single" w:sz="4" w:space="0" w:color="auto"/>
              <w:right w:val="single" w:sz="4" w:space="0" w:color="auto"/>
            </w:tcBorders>
            <w:shd w:val="clear" w:color="auto" w:fill="auto"/>
            <w:noWrap/>
            <w:vAlign w:val="bottom"/>
            <w:hideMark/>
          </w:tcPr>
          <w:p w14:paraId="4A250B56"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14</w:t>
            </w:r>
          </w:p>
        </w:tc>
        <w:tc>
          <w:tcPr>
            <w:tcW w:w="0" w:type="auto"/>
            <w:tcBorders>
              <w:top w:val="nil"/>
              <w:left w:val="nil"/>
              <w:bottom w:val="single" w:sz="4" w:space="0" w:color="auto"/>
              <w:right w:val="single" w:sz="4" w:space="0" w:color="auto"/>
            </w:tcBorders>
            <w:shd w:val="clear" w:color="auto" w:fill="auto"/>
            <w:noWrap/>
            <w:vAlign w:val="bottom"/>
            <w:hideMark/>
          </w:tcPr>
          <w:p w14:paraId="0A30C8BF"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39%</w:t>
            </w:r>
          </w:p>
        </w:tc>
        <w:tc>
          <w:tcPr>
            <w:tcW w:w="0" w:type="auto"/>
            <w:tcBorders>
              <w:top w:val="nil"/>
              <w:left w:val="nil"/>
              <w:bottom w:val="single" w:sz="4" w:space="0" w:color="auto"/>
              <w:right w:val="single" w:sz="4" w:space="0" w:color="auto"/>
            </w:tcBorders>
            <w:shd w:val="clear" w:color="auto" w:fill="auto"/>
            <w:noWrap/>
            <w:vAlign w:val="bottom"/>
            <w:hideMark/>
          </w:tcPr>
          <w:p w14:paraId="0C920D73"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14</w:t>
            </w:r>
          </w:p>
        </w:tc>
        <w:tc>
          <w:tcPr>
            <w:tcW w:w="0" w:type="auto"/>
            <w:tcBorders>
              <w:top w:val="nil"/>
              <w:left w:val="nil"/>
              <w:bottom w:val="single" w:sz="4" w:space="0" w:color="auto"/>
              <w:right w:val="single" w:sz="4" w:space="0" w:color="auto"/>
            </w:tcBorders>
            <w:shd w:val="clear" w:color="auto" w:fill="auto"/>
            <w:noWrap/>
            <w:vAlign w:val="bottom"/>
            <w:hideMark/>
          </w:tcPr>
          <w:p w14:paraId="5A1AA1E2"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(100.0)</w:t>
            </w:r>
          </w:p>
        </w:tc>
        <w:tc>
          <w:tcPr>
            <w:tcW w:w="0" w:type="auto"/>
            <w:tcBorders>
              <w:top w:val="nil"/>
              <w:left w:val="nil"/>
              <w:bottom w:val="single" w:sz="4" w:space="0" w:color="auto"/>
              <w:right w:val="single" w:sz="4" w:space="0" w:color="auto"/>
            </w:tcBorders>
            <w:shd w:val="clear" w:color="auto" w:fill="auto"/>
            <w:noWrap/>
            <w:vAlign w:val="bottom"/>
            <w:hideMark/>
          </w:tcPr>
          <w:p w14:paraId="4AC14247"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73187C33"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0D61ABA3"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77025079"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2ED61E01"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6749E381"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18A9AF39"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40B3CBA3"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4C981351"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0129E1DF"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3ECADA84"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44%</w:t>
            </w:r>
          </w:p>
        </w:tc>
      </w:tr>
      <w:tr w:rsidR="0067156B" w:rsidRPr="00BA48F1" w14:paraId="51564CF3" w14:textId="77777777" w:rsidTr="0067156B">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0D5D5E8"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RUSSELL</w:t>
            </w:r>
          </w:p>
        </w:tc>
        <w:tc>
          <w:tcPr>
            <w:tcW w:w="0" w:type="auto"/>
            <w:tcBorders>
              <w:top w:val="nil"/>
              <w:left w:val="nil"/>
              <w:bottom w:val="single" w:sz="4" w:space="0" w:color="auto"/>
              <w:right w:val="single" w:sz="4" w:space="0" w:color="auto"/>
            </w:tcBorders>
            <w:shd w:val="clear" w:color="auto" w:fill="auto"/>
            <w:noWrap/>
            <w:vAlign w:val="bottom"/>
            <w:hideMark/>
          </w:tcPr>
          <w:p w14:paraId="267BE69F"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63</w:t>
            </w:r>
          </w:p>
        </w:tc>
        <w:tc>
          <w:tcPr>
            <w:tcW w:w="0" w:type="auto"/>
            <w:tcBorders>
              <w:top w:val="nil"/>
              <w:left w:val="nil"/>
              <w:bottom w:val="single" w:sz="4" w:space="0" w:color="auto"/>
              <w:right w:val="single" w:sz="4" w:space="0" w:color="auto"/>
            </w:tcBorders>
            <w:shd w:val="clear" w:color="auto" w:fill="auto"/>
            <w:noWrap/>
            <w:vAlign w:val="bottom"/>
            <w:hideMark/>
          </w:tcPr>
          <w:p w14:paraId="7A4B2439"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34</w:t>
            </w:r>
          </w:p>
        </w:tc>
        <w:tc>
          <w:tcPr>
            <w:tcW w:w="0" w:type="auto"/>
            <w:tcBorders>
              <w:top w:val="nil"/>
              <w:left w:val="nil"/>
              <w:bottom w:val="single" w:sz="4" w:space="0" w:color="auto"/>
              <w:right w:val="single" w:sz="4" w:space="0" w:color="auto"/>
            </w:tcBorders>
            <w:shd w:val="clear" w:color="auto" w:fill="auto"/>
            <w:noWrap/>
            <w:vAlign w:val="bottom"/>
            <w:hideMark/>
          </w:tcPr>
          <w:p w14:paraId="2FB98878"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54%</w:t>
            </w:r>
          </w:p>
        </w:tc>
        <w:tc>
          <w:tcPr>
            <w:tcW w:w="0" w:type="auto"/>
            <w:tcBorders>
              <w:top w:val="nil"/>
              <w:left w:val="nil"/>
              <w:bottom w:val="single" w:sz="4" w:space="0" w:color="auto"/>
              <w:right w:val="single" w:sz="4" w:space="0" w:color="auto"/>
            </w:tcBorders>
            <w:shd w:val="clear" w:color="auto" w:fill="auto"/>
            <w:noWrap/>
            <w:vAlign w:val="bottom"/>
            <w:hideMark/>
          </w:tcPr>
          <w:p w14:paraId="7BB53915"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31</w:t>
            </w:r>
          </w:p>
        </w:tc>
        <w:tc>
          <w:tcPr>
            <w:tcW w:w="0" w:type="auto"/>
            <w:tcBorders>
              <w:top w:val="nil"/>
              <w:left w:val="nil"/>
              <w:bottom w:val="single" w:sz="4" w:space="0" w:color="auto"/>
              <w:right w:val="single" w:sz="4" w:space="0" w:color="auto"/>
            </w:tcBorders>
            <w:shd w:val="clear" w:color="auto" w:fill="auto"/>
            <w:noWrap/>
            <w:vAlign w:val="bottom"/>
            <w:hideMark/>
          </w:tcPr>
          <w:p w14:paraId="725BE47F"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(91.2)</w:t>
            </w:r>
          </w:p>
        </w:tc>
        <w:tc>
          <w:tcPr>
            <w:tcW w:w="0" w:type="auto"/>
            <w:tcBorders>
              <w:top w:val="nil"/>
              <w:left w:val="nil"/>
              <w:bottom w:val="single" w:sz="4" w:space="0" w:color="auto"/>
              <w:right w:val="single" w:sz="4" w:space="0" w:color="auto"/>
            </w:tcBorders>
            <w:shd w:val="clear" w:color="auto" w:fill="auto"/>
            <w:noWrap/>
            <w:vAlign w:val="bottom"/>
            <w:hideMark/>
          </w:tcPr>
          <w:p w14:paraId="4A59BE5E"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6FE8FB14"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57F533C9"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74D09A3B"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01B9BF13"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4DE3F645"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3D6BA204"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653341FA"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7A76FB71"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41992645"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2B5E0799"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80%</w:t>
            </w:r>
          </w:p>
        </w:tc>
      </w:tr>
      <w:tr w:rsidR="0067156B" w:rsidRPr="00BA48F1" w14:paraId="3213D994" w14:textId="77777777" w:rsidTr="0067156B">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6D2F458"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RUTLAND</w:t>
            </w:r>
          </w:p>
        </w:tc>
        <w:tc>
          <w:tcPr>
            <w:tcW w:w="0" w:type="auto"/>
            <w:tcBorders>
              <w:top w:val="nil"/>
              <w:left w:val="nil"/>
              <w:bottom w:val="single" w:sz="4" w:space="0" w:color="auto"/>
              <w:right w:val="single" w:sz="4" w:space="0" w:color="auto"/>
            </w:tcBorders>
            <w:shd w:val="clear" w:color="auto" w:fill="auto"/>
            <w:noWrap/>
            <w:vAlign w:val="bottom"/>
            <w:hideMark/>
          </w:tcPr>
          <w:p w14:paraId="15F4CDA8"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313</w:t>
            </w:r>
          </w:p>
        </w:tc>
        <w:tc>
          <w:tcPr>
            <w:tcW w:w="0" w:type="auto"/>
            <w:tcBorders>
              <w:top w:val="nil"/>
              <w:left w:val="nil"/>
              <w:bottom w:val="single" w:sz="4" w:space="0" w:color="auto"/>
              <w:right w:val="single" w:sz="4" w:space="0" w:color="auto"/>
            </w:tcBorders>
            <w:shd w:val="clear" w:color="auto" w:fill="auto"/>
            <w:noWrap/>
            <w:vAlign w:val="bottom"/>
            <w:hideMark/>
          </w:tcPr>
          <w:p w14:paraId="6B8258E8"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182</w:t>
            </w:r>
          </w:p>
        </w:tc>
        <w:tc>
          <w:tcPr>
            <w:tcW w:w="0" w:type="auto"/>
            <w:tcBorders>
              <w:top w:val="nil"/>
              <w:left w:val="nil"/>
              <w:bottom w:val="single" w:sz="4" w:space="0" w:color="auto"/>
              <w:right w:val="single" w:sz="4" w:space="0" w:color="auto"/>
            </w:tcBorders>
            <w:shd w:val="clear" w:color="auto" w:fill="auto"/>
            <w:noWrap/>
            <w:vAlign w:val="bottom"/>
            <w:hideMark/>
          </w:tcPr>
          <w:p w14:paraId="0299A2F0"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58%</w:t>
            </w:r>
          </w:p>
        </w:tc>
        <w:tc>
          <w:tcPr>
            <w:tcW w:w="0" w:type="auto"/>
            <w:tcBorders>
              <w:top w:val="nil"/>
              <w:left w:val="nil"/>
              <w:bottom w:val="single" w:sz="4" w:space="0" w:color="auto"/>
              <w:right w:val="single" w:sz="4" w:space="0" w:color="auto"/>
            </w:tcBorders>
            <w:shd w:val="clear" w:color="auto" w:fill="auto"/>
            <w:noWrap/>
            <w:vAlign w:val="bottom"/>
            <w:hideMark/>
          </w:tcPr>
          <w:p w14:paraId="5B0C7EF8"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181</w:t>
            </w:r>
          </w:p>
        </w:tc>
        <w:tc>
          <w:tcPr>
            <w:tcW w:w="0" w:type="auto"/>
            <w:tcBorders>
              <w:top w:val="nil"/>
              <w:left w:val="nil"/>
              <w:bottom w:val="single" w:sz="4" w:space="0" w:color="auto"/>
              <w:right w:val="single" w:sz="4" w:space="0" w:color="auto"/>
            </w:tcBorders>
            <w:shd w:val="clear" w:color="auto" w:fill="auto"/>
            <w:noWrap/>
            <w:vAlign w:val="bottom"/>
            <w:hideMark/>
          </w:tcPr>
          <w:p w14:paraId="096FC944"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(99.5)</w:t>
            </w:r>
          </w:p>
        </w:tc>
        <w:tc>
          <w:tcPr>
            <w:tcW w:w="0" w:type="auto"/>
            <w:tcBorders>
              <w:top w:val="nil"/>
              <w:left w:val="nil"/>
              <w:bottom w:val="single" w:sz="4" w:space="0" w:color="auto"/>
              <w:right w:val="single" w:sz="4" w:space="0" w:color="auto"/>
            </w:tcBorders>
            <w:shd w:val="clear" w:color="auto" w:fill="auto"/>
            <w:noWrap/>
            <w:vAlign w:val="bottom"/>
            <w:hideMark/>
          </w:tcPr>
          <w:p w14:paraId="2088DFAA"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3DF94BCF"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1FDE0FE1"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2513EFC0"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08E15765"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47E26B79"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5441DA1F"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7D59B6F1"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75CC3A07"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36DB0FC3"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0CF87101"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50%</w:t>
            </w:r>
          </w:p>
        </w:tc>
      </w:tr>
      <w:tr w:rsidR="0067156B" w:rsidRPr="00BA48F1" w14:paraId="3227D3E0" w14:textId="77777777" w:rsidTr="005E6FB1">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E8ECEAB"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SALEM</w:t>
            </w:r>
          </w:p>
        </w:tc>
        <w:tc>
          <w:tcPr>
            <w:tcW w:w="0" w:type="auto"/>
            <w:tcBorders>
              <w:top w:val="nil"/>
              <w:left w:val="nil"/>
              <w:bottom w:val="single" w:sz="4" w:space="0" w:color="auto"/>
              <w:right w:val="single" w:sz="4" w:space="0" w:color="auto"/>
            </w:tcBorders>
            <w:shd w:val="clear" w:color="auto" w:fill="auto"/>
            <w:noWrap/>
            <w:vAlign w:val="bottom"/>
            <w:hideMark/>
          </w:tcPr>
          <w:p w14:paraId="079B500A"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1,682</w:t>
            </w:r>
          </w:p>
        </w:tc>
        <w:tc>
          <w:tcPr>
            <w:tcW w:w="0" w:type="auto"/>
            <w:tcBorders>
              <w:top w:val="nil"/>
              <w:left w:val="nil"/>
              <w:bottom w:val="single" w:sz="4" w:space="0" w:color="auto"/>
              <w:right w:val="single" w:sz="4" w:space="0" w:color="auto"/>
            </w:tcBorders>
            <w:shd w:val="clear" w:color="auto" w:fill="auto"/>
            <w:noWrap/>
            <w:vAlign w:val="bottom"/>
            <w:hideMark/>
          </w:tcPr>
          <w:p w14:paraId="6C5A41E8"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1,031</w:t>
            </w:r>
          </w:p>
        </w:tc>
        <w:tc>
          <w:tcPr>
            <w:tcW w:w="0" w:type="auto"/>
            <w:tcBorders>
              <w:top w:val="nil"/>
              <w:left w:val="nil"/>
              <w:bottom w:val="single" w:sz="4" w:space="0" w:color="auto"/>
              <w:right w:val="single" w:sz="4" w:space="0" w:color="auto"/>
            </w:tcBorders>
            <w:shd w:val="clear" w:color="auto" w:fill="auto"/>
            <w:noWrap/>
            <w:vAlign w:val="bottom"/>
            <w:hideMark/>
          </w:tcPr>
          <w:p w14:paraId="5D9F5CE9"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61%</w:t>
            </w:r>
          </w:p>
        </w:tc>
        <w:tc>
          <w:tcPr>
            <w:tcW w:w="0" w:type="auto"/>
            <w:tcBorders>
              <w:top w:val="nil"/>
              <w:left w:val="nil"/>
              <w:bottom w:val="single" w:sz="4" w:space="0" w:color="auto"/>
              <w:right w:val="single" w:sz="4" w:space="0" w:color="auto"/>
            </w:tcBorders>
            <w:shd w:val="clear" w:color="auto" w:fill="auto"/>
            <w:noWrap/>
            <w:vAlign w:val="bottom"/>
            <w:hideMark/>
          </w:tcPr>
          <w:p w14:paraId="45BC4BC2"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997</w:t>
            </w:r>
          </w:p>
        </w:tc>
        <w:tc>
          <w:tcPr>
            <w:tcW w:w="0" w:type="auto"/>
            <w:tcBorders>
              <w:top w:val="nil"/>
              <w:left w:val="nil"/>
              <w:bottom w:val="single" w:sz="4" w:space="0" w:color="auto"/>
              <w:right w:val="single" w:sz="4" w:space="0" w:color="auto"/>
            </w:tcBorders>
            <w:shd w:val="clear" w:color="auto" w:fill="auto"/>
            <w:noWrap/>
            <w:vAlign w:val="bottom"/>
            <w:hideMark/>
          </w:tcPr>
          <w:p w14:paraId="63B327A4"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(96.7)</w:t>
            </w:r>
          </w:p>
        </w:tc>
        <w:tc>
          <w:tcPr>
            <w:tcW w:w="0" w:type="auto"/>
            <w:tcBorders>
              <w:top w:val="nil"/>
              <w:left w:val="nil"/>
              <w:bottom w:val="single" w:sz="4" w:space="0" w:color="auto"/>
              <w:right w:val="single" w:sz="4" w:space="0" w:color="auto"/>
            </w:tcBorders>
            <w:shd w:val="clear" w:color="auto" w:fill="auto"/>
            <w:noWrap/>
            <w:vAlign w:val="bottom"/>
            <w:hideMark/>
          </w:tcPr>
          <w:p w14:paraId="6B04BA6F"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33</w:t>
            </w:r>
          </w:p>
        </w:tc>
        <w:tc>
          <w:tcPr>
            <w:tcW w:w="0" w:type="auto"/>
            <w:tcBorders>
              <w:top w:val="nil"/>
              <w:left w:val="nil"/>
              <w:bottom w:val="single" w:sz="4" w:space="0" w:color="auto"/>
              <w:right w:val="single" w:sz="4" w:space="0" w:color="auto"/>
            </w:tcBorders>
            <w:shd w:val="clear" w:color="auto" w:fill="auto"/>
            <w:noWrap/>
            <w:vAlign w:val="bottom"/>
            <w:hideMark/>
          </w:tcPr>
          <w:p w14:paraId="2F7117D5"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(3.2)</w:t>
            </w:r>
          </w:p>
        </w:tc>
        <w:tc>
          <w:tcPr>
            <w:tcW w:w="0" w:type="auto"/>
            <w:tcBorders>
              <w:top w:val="nil"/>
              <w:left w:val="nil"/>
              <w:bottom w:val="single" w:sz="4" w:space="0" w:color="auto"/>
              <w:right w:val="single" w:sz="4" w:space="0" w:color="auto"/>
            </w:tcBorders>
            <w:shd w:val="clear" w:color="auto" w:fill="auto"/>
            <w:noWrap/>
            <w:vAlign w:val="bottom"/>
            <w:hideMark/>
          </w:tcPr>
          <w:p w14:paraId="20AC0240"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01DF09C0"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6485BC93"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79A04B96"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1580B7D3"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25</w:t>
            </w:r>
          </w:p>
        </w:tc>
        <w:tc>
          <w:tcPr>
            <w:tcW w:w="0" w:type="auto"/>
            <w:tcBorders>
              <w:top w:val="nil"/>
              <w:left w:val="nil"/>
              <w:bottom w:val="single" w:sz="4" w:space="0" w:color="auto"/>
              <w:right w:val="single" w:sz="4" w:space="0" w:color="auto"/>
            </w:tcBorders>
            <w:shd w:val="clear" w:color="auto" w:fill="auto"/>
            <w:noWrap/>
            <w:vAlign w:val="bottom"/>
            <w:hideMark/>
          </w:tcPr>
          <w:p w14:paraId="0618D6B9"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(2.4)</w:t>
            </w:r>
          </w:p>
        </w:tc>
        <w:tc>
          <w:tcPr>
            <w:tcW w:w="0" w:type="auto"/>
            <w:tcBorders>
              <w:top w:val="nil"/>
              <w:left w:val="nil"/>
              <w:bottom w:val="single" w:sz="4" w:space="0" w:color="auto"/>
              <w:right w:val="single" w:sz="4" w:space="0" w:color="auto"/>
            </w:tcBorders>
            <w:shd w:val="clear" w:color="auto" w:fill="auto"/>
            <w:noWrap/>
            <w:vAlign w:val="bottom"/>
            <w:hideMark/>
          </w:tcPr>
          <w:p w14:paraId="01F22C1C"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4292EACA"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19461F34"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56%</w:t>
            </w:r>
          </w:p>
        </w:tc>
      </w:tr>
      <w:tr w:rsidR="0067156B" w:rsidRPr="00BA48F1" w14:paraId="57301024" w14:textId="77777777" w:rsidTr="005E6FB1">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F804E1"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SALISBURY</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11DFF0AD"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244</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5720D485"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127</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2185CA96"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52%</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24B98EEC"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127</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7DACB093"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(100.0)</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64FEE41F"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218268AF"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22F6B8E0"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6E1F1ECC"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3AED6581"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405BE732"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20C14122"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30EC7245"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79E88E64"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69AB7D8C"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72FC615D"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41%</w:t>
            </w:r>
          </w:p>
        </w:tc>
      </w:tr>
      <w:tr w:rsidR="0067156B" w:rsidRPr="00BA48F1" w14:paraId="6F4ECC14" w14:textId="77777777" w:rsidTr="005E6FB1">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E80985"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SANDISFIELD</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05C2285C"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20</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0492FA43"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14</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15978F98"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70%</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726C76FC"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14</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461D874D"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(100.0)</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75DC6239"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22B108F7"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7CB1A0B4"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456F0357"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4EDFF473"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00B1C370"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3EA34321"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18531F9C"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47F061B6"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6BE16C3D"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42025A4B"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72%</w:t>
            </w:r>
          </w:p>
        </w:tc>
      </w:tr>
      <w:tr w:rsidR="0067156B" w:rsidRPr="00BA48F1" w14:paraId="0919D5FC" w14:textId="77777777" w:rsidTr="0067156B">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F81D7E"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lastRenderedPageBreak/>
              <w:t>SANDWICH</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159038ED"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561</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58E4A0E1"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374</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55FCCE33"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67%</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5E7F5B09"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372</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56D4404F"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(99.5)</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27B400F3"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3F95337C"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59E4E148"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3CA35AB4"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61DB732C"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3ADE3946"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7A48078C"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38566CE3"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669C1103"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0C45840C"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61E77FAC"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57%</w:t>
            </w:r>
          </w:p>
        </w:tc>
      </w:tr>
      <w:tr w:rsidR="0067156B" w:rsidRPr="00BA48F1" w14:paraId="7AC571C5" w14:textId="77777777" w:rsidTr="0067156B">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F32D89F"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SAUGUS</w:t>
            </w:r>
          </w:p>
        </w:tc>
        <w:tc>
          <w:tcPr>
            <w:tcW w:w="0" w:type="auto"/>
            <w:tcBorders>
              <w:top w:val="nil"/>
              <w:left w:val="nil"/>
              <w:bottom w:val="single" w:sz="4" w:space="0" w:color="auto"/>
              <w:right w:val="single" w:sz="4" w:space="0" w:color="auto"/>
            </w:tcBorders>
            <w:shd w:val="clear" w:color="auto" w:fill="auto"/>
            <w:noWrap/>
            <w:vAlign w:val="bottom"/>
            <w:hideMark/>
          </w:tcPr>
          <w:p w14:paraId="1CAD2ED2"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842</w:t>
            </w:r>
          </w:p>
        </w:tc>
        <w:tc>
          <w:tcPr>
            <w:tcW w:w="0" w:type="auto"/>
            <w:tcBorders>
              <w:top w:val="nil"/>
              <w:left w:val="nil"/>
              <w:bottom w:val="single" w:sz="4" w:space="0" w:color="auto"/>
              <w:right w:val="single" w:sz="4" w:space="0" w:color="auto"/>
            </w:tcBorders>
            <w:shd w:val="clear" w:color="auto" w:fill="auto"/>
            <w:noWrap/>
            <w:vAlign w:val="bottom"/>
            <w:hideMark/>
          </w:tcPr>
          <w:p w14:paraId="3AE9E6B6"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603</w:t>
            </w:r>
          </w:p>
        </w:tc>
        <w:tc>
          <w:tcPr>
            <w:tcW w:w="0" w:type="auto"/>
            <w:tcBorders>
              <w:top w:val="nil"/>
              <w:left w:val="nil"/>
              <w:bottom w:val="single" w:sz="4" w:space="0" w:color="auto"/>
              <w:right w:val="single" w:sz="4" w:space="0" w:color="auto"/>
            </w:tcBorders>
            <w:shd w:val="clear" w:color="auto" w:fill="auto"/>
            <w:noWrap/>
            <w:vAlign w:val="bottom"/>
            <w:hideMark/>
          </w:tcPr>
          <w:p w14:paraId="3A44A557"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72%</w:t>
            </w:r>
          </w:p>
        </w:tc>
        <w:tc>
          <w:tcPr>
            <w:tcW w:w="0" w:type="auto"/>
            <w:tcBorders>
              <w:top w:val="nil"/>
              <w:left w:val="nil"/>
              <w:bottom w:val="single" w:sz="4" w:space="0" w:color="auto"/>
              <w:right w:val="single" w:sz="4" w:space="0" w:color="auto"/>
            </w:tcBorders>
            <w:shd w:val="clear" w:color="auto" w:fill="auto"/>
            <w:noWrap/>
            <w:vAlign w:val="bottom"/>
            <w:hideMark/>
          </w:tcPr>
          <w:p w14:paraId="7687D08C"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599</w:t>
            </w:r>
          </w:p>
        </w:tc>
        <w:tc>
          <w:tcPr>
            <w:tcW w:w="0" w:type="auto"/>
            <w:tcBorders>
              <w:top w:val="nil"/>
              <w:left w:val="nil"/>
              <w:bottom w:val="single" w:sz="4" w:space="0" w:color="auto"/>
              <w:right w:val="single" w:sz="4" w:space="0" w:color="auto"/>
            </w:tcBorders>
            <w:shd w:val="clear" w:color="auto" w:fill="auto"/>
            <w:noWrap/>
            <w:vAlign w:val="bottom"/>
            <w:hideMark/>
          </w:tcPr>
          <w:p w14:paraId="535871CF"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(99.3)</w:t>
            </w:r>
          </w:p>
        </w:tc>
        <w:tc>
          <w:tcPr>
            <w:tcW w:w="0" w:type="auto"/>
            <w:tcBorders>
              <w:top w:val="nil"/>
              <w:left w:val="nil"/>
              <w:bottom w:val="single" w:sz="4" w:space="0" w:color="auto"/>
              <w:right w:val="single" w:sz="4" w:space="0" w:color="auto"/>
            </w:tcBorders>
            <w:shd w:val="clear" w:color="auto" w:fill="auto"/>
            <w:noWrap/>
            <w:vAlign w:val="bottom"/>
            <w:hideMark/>
          </w:tcPr>
          <w:p w14:paraId="03130239"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0B48E707"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06D3B25E"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026E7AD0"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636A2A65"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7AE95DC4"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65BF1E23"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6FF42151"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03AF2341"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70E82DC8"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16314234"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74%</w:t>
            </w:r>
          </w:p>
        </w:tc>
      </w:tr>
      <w:tr w:rsidR="0067156B" w:rsidRPr="00BA48F1" w14:paraId="4BDED515" w14:textId="77777777" w:rsidTr="0067156B">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3AA8B34"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SAVOY</w:t>
            </w:r>
          </w:p>
        </w:tc>
        <w:tc>
          <w:tcPr>
            <w:tcW w:w="0" w:type="auto"/>
            <w:tcBorders>
              <w:top w:val="nil"/>
              <w:left w:val="nil"/>
              <w:bottom w:val="single" w:sz="4" w:space="0" w:color="auto"/>
              <w:right w:val="single" w:sz="4" w:space="0" w:color="auto"/>
            </w:tcBorders>
            <w:shd w:val="clear" w:color="auto" w:fill="auto"/>
            <w:noWrap/>
            <w:vAlign w:val="bottom"/>
            <w:hideMark/>
          </w:tcPr>
          <w:p w14:paraId="40AB0E73"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16</w:t>
            </w:r>
          </w:p>
        </w:tc>
        <w:tc>
          <w:tcPr>
            <w:tcW w:w="0" w:type="auto"/>
            <w:tcBorders>
              <w:top w:val="nil"/>
              <w:left w:val="nil"/>
              <w:bottom w:val="single" w:sz="4" w:space="0" w:color="auto"/>
              <w:right w:val="single" w:sz="4" w:space="0" w:color="auto"/>
            </w:tcBorders>
            <w:shd w:val="clear" w:color="auto" w:fill="auto"/>
            <w:noWrap/>
            <w:vAlign w:val="bottom"/>
            <w:hideMark/>
          </w:tcPr>
          <w:p w14:paraId="7D563355"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5</w:t>
            </w:r>
          </w:p>
        </w:tc>
        <w:tc>
          <w:tcPr>
            <w:tcW w:w="0" w:type="auto"/>
            <w:tcBorders>
              <w:top w:val="nil"/>
              <w:left w:val="nil"/>
              <w:bottom w:val="single" w:sz="4" w:space="0" w:color="auto"/>
              <w:right w:val="single" w:sz="4" w:space="0" w:color="auto"/>
            </w:tcBorders>
            <w:shd w:val="clear" w:color="auto" w:fill="auto"/>
            <w:noWrap/>
            <w:vAlign w:val="bottom"/>
            <w:hideMark/>
          </w:tcPr>
          <w:p w14:paraId="6EFC30BF"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31%</w:t>
            </w:r>
          </w:p>
        </w:tc>
        <w:tc>
          <w:tcPr>
            <w:tcW w:w="0" w:type="auto"/>
            <w:tcBorders>
              <w:top w:val="nil"/>
              <w:left w:val="nil"/>
              <w:bottom w:val="single" w:sz="4" w:space="0" w:color="auto"/>
              <w:right w:val="single" w:sz="4" w:space="0" w:color="auto"/>
            </w:tcBorders>
            <w:shd w:val="clear" w:color="auto" w:fill="auto"/>
            <w:noWrap/>
            <w:vAlign w:val="bottom"/>
            <w:hideMark/>
          </w:tcPr>
          <w:p w14:paraId="5BE70CBE"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49E0AA84"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4AFA6D75"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044603BD"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0D0A2229"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58CD30B8"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52D2FB07"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02F522E0"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11478AFF"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00AC2525"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6719B203"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5FCF186C"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26E8CBCA"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65%</w:t>
            </w:r>
          </w:p>
        </w:tc>
      </w:tr>
      <w:tr w:rsidR="0067156B" w:rsidRPr="00BA48F1" w14:paraId="7C300A02" w14:textId="77777777" w:rsidTr="0067156B">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EA15228"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SCITUATE</w:t>
            </w:r>
          </w:p>
        </w:tc>
        <w:tc>
          <w:tcPr>
            <w:tcW w:w="0" w:type="auto"/>
            <w:tcBorders>
              <w:top w:val="nil"/>
              <w:left w:val="nil"/>
              <w:bottom w:val="single" w:sz="4" w:space="0" w:color="auto"/>
              <w:right w:val="single" w:sz="4" w:space="0" w:color="auto"/>
            </w:tcBorders>
            <w:shd w:val="clear" w:color="auto" w:fill="auto"/>
            <w:noWrap/>
            <w:vAlign w:val="bottom"/>
            <w:hideMark/>
          </w:tcPr>
          <w:p w14:paraId="4DD9A5F7"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559</w:t>
            </w:r>
          </w:p>
        </w:tc>
        <w:tc>
          <w:tcPr>
            <w:tcW w:w="0" w:type="auto"/>
            <w:tcBorders>
              <w:top w:val="nil"/>
              <w:left w:val="nil"/>
              <w:bottom w:val="single" w:sz="4" w:space="0" w:color="auto"/>
              <w:right w:val="single" w:sz="4" w:space="0" w:color="auto"/>
            </w:tcBorders>
            <w:shd w:val="clear" w:color="auto" w:fill="auto"/>
            <w:noWrap/>
            <w:vAlign w:val="bottom"/>
            <w:hideMark/>
          </w:tcPr>
          <w:p w14:paraId="31C0E1FA"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510</w:t>
            </w:r>
          </w:p>
        </w:tc>
        <w:tc>
          <w:tcPr>
            <w:tcW w:w="0" w:type="auto"/>
            <w:tcBorders>
              <w:top w:val="nil"/>
              <w:left w:val="nil"/>
              <w:bottom w:val="single" w:sz="4" w:space="0" w:color="auto"/>
              <w:right w:val="single" w:sz="4" w:space="0" w:color="auto"/>
            </w:tcBorders>
            <w:shd w:val="clear" w:color="auto" w:fill="auto"/>
            <w:noWrap/>
            <w:vAlign w:val="bottom"/>
            <w:hideMark/>
          </w:tcPr>
          <w:p w14:paraId="4FAA0737"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91%</w:t>
            </w:r>
          </w:p>
        </w:tc>
        <w:tc>
          <w:tcPr>
            <w:tcW w:w="0" w:type="auto"/>
            <w:tcBorders>
              <w:top w:val="nil"/>
              <w:left w:val="nil"/>
              <w:bottom w:val="single" w:sz="4" w:space="0" w:color="auto"/>
              <w:right w:val="single" w:sz="4" w:space="0" w:color="auto"/>
            </w:tcBorders>
            <w:shd w:val="clear" w:color="auto" w:fill="auto"/>
            <w:noWrap/>
            <w:vAlign w:val="bottom"/>
            <w:hideMark/>
          </w:tcPr>
          <w:p w14:paraId="48E3A930"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509</w:t>
            </w:r>
          </w:p>
        </w:tc>
        <w:tc>
          <w:tcPr>
            <w:tcW w:w="0" w:type="auto"/>
            <w:tcBorders>
              <w:top w:val="nil"/>
              <w:left w:val="nil"/>
              <w:bottom w:val="single" w:sz="4" w:space="0" w:color="auto"/>
              <w:right w:val="single" w:sz="4" w:space="0" w:color="auto"/>
            </w:tcBorders>
            <w:shd w:val="clear" w:color="auto" w:fill="auto"/>
            <w:noWrap/>
            <w:vAlign w:val="bottom"/>
            <w:hideMark/>
          </w:tcPr>
          <w:p w14:paraId="60DE78F7"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(99.8)</w:t>
            </w:r>
          </w:p>
        </w:tc>
        <w:tc>
          <w:tcPr>
            <w:tcW w:w="0" w:type="auto"/>
            <w:tcBorders>
              <w:top w:val="nil"/>
              <w:left w:val="nil"/>
              <w:bottom w:val="single" w:sz="4" w:space="0" w:color="auto"/>
              <w:right w:val="single" w:sz="4" w:space="0" w:color="auto"/>
            </w:tcBorders>
            <w:shd w:val="clear" w:color="auto" w:fill="auto"/>
            <w:noWrap/>
            <w:vAlign w:val="bottom"/>
            <w:hideMark/>
          </w:tcPr>
          <w:p w14:paraId="51D39676"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3D401AF0"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5F563C82"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0A5C2078"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0B565BE3"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0B0FC11A"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766FA74F"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347269A0"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244AF691"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6AE1F18A"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78FC254E"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61%</w:t>
            </w:r>
          </w:p>
        </w:tc>
      </w:tr>
      <w:tr w:rsidR="0067156B" w:rsidRPr="00BA48F1" w14:paraId="094F2C3B" w14:textId="77777777" w:rsidTr="0067156B">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9FCE57D"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SEEKONK</w:t>
            </w:r>
          </w:p>
        </w:tc>
        <w:tc>
          <w:tcPr>
            <w:tcW w:w="0" w:type="auto"/>
            <w:tcBorders>
              <w:top w:val="nil"/>
              <w:left w:val="nil"/>
              <w:bottom w:val="single" w:sz="4" w:space="0" w:color="auto"/>
              <w:right w:val="single" w:sz="4" w:space="0" w:color="auto"/>
            </w:tcBorders>
            <w:shd w:val="clear" w:color="auto" w:fill="auto"/>
            <w:noWrap/>
            <w:vAlign w:val="bottom"/>
            <w:hideMark/>
          </w:tcPr>
          <w:p w14:paraId="55FCC280"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337</w:t>
            </w:r>
          </w:p>
        </w:tc>
        <w:tc>
          <w:tcPr>
            <w:tcW w:w="0" w:type="auto"/>
            <w:tcBorders>
              <w:top w:val="nil"/>
              <w:left w:val="nil"/>
              <w:bottom w:val="single" w:sz="4" w:space="0" w:color="auto"/>
              <w:right w:val="single" w:sz="4" w:space="0" w:color="auto"/>
            </w:tcBorders>
            <w:shd w:val="clear" w:color="auto" w:fill="auto"/>
            <w:noWrap/>
            <w:vAlign w:val="bottom"/>
            <w:hideMark/>
          </w:tcPr>
          <w:p w14:paraId="5CBE9D63"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247</w:t>
            </w:r>
          </w:p>
        </w:tc>
        <w:tc>
          <w:tcPr>
            <w:tcW w:w="0" w:type="auto"/>
            <w:tcBorders>
              <w:top w:val="nil"/>
              <w:left w:val="nil"/>
              <w:bottom w:val="single" w:sz="4" w:space="0" w:color="auto"/>
              <w:right w:val="single" w:sz="4" w:space="0" w:color="auto"/>
            </w:tcBorders>
            <w:shd w:val="clear" w:color="auto" w:fill="auto"/>
            <w:noWrap/>
            <w:vAlign w:val="bottom"/>
            <w:hideMark/>
          </w:tcPr>
          <w:p w14:paraId="17A8C698"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73%</w:t>
            </w:r>
          </w:p>
        </w:tc>
        <w:tc>
          <w:tcPr>
            <w:tcW w:w="0" w:type="auto"/>
            <w:tcBorders>
              <w:top w:val="nil"/>
              <w:left w:val="nil"/>
              <w:bottom w:val="single" w:sz="4" w:space="0" w:color="auto"/>
              <w:right w:val="single" w:sz="4" w:space="0" w:color="auto"/>
            </w:tcBorders>
            <w:shd w:val="clear" w:color="auto" w:fill="auto"/>
            <w:noWrap/>
            <w:vAlign w:val="bottom"/>
            <w:hideMark/>
          </w:tcPr>
          <w:p w14:paraId="40D770B6"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242</w:t>
            </w:r>
          </w:p>
        </w:tc>
        <w:tc>
          <w:tcPr>
            <w:tcW w:w="0" w:type="auto"/>
            <w:tcBorders>
              <w:top w:val="nil"/>
              <w:left w:val="nil"/>
              <w:bottom w:val="single" w:sz="4" w:space="0" w:color="auto"/>
              <w:right w:val="single" w:sz="4" w:space="0" w:color="auto"/>
            </w:tcBorders>
            <w:shd w:val="clear" w:color="auto" w:fill="auto"/>
            <w:noWrap/>
            <w:vAlign w:val="bottom"/>
            <w:hideMark/>
          </w:tcPr>
          <w:p w14:paraId="240BD880"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(98.0)</w:t>
            </w:r>
          </w:p>
        </w:tc>
        <w:tc>
          <w:tcPr>
            <w:tcW w:w="0" w:type="auto"/>
            <w:tcBorders>
              <w:top w:val="nil"/>
              <w:left w:val="nil"/>
              <w:bottom w:val="single" w:sz="4" w:space="0" w:color="auto"/>
              <w:right w:val="single" w:sz="4" w:space="0" w:color="auto"/>
            </w:tcBorders>
            <w:shd w:val="clear" w:color="auto" w:fill="auto"/>
            <w:noWrap/>
            <w:vAlign w:val="bottom"/>
            <w:hideMark/>
          </w:tcPr>
          <w:p w14:paraId="757D6CEE"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67C8DCC5"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1FCA6A94"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336770A8"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22599C0C"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62C448FB"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1F30B01C"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29E0DD5E"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329925A8"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384674F3"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02015CBB"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67%</w:t>
            </w:r>
          </w:p>
        </w:tc>
      </w:tr>
      <w:tr w:rsidR="0067156B" w:rsidRPr="00BA48F1" w14:paraId="2BE77A97" w14:textId="77777777" w:rsidTr="0067156B">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D60930D"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SHARON</w:t>
            </w:r>
          </w:p>
        </w:tc>
        <w:tc>
          <w:tcPr>
            <w:tcW w:w="0" w:type="auto"/>
            <w:tcBorders>
              <w:top w:val="nil"/>
              <w:left w:val="nil"/>
              <w:bottom w:val="single" w:sz="4" w:space="0" w:color="auto"/>
              <w:right w:val="single" w:sz="4" w:space="0" w:color="auto"/>
            </w:tcBorders>
            <w:shd w:val="clear" w:color="auto" w:fill="auto"/>
            <w:noWrap/>
            <w:vAlign w:val="bottom"/>
            <w:hideMark/>
          </w:tcPr>
          <w:p w14:paraId="3CF62C5C"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621</w:t>
            </w:r>
          </w:p>
        </w:tc>
        <w:tc>
          <w:tcPr>
            <w:tcW w:w="0" w:type="auto"/>
            <w:tcBorders>
              <w:top w:val="nil"/>
              <w:left w:val="nil"/>
              <w:bottom w:val="single" w:sz="4" w:space="0" w:color="auto"/>
              <w:right w:val="single" w:sz="4" w:space="0" w:color="auto"/>
            </w:tcBorders>
            <w:shd w:val="clear" w:color="auto" w:fill="auto"/>
            <w:noWrap/>
            <w:vAlign w:val="bottom"/>
            <w:hideMark/>
          </w:tcPr>
          <w:p w14:paraId="4B109D63"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384</w:t>
            </w:r>
          </w:p>
        </w:tc>
        <w:tc>
          <w:tcPr>
            <w:tcW w:w="0" w:type="auto"/>
            <w:tcBorders>
              <w:top w:val="nil"/>
              <w:left w:val="nil"/>
              <w:bottom w:val="single" w:sz="4" w:space="0" w:color="auto"/>
              <w:right w:val="single" w:sz="4" w:space="0" w:color="auto"/>
            </w:tcBorders>
            <w:shd w:val="clear" w:color="auto" w:fill="auto"/>
            <w:noWrap/>
            <w:vAlign w:val="bottom"/>
            <w:hideMark/>
          </w:tcPr>
          <w:p w14:paraId="5772C23E"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62%</w:t>
            </w:r>
          </w:p>
        </w:tc>
        <w:tc>
          <w:tcPr>
            <w:tcW w:w="0" w:type="auto"/>
            <w:tcBorders>
              <w:top w:val="nil"/>
              <w:left w:val="nil"/>
              <w:bottom w:val="single" w:sz="4" w:space="0" w:color="auto"/>
              <w:right w:val="single" w:sz="4" w:space="0" w:color="auto"/>
            </w:tcBorders>
            <w:shd w:val="clear" w:color="auto" w:fill="auto"/>
            <w:noWrap/>
            <w:vAlign w:val="bottom"/>
            <w:hideMark/>
          </w:tcPr>
          <w:p w14:paraId="6892B836"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383</w:t>
            </w:r>
          </w:p>
        </w:tc>
        <w:tc>
          <w:tcPr>
            <w:tcW w:w="0" w:type="auto"/>
            <w:tcBorders>
              <w:top w:val="nil"/>
              <w:left w:val="nil"/>
              <w:bottom w:val="single" w:sz="4" w:space="0" w:color="auto"/>
              <w:right w:val="single" w:sz="4" w:space="0" w:color="auto"/>
            </w:tcBorders>
            <w:shd w:val="clear" w:color="auto" w:fill="auto"/>
            <w:noWrap/>
            <w:vAlign w:val="bottom"/>
            <w:hideMark/>
          </w:tcPr>
          <w:p w14:paraId="5FB1DAD7"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(99.7)</w:t>
            </w:r>
          </w:p>
        </w:tc>
        <w:tc>
          <w:tcPr>
            <w:tcW w:w="0" w:type="auto"/>
            <w:tcBorders>
              <w:top w:val="nil"/>
              <w:left w:val="nil"/>
              <w:bottom w:val="single" w:sz="4" w:space="0" w:color="auto"/>
              <w:right w:val="single" w:sz="4" w:space="0" w:color="auto"/>
            </w:tcBorders>
            <w:shd w:val="clear" w:color="auto" w:fill="auto"/>
            <w:noWrap/>
            <w:vAlign w:val="bottom"/>
            <w:hideMark/>
          </w:tcPr>
          <w:p w14:paraId="4525412C"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4142115F"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1EA141EE"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2B6B07D3"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4418049E"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6875E881"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0E65852B"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67B2701A"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4383791A"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25C9A440"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43AF01DE"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79%</w:t>
            </w:r>
          </w:p>
        </w:tc>
      </w:tr>
      <w:tr w:rsidR="0067156B" w:rsidRPr="00BA48F1" w14:paraId="1AE70814" w14:textId="77777777" w:rsidTr="0067156B">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A56BDA2"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SHEFFIELD</w:t>
            </w:r>
          </w:p>
        </w:tc>
        <w:tc>
          <w:tcPr>
            <w:tcW w:w="0" w:type="auto"/>
            <w:tcBorders>
              <w:top w:val="nil"/>
              <w:left w:val="nil"/>
              <w:bottom w:val="single" w:sz="4" w:space="0" w:color="auto"/>
              <w:right w:val="single" w:sz="4" w:space="0" w:color="auto"/>
            </w:tcBorders>
            <w:shd w:val="clear" w:color="auto" w:fill="auto"/>
            <w:noWrap/>
            <w:vAlign w:val="bottom"/>
            <w:hideMark/>
          </w:tcPr>
          <w:p w14:paraId="1CB5D455"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56</w:t>
            </w:r>
          </w:p>
        </w:tc>
        <w:tc>
          <w:tcPr>
            <w:tcW w:w="0" w:type="auto"/>
            <w:tcBorders>
              <w:top w:val="nil"/>
              <w:left w:val="nil"/>
              <w:bottom w:val="single" w:sz="4" w:space="0" w:color="auto"/>
              <w:right w:val="single" w:sz="4" w:space="0" w:color="auto"/>
            </w:tcBorders>
            <w:shd w:val="clear" w:color="auto" w:fill="auto"/>
            <w:noWrap/>
            <w:vAlign w:val="bottom"/>
            <w:hideMark/>
          </w:tcPr>
          <w:p w14:paraId="069F8A9D"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51</w:t>
            </w:r>
          </w:p>
        </w:tc>
        <w:tc>
          <w:tcPr>
            <w:tcW w:w="0" w:type="auto"/>
            <w:tcBorders>
              <w:top w:val="nil"/>
              <w:left w:val="nil"/>
              <w:bottom w:val="single" w:sz="4" w:space="0" w:color="auto"/>
              <w:right w:val="single" w:sz="4" w:space="0" w:color="auto"/>
            </w:tcBorders>
            <w:shd w:val="clear" w:color="auto" w:fill="auto"/>
            <w:noWrap/>
            <w:vAlign w:val="bottom"/>
            <w:hideMark/>
          </w:tcPr>
          <w:p w14:paraId="31955252"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91%</w:t>
            </w:r>
          </w:p>
        </w:tc>
        <w:tc>
          <w:tcPr>
            <w:tcW w:w="0" w:type="auto"/>
            <w:tcBorders>
              <w:top w:val="nil"/>
              <w:left w:val="nil"/>
              <w:bottom w:val="single" w:sz="4" w:space="0" w:color="auto"/>
              <w:right w:val="single" w:sz="4" w:space="0" w:color="auto"/>
            </w:tcBorders>
            <w:shd w:val="clear" w:color="auto" w:fill="auto"/>
            <w:noWrap/>
            <w:vAlign w:val="bottom"/>
            <w:hideMark/>
          </w:tcPr>
          <w:p w14:paraId="4883F0DA"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48</w:t>
            </w:r>
          </w:p>
        </w:tc>
        <w:tc>
          <w:tcPr>
            <w:tcW w:w="0" w:type="auto"/>
            <w:tcBorders>
              <w:top w:val="nil"/>
              <w:left w:val="nil"/>
              <w:bottom w:val="single" w:sz="4" w:space="0" w:color="auto"/>
              <w:right w:val="single" w:sz="4" w:space="0" w:color="auto"/>
            </w:tcBorders>
            <w:shd w:val="clear" w:color="auto" w:fill="auto"/>
            <w:noWrap/>
            <w:vAlign w:val="bottom"/>
            <w:hideMark/>
          </w:tcPr>
          <w:p w14:paraId="08BBA59A"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(94.1)</w:t>
            </w:r>
          </w:p>
        </w:tc>
        <w:tc>
          <w:tcPr>
            <w:tcW w:w="0" w:type="auto"/>
            <w:tcBorders>
              <w:top w:val="nil"/>
              <w:left w:val="nil"/>
              <w:bottom w:val="single" w:sz="4" w:space="0" w:color="auto"/>
              <w:right w:val="single" w:sz="4" w:space="0" w:color="auto"/>
            </w:tcBorders>
            <w:shd w:val="clear" w:color="auto" w:fill="auto"/>
            <w:noWrap/>
            <w:vAlign w:val="bottom"/>
            <w:hideMark/>
          </w:tcPr>
          <w:p w14:paraId="21CCC696"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47EB2077"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22494302"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6F9C6C08"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5EE9539C"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3839664F"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0D16A7FD"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39374CBC"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19878823"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7F7E7742"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31B2294C"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65%</w:t>
            </w:r>
          </w:p>
        </w:tc>
      </w:tr>
      <w:tr w:rsidR="0067156B" w:rsidRPr="00BA48F1" w14:paraId="52465330" w14:textId="77777777" w:rsidTr="0067156B">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C2D94F9"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SHELBURNE</w:t>
            </w:r>
          </w:p>
        </w:tc>
        <w:tc>
          <w:tcPr>
            <w:tcW w:w="0" w:type="auto"/>
            <w:tcBorders>
              <w:top w:val="nil"/>
              <w:left w:val="nil"/>
              <w:bottom w:val="single" w:sz="4" w:space="0" w:color="auto"/>
              <w:right w:val="single" w:sz="4" w:space="0" w:color="auto"/>
            </w:tcBorders>
            <w:shd w:val="clear" w:color="auto" w:fill="auto"/>
            <w:noWrap/>
            <w:vAlign w:val="bottom"/>
            <w:hideMark/>
          </w:tcPr>
          <w:p w14:paraId="6BB8E6A7"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40</w:t>
            </w:r>
          </w:p>
        </w:tc>
        <w:tc>
          <w:tcPr>
            <w:tcW w:w="0" w:type="auto"/>
            <w:tcBorders>
              <w:top w:val="nil"/>
              <w:left w:val="nil"/>
              <w:bottom w:val="single" w:sz="4" w:space="0" w:color="auto"/>
              <w:right w:val="single" w:sz="4" w:space="0" w:color="auto"/>
            </w:tcBorders>
            <w:shd w:val="clear" w:color="auto" w:fill="auto"/>
            <w:noWrap/>
            <w:vAlign w:val="bottom"/>
            <w:hideMark/>
          </w:tcPr>
          <w:p w14:paraId="2F757879"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16</w:t>
            </w:r>
          </w:p>
        </w:tc>
        <w:tc>
          <w:tcPr>
            <w:tcW w:w="0" w:type="auto"/>
            <w:tcBorders>
              <w:top w:val="nil"/>
              <w:left w:val="nil"/>
              <w:bottom w:val="single" w:sz="4" w:space="0" w:color="auto"/>
              <w:right w:val="single" w:sz="4" w:space="0" w:color="auto"/>
            </w:tcBorders>
            <w:shd w:val="clear" w:color="auto" w:fill="auto"/>
            <w:noWrap/>
            <w:vAlign w:val="bottom"/>
            <w:hideMark/>
          </w:tcPr>
          <w:p w14:paraId="489B91B3"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40%</w:t>
            </w:r>
          </w:p>
        </w:tc>
        <w:tc>
          <w:tcPr>
            <w:tcW w:w="0" w:type="auto"/>
            <w:tcBorders>
              <w:top w:val="nil"/>
              <w:left w:val="nil"/>
              <w:bottom w:val="single" w:sz="4" w:space="0" w:color="auto"/>
              <w:right w:val="single" w:sz="4" w:space="0" w:color="auto"/>
            </w:tcBorders>
            <w:shd w:val="clear" w:color="auto" w:fill="auto"/>
            <w:noWrap/>
            <w:vAlign w:val="bottom"/>
            <w:hideMark/>
          </w:tcPr>
          <w:p w14:paraId="13314E68"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15</w:t>
            </w:r>
          </w:p>
        </w:tc>
        <w:tc>
          <w:tcPr>
            <w:tcW w:w="0" w:type="auto"/>
            <w:tcBorders>
              <w:top w:val="nil"/>
              <w:left w:val="nil"/>
              <w:bottom w:val="single" w:sz="4" w:space="0" w:color="auto"/>
              <w:right w:val="single" w:sz="4" w:space="0" w:color="auto"/>
            </w:tcBorders>
            <w:shd w:val="clear" w:color="auto" w:fill="auto"/>
            <w:noWrap/>
            <w:vAlign w:val="bottom"/>
            <w:hideMark/>
          </w:tcPr>
          <w:p w14:paraId="65999F1B"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(93.8)</w:t>
            </w:r>
          </w:p>
        </w:tc>
        <w:tc>
          <w:tcPr>
            <w:tcW w:w="0" w:type="auto"/>
            <w:tcBorders>
              <w:top w:val="nil"/>
              <w:left w:val="nil"/>
              <w:bottom w:val="single" w:sz="4" w:space="0" w:color="auto"/>
              <w:right w:val="single" w:sz="4" w:space="0" w:color="auto"/>
            </w:tcBorders>
            <w:shd w:val="clear" w:color="auto" w:fill="auto"/>
            <w:noWrap/>
            <w:vAlign w:val="bottom"/>
            <w:hideMark/>
          </w:tcPr>
          <w:p w14:paraId="5179B8E8"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45B77DEA"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2B66477C"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0DD132D9"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2D98574B"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4859B562"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349041FA"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1D3FD157"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344EAEF4"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499A90E5"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49B57B41"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58%</w:t>
            </w:r>
          </w:p>
        </w:tc>
      </w:tr>
      <w:tr w:rsidR="0067156B" w:rsidRPr="00BA48F1" w14:paraId="0905EF45" w14:textId="77777777" w:rsidTr="0067156B">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EF24BD3"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SHERBORN</w:t>
            </w:r>
          </w:p>
        </w:tc>
        <w:tc>
          <w:tcPr>
            <w:tcW w:w="0" w:type="auto"/>
            <w:tcBorders>
              <w:top w:val="nil"/>
              <w:left w:val="nil"/>
              <w:bottom w:val="single" w:sz="4" w:space="0" w:color="auto"/>
              <w:right w:val="single" w:sz="4" w:space="0" w:color="auto"/>
            </w:tcBorders>
            <w:shd w:val="clear" w:color="auto" w:fill="auto"/>
            <w:noWrap/>
            <w:vAlign w:val="bottom"/>
            <w:hideMark/>
          </w:tcPr>
          <w:p w14:paraId="6053D35D"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87</w:t>
            </w:r>
          </w:p>
        </w:tc>
        <w:tc>
          <w:tcPr>
            <w:tcW w:w="0" w:type="auto"/>
            <w:tcBorders>
              <w:top w:val="nil"/>
              <w:left w:val="nil"/>
              <w:bottom w:val="single" w:sz="4" w:space="0" w:color="auto"/>
              <w:right w:val="single" w:sz="4" w:space="0" w:color="auto"/>
            </w:tcBorders>
            <w:shd w:val="clear" w:color="auto" w:fill="auto"/>
            <w:noWrap/>
            <w:vAlign w:val="bottom"/>
            <w:hideMark/>
          </w:tcPr>
          <w:p w14:paraId="0AE07E6A"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96</w:t>
            </w:r>
          </w:p>
        </w:tc>
        <w:tc>
          <w:tcPr>
            <w:tcW w:w="0" w:type="auto"/>
            <w:tcBorders>
              <w:top w:val="nil"/>
              <w:left w:val="nil"/>
              <w:bottom w:val="single" w:sz="4" w:space="0" w:color="auto"/>
              <w:right w:val="single" w:sz="4" w:space="0" w:color="auto"/>
            </w:tcBorders>
            <w:shd w:val="clear" w:color="auto" w:fill="auto"/>
            <w:noWrap/>
            <w:vAlign w:val="bottom"/>
            <w:hideMark/>
          </w:tcPr>
          <w:p w14:paraId="615E6400"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&gt;99%</w:t>
            </w:r>
          </w:p>
        </w:tc>
        <w:tc>
          <w:tcPr>
            <w:tcW w:w="0" w:type="auto"/>
            <w:tcBorders>
              <w:top w:val="nil"/>
              <w:left w:val="nil"/>
              <w:bottom w:val="single" w:sz="4" w:space="0" w:color="auto"/>
              <w:right w:val="single" w:sz="4" w:space="0" w:color="auto"/>
            </w:tcBorders>
            <w:shd w:val="clear" w:color="auto" w:fill="auto"/>
            <w:noWrap/>
            <w:vAlign w:val="bottom"/>
            <w:hideMark/>
          </w:tcPr>
          <w:p w14:paraId="7D2F3661"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94</w:t>
            </w:r>
          </w:p>
        </w:tc>
        <w:tc>
          <w:tcPr>
            <w:tcW w:w="0" w:type="auto"/>
            <w:tcBorders>
              <w:top w:val="nil"/>
              <w:left w:val="nil"/>
              <w:bottom w:val="single" w:sz="4" w:space="0" w:color="auto"/>
              <w:right w:val="single" w:sz="4" w:space="0" w:color="auto"/>
            </w:tcBorders>
            <w:shd w:val="clear" w:color="auto" w:fill="auto"/>
            <w:noWrap/>
            <w:vAlign w:val="bottom"/>
            <w:hideMark/>
          </w:tcPr>
          <w:p w14:paraId="17461409"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(97.9)</w:t>
            </w:r>
          </w:p>
        </w:tc>
        <w:tc>
          <w:tcPr>
            <w:tcW w:w="0" w:type="auto"/>
            <w:tcBorders>
              <w:top w:val="nil"/>
              <w:left w:val="nil"/>
              <w:bottom w:val="single" w:sz="4" w:space="0" w:color="auto"/>
              <w:right w:val="single" w:sz="4" w:space="0" w:color="auto"/>
            </w:tcBorders>
            <w:shd w:val="clear" w:color="auto" w:fill="auto"/>
            <w:noWrap/>
            <w:vAlign w:val="bottom"/>
            <w:hideMark/>
          </w:tcPr>
          <w:p w14:paraId="767B6D37"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7819CFE9"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114A2472"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6464D432"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0B2D7781"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6A4E5492"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5A0F5488"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192ACA0A"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199592F0"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1A32C899"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29464D08"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51%</w:t>
            </w:r>
          </w:p>
        </w:tc>
      </w:tr>
      <w:tr w:rsidR="0067156B" w:rsidRPr="00BA48F1" w14:paraId="3A0D4ED9" w14:textId="77777777" w:rsidTr="0067156B">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3B8E8DB"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SHIRLEY</w:t>
            </w:r>
          </w:p>
        </w:tc>
        <w:tc>
          <w:tcPr>
            <w:tcW w:w="0" w:type="auto"/>
            <w:tcBorders>
              <w:top w:val="nil"/>
              <w:left w:val="nil"/>
              <w:bottom w:val="single" w:sz="4" w:space="0" w:color="auto"/>
              <w:right w:val="single" w:sz="4" w:space="0" w:color="auto"/>
            </w:tcBorders>
            <w:shd w:val="clear" w:color="auto" w:fill="auto"/>
            <w:noWrap/>
            <w:vAlign w:val="bottom"/>
            <w:hideMark/>
          </w:tcPr>
          <w:p w14:paraId="27C9FBA4"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239</w:t>
            </w:r>
          </w:p>
        </w:tc>
        <w:tc>
          <w:tcPr>
            <w:tcW w:w="0" w:type="auto"/>
            <w:tcBorders>
              <w:top w:val="nil"/>
              <w:left w:val="nil"/>
              <w:bottom w:val="single" w:sz="4" w:space="0" w:color="auto"/>
              <w:right w:val="single" w:sz="4" w:space="0" w:color="auto"/>
            </w:tcBorders>
            <w:shd w:val="clear" w:color="auto" w:fill="auto"/>
            <w:noWrap/>
            <w:vAlign w:val="bottom"/>
            <w:hideMark/>
          </w:tcPr>
          <w:p w14:paraId="0AC79381"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131</w:t>
            </w:r>
          </w:p>
        </w:tc>
        <w:tc>
          <w:tcPr>
            <w:tcW w:w="0" w:type="auto"/>
            <w:tcBorders>
              <w:top w:val="nil"/>
              <w:left w:val="nil"/>
              <w:bottom w:val="single" w:sz="4" w:space="0" w:color="auto"/>
              <w:right w:val="single" w:sz="4" w:space="0" w:color="auto"/>
            </w:tcBorders>
            <w:shd w:val="clear" w:color="auto" w:fill="auto"/>
            <w:noWrap/>
            <w:vAlign w:val="bottom"/>
            <w:hideMark/>
          </w:tcPr>
          <w:p w14:paraId="257275EF"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55%</w:t>
            </w:r>
          </w:p>
        </w:tc>
        <w:tc>
          <w:tcPr>
            <w:tcW w:w="0" w:type="auto"/>
            <w:tcBorders>
              <w:top w:val="nil"/>
              <w:left w:val="nil"/>
              <w:bottom w:val="single" w:sz="4" w:space="0" w:color="auto"/>
              <w:right w:val="single" w:sz="4" w:space="0" w:color="auto"/>
            </w:tcBorders>
            <w:shd w:val="clear" w:color="auto" w:fill="auto"/>
            <w:noWrap/>
            <w:vAlign w:val="bottom"/>
            <w:hideMark/>
          </w:tcPr>
          <w:p w14:paraId="332322E6"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127</w:t>
            </w:r>
          </w:p>
        </w:tc>
        <w:tc>
          <w:tcPr>
            <w:tcW w:w="0" w:type="auto"/>
            <w:tcBorders>
              <w:top w:val="nil"/>
              <w:left w:val="nil"/>
              <w:bottom w:val="single" w:sz="4" w:space="0" w:color="auto"/>
              <w:right w:val="single" w:sz="4" w:space="0" w:color="auto"/>
            </w:tcBorders>
            <w:shd w:val="clear" w:color="auto" w:fill="auto"/>
            <w:noWrap/>
            <w:vAlign w:val="bottom"/>
            <w:hideMark/>
          </w:tcPr>
          <w:p w14:paraId="65FE998F"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(96.9)</w:t>
            </w:r>
          </w:p>
        </w:tc>
        <w:tc>
          <w:tcPr>
            <w:tcW w:w="0" w:type="auto"/>
            <w:tcBorders>
              <w:top w:val="nil"/>
              <w:left w:val="nil"/>
              <w:bottom w:val="single" w:sz="4" w:space="0" w:color="auto"/>
              <w:right w:val="single" w:sz="4" w:space="0" w:color="auto"/>
            </w:tcBorders>
            <w:shd w:val="clear" w:color="auto" w:fill="auto"/>
            <w:noWrap/>
            <w:vAlign w:val="bottom"/>
            <w:hideMark/>
          </w:tcPr>
          <w:p w14:paraId="7355F224"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43373E32"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3959EC64"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49CE8534"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12D903AB"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2A6E808D"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6C467B5C"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66F765F7"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3C0FA426"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3F192377"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42726805"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51%</w:t>
            </w:r>
          </w:p>
        </w:tc>
      </w:tr>
      <w:tr w:rsidR="0067156B" w:rsidRPr="00BA48F1" w14:paraId="6955B59A" w14:textId="77777777" w:rsidTr="0067156B">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B96BC2A"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SHREWSBURY</w:t>
            </w:r>
          </w:p>
        </w:tc>
        <w:tc>
          <w:tcPr>
            <w:tcW w:w="0" w:type="auto"/>
            <w:tcBorders>
              <w:top w:val="nil"/>
              <w:left w:val="nil"/>
              <w:bottom w:val="single" w:sz="4" w:space="0" w:color="auto"/>
              <w:right w:val="single" w:sz="4" w:space="0" w:color="auto"/>
            </w:tcBorders>
            <w:shd w:val="clear" w:color="auto" w:fill="auto"/>
            <w:noWrap/>
            <w:vAlign w:val="bottom"/>
            <w:hideMark/>
          </w:tcPr>
          <w:p w14:paraId="50BD6F39"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1,394</w:t>
            </w:r>
          </w:p>
        </w:tc>
        <w:tc>
          <w:tcPr>
            <w:tcW w:w="0" w:type="auto"/>
            <w:tcBorders>
              <w:top w:val="nil"/>
              <w:left w:val="nil"/>
              <w:bottom w:val="single" w:sz="4" w:space="0" w:color="auto"/>
              <w:right w:val="single" w:sz="4" w:space="0" w:color="auto"/>
            </w:tcBorders>
            <w:shd w:val="clear" w:color="auto" w:fill="auto"/>
            <w:noWrap/>
            <w:vAlign w:val="bottom"/>
            <w:hideMark/>
          </w:tcPr>
          <w:p w14:paraId="0E60C0FE"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810</w:t>
            </w:r>
          </w:p>
        </w:tc>
        <w:tc>
          <w:tcPr>
            <w:tcW w:w="0" w:type="auto"/>
            <w:tcBorders>
              <w:top w:val="nil"/>
              <w:left w:val="nil"/>
              <w:bottom w:val="single" w:sz="4" w:space="0" w:color="auto"/>
              <w:right w:val="single" w:sz="4" w:space="0" w:color="auto"/>
            </w:tcBorders>
            <w:shd w:val="clear" w:color="auto" w:fill="auto"/>
            <w:noWrap/>
            <w:vAlign w:val="bottom"/>
            <w:hideMark/>
          </w:tcPr>
          <w:p w14:paraId="30D8773D"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58%</w:t>
            </w:r>
          </w:p>
        </w:tc>
        <w:tc>
          <w:tcPr>
            <w:tcW w:w="0" w:type="auto"/>
            <w:tcBorders>
              <w:top w:val="nil"/>
              <w:left w:val="nil"/>
              <w:bottom w:val="single" w:sz="4" w:space="0" w:color="auto"/>
              <w:right w:val="single" w:sz="4" w:space="0" w:color="auto"/>
            </w:tcBorders>
            <w:shd w:val="clear" w:color="auto" w:fill="auto"/>
            <w:noWrap/>
            <w:vAlign w:val="bottom"/>
            <w:hideMark/>
          </w:tcPr>
          <w:p w14:paraId="7B632404"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802</w:t>
            </w:r>
          </w:p>
        </w:tc>
        <w:tc>
          <w:tcPr>
            <w:tcW w:w="0" w:type="auto"/>
            <w:tcBorders>
              <w:top w:val="nil"/>
              <w:left w:val="nil"/>
              <w:bottom w:val="single" w:sz="4" w:space="0" w:color="auto"/>
              <w:right w:val="single" w:sz="4" w:space="0" w:color="auto"/>
            </w:tcBorders>
            <w:shd w:val="clear" w:color="auto" w:fill="auto"/>
            <w:noWrap/>
            <w:vAlign w:val="bottom"/>
            <w:hideMark/>
          </w:tcPr>
          <w:p w14:paraId="2569AAE3"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(99.0)</w:t>
            </w:r>
          </w:p>
        </w:tc>
        <w:tc>
          <w:tcPr>
            <w:tcW w:w="0" w:type="auto"/>
            <w:tcBorders>
              <w:top w:val="nil"/>
              <w:left w:val="nil"/>
              <w:bottom w:val="single" w:sz="4" w:space="0" w:color="auto"/>
              <w:right w:val="single" w:sz="4" w:space="0" w:color="auto"/>
            </w:tcBorders>
            <w:shd w:val="clear" w:color="auto" w:fill="auto"/>
            <w:noWrap/>
            <w:vAlign w:val="bottom"/>
            <w:hideMark/>
          </w:tcPr>
          <w:p w14:paraId="61CD7CA3"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7</w:t>
            </w:r>
          </w:p>
        </w:tc>
        <w:tc>
          <w:tcPr>
            <w:tcW w:w="0" w:type="auto"/>
            <w:tcBorders>
              <w:top w:val="nil"/>
              <w:left w:val="nil"/>
              <w:bottom w:val="single" w:sz="4" w:space="0" w:color="auto"/>
              <w:right w:val="single" w:sz="4" w:space="0" w:color="auto"/>
            </w:tcBorders>
            <w:shd w:val="clear" w:color="auto" w:fill="auto"/>
            <w:noWrap/>
            <w:vAlign w:val="bottom"/>
            <w:hideMark/>
          </w:tcPr>
          <w:p w14:paraId="23335F92"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(0.9)</w:t>
            </w:r>
          </w:p>
        </w:tc>
        <w:tc>
          <w:tcPr>
            <w:tcW w:w="0" w:type="auto"/>
            <w:tcBorders>
              <w:top w:val="nil"/>
              <w:left w:val="nil"/>
              <w:bottom w:val="single" w:sz="4" w:space="0" w:color="auto"/>
              <w:right w:val="single" w:sz="4" w:space="0" w:color="auto"/>
            </w:tcBorders>
            <w:shd w:val="clear" w:color="auto" w:fill="auto"/>
            <w:noWrap/>
            <w:vAlign w:val="bottom"/>
            <w:hideMark/>
          </w:tcPr>
          <w:p w14:paraId="04E61C2A"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0AD32C9C"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62631CBC"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0F523DC1"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6117C657"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7</w:t>
            </w:r>
          </w:p>
        </w:tc>
        <w:tc>
          <w:tcPr>
            <w:tcW w:w="0" w:type="auto"/>
            <w:tcBorders>
              <w:top w:val="nil"/>
              <w:left w:val="nil"/>
              <w:bottom w:val="single" w:sz="4" w:space="0" w:color="auto"/>
              <w:right w:val="single" w:sz="4" w:space="0" w:color="auto"/>
            </w:tcBorders>
            <w:shd w:val="clear" w:color="auto" w:fill="auto"/>
            <w:noWrap/>
            <w:vAlign w:val="bottom"/>
            <w:hideMark/>
          </w:tcPr>
          <w:p w14:paraId="6820DE68"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(0.9)</w:t>
            </w:r>
          </w:p>
        </w:tc>
        <w:tc>
          <w:tcPr>
            <w:tcW w:w="0" w:type="auto"/>
            <w:tcBorders>
              <w:top w:val="nil"/>
              <w:left w:val="nil"/>
              <w:bottom w:val="single" w:sz="4" w:space="0" w:color="auto"/>
              <w:right w:val="single" w:sz="4" w:space="0" w:color="auto"/>
            </w:tcBorders>
            <w:shd w:val="clear" w:color="auto" w:fill="auto"/>
            <w:noWrap/>
            <w:vAlign w:val="bottom"/>
            <w:hideMark/>
          </w:tcPr>
          <w:p w14:paraId="50011DB6"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55DDB877"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35FA95E8"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81%</w:t>
            </w:r>
          </w:p>
        </w:tc>
      </w:tr>
      <w:tr w:rsidR="0067156B" w:rsidRPr="00BA48F1" w14:paraId="27D46354" w14:textId="77777777" w:rsidTr="0067156B">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824CA5C"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SHUTESBURY</w:t>
            </w:r>
          </w:p>
        </w:tc>
        <w:tc>
          <w:tcPr>
            <w:tcW w:w="0" w:type="auto"/>
            <w:tcBorders>
              <w:top w:val="nil"/>
              <w:left w:val="nil"/>
              <w:bottom w:val="single" w:sz="4" w:space="0" w:color="auto"/>
              <w:right w:val="single" w:sz="4" w:space="0" w:color="auto"/>
            </w:tcBorders>
            <w:shd w:val="clear" w:color="auto" w:fill="auto"/>
            <w:noWrap/>
            <w:vAlign w:val="bottom"/>
            <w:hideMark/>
          </w:tcPr>
          <w:p w14:paraId="5673F719"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37</w:t>
            </w:r>
          </w:p>
        </w:tc>
        <w:tc>
          <w:tcPr>
            <w:tcW w:w="0" w:type="auto"/>
            <w:tcBorders>
              <w:top w:val="nil"/>
              <w:left w:val="nil"/>
              <w:bottom w:val="single" w:sz="4" w:space="0" w:color="auto"/>
              <w:right w:val="single" w:sz="4" w:space="0" w:color="auto"/>
            </w:tcBorders>
            <w:shd w:val="clear" w:color="auto" w:fill="auto"/>
            <w:noWrap/>
            <w:vAlign w:val="bottom"/>
            <w:hideMark/>
          </w:tcPr>
          <w:p w14:paraId="39DB6574"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17</w:t>
            </w:r>
          </w:p>
        </w:tc>
        <w:tc>
          <w:tcPr>
            <w:tcW w:w="0" w:type="auto"/>
            <w:tcBorders>
              <w:top w:val="nil"/>
              <w:left w:val="nil"/>
              <w:bottom w:val="single" w:sz="4" w:space="0" w:color="auto"/>
              <w:right w:val="single" w:sz="4" w:space="0" w:color="auto"/>
            </w:tcBorders>
            <w:shd w:val="clear" w:color="auto" w:fill="auto"/>
            <w:noWrap/>
            <w:vAlign w:val="bottom"/>
            <w:hideMark/>
          </w:tcPr>
          <w:p w14:paraId="30CFF825"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46%</w:t>
            </w:r>
          </w:p>
        </w:tc>
        <w:tc>
          <w:tcPr>
            <w:tcW w:w="0" w:type="auto"/>
            <w:tcBorders>
              <w:top w:val="nil"/>
              <w:left w:val="nil"/>
              <w:bottom w:val="single" w:sz="4" w:space="0" w:color="auto"/>
              <w:right w:val="single" w:sz="4" w:space="0" w:color="auto"/>
            </w:tcBorders>
            <w:shd w:val="clear" w:color="auto" w:fill="auto"/>
            <w:noWrap/>
            <w:vAlign w:val="bottom"/>
            <w:hideMark/>
          </w:tcPr>
          <w:p w14:paraId="356F7796"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17</w:t>
            </w:r>
          </w:p>
        </w:tc>
        <w:tc>
          <w:tcPr>
            <w:tcW w:w="0" w:type="auto"/>
            <w:tcBorders>
              <w:top w:val="nil"/>
              <w:left w:val="nil"/>
              <w:bottom w:val="single" w:sz="4" w:space="0" w:color="auto"/>
              <w:right w:val="single" w:sz="4" w:space="0" w:color="auto"/>
            </w:tcBorders>
            <w:shd w:val="clear" w:color="auto" w:fill="auto"/>
            <w:noWrap/>
            <w:vAlign w:val="bottom"/>
            <w:hideMark/>
          </w:tcPr>
          <w:p w14:paraId="104B8EA9"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(100.0)</w:t>
            </w:r>
          </w:p>
        </w:tc>
        <w:tc>
          <w:tcPr>
            <w:tcW w:w="0" w:type="auto"/>
            <w:tcBorders>
              <w:top w:val="nil"/>
              <w:left w:val="nil"/>
              <w:bottom w:val="single" w:sz="4" w:space="0" w:color="auto"/>
              <w:right w:val="single" w:sz="4" w:space="0" w:color="auto"/>
            </w:tcBorders>
            <w:shd w:val="clear" w:color="auto" w:fill="auto"/>
            <w:noWrap/>
            <w:vAlign w:val="bottom"/>
            <w:hideMark/>
          </w:tcPr>
          <w:p w14:paraId="3DACA2B7"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22EB1E99"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31019E70"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2627F3C6"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65BFB889"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07175629"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25511613"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32C88CB4"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52CA98E6"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4158A2A5"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00646DC9"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86%</w:t>
            </w:r>
          </w:p>
        </w:tc>
      </w:tr>
      <w:tr w:rsidR="0067156B" w:rsidRPr="00BA48F1" w14:paraId="1BABE56F" w14:textId="77777777" w:rsidTr="0067156B">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9F366E9"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SOMERSET</w:t>
            </w:r>
          </w:p>
        </w:tc>
        <w:tc>
          <w:tcPr>
            <w:tcW w:w="0" w:type="auto"/>
            <w:tcBorders>
              <w:top w:val="nil"/>
              <w:left w:val="nil"/>
              <w:bottom w:val="single" w:sz="4" w:space="0" w:color="auto"/>
              <w:right w:val="single" w:sz="4" w:space="0" w:color="auto"/>
            </w:tcBorders>
            <w:shd w:val="clear" w:color="auto" w:fill="auto"/>
            <w:noWrap/>
            <w:vAlign w:val="bottom"/>
            <w:hideMark/>
          </w:tcPr>
          <w:p w14:paraId="29BFAEE5"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510</w:t>
            </w:r>
          </w:p>
        </w:tc>
        <w:tc>
          <w:tcPr>
            <w:tcW w:w="0" w:type="auto"/>
            <w:tcBorders>
              <w:top w:val="nil"/>
              <w:left w:val="nil"/>
              <w:bottom w:val="single" w:sz="4" w:space="0" w:color="auto"/>
              <w:right w:val="single" w:sz="4" w:space="0" w:color="auto"/>
            </w:tcBorders>
            <w:shd w:val="clear" w:color="auto" w:fill="auto"/>
            <w:noWrap/>
            <w:vAlign w:val="bottom"/>
            <w:hideMark/>
          </w:tcPr>
          <w:p w14:paraId="39A54E26"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303</w:t>
            </w:r>
          </w:p>
        </w:tc>
        <w:tc>
          <w:tcPr>
            <w:tcW w:w="0" w:type="auto"/>
            <w:tcBorders>
              <w:top w:val="nil"/>
              <w:left w:val="nil"/>
              <w:bottom w:val="single" w:sz="4" w:space="0" w:color="auto"/>
              <w:right w:val="single" w:sz="4" w:space="0" w:color="auto"/>
            </w:tcBorders>
            <w:shd w:val="clear" w:color="auto" w:fill="auto"/>
            <w:noWrap/>
            <w:vAlign w:val="bottom"/>
            <w:hideMark/>
          </w:tcPr>
          <w:p w14:paraId="15B3E22C"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59%</w:t>
            </w:r>
          </w:p>
        </w:tc>
        <w:tc>
          <w:tcPr>
            <w:tcW w:w="0" w:type="auto"/>
            <w:tcBorders>
              <w:top w:val="nil"/>
              <w:left w:val="nil"/>
              <w:bottom w:val="single" w:sz="4" w:space="0" w:color="auto"/>
              <w:right w:val="single" w:sz="4" w:space="0" w:color="auto"/>
            </w:tcBorders>
            <w:shd w:val="clear" w:color="auto" w:fill="auto"/>
            <w:noWrap/>
            <w:vAlign w:val="bottom"/>
            <w:hideMark/>
          </w:tcPr>
          <w:p w14:paraId="30F867B6"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298</w:t>
            </w:r>
          </w:p>
        </w:tc>
        <w:tc>
          <w:tcPr>
            <w:tcW w:w="0" w:type="auto"/>
            <w:tcBorders>
              <w:top w:val="nil"/>
              <w:left w:val="nil"/>
              <w:bottom w:val="single" w:sz="4" w:space="0" w:color="auto"/>
              <w:right w:val="single" w:sz="4" w:space="0" w:color="auto"/>
            </w:tcBorders>
            <w:shd w:val="clear" w:color="auto" w:fill="auto"/>
            <w:noWrap/>
            <w:vAlign w:val="bottom"/>
            <w:hideMark/>
          </w:tcPr>
          <w:p w14:paraId="44AF6DA9"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(98.3)</w:t>
            </w:r>
          </w:p>
        </w:tc>
        <w:tc>
          <w:tcPr>
            <w:tcW w:w="0" w:type="auto"/>
            <w:tcBorders>
              <w:top w:val="nil"/>
              <w:left w:val="nil"/>
              <w:bottom w:val="single" w:sz="4" w:space="0" w:color="auto"/>
              <w:right w:val="single" w:sz="4" w:space="0" w:color="auto"/>
            </w:tcBorders>
            <w:shd w:val="clear" w:color="auto" w:fill="auto"/>
            <w:noWrap/>
            <w:vAlign w:val="bottom"/>
            <w:hideMark/>
          </w:tcPr>
          <w:p w14:paraId="190EBD3F"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657ECCFC"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4C8ADB1A"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06046272"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71415566"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72762DC7"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3AC711B8"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01FFA560"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47780C12"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6373F138"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71F9EAA6"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67%</w:t>
            </w:r>
          </w:p>
        </w:tc>
      </w:tr>
      <w:tr w:rsidR="0067156B" w:rsidRPr="00BA48F1" w14:paraId="07A45786" w14:textId="77777777" w:rsidTr="0067156B">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C8D8202"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SOMERVILLE</w:t>
            </w:r>
          </w:p>
        </w:tc>
        <w:tc>
          <w:tcPr>
            <w:tcW w:w="0" w:type="auto"/>
            <w:tcBorders>
              <w:top w:val="nil"/>
              <w:left w:val="nil"/>
              <w:bottom w:val="single" w:sz="4" w:space="0" w:color="auto"/>
              <w:right w:val="single" w:sz="4" w:space="0" w:color="auto"/>
            </w:tcBorders>
            <w:shd w:val="clear" w:color="auto" w:fill="auto"/>
            <w:noWrap/>
            <w:vAlign w:val="bottom"/>
            <w:hideMark/>
          </w:tcPr>
          <w:p w14:paraId="4BC1406C"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2,191</w:t>
            </w:r>
          </w:p>
        </w:tc>
        <w:tc>
          <w:tcPr>
            <w:tcW w:w="0" w:type="auto"/>
            <w:tcBorders>
              <w:top w:val="nil"/>
              <w:left w:val="nil"/>
              <w:bottom w:val="single" w:sz="4" w:space="0" w:color="auto"/>
              <w:right w:val="single" w:sz="4" w:space="0" w:color="auto"/>
            </w:tcBorders>
            <w:shd w:val="clear" w:color="auto" w:fill="auto"/>
            <w:noWrap/>
            <w:vAlign w:val="bottom"/>
            <w:hideMark/>
          </w:tcPr>
          <w:p w14:paraId="4FD143D4"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1,418</w:t>
            </w:r>
          </w:p>
        </w:tc>
        <w:tc>
          <w:tcPr>
            <w:tcW w:w="0" w:type="auto"/>
            <w:tcBorders>
              <w:top w:val="nil"/>
              <w:left w:val="nil"/>
              <w:bottom w:val="single" w:sz="4" w:space="0" w:color="auto"/>
              <w:right w:val="single" w:sz="4" w:space="0" w:color="auto"/>
            </w:tcBorders>
            <w:shd w:val="clear" w:color="auto" w:fill="auto"/>
            <w:noWrap/>
            <w:vAlign w:val="bottom"/>
            <w:hideMark/>
          </w:tcPr>
          <w:p w14:paraId="2A23F8A1"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65%</w:t>
            </w:r>
          </w:p>
        </w:tc>
        <w:tc>
          <w:tcPr>
            <w:tcW w:w="0" w:type="auto"/>
            <w:tcBorders>
              <w:top w:val="nil"/>
              <w:left w:val="nil"/>
              <w:bottom w:val="single" w:sz="4" w:space="0" w:color="auto"/>
              <w:right w:val="single" w:sz="4" w:space="0" w:color="auto"/>
            </w:tcBorders>
            <w:shd w:val="clear" w:color="auto" w:fill="auto"/>
            <w:noWrap/>
            <w:vAlign w:val="bottom"/>
            <w:hideMark/>
          </w:tcPr>
          <w:p w14:paraId="4105FF72"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1,395</w:t>
            </w:r>
          </w:p>
        </w:tc>
        <w:tc>
          <w:tcPr>
            <w:tcW w:w="0" w:type="auto"/>
            <w:tcBorders>
              <w:top w:val="nil"/>
              <w:left w:val="nil"/>
              <w:bottom w:val="single" w:sz="4" w:space="0" w:color="auto"/>
              <w:right w:val="single" w:sz="4" w:space="0" w:color="auto"/>
            </w:tcBorders>
            <w:shd w:val="clear" w:color="auto" w:fill="auto"/>
            <w:noWrap/>
            <w:vAlign w:val="bottom"/>
            <w:hideMark/>
          </w:tcPr>
          <w:p w14:paraId="1E2592C8"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(98.4)</w:t>
            </w:r>
          </w:p>
        </w:tc>
        <w:tc>
          <w:tcPr>
            <w:tcW w:w="0" w:type="auto"/>
            <w:tcBorders>
              <w:top w:val="nil"/>
              <w:left w:val="nil"/>
              <w:bottom w:val="single" w:sz="4" w:space="0" w:color="auto"/>
              <w:right w:val="single" w:sz="4" w:space="0" w:color="auto"/>
            </w:tcBorders>
            <w:shd w:val="clear" w:color="auto" w:fill="auto"/>
            <w:noWrap/>
            <w:vAlign w:val="bottom"/>
            <w:hideMark/>
          </w:tcPr>
          <w:p w14:paraId="227CB862"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18</w:t>
            </w:r>
          </w:p>
        </w:tc>
        <w:tc>
          <w:tcPr>
            <w:tcW w:w="0" w:type="auto"/>
            <w:tcBorders>
              <w:top w:val="nil"/>
              <w:left w:val="nil"/>
              <w:bottom w:val="single" w:sz="4" w:space="0" w:color="auto"/>
              <w:right w:val="single" w:sz="4" w:space="0" w:color="auto"/>
            </w:tcBorders>
            <w:shd w:val="clear" w:color="auto" w:fill="auto"/>
            <w:noWrap/>
            <w:vAlign w:val="bottom"/>
            <w:hideMark/>
          </w:tcPr>
          <w:p w14:paraId="25BA4425"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(1.3)</w:t>
            </w:r>
          </w:p>
        </w:tc>
        <w:tc>
          <w:tcPr>
            <w:tcW w:w="0" w:type="auto"/>
            <w:tcBorders>
              <w:top w:val="nil"/>
              <w:left w:val="nil"/>
              <w:bottom w:val="single" w:sz="4" w:space="0" w:color="auto"/>
              <w:right w:val="single" w:sz="4" w:space="0" w:color="auto"/>
            </w:tcBorders>
            <w:shd w:val="clear" w:color="auto" w:fill="auto"/>
            <w:noWrap/>
            <w:vAlign w:val="bottom"/>
            <w:hideMark/>
          </w:tcPr>
          <w:p w14:paraId="75D51049"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5</w:t>
            </w:r>
          </w:p>
        </w:tc>
        <w:tc>
          <w:tcPr>
            <w:tcW w:w="0" w:type="auto"/>
            <w:tcBorders>
              <w:top w:val="nil"/>
              <w:left w:val="nil"/>
              <w:bottom w:val="single" w:sz="4" w:space="0" w:color="auto"/>
              <w:right w:val="single" w:sz="4" w:space="0" w:color="auto"/>
            </w:tcBorders>
            <w:shd w:val="clear" w:color="auto" w:fill="auto"/>
            <w:noWrap/>
            <w:vAlign w:val="bottom"/>
            <w:hideMark/>
          </w:tcPr>
          <w:p w14:paraId="09DEC05A"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(0.4)</w:t>
            </w:r>
          </w:p>
        </w:tc>
        <w:tc>
          <w:tcPr>
            <w:tcW w:w="0" w:type="auto"/>
            <w:tcBorders>
              <w:top w:val="nil"/>
              <w:left w:val="nil"/>
              <w:bottom w:val="single" w:sz="4" w:space="0" w:color="auto"/>
              <w:right w:val="single" w:sz="4" w:space="0" w:color="auto"/>
            </w:tcBorders>
            <w:shd w:val="clear" w:color="auto" w:fill="auto"/>
            <w:noWrap/>
            <w:vAlign w:val="bottom"/>
            <w:hideMark/>
          </w:tcPr>
          <w:p w14:paraId="4185EBAD"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49AF216A"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5EA1C9FB"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17</w:t>
            </w:r>
          </w:p>
        </w:tc>
        <w:tc>
          <w:tcPr>
            <w:tcW w:w="0" w:type="auto"/>
            <w:tcBorders>
              <w:top w:val="nil"/>
              <w:left w:val="nil"/>
              <w:bottom w:val="single" w:sz="4" w:space="0" w:color="auto"/>
              <w:right w:val="single" w:sz="4" w:space="0" w:color="auto"/>
            </w:tcBorders>
            <w:shd w:val="clear" w:color="auto" w:fill="auto"/>
            <w:noWrap/>
            <w:vAlign w:val="bottom"/>
            <w:hideMark/>
          </w:tcPr>
          <w:p w14:paraId="7FCE804A"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(1.2)</w:t>
            </w:r>
          </w:p>
        </w:tc>
        <w:tc>
          <w:tcPr>
            <w:tcW w:w="0" w:type="auto"/>
            <w:tcBorders>
              <w:top w:val="nil"/>
              <w:left w:val="nil"/>
              <w:bottom w:val="single" w:sz="4" w:space="0" w:color="auto"/>
              <w:right w:val="single" w:sz="4" w:space="0" w:color="auto"/>
            </w:tcBorders>
            <w:shd w:val="clear" w:color="auto" w:fill="auto"/>
            <w:noWrap/>
            <w:vAlign w:val="bottom"/>
            <w:hideMark/>
          </w:tcPr>
          <w:p w14:paraId="301C9C7B"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5</w:t>
            </w:r>
          </w:p>
        </w:tc>
        <w:tc>
          <w:tcPr>
            <w:tcW w:w="0" w:type="auto"/>
            <w:tcBorders>
              <w:top w:val="nil"/>
              <w:left w:val="nil"/>
              <w:bottom w:val="single" w:sz="4" w:space="0" w:color="auto"/>
              <w:right w:val="single" w:sz="4" w:space="0" w:color="auto"/>
            </w:tcBorders>
            <w:shd w:val="clear" w:color="auto" w:fill="auto"/>
            <w:noWrap/>
            <w:vAlign w:val="bottom"/>
            <w:hideMark/>
          </w:tcPr>
          <w:p w14:paraId="54ABEF6D"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(0.4)</w:t>
            </w:r>
          </w:p>
        </w:tc>
        <w:tc>
          <w:tcPr>
            <w:tcW w:w="0" w:type="auto"/>
            <w:tcBorders>
              <w:top w:val="nil"/>
              <w:left w:val="nil"/>
              <w:bottom w:val="single" w:sz="4" w:space="0" w:color="auto"/>
              <w:right w:val="single" w:sz="4" w:space="0" w:color="auto"/>
            </w:tcBorders>
            <w:shd w:val="clear" w:color="auto" w:fill="auto"/>
            <w:noWrap/>
            <w:vAlign w:val="bottom"/>
            <w:hideMark/>
          </w:tcPr>
          <w:p w14:paraId="630D1325"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56%</w:t>
            </w:r>
          </w:p>
        </w:tc>
      </w:tr>
      <w:tr w:rsidR="0067156B" w:rsidRPr="00BA48F1" w14:paraId="3C8631EA" w14:textId="77777777" w:rsidTr="0067156B">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6BE646E"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SOUTH HADLEY</w:t>
            </w:r>
          </w:p>
        </w:tc>
        <w:tc>
          <w:tcPr>
            <w:tcW w:w="0" w:type="auto"/>
            <w:tcBorders>
              <w:top w:val="nil"/>
              <w:left w:val="nil"/>
              <w:bottom w:val="single" w:sz="4" w:space="0" w:color="auto"/>
              <w:right w:val="single" w:sz="4" w:space="0" w:color="auto"/>
            </w:tcBorders>
            <w:shd w:val="clear" w:color="auto" w:fill="auto"/>
            <w:noWrap/>
            <w:vAlign w:val="bottom"/>
            <w:hideMark/>
          </w:tcPr>
          <w:p w14:paraId="111FA502"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420</w:t>
            </w:r>
          </w:p>
        </w:tc>
        <w:tc>
          <w:tcPr>
            <w:tcW w:w="0" w:type="auto"/>
            <w:tcBorders>
              <w:top w:val="nil"/>
              <w:left w:val="nil"/>
              <w:bottom w:val="single" w:sz="4" w:space="0" w:color="auto"/>
              <w:right w:val="single" w:sz="4" w:space="0" w:color="auto"/>
            </w:tcBorders>
            <w:shd w:val="clear" w:color="auto" w:fill="auto"/>
            <w:noWrap/>
            <w:vAlign w:val="bottom"/>
            <w:hideMark/>
          </w:tcPr>
          <w:p w14:paraId="0609F76D"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228</w:t>
            </w:r>
          </w:p>
        </w:tc>
        <w:tc>
          <w:tcPr>
            <w:tcW w:w="0" w:type="auto"/>
            <w:tcBorders>
              <w:top w:val="nil"/>
              <w:left w:val="nil"/>
              <w:bottom w:val="single" w:sz="4" w:space="0" w:color="auto"/>
              <w:right w:val="single" w:sz="4" w:space="0" w:color="auto"/>
            </w:tcBorders>
            <w:shd w:val="clear" w:color="auto" w:fill="auto"/>
            <w:noWrap/>
            <w:vAlign w:val="bottom"/>
            <w:hideMark/>
          </w:tcPr>
          <w:p w14:paraId="4765BED4"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54%</w:t>
            </w:r>
          </w:p>
        </w:tc>
        <w:tc>
          <w:tcPr>
            <w:tcW w:w="0" w:type="auto"/>
            <w:tcBorders>
              <w:top w:val="nil"/>
              <w:left w:val="nil"/>
              <w:bottom w:val="single" w:sz="4" w:space="0" w:color="auto"/>
              <w:right w:val="single" w:sz="4" w:space="0" w:color="auto"/>
            </w:tcBorders>
            <w:shd w:val="clear" w:color="auto" w:fill="auto"/>
            <w:noWrap/>
            <w:vAlign w:val="bottom"/>
            <w:hideMark/>
          </w:tcPr>
          <w:p w14:paraId="2556A7A1"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228</w:t>
            </w:r>
          </w:p>
        </w:tc>
        <w:tc>
          <w:tcPr>
            <w:tcW w:w="0" w:type="auto"/>
            <w:tcBorders>
              <w:top w:val="nil"/>
              <w:left w:val="nil"/>
              <w:bottom w:val="single" w:sz="4" w:space="0" w:color="auto"/>
              <w:right w:val="single" w:sz="4" w:space="0" w:color="auto"/>
            </w:tcBorders>
            <w:shd w:val="clear" w:color="auto" w:fill="auto"/>
            <w:noWrap/>
            <w:vAlign w:val="bottom"/>
            <w:hideMark/>
          </w:tcPr>
          <w:p w14:paraId="08699273"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(100.0)</w:t>
            </w:r>
          </w:p>
        </w:tc>
        <w:tc>
          <w:tcPr>
            <w:tcW w:w="0" w:type="auto"/>
            <w:tcBorders>
              <w:top w:val="nil"/>
              <w:left w:val="nil"/>
              <w:bottom w:val="single" w:sz="4" w:space="0" w:color="auto"/>
              <w:right w:val="single" w:sz="4" w:space="0" w:color="auto"/>
            </w:tcBorders>
            <w:shd w:val="clear" w:color="auto" w:fill="auto"/>
            <w:noWrap/>
            <w:vAlign w:val="bottom"/>
            <w:hideMark/>
          </w:tcPr>
          <w:p w14:paraId="5523F9C7"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60322361"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7E842324"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2E45134A"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2B01D76C"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00B22666"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4D77DA91"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0A08B968"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0BBD89B9"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015947DE"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5926B1F7"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46%</w:t>
            </w:r>
          </w:p>
        </w:tc>
      </w:tr>
      <w:tr w:rsidR="0067156B" w:rsidRPr="00BA48F1" w14:paraId="5E3E0C8B" w14:textId="77777777" w:rsidTr="0067156B">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335B381"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SOUTHAMPTON</w:t>
            </w:r>
          </w:p>
        </w:tc>
        <w:tc>
          <w:tcPr>
            <w:tcW w:w="0" w:type="auto"/>
            <w:tcBorders>
              <w:top w:val="nil"/>
              <w:left w:val="nil"/>
              <w:bottom w:val="single" w:sz="4" w:space="0" w:color="auto"/>
              <w:right w:val="single" w:sz="4" w:space="0" w:color="auto"/>
            </w:tcBorders>
            <w:shd w:val="clear" w:color="auto" w:fill="auto"/>
            <w:noWrap/>
            <w:vAlign w:val="bottom"/>
            <w:hideMark/>
          </w:tcPr>
          <w:p w14:paraId="3E341901"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158</w:t>
            </w:r>
          </w:p>
        </w:tc>
        <w:tc>
          <w:tcPr>
            <w:tcW w:w="0" w:type="auto"/>
            <w:tcBorders>
              <w:top w:val="nil"/>
              <w:left w:val="nil"/>
              <w:bottom w:val="single" w:sz="4" w:space="0" w:color="auto"/>
              <w:right w:val="single" w:sz="4" w:space="0" w:color="auto"/>
            </w:tcBorders>
            <w:shd w:val="clear" w:color="auto" w:fill="auto"/>
            <w:noWrap/>
            <w:vAlign w:val="bottom"/>
            <w:hideMark/>
          </w:tcPr>
          <w:p w14:paraId="6FB01D98"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84</w:t>
            </w:r>
          </w:p>
        </w:tc>
        <w:tc>
          <w:tcPr>
            <w:tcW w:w="0" w:type="auto"/>
            <w:tcBorders>
              <w:top w:val="nil"/>
              <w:left w:val="nil"/>
              <w:bottom w:val="single" w:sz="4" w:space="0" w:color="auto"/>
              <w:right w:val="single" w:sz="4" w:space="0" w:color="auto"/>
            </w:tcBorders>
            <w:shd w:val="clear" w:color="auto" w:fill="auto"/>
            <w:noWrap/>
            <w:vAlign w:val="bottom"/>
            <w:hideMark/>
          </w:tcPr>
          <w:p w14:paraId="526C4615"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53%</w:t>
            </w:r>
          </w:p>
        </w:tc>
        <w:tc>
          <w:tcPr>
            <w:tcW w:w="0" w:type="auto"/>
            <w:tcBorders>
              <w:top w:val="nil"/>
              <w:left w:val="nil"/>
              <w:bottom w:val="single" w:sz="4" w:space="0" w:color="auto"/>
              <w:right w:val="single" w:sz="4" w:space="0" w:color="auto"/>
            </w:tcBorders>
            <w:shd w:val="clear" w:color="auto" w:fill="auto"/>
            <w:noWrap/>
            <w:vAlign w:val="bottom"/>
            <w:hideMark/>
          </w:tcPr>
          <w:p w14:paraId="1EC962D5"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84</w:t>
            </w:r>
          </w:p>
        </w:tc>
        <w:tc>
          <w:tcPr>
            <w:tcW w:w="0" w:type="auto"/>
            <w:tcBorders>
              <w:top w:val="nil"/>
              <w:left w:val="nil"/>
              <w:bottom w:val="single" w:sz="4" w:space="0" w:color="auto"/>
              <w:right w:val="single" w:sz="4" w:space="0" w:color="auto"/>
            </w:tcBorders>
            <w:shd w:val="clear" w:color="auto" w:fill="auto"/>
            <w:noWrap/>
            <w:vAlign w:val="bottom"/>
            <w:hideMark/>
          </w:tcPr>
          <w:p w14:paraId="2EE138A2"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(100.0)</w:t>
            </w:r>
          </w:p>
        </w:tc>
        <w:tc>
          <w:tcPr>
            <w:tcW w:w="0" w:type="auto"/>
            <w:tcBorders>
              <w:top w:val="nil"/>
              <w:left w:val="nil"/>
              <w:bottom w:val="single" w:sz="4" w:space="0" w:color="auto"/>
              <w:right w:val="single" w:sz="4" w:space="0" w:color="auto"/>
            </w:tcBorders>
            <w:shd w:val="clear" w:color="auto" w:fill="auto"/>
            <w:noWrap/>
            <w:vAlign w:val="bottom"/>
            <w:hideMark/>
          </w:tcPr>
          <w:p w14:paraId="11465B9F"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5335A226"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4B9A7F45"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01115063"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1045A309"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5A8C452B"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5246711A"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736DD8F2"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5828A856"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2ACEBECA"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587A132A"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78%</w:t>
            </w:r>
          </w:p>
        </w:tc>
      </w:tr>
      <w:tr w:rsidR="0067156B" w:rsidRPr="00BA48F1" w14:paraId="151D7AB7" w14:textId="77777777" w:rsidTr="0067156B">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D742BFB"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SOUTHBOROUGH</w:t>
            </w:r>
          </w:p>
        </w:tc>
        <w:tc>
          <w:tcPr>
            <w:tcW w:w="0" w:type="auto"/>
            <w:tcBorders>
              <w:top w:val="nil"/>
              <w:left w:val="nil"/>
              <w:bottom w:val="single" w:sz="4" w:space="0" w:color="auto"/>
              <w:right w:val="single" w:sz="4" w:space="0" w:color="auto"/>
            </w:tcBorders>
            <w:shd w:val="clear" w:color="auto" w:fill="auto"/>
            <w:noWrap/>
            <w:vAlign w:val="bottom"/>
            <w:hideMark/>
          </w:tcPr>
          <w:p w14:paraId="3CC7FCD9"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290</w:t>
            </w:r>
          </w:p>
        </w:tc>
        <w:tc>
          <w:tcPr>
            <w:tcW w:w="0" w:type="auto"/>
            <w:tcBorders>
              <w:top w:val="nil"/>
              <w:left w:val="nil"/>
              <w:bottom w:val="single" w:sz="4" w:space="0" w:color="auto"/>
              <w:right w:val="single" w:sz="4" w:space="0" w:color="auto"/>
            </w:tcBorders>
            <w:shd w:val="clear" w:color="auto" w:fill="auto"/>
            <w:noWrap/>
            <w:vAlign w:val="bottom"/>
            <w:hideMark/>
          </w:tcPr>
          <w:p w14:paraId="5F3BE14E"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221</w:t>
            </w:r>
          </w:p>
        </w:tc>
        <w:tc>
          <w:tcPr>
            <w:tcW w:w="0" w:type="auto"/>
            <w:tcBorders>
              <w:top w:val="nil"/>
              <w:left w:val="nil"/>
              <w:bottom w:val="single" w:sz="4" w:space="0" w:color="auto"/>
              <w:right w:val="single" w:sz="4" w:space="0" w:color="auto"/>
            </w:tcBorders>
            <w:shd w:val="clear" w:color="auto" w:fill="auto"/>
            <w:noWrap/>
            <w:vAlign w:val="bottom"/>
            <w:hideMark/>
          </w:tcPr>
          <w:p w14:paraId="173F4A53"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76%</w:t>
            </w:r>
          </w:p>
        </w:tc>
        <w:tc>
          <w:tcPr>
            <w:tcW w:w="0" w:type="auto"/>
            <w:tcBorders>
              <w:top w:val="nil"/>
              <w:left w:val="nil"/>
              <w:bottom w:val="single" w:sz="4" w:space="0" w:color="auto"/>
              <w:right w:val="single" w:sz="4" w:space="0" w:color="auto"/>
            </w:tcBorders>
            <w:shd w:val="clear" w:color="auto" w:fill="auto"/>
            <w:noWrap/>
            <w:vAlign w:val="bottom"/>
            <w:hideMark/>
          </w:tcPr>
          <w:p w14:paraId="72131596"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221</w:t>
            </w:r>
          </w:p>
        </w:tc>
        <w:tc>
          <w:tcPr>
            <w:tcW w:w="0" w:type="auto"/>
            <w:tcBorders>
              <w:top w:val="nil"/>
              <w:left w:val="nil"/>
              <w:bottom w:val="single" w:sz="4" w:space="0" w:color="auto"/>
              <w:right w:val="single" w:sz="4" w:space="0" w:color="auto"/>
            </w:tcBorders>
            <w:shd w:val="clear" w:color="auto" w:fill="auto"/>
            <w:noWrap/>
            <w:vAlign w:val="bottom"/>
            <w:hideMark/>
          </w:tcPr>
          <w:p w14:paraId="6130079D"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(100.0)</w:t>
            </w:r>
          </w:p>
        </w:tc>
        <w:tc>
          <w:tcPr>
            <w:tcW w:w="0" w:type="auto"/>
            <w:tcBorders>
              <w:top w:val="nil"/>
              <w:left w:val="nil"/>
              <w:bottom w:val="single" w:sz="4" w:space="0" w:color="auto"/>
              <w:right w:val="single" w:sz="4" w:space="0" w:color="auto"/>
            </w:tcBorders>
            <w:shd w:val="clear" w:color="auto" w:fill="auto"/>
            <w:noWrap/>
            <w:vAlign w:val="bottom"/>
            <w:hideMark/>
          </w:tcPr>
          <w:p w14:paraId="0AA0F013"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5B26BACE"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77D9499F"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65EA6254"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6BCB1D3C"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6A2D7623"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6D1A19EB"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1D613A38"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360334E9"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34119BD2"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2293A494"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54%</w:t>
            </w:r>
          </w:p>
        </w:tc>
      </w:tr>
      <w:tr w:rsidR="0067156B" w:rsidRPr="00BA48F1" w14:paraId="70FACAA4" w14:textId="77777777" w:rsidTr="0067156B">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6F973C2"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SOUTHBRIDGE</w:t>
            </w:r>
          </w:p>
        </w:tc>
        <w:tc>
          <w:tcPr>
            <w:tcW w:w="0" w:type="auto"/>
            <w:tcBorders>
              <w:top w:val="nil"/>
              <w:left w:val="nil"/>
              <w:bottom w:val="single" w:sz="4" w:space="0" w:color="auto"/>
              <w:right w:val="single" w:sz="4" w:space="0" w:color="auto"/>
            </w:tcBorders>
            <w:shd w:val="clear" w:color="auto" w:fill="auto"/>
            <w:noWrap/>
            <w:vAlign w:val="bottom"/>
            <w:hideMark/>
          </w:tcPr>
          <w:p w14:paraId="4ADA9292"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638</w:t>
            </w:r>
          </w:p>
        </w:tc>
        <w:tc>
          <w:tcPr>
            <w:tcW w:w="0" w:type="auto"/>
            <w:tcBorders>
              <w:top w:val="nil"/>
              <w:left w:val="nil"/>
              <w:bottom w:val="single" w:sz="4" w:space="0" w:color="auto"/>
              <w:right w:val="single" w:sz="4" w:space="0" w:color="auto"/>
            </w:tcBorders>
            <w:shd w:val="clear" w:color="auto" w:fill="auto"/>
            <w:noWrap/>
            <w:vAlign w:val="bottom"/>
            <w:hideMark/>
          </w:tcPr>
          <w:p w14:paraId="3E35D49D"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370</w:t>
            </w:r>
          </w:p>
        </w:tc>
        <w:tc>
          <w:tcPr>
            <w:tcW w:w="0" w:type="auto"/>
            <w:tcBorders>
              <w:top w:val="nil"/>
              <w:left w:val="nil"/>
              <w:bottom w:val="single" w:sz="4" w:space="0" w:color="auto"/>
              <w:right w:val="single" w:sz="4" w:space="0" w:color="auto"/>
            </w:tcBorders>
            <w:shd w:val="clear" w:color="auto" w:fill="auto"/>
            <w:noWrap/>
            <w:vAlign w:val="bottom"/>
            <w:hideMark/>
          </w:tcPr>
          <w:p w14:paraId="322A6241"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58%</w:t>
            </w:r>
          </w:p>
        </w:tc>
        <w:tc>
          <w:tcPr>
            <w:tcW w:w="0" w:type="auto"/>
            <w:tcBorders>
              <w:top w:val="nil"/>
              <w:left w:val="nil"/>
              <w:bottom w:val="single" w:sz="4" w:space="0" w:color="auto"/>
              <w:right w:val="single" w:sz="4" w:space="0" w:color="auto"/>
            </w:tcBorders>
            <w:shd w:val="clear" w:color="auto" w:fill="auto"/>
            <w:noWrap/>
            <w:vAlign w:val="bottom"/>
            <w:hideMark/>
          </w:tcPr>
          <w:p w14:paraId="1F081B93"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354</w:t>
            </w:r>
          </w:p>
        </w:tc>
        <w:tc>
          <w:tcPr>
            <w:tcW w:w="0" w:type="auto"/>
            <w:tcBorders>
              <w:top w:val="nil"/>
              <w:left w:val="nil"/>
              <w:bottom w:val="single" w:sz="4" w:space="0" w:color="auto"/>
              <w:right w:val="single" w:sz="4" w:space="0" w:color="auto"/>
            </w:tcBorders>
            <w:shd w:val="clear" w:color="auto" w:fill="auto"/>
            <w:noWrap/>
            <w:vAlign w:val="bottom"/>
            <w:hideMark/>
          </w:tcPr>
          <w:p w14:paraId="1516A694"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(95.7)</w:t>
            </w:r>
          </w:p>
        </w:tc>
        <w:tc>
          <w:tcPr>
            <w:tcW w:w="0" w:type="auto"/>
            <w:tcBorders>
              <w:top w:val="nil"/>
              <w:left w:val="nil"/>
              <w:bottom w:val="single" w:sz="4" w:space="0" w:color="auto"/>
              <w:right w:val="single" w:sz="4" w:space="0" w:color="auto"/>
            </w:tcBorders>
            <w:shd w:val="clear" w:color="auto" w:fill="auto"/>
            <w:noWrap/>
            <w:vAlign w:val="bottom"/>
            <w:hideMark/>
          </w:tcPr>
          <w:p w14:paraId="21013CE1"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12</w:t>
            </w:r>
          </w:p>
        </w:tc>
        <w:tc>
          <w:tcPr>
            <w:tcW w:w="0" w:type="auto"/>
            <w:tcBorders>
              <w:top w:val="nil"/>
              <w:left w:val="nil"/>
              <w:bottom w:val="single" w:sz="4" w:space="0" w:color="auto"/>
              <w:right w:val="single" w:sz="4" w:space="0" w:color="auto"/>
            </w:tcBorders>
            <w:shd w:val="clear" w:color="auto" w:fill="auto"/>
            <w:noWrap/>
            <w:vAlign w:val="bottom"/>
            <w:hideMark/>
          </w:tcPr>
          <w:p w14:paraId="478957A8"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(3.2)</w:t>
            </w:r>
          </w:p>
        </w:tc>
        <w:tc>
          <w:tcPr>
            <w:tcW w:w="0" w:type="auto"/>
            <w:tcBorders>
              <w:top w:val="nil"/>
              <w:left w:val="nil"/>
              <w:bottom w:val="single" w:sz="4" w:space="0" w:color="auto"/>
              <w:right w:val="single" w:sz="4" w:space="0" w:color="auto"/>
            </w:tcBorders>
            <w:shd w:val="clear" w:color="auto" w:fill="auto"/>
            <w:noWrap/>
            <w:vAlign w:val="bottom"/>
            <w:hideMark/>
          </w:tcPr>
          <w:p w14:paraId="7AF4B2A7"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18769CB8"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1966EFA0"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1D038A1E"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2BD67532"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12</w:t>
            </w:r>
          </w:p>
        </w:tc>
        <w:tc>
          <w:tcPr>
            <w:tcW w:w="0" w:type="auto"/>
            <w:tcBorders>
              <w:top w:val="nil"/>
              <w:left w:val="nil"/>
              <w:bottom w:val="single" w:sz="4" w:space="0" w:color="auto"/>
              <w:right w:val="single" w:sz="4" w:space="0" w:color="auto"/>
            </w:tcBorders>
            <w:shd w:val="clear" w:color="auto" w:fill="auto"/>
            <w:noWrap/>
            <w:vAlign w:val="bottom"/>
            <w:hideMark/>
          </w:tcPr>
          <w:p w14:paraId="5D5ABFE7"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(3.2)</w:t>
            </w:r>
          </w:p>
        </w:tc>
        <w:tc>
          <w:tcPr>
            <w:tcW w:w="0" w:type="auto"/>
            <w:tcBorders>
              <w:top w:val="nil"/>
              <w:left w:val="nil"/>
              <w:bottom w:val="single" w:sz="4" w:space="0" w:color="auto"/>
              <w:right w:val="single" w:sz="4" w:space="0" w:color="auto"/>
            </w:tcBorders>
            <w:shd w:val="clear" w:color="auto" w:fill="auto"/>
            <w:noWrap/>
            <w:vAlign w:val="bottom"/>
            <w:hideMark/>
          </w:tcPr>
          <w:p w14:paraId="7D80D85B"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52F91A49"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39724CD8"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67%</w:t>
            </w:r>
          </w:p>
        </w:tc>
      </w:tr>
      <w:tr w:rsidR="0067156B" w:rsidRPr="00BA48F1" w14:paraId="200BA438" w14:textId="77777777" w:rsidTr="0067156B">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03CDD0D"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SOUTHWICK</w:t>
            </w:r>
          </w:p>
        </w:tc>
        <w:tc>
          <w:tcPr>
            <w:tcW w:w="0" w:type="auto"/>
            <w:tcBorders>
              <w:top w:val="nil"/>
              <w:left w:val="nil"/>
              <w:bottom w:val="single" w:sz="4" w:space="0" w:color="auto"/>
              <w:right w:val="single" w:sz="4" w:space="0" w:color="auto"/>
            </w:tcBorders>
            <w:shd w:val="clear" w:color="auto" w:fill="auto"/>
            <w:noWrap/>
            <w:vAlign w:val="bottom"/>
            <w:hideMark/>
          </w:tcPr>
          <w:p w14:paraId="19F93615"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257</w:t>
            </w:r>
          </w:p>
        </w:tc>
        <w:tc>
          <w:tcPr>
            <w:tcW w:w="0" w:type="auto"/>
            <w:tcBorders>
              <w:top w:val="nil"/>
              <w:left w:val="nil"/>
              <w:bottom w:val="single" w:sz="4" w:space="0" w:color="auto"/>
              <w:right w:val="single" w:sz="4" w:space="0" w:color="auto"/>
            </w:tcBorders>
            <w:shd w:val="clear" w:color="auto" w:fill="auto"/>
            <w:noWrap/>
            <w:vAlign w:val="bottom"/>
            <w:hideMark/>
          </w:tcPr>
          <w:p w14:paraId="089C8EDC"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151</w:t>
            </w:r>
          </w:p>
        </w:tc>
        <w:tc>
          <w:tcPr>
            <w:tcW w:w="0" w:type="auto"/>
            <w:tcBorders>
              <w:top w:val="nil"/>
              <w:left w:val="nil"/>
              <w:bottom w:val="single" w:sz="4" w:space="0" w:color="auto"/>
              <w:right w:val="single" w:sz="4" w:space="0" w:color="auto"/>
            </w:tcBorders>
            <w:shd w:val="clear" w:color="auto" w:fill="auto"/>
            <w:noWrap/>
            <w:vAlign w:val="bottom"/>
            <w:hideMark/>
          </w:tcPr>
          <w:p w14:paraId="79214F7B"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59%</w:t>
            </w:r>
          </w:p>
        </w:tc>
        <w:tc>
          <w:tcPr>
            <w:tcW w:w="0" w:type="auto"/>
            <w:tcBorders>
              <w:top w:val="nil"/>
              <w:left w:val="nil"/>
              <w:bottom w:val="single" w:sz="4" w:space="0" w:color="auto"/>
              <w:right w:val="single" w:sz="4" w:space="0" w:color="auto"/>
            </w:tcBorders>
            <w:shd w:val="clear" w:color="auto" w:fill="auto"/>
            <w:noWrap/>
            <w:vAlign w:val="bottom"/>
            <w:hideMark/>
          </w:tcPr>
          <w:p w14:paraId="0DF31F6B"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148</w:t>
            </w:r>
          </w:p>
        </w:tc>
        <w:tc>
          <w:tcPr>
            <w:tcW w:w="0" w:type="auto"/>
            <w:tcBorders>
              <w:top w:val="nil"/>
              <w:left w:val="nil"/>
              <w:bottom w:val="single" w:sz="4" w:space="0" w:color="auto"/>
              <w:right w:val="single" w:sz="4" w:space="0" w:color="auto"/>
            </w:tcBorders>
            <w:shd w:val="clear" w:color="auto" w:fill="auto"/>
            <w:noWrap/>
            <w:vAlign w:val="bottom"/>
            <w:hideMark/>
          </w:tcPr>
          <w:p w14:paraId="4308F78E"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(98.0)</w:t>
            </w:r>
          </w:p>
        </w:tc>
        <w:tc>
          <w:tcPr>
            <w:tcW w:w="0" w:type="auto"/>
            <w:tcBorders>
              <w:top w:val="nil"/>
              <w:left w:val="nil"/>
              <w:bottom w:val="single" w:sz="4" w:space="0" w:color="auto"/>
              <w:right w:val="single" w:sz="4" w:space="0" w:color="auto"/>
            </w:tcBorders>
            <w:shd w:val="clear" w:color="auto" w:fill="auto"/>
            <w:noWrap/>
            <w:vAlign w:val="bottom"/>
            <w:hideMark/>
          </w:tcPr>
          <w:p w14:paraId="4A0DD874"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1035BA21"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78322B3F"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37B216FC"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46288834"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1BFE17BF"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7DE1C097"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58A668A0"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0308A110"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7D179B9B"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0DB97D61"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83%</w:t>
            </w:r>
          </w:p>
        </w:tc>
      </w:tr>
      <w:tr w:rsidR="0067156B" w:rsidRPr="00BA48F1" w14:paraId="28C198DB" w14:textId="77777777" w:rsidTr="0067156B">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9A7B1BC"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SPENCER</w:t>
            </w:r>
          </w:p>
        </w:tc>
        <w:tc>
          <w:tcPr>
            <w:tcW w:w="0" w:type="auto"/>
            <w:tcBorders>
              <w:top w:val="nil"/>
              <w:left w:val="nil"/>
              <w:bottom w:val="single" w:sz="4" w:space="0" w:color="auto"/>
              <w:right w:val="single" w:sz="4" w:space="0" w:color="auto"/>
            </w:tcBorders>
            <w:shd w:val="clear" w:color="auto" w:fill="auto"/>
            <w:noWrap/>
            <w:vAlign w:val="bottom"/>
            <w:hideMark/>
          </w:tcPr>
          <w:p w14:paraId="315A7EBF"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354</w:t>
            </w:r>
          </w:p>
        </w:tc>
        <w:tc>
          <w:tcPr>
            <w:tcW w:w="0" w:type="auto"/>
            <w:tcBorders>
              <w:top w:val="nil"/>
              <w:left w:val="nil"/>
              <w:bottom w:val="single" w:sz="4" w:space="0" w:color="auto"/>
              <w:right w:val="single" w:sz="4" w:space="0" w:color="auto"/>
            </w:tcBorders>
            <w:shd w:val="clear" w:color="auto" w:fill="auto"/>
            <w:noWrap/>
            <w:vAlign w:val="bottom"/>
            <w:hideMark/>
          </w:tcPr>
          <w:p w14:paraId="77BD2C31"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222</w:t>
            </w:r>
          </w:p>
        </w:tc>
        <w:tc>
          <w:tcPr>
            <w:tcW w:w="0" w:type="auto"/>
            <w:tcBorders>
              <w:top w:val="nil"/>
              <w:left w:val="nil"/>
              <w:bottom w:val="single" w:sz="4" w:space="0" w:color="auto"/>
              <w:right w:val="single" w:sz="4" w:space="0" w:color="auto"/>
            </w:tcBorders>
            <w:shd w:val="clear" w:color="auto" w:fill="auto"/>
            <w:noWrap/>
            <w:vAlign w:val="bottom"/>
            <w:hideMark/>
          </w:tcPr>
          <w:p w14:paraId="2F554698"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63%</w:t>
            </w:r>
          </w:p>
        </w:tc>
        <w:tc>
          <w:tcPr>
            <w:tcW w:w="0" w:type="auto"/>
            <w:tcBorders>
              <w:top w:val="nil"/>
              <w:left w:val="nil"/>
              <w:bottom w:val="single" w:sz="4" w:space="0" w:color="auto"/>
              <w:right w:val="single" w:sz="4" w:space="0" w:color="auto"/>
            </w:tcBorders>
            <w:shd w:val="clear" w:color="auto" w:fill="auto"/>
            <w:noWrap/>
            <w:vAlign w:val="bottom"/>
            <w:hideMark/>
          </w:tcPr>
          <w:p w14:paraId="7581F32E"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219</w:t>
            </w:r>
          </w:p>
        </w:tc>
        <w:tc>
          <w:tcPr>
            <w:tcW w:w="0" w:type="auto"/>
            <w:tcBorders>
              <w:top w:val="nil"/>
              <w:left w:val="nil"/>
              <w:bottom w:val="single" w:sz="4" w:space="0" w:color="auto"/>
              <w:right w:val="single" w:sz="4" w:space="0" w:color="auto"/>
            </w:tcBorders>
            <w:shd w:val="clear" w:color="auto" w:fill="auto"/>
            <w:noWrap/>
            <w:vAlign w:val="bottom"/>
            <w:hideMark/>
          </w:tcPr>
          <w:p w14:paraId="155B343C"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(98.6)</w:t>
            </w:r>
          </w:p>
        </w:tc>
        <w:tc>
          <w:tcPr>
            <w:tcW w:w="0" w:type="auto"/>
            <w:tcBorders>
              <w:top w:val="nil"/>
              <w:left w:val="nil"/>
              <w:bottom w:val="single" w:sz="4" w:space="0" w:color="auto"/>
              <w:right w:val="single" w:sz="4" w:space="0" w:color="auto"/>
            </w:tcBorders>
            <w:shd w:val="clear" w:color="auto" w:fill="auto"/>
            <w:noWrap/>
            <w:vAlign w:val="bottom"/>
            <w:hideMark/>
          </w:tcPr>
          <w:p w14:paraId="66EF9379"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0FF97335"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6FC58175"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0704511B"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4BA825FD"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0CC6490F"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2DED7860"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0A2FCFFF"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674B2A4C"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49A29C72"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7E589E66"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51%</w:t>
            </w:r>
          </w:p>
        </w:tc>
      </w:tr>
      <w:tr w:rsidR="0067156B" w:rsidRPr="00BA48F1" w14:paraId="0A52106B" w14:textId="77777777" w:rsidTr="0067156B">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611CF52"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SPRINGFIELD</w:t>
            </w:r>
          </w:p>
        </w:tc>
        <w:tc>
          <w:tcPr>
            <w:tcW w:w="0" w:type="auto"/>
            <w:tcBorders>
              <w:top w:val="nil"/>
              <w:left w:val="nil"/>
              <w:bottom w:val="single" w:sz="4" w:space="0" w:color="auto"/>
              <w:right w:val="single" w:sz="4" w:space="0" w:color="auto"/>
            </w:tcBorders>
            <w:shd w:val="clear" w:color="auto" w:fill="auto"/>
            <w:noWrap/>
            <w:vAlign w:val="bottom"/>
            <w:hideMark/>
          </w:tcPr>
          <w:p w14:paraId="144B3464"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6,378</w:t>
            </w:r>
          </w:p>
        </w:tc>
        <w:tc>
          <w:tcPr>
            <w:tcW w:w="0" w:type="auto"/>
            <w:tcBorders>
              <w:top w:val="nil"/>
              <w:left w:val="nil"/>
              <w:bottom w:val="single" w:sz="4" w:space="0" w:color="auto"/>
              <w:right w:val="single" w:sz="4" w:space="0" w:color="auto"/>
            </w:tcBorders>
            <w:shd w:val="clear" w:color="auto" w:fill="auto"/>
            <w:noWrap/>
            <w:vAlign w:val="bottom"/>
            <w:hideMark/>
          </w:tcPr>
          <w:p w14:paraId="24258B44"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3,878</w:t>
            </w:r>
          </w:p>
        </w:tc>
        <w:tc>
          <w:tcPr>
            <w:tcW w:w="0" w:type="auto"/>
            <w:tcBorders>
              <w:top w:val="nil"/>
              <w:left w:val="nil"/>
              <w:bottom w:val="single" w:sz="4" w:space="0" w:color="auto"/>
              <w:right w:val="single" w:sz="4" w:space="0" w:color="auto"/>
            </w:tcBorders>
            <w:shd w:val="clear" w:color="auto" w:fill="auto"/>
            <w:noWrap/>
            <w:vAlign w:val="bottom"/>
            <w:hideMark/>
          </w:tcPr>
          <w:p w14:paraId="4F5C6640"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61%</w:t>
            </w:r>
          </w:p>
        </w:tc>
        <w:tc>
          <w:tcPr>
            <w:tcW w:w="0" w:type="auto"/>
            <w:tcBorders>
              <w:top w:val="nil"/>
              <w:left w:val="nil"/>
              <w:bottom w:val="single" w:sz="4" w:space="0" w:color="auto"/>
              <w:right w:val="single" w:sz="4" w:space="0" w:color="auto"/>
            </w:tcBorders>
            <w:shd w:val="clear" w:color="auto" w:fill="auto"/>
            <w:noWrap/>
            <w:vAlign w:val="bottom"/>
            <w:hideMark/>
          </w:tcPr>
          <w:p w14:paraId="26CB8815"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3,760</w:t>
            </w:r>
          </w:p>
        </w:tc>
        <w:tc>
          <w:tcPr>
            <w:tcW w:w="0" w:type="auto"/>
            <w:tcBorders>
              <w:top w:val="nil"/>
              <w:left w:val="nil"/>
              <w:bottom w:val="single" w:sz="4" w:space="0" w:color="auto"/>
              <w:right w:val="single" w:sz="4" w:space="0" w:color="auto"/>
            </w:tcBorders>
            <w:shd w:val="clear" w:color="auto" w:fill="auto"/>
            <w:noWrap/>
            <w:vAlign w:val="bottom"/>
            <w:hideMark/>
          </w:tcPr>
          <w:p w14:paraId="69305782"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(97.0)</w:t>
            </w:r>
          </w:p>
        </w:tc>
        <w:tc>
          <w:tcPr>
            <w:tcW w:w="0" w:type="auto"/>
            <w:tcBorders>
              <w:top w:val="nil"/>
              <w:left w:val="nil"/>
              <w:bottom w:val="single" w:sz="4" w:space="0" w:color="auto"/>
              <w:right w:val="single" w:sz="4" w:space="0" w:color="auto"/>
            </w:tcBorders>
            <w:shd w:val="clear" w:color="auto" w:fill="auto"/>
            <w:noWrap/>
            <w:vAlign w:val="bottom"/>
            <w:hideMark/>
          </w:tcPr>
          <w:p w14:paraId="7E99F3CF"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100</w:t>
            </w:r>
          </w:p>
        </w:tc>
        <w:tc>
          <w:tcPr>
            <w:tcW w:w="0" w:type="auto"/>
            <w:tcBorders>
              <w:top w:val="nil"/>
              <w:left w:val="nil"/>
              <w:bottom w:val="single" w:sz="4" w:space="0" w:color="auto"/>
              <w:right w:val="single" w:sz="4" w:space="0" w:color="auto"/>
            </w:tcBorders>
            <w:shd w:val="clear" w:color="auto" w:fill="auto"/>
            <w:noWrap/>
            <w:vAlign w:val="bottom"/>
            <w:hideMark/>
          </w:tcPr>
          <w:p w14:paraId="732B4761"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(2.6)</w:t>
            </w:r>
          </w:p>
        </w:tc>
        <w:tc>
          <w:tcPr>
            <w:tcW w:w="0" w:type="auto"/>
            <w:tcBorders>
              <w:top w:val="nil"/>
              <w:left w:val="nil"/>
              <w:bottom w:val="single" w:sz="4" w:space="0" w:color="auto"/>
              <w:right w:val="single" w:sz="4" w:space="0" w:color="auto"/>
            </w:tcBorders>
            <w:shd w:val="clear" w:color="auto" w:fill="auto"/>
            <w:noWrap/>
            <w:vAlign w:val="bottom"/>
            <w:hideMark/>
          </w:tcPr>
          <w:p w14:paraId="5E5E45C1"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15</w:t>
            </w:r>
          </w:p>
        </w:tc>
        <w:tc>
          <w:tcPr>
            <w:tcW w:w="0" w:type="auto"/>
            <w:tcBorders>
              <w:top w:val="nil"/>
              <w:left w:val="nil"/>
              <w:bottom w:val="single" w:sz="4" w:space="0" w:color="auto"/>
              <w:right w:val="single" w:sz="4" w:space="0" w:color="auto"/>
            </w:tcBorders>
            <w:shd w:val="clear" w:color="auto" w:fill="auto"/>
            <w:noWrap/>
            <w:vAlign w:val="bottom"/>
            <w:hideMark/>
          </w:tcPr>
          <w:p w14:paraId="61A6DE25"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(0.4)</w:t>
            </w:r>
          </w:p>
        </w:tc>
        <w:tc>
          <w:tcPr>
            <w:tcW w:w="0" w:type="auto"/>
            <w:tcBorders>
              <w:top w:val="nil"/>
              <w:left w:val="nil"/>
              <w:bottom w:val="single" w:sz="4" w:space="0" w:color="auto"/>
              <w:right w:val="single" w:sz="4" w:space="0" w:color="auto"/>
            </w:tcBorders>
            <w:shd w:val="clear" w:color="auto" w:fill="auto"/>
            <w:noWrap/>
            <w:vAlign w:val="bottom"/>
            <w:hideMark/>
          </w:tcPr>
          <w:p w14:paraId="59A513E5"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3</w:t>
            </w:r>
          </w:p>
        </w:tc>
        <w:tc>
          <w:tcPr>
            <w:tcW w:w="0" w:type="auto"/>
            <w:tcBorders>
              <w:top w:val="nil"/>
              <w:left w:val="nil"/>
              <w:bottom w:val="single" w:sz="4" w:space="0" w:color="auto"/>
              <w:right w:val="single" w:sz="4" w:space="0" w:color="auto"/>
            </w:tcBorders>
            <w:shd w:val="clear" w:color="auto" w:fill="auto"/>
            <w:noWrap/>
            <w:vAlign w:val="bottom"/>
            <w:hideMark/>
          </w:tcPr>
          <w:p w14:paraId="2CF92BF5"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(0.1)</w:t>
            </w:r>
          </w:p>
        </w:tc>
        <w:tc>
          <w:tcPr>
            <w:tcW w:w="0" w:type="auto"/>
            <w:tcBorders>
              <w:top w:val="nil"/>
              <w:left w:val="nil"/>
              <w:bottom w:val="single" w:sz="4" w:space="0" w:color="auto"/>
              <w:right w:val="single" w:sz="4" w:space="0" w:color="auto"/>
            </w:tcBorders>
            <w:shd w:val="clear" w:color="auto" w:fill="auto"/>
            <w:noWrap/>
            <w:vAlign w:val="bottom"/>
            <w:hideMark/>
          </w:tcPr>
          <w:p w14:paraId="6E1821D4"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101</w:t>
            </w:r>
          </w:p>
        </w:tc>
        <w:tc>
          <w:tcPr>
            <w:tcW w:w="0" w:type="auto"/>
            <w:tcBorders>
              <w:top w:val="nil"/>
              <w:left w:val="nil"/>
              <w:bottom w:val="single" w:sz="4" w:space="0" w:color="auto"/>
              <w:right w:val="single" w:sz="4" w:space="0" w:color="auto"/>
            </w:tcBorders>
            <w:shd w:val="clear" w:color="auto" w:fill="auto"/>
            <w:noWrap/>
            <w:vAlign w:val="bottom"/>
            <w:hideMark/>
          </w:tcPr>
          <w:p w14:paraId="2ED6BB53"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(2.6)</w:t>
            </w:r>
          </w:p>
        </w:tc>
        <w:tc>
          <w:tcPr>
            <w:tcW w:w="0" w:type="auto"/>
            <w:tcBorders>
              <w:top w:val="nil"/>
              <w:left w:val="nil"/>
              <w:bottom w:val="single" w:sz="4" w:space="0" w:color="auto"/>
              <w:right w:val="single" w:sz="4" w:space="0" w:color="auto"/>
            </w:tcBorders>
            <w:shd w:val="clear" w:color="auto" w:fill="auto"/>
            <w:noWrap/>
            <w:vAlign w:val="bottom"/>
            <w:hideMark/>
          </w:tcPr>
          <w:p w14:paraId="7EDD3BFC"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17</w:t>
            </w:r>
          </w:p>
        </w:tc>
        <w:tc>
          <w:tcPr>
            <w:tcW w:w="0" w:type="auto"/>
            <w:tcBorders>
              <w:top w:val="nil"/>
              <w:left w:val="nil"/>
              <w:bottom w:val="single" w:sz="4" w:space="0" w:color="auto"/>
              <w:right w:val="single" w:sz="4" w:space="0" w:color="auto"/>
            </w:tcBorders>
            <w:shd w:val="clear" w:color="auto" w:fill="auto"/>
            <w:noWrap/>
            <w:vAlign w:val="bottom"/>
            <w:hideMark/>
          </w:tcPr>
          <w:p w14:paraId="085334C7"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(0.4)</w:t>
            </w:r>
          </w:p>
        </w:tc>
        <w:tc>
          <w:tcPr>
            <w:tcW w:w="0" w:type="auto"/>
            <w:tcBorders>
              <w:top w:val="nil"/>
              <w:left w:val="nil"/>
              <w:bottom w:val="single" w:sz="4" w:space="0" w:color="auto"/>
              <w:right w:val="single" w:sz="4" w:space="0" w:color="auto"/>
            </w:tcBorders>
            <w:shd w:val="clear" w:color="auto" w:fill="auto"/>
            <w:noWrap/>
            <w:vAlign w:val="bottom"/>
            <w:hideMark/>
          </w:tcPr>
          <w:p w14:paraId="7B1C5E14"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73%</w:t>
            </w:r>
          </w:p>
        </w:tc>
      </w:tr>
      <w:tr w:rsidR="0067156B" w:rsidRPr="00BA48F1" w14:paraId="543839F3" w14:textId="77777777" w:rsidTr="0067156B">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94C82C2"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STERLING</w:t>
            </w:r>
          </w:p>
        </w:tc>
        <w:tc>
          <w:tcPr>
            <w:tcW w:w="0" w:type="auto"/>
            <w:tcBorders>
              <w:top w:val="nil"/>
              <w:left w:val="nil"/>
              <w:bottom w:val="single" w:sz="4" w:space="0" w:color="auto"/>
              <w:right w:val="single" w:sz="4" w:space="0" w:color="auto"/>
            </w:tcBorders>
            <w:shd w:val="clear" w:color="auto" w:fill="auto"/>
            <w:noWrap/>
            <w:vAlign w:val="bottom"/>
            <w:hideMark/>
          </w:tcPr>
          <w:p w14:paraId="5741148E"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223</w:t>
            </w:r>
          </w:p>
        </w:tc>
        <w:tc>
          <w:tcPr>
            <w:tcW w:w="0" w:type="auto"/>
            <w:tcBorders>
              <w:top w:val="nil"/>
              <w:left w:val="nil"/>
              <w:bottom w:val="single" w:sz="4" w:space="0" w:color="auto"/>
              <w:right w:val="single" w:sz="4" w:space="0" w:color="auto"/>
            </w:tcBorders>
            <w:shd w:val="clear" w:color="auto" w:fill="auto"/>
            <w:noWrap/>
            <w:vAlign w:val="bottom"/>
            <w:hideMark/>
          </w:tcPr>
          <w:p w14:paraId="76BE81BF"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136</w:t>
            </w:r>
          </w:p>
        </w:tc>
        <w:tc>
          <w:tcPr>
            <w:tcW w:w="0" w:type="auto"/>
            <w:tcBorders>
              <w:top w:val="nil"/>
              <w:left w:val="nil"/>
              <w:bottom w:val="single" w:sz="4" w:space="0" w:color="auto"/>
              <w:right w:val="single" w:sz="4" w:space="0" w:color="auto"/>
            </w:tcBorders>
            <w:shd w:val="clear" w:color="auto" w:fill="auto"/>
            <w:noWrap/>
            <w:vAlign w:val="bottom"/>
            <w:hideMark/>
          </w:tcPr>
          <w:p w14:paraId="05846763"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61%</w:t>
            </w:r>
          </w:p>
        </w:tc>
        <w:tc>
          <w:tcPr>
            <w:tcW w:w="0" w:type="auto"/>
            <w:tcBorders>
              <w:top w:val="nil"/>
              <w:left w:val="nil"/>
              <w:bottom w:val="single" w:sz="4" w:space="0" w:color="auto"/>
              <w:right w:val="single" w:sz="4" w:space="0" w:color="auto"/>
            </w:tcBorders>
            <w:shd w:val="clear" w:color="auto" w:fill="auto"/>
            <w:noWrap/>
            <w:vAlign w:val="bottom"/>
            <w:hideMark/>
          </w:tcPr>
          <w:p w14:paraId="437F0320"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136</w:t>
            </w:r>
          </w:p>
        </w:tc>
        <w:tc>
          <w:tcPr>
            <w:tcW w:w="0" w:type="auto"/>
            <w:tcBorders>
              <w:top w:val="nil"/>
              <w:left w:val="nil"/>
              <w:bottom w:val="single" w:sz="4" w:space="0" w:color="auto"/>
              <w:right w:val="single" w:sz="4" w:space="0" w:color="auto"/>
            </w:tcBorders>
            <w:shd w:val="clear" w:color="auto" w:fill="auto"/>
            <w:noWrap/>
            <w:vAlign w:val="bottom"/>
            <w:hideMark/>
          </w:tcPr>
          <w:p w14:paraId="7AA7CB5F"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(100.0)</w:t>
            </w:r>
          </w:p>
        </w:tc>
        <w:tc>
          <w:tcPr>
            <w:tcW w:w="0" w:type="auto"/>
            <w:tcBorders>
              <w:top w:val="nil"/>
              <w:left w:val="nil"/>
              <w:bottom w:val="single" w:sz="4" w:space="0" w:color="auto"/>
              <w:right w:val="single" w:sz="4" w:space="0" w:color="auto"/>
            </w:tcBorders>
            <w:shd w:val="clear" w:color="auto" w:fill="auto"/>
            <w:noWrap/>
            <w:vAlign w:val="bottom"/>
            <w:hideMark/>
          </w:tcPr>
          <w:p w14:paraId="1231F92B"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2230B1A0"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411B1A25"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47C6E12C"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33B925C2"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60EA55F9"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18F10AC6"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7237152F"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4634A250"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6C43A2D0"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79C9F7E6"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75%</w:t>
            </w:r>
          </w:p>
        </w:tc>
      </w:tr>
      <w:tr w:rsidR="0067156B" w:rsidRPr="00BA48F1" w14:paraId="6CBD2438" w14:textId="77777777" w:rsidTr="0067156B">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C1401D0"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STOCKBRIDGE</w:t>
            </w:r>
          </w:p>
        </w:tc>
        <w:tc>
          <w:tcPr>
            <w:tcW w:w="0" w:type="auto"/>
            <w:tcBorders>
              <w:top w:val="nil"/>
              <w:left w:val="nil"/>
              <w:bottom w:val="single" w:sz="4" w:space="0" w:color="auto"/>
              <w:right w:val="single" w:sz="4" w:space="0" w:color="auto"/>
            </w:tcBorders>
            <w:shd w:val="clear" w:color="auto" w:fill="auto"/>
            <w:noWrap/>
            <w:vAlign w:val="bottom"/>
            <w:hideMark/>
          </w:tcPr>
          <w:p w14:paraId="76963691"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22</w:t>
            </w:r>
          </w:p>
        </w:tc>
        <w:tc>
          <w:tcPr>
            <w:tcW w:w="0" w:type="auto"/>
            <w:tcBorders>
              <w:top w:val="nil"/>
              <w:left w:val="nil"/>
              <w:bottom w:val="single" w:sz="4" w:space="0" w:color="auto"/>
              <w:right w:val="single" w:sz="4" w:space="0" w:color="auto"/>
            </w:tcBorders>
            <w:shd w:val="clear" w:color="auto" w:fill="auto"/>
            <w:noWrap/>
            <w:vAlign w:val="bottom"/>
            <w:hideMark/>
          </w:tcPr>
          <w:p w14:paraId="7BB846BE"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16</w:t>
            </w:r>
          </w:p>
        </w:tc>
        <w:tc>
          <w:tcPr>
            <w:tcW w:w="0" w:type="auto"/>
            <w:tcBorders>
              <w:top w:val="nil"/>
              <w:left w:val="nil"/>
              <w:bottom w:val="single" w:sz="4" w:space="0" w:color="auto"/>
              <w:right w:val="single" w:sz="4" w:space="0" w:color="auto"/>
            </w:tcBorders>
            <w:shd w:val="clear" w:color="auto" w:fill="auto"/>
            <w:noWrap/>
            <w:vAlign w:val="bottom"/>
            <w:hideMark/>
          </w:tcPr>
          <w:p w14:paraId="677EE0C8"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73%</w:t>
            </w:r>
          </w:p>
        </w:tc>
        <w:tc>
          <w:tcPr>
            <w:tcW w:w="0" w:type="auto"/>
            <w:tcBorders>
              <w:top w:val="nil"/>
              <w:left w:val="nil"/>
              <w:bottom w:val="single" w:sz="4" w:space="0" w:color="auto"/>
              <w:right w:val="single" w:sz="4" w:space="0" w:color="auto"/>
            </w:tcBorders>
            <w:shd w:val="clear" w:color="auto" w:fill="auto"/>
            <w:noWrap/>
            <w:vAlign w:val="bottom"/>
            <w:hideMark/>
          </w:tcPr>
          <w:p w14:paraId="098238F1"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13</w:t>
            </w:r>
          </w:p>
        </w:tc>
        <w:tc>
          <w:tcPr>
            <w:tcW w:w="0" w:type="auto"/>
            <w:tcBorders>
              <w:top w:val="nil"/>
              <w:left w:val="nil"/>
              <w:bottom w:val="single" w:sz="4" w:space="0" w:color="auto"/>
              <w:right w:val="single" w:sz="4" w:space="0" w:color="auto"/>
            </w:tcBorders>
            <w:shd w:val="clear" w:color="auto" w:fill="auto"/>
            <w:noWrap/>
            <w:vAlign w:val="bottom"/>
            <w:hideMark/>
          </w:tcPr>
          <w:p w14:paraId="63CF38AF"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(81.3)</w:t>
            </w:r>
          </w:p>
        </w:tc>
        <w:tc>
          <w:tcPr>
            <w:tcW w:w="0" w:type="auto"/>
            <w:tcBorders>
              <w:top w:val="nil"/>
              <w:left w:val="nil"/>
              <w:bottom w:val="single" w:sz="4" w:space="0" w:color="auto"/>
              <w:right w:val="single" w:sz="4" w:space="0" w:color="auto"/>
            </w:tcBorders>
            <w:shd w:val="clear" w:color="auto" w:fill="auto"/>
            <w:noWrap/>
            <w:vAlign w:val="bottom"/>
            <w:hideMark/>
          </w:tcPr>
          <w:p w14:paraId="1FBE8830"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6B7B6184"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7758FB1D"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2BA6729C"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2B8793E1"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0B40E3FA"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53769B00"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08253D26"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17A78EBC"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121B710E"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41CCE6C0"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69%</w:t>
            </w:r>
          </w:p>
        </w:tc>
      </w:tr>
      <w:tr w:rsidR="0067156B" w:rsidRPr="00BA48F1" w14:paraId="6D08550F" w14:textId="77777777" w:rsidTr="0067156B">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F237BB2"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STONEHAM</w:t>
            </w:r>
          </w:p>
        </w:tc>
        <w:tc>
          <w:tcPr>
            <w:tcW w:w="0" w:type="auto"/>
            <w:tcBorders>
              <w:top w:val="nil"/>
              <w:left w:val="nil"/>
              <w:bottom w:val="single" w:sz="4" w:space="0" w:color="auto"/>
              <w:right w:val="single" w:sz="4" w:space="0" w:color="auto"/>
            </w:tcBorders>
            <w:shd w:val="clear" w:color="auto" w:fill="auto"/>
            <w:noWrap/>
            <w:vAlign w:val="bottom"/>
            <w:hideMark/>
          </w:tcPr>
          <w:p w14:paraId="7F4D1F2C"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678</w:t>
            </w:r>
          </w:p>
        </w:tc>
        <w:tc>
          <w:tcPr>
            <w:tcW w:w="0" w:type="auto"/>
            <w:tcBorders>
              <w:top w:val="nil"/>
              <w:left w:val="nil"/>
              <w:bottom w:val="single" w:sz="4" w:space="0" w:color="auto"/>
              <w:right w:val="single" w:sz="4" w:space="0" w:color="auto"/>
            </w:tcBorders>
            <w:shd w:val="clear" w:color="auto" w:fill="auto"/>
            <w:noWrap/>
            <w:vAlign w:val="bottom"/>
            <w:hideMark/>
          </w:tcPr>
          <w:p w14:paraId="4CB1CE13"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585</w:t>
            </w:r>
          </w:p>
        </w:tc>
        <w:tc>
          <w:tcPr>
            <w:tcW w:w="0" w:type="auto"/>
            <w:tcBorders>
              <w:top w:val="nil"/>
              <w:left w:val="nil"/>
              <w:bottom w:val="single" w:sz="4" w:space="0" w:color="auto"/>
              <w:right w:val="single" w:sz="4" w:space="0" w:color="auto"/>
            </w:tcBorders>
            <w:shd w:val="clear" w:color="auto" w:fill="auto"/>
            <w:noWrap/>
            <w:vAlign w:val="bottom"/>
            <w:hideMark/>
          </w:tcPr>
          <w:p w14:paraId="5C3B88BD"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86%</w:t>
            </w:r>
          </w:p>
        </w:tc>
        <w:tc>
          <w:tcPr>
            <w:tcW w:w="0" w:type="auto"/>
            <w:tcBorders>
              <w:top w:val="nil"/>
              <w:left w:val="nil"/>
              <w:bottom w:val="single" w:sz="4" w:space="0" w:color="auto"/>
              <w:right w:val="single" w:sz="4" w:space="0" w:color="auto"/>
            </w:tcBorders>
            <w:shd w:val="clear" w:color="auto" w:fill="auto"/>
            <w:noWrap/>
            <w:vAlign w:val="bottom"/>
            <w:hideMark/>
          </w:tcPr>
          <w:p w14:paraId="72F9B2B1"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579</w:t>
            </w:r>
          </w:p>
        </w:tc>
        <w:tc>
          <w:tcPr>
            <w:tcW w:w="0" w:type="auto"/>
            <w:tcBorders>
              <w:top w:val="nil"/>
              <w:left w:val="nil"/>
              <w:bottom w:val="single" w:sz="4" w:space="0" w:color="auto"/>
              <w:right w:val="single" w:sz="4" w:space="0" w:color="auto"/>
            </w:tcBorders>
            <w:shd w:val="clear" w:color="auto" w:fill="auto"/>
            <w:noWrap/>
            <w:vAlign w:val="bottom"/>
            <w:hideMark/>
          </w:tcPr>
          <w:p w14:paraId="7049300D"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(99.0)</w:t>
            </w:r>
          </w:p>
        </w:tc>
        <w:tc>
          <w:tcPr>
            <w:tcW w:w="0" w:type="auto"/>
            <w:tcBorders>
              <w:top w:val="nil"/>
              <w:left w:val="nil"/>
              <w:bottom w:val="single" w:sz="4" w:space="0" w:color="auto"/>
              <w:right w:val="single" w:sz="4" w:space="0" w:color="auto"/>
            </w:tcBorders>
            <w:shd w:val="clear" w:color="auto" w:fill="auto"/>
            <w:noWrap/>
            <w:vAlign w:val="bottom"/>
            <w:hideMark/>
          </w:tcPr>
          <w:p w14:paraId="42C55763"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27B643C3"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16525EAB"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71067CE4"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20F22E91"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05F12E58"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108BAC41"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595BFBA0"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38D103F0"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4590EDB9"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63FC9C62"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50%</w:t>
            </w:r>
          </w:p>
        </w:tc>
      </w:tr>
      <w:tr w:rsidR="0067156B" w:rsidRPr="00BA48F1" w14:paraId="4412F93B" w14:textId="77777777" w:rsidTr="0067156B">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3B40B25"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STOUGHTON</w:t>
            </w:r>
          </w:p>
        </w:tc>
        <w:tc>
          <w:tcPr>
            <w:tcW w:w="0" w:type="auto"/>
            <w:tcBorders>
              <w:top w:val="nil"/>
              <w:left w:val="nil"/>
              <w:bottom w:val="single" w:sz="4" w:space="0" w:color="auto"/>
              <w:right w:val="single" w:sz="4" w:space="0" w:color="auto"/>
            </w:tcBorders>
            <w:shd w:val="clear" w:color="auto" w:fill="auto"/>
            <w:noWrap/>
            <w:vAlign w:val="bottom"/>
            <w:hideMark/>
          </w:tcPr>
          <w:p w14:paraId="5D1C7D74"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951</w:t>
            </w:r>
          </w:p>
        </w:tc>
        <w:tc>
          <w:tcPr>
            <w:tcW w:w="0" w:type="auto"/>
            <w:tcBorders>
              <w:top w:val="nil"/>
              <w:left w:val="nil"/>
              <w:bottom w:val="single" w:sz="4" w:space="0" w:color="auto"/>
              <w:right w:val="single" w:sz="4" w:space="0" w:color="auto"/>
            </w:tcBorders>
            <w:shd w:val="clear" w:color="auto" w:fill="auto"/>
            <w:noWrap/>
            <w:vAlign w:val="bottom"/>
            <w:hideMark/>
          </w:tcPr>
          <w:p w14:paraId="2905C474"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750</w:t>
            </w:r>
          </w:p>
        </w:tc>
        <w:tc>
          <w:tcPr>
            <w:tcW w:w="0" w:type="auto"/>
            <w:tcBorders>
              <w:top w:val="nil"/>
              <w:left w:val="nil"/>
              <w:bottom w:val="single" w:sz="4" w:space="0" w:color="auto"/>
              <w:right w:val="single" w:sz="4" w:space="0" w:color="auto"/>
            </w:tcBorders>
            <w:shd w:val="clear" w:color="auto" w:fill="auto"/>
            <w:noWrap/>
            <w:vAlign w:val="bottom"/>
            <w:hideMark/>
          </w:tcPr>
          <w:p w14:paraId="5D4E4C89"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79%</w:t>
            </w:r>
          </w:p>
        </w:tc>
        <w:tc>
          <w:tcPr>
            <w:tcW w:w="0" w:type="auto"/>
            <w:tcBorders>
              <w:top w:val="nil"/>
              <w:left w:val="nil"/>
              <w:bottom w:val="single" w:sz="4" w:space="0" w:color="auto"/>
              <w:right w:val="single" w:sz="4" w:space="0" w:color="auto"/>
            </w:tcBorders>
            <w:shd w:val="clear" w:color="auto" w:fill="auto"/>
            <w:noWrap/>
            <w:vAlign w:val="bottom"/>
            <w:hideMark/>
          </w:tcPr>
          <w:p w14:paraId="1FDB1F07"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742</w:t>
            </w:r>
          </w:p>
        </w:tc>
        <w:tc>
          <w:tcPr>
            <w:tcW w:w="0" w:type="auto"/>
            <w:tcBorders>
              <w:top w:val="nil"/>
              <w:left w:val="nil"/>
              <w:bottom w:val="single" w:sz="4" w:space="0" w:color="auto"/>
              <w:right w:val="single" w:sz="4" w:space="0" w:color="auto"/>
            </w:tcBorders>
            <w:shd w:val="clear" w:color="auto" w:fill="auto"/>
            <w:noWrap/>
            <w:vAlign w:val="bottom"/>
            <w:hideMark/>
          </w:tcPr>
          <w:p w14:paraId="344221AA"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(98.9)</w:t>
            </w:r>
          </w:p>
        </w:tc>
        <w:tc>
          <w:tcPr>
            <w:tcW w:w="0" w:type="auto"/>
            <w:tcBorders>
              <w:top w:val="nil"/>
              <w:left w:val="nil"/>
              <w:bottom w:val="single" w:sz="4" w:space="0" w:color="auto"/>
              <w:right w:val="single" w:sz="4" w:space="0" w:color="auto"/>
            </w:tcBorders>
            <w:shd w:val="clear" w:color="auto" w:fill="auto"/>
            <w:noWrap/>
            <w:vAlign w:val="bottom"/>
            <w:hideMark/>
          </w:tcPr>
          <w:p w14:paraId="68125398"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221DCA15"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6BDE55A0"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4B87DEB3"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3677515E"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1A7962E9"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3DD43D5E"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124305E2"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30457490"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73957A65"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48857CD6"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53%</w:t>
            </w:r>
          </w:p>
        </w:tc>
      </w:tr>
      <w:tr w:rsidR="0067156B" w:rsidRPr="00BA48F1" w14:paraId="760D981A" w14:textId="77777777" w:rsidTr="0067156B">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6F01DF5"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STOW</w:t>
            </w:r>
          </w:p>
        </w:tc>
        <w:tc>
          <w:tcPr>
            <w:tcW w:w="0" w:type="auto"/>
            <w:tcBorders>
              <w:top w:val="nil"/>
              <w:left w:val="nil"/>
              <w:bottom w:val="single" w:sz="4" w:space="0" w:color="auto"/>
              <w:right w:val="single" w:sz="4" w:space="0" w:color="auto"/>
            </w:tcBorders>
            <w:shd w:val="clear" w:color="auto" w:fill="auto"/>
            <w:noWrap/>
            <w:vAlign w:val="bottom"/>
            <w:hideMark/>
          </w:tcPr>
          <w:p w14:paraId="64BA0B74"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252</w:t>
            </w:r>
          </w:p>
        </w:tc>
        <w:tc>
          <w:tcPr>
            <w:tcW w:w="0" w:type="auto"/>
            <w:tcBorders>
              <w:top w:val="nil"/>
              <w:left w:val="nil"/>
              <w:bottom w:val="single" w:sz="4" w:space="0" w:color="auto"/>
              <w:right w:val="single" w:sz="4" w:space="0" w:color="auto"/>
            </w:tcBorders>
            <w:shd w:val="clear" w:color="auto" w:fill="auto"/>
            <w:noWrap/>
            <w:vAlign w:val="bottom"/>
            <w:hideMark/>
          </w:tcPr>
          <w:p w14:paraId="50565DF8"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155</w:t>
            </w:r>
          </w:p>
        </w:tc>
        <w:tc>
          <w:tcPr>
            <w:tcW w:w="0" w:type="auto"/>
            <w:tcBorders>
              <w:top w:val="nil"/>
              <w:left w:val="nil"/>
              <w:bottom w:val="single" w:sz="4" w:space="0" w:color="auto"/>
              <w:right w:val="single" w:sz="4" w:space="0" w:color="auto"/>
            </w:tcBorders>
            <w:shd w:val="clear" w:color="auto" w:fill="auto"/>
            <w:noWrap/>
            <w:vAlign w:val="bottom"/>
            <w:hideMark/>
          </w:tcPr>
          <w:p w14:paraId="1C5FE476"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62%</w:t>
            </w:r>
          </w:p>
        </w:tc>
        <w:tc>
          <w:tcPr>
            <w:tcW w:w="0" w:type="auto"/>
            <w:tcBorders>
              <w:top w:val="nil"/>
              <w:left w:val="nil"/>
              <w:bottom w:val="single" w:sz="4" w:space="0" w:color="auto"/>
              <w:right w:val="single" w:sz="4" w:space="0" w:color="auto"/>
            </w:tcBorders>
            <w:shd w:val="clear" w:color="auto" w:fill="auto"/>
            <w:noWrap/>
            <w:vAlign w:val="bottom"/>
            <w:hideMark/>
          </w:tcPr>
          <w:p w14:paraId="25CC55E4"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151</w:t>
            </w:r>
          </w:p>
        </w:tc>
        <w:tc>
          <w:tcPr>
            <w:tcW w:w="0" w:type="auto"/>
            <w:tcBorders>
              <w:top w:val="nil"/>
              <w:left w:val="nil"/>
              <w:bottom w:val="single" w:sz="4" w:space="0" w:color="auto"/>
              <w:right w:val="single" w:sz="4" w:space="0" w:color="auto"/>
            </w:tcBorders>
            <w:shd w:val="clear" w:color="auto" w:fill="auto"/>
            <w:noWrap/>
            <w:vAlign w:val="bottom"/>
            <w:hideMark/>
          </w:tcPr>
          <w:p w14:paraId="2B07C932"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(97.4)</w:t>
            </w:r>
          </w:p>
        </w:tc>
        <w:tc>
          <w:tcPr>
            <w:tcW w:w="0" w:type="auto"/>
            <w:tcBorders>
              <w:top w:val="nil"/>
              <w:left w:val="nil"/>
              <w:bottom w:val="single" w:sz="4" w:space="0" w:color="auto"/>
              <w:right w:val="single" w:sz="4" w:space="0" w:color="auto"/>
            </w:tcBorders>
            <w:shd w:val="clear" w:color="auto" w:fill="auto"/>
            <w:noWrap/>
            <w:vAlign w:val="bottom"/>
            <w:hideMark/>
          </w:tcPr>
          <w:p w14:paraId="64BE53EF"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74A6F0AE"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436C42E4"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2B4EEC16"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0DC3D7DE"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2D3D2B41"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1EB11AA8"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0B5861CC"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58AC7C84"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6C31B0A3"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49525181"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59%</w:t>
            </w:r>
          </w:p>
        </w:tc>
      </w:tr>
      <w:tr w:rsidR="0067156B" w:rsidRPr="00BA48F1" w14:paraId="581B9685" w14:textId="77777777" w:rsidTr="0067156B">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2912046"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STURBRIDGE</w:t>
            </w:r>
          </w:p>
        </w:tc>
        <w:tc>
          <w:tcPr>
            <w:tcW w:w="0" w:type="auto"/>
            <w:tcBorders>
              <w:top w:val="nil"/>
              <w:left w:val="nil"/>
              <w:bottom w:val="single" w:sz="4" w:space="0" w:color="auto"/>
              <w:right w:val="single" w:sz="4" w:space="0" w:color="auto"/>
            </w:tcBorders>
            <w:shd w:val="clear" w:color="auto" w:fill="auto"/>
            <w:noWrap/>
            <w:vAlign w:val="bottom"/>
            <w:hideMark/>
          </w:tcPr>
          <w:p w14:paraId="148FD69A"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425</w:t>
            </w:r>
          </w:p>
        </w:tc>
        <w:tc>
          <w:tcPr>
            <w:tcW w:w="0" w:type="auto"/>
            <w:tcBorders>
              <w:top w:val="nil"/>
              <w:left w:val="nil"/>
              <w:bottom w:val="single" w:sz="4" w:space="0" w:color="auto"/>
              <w:right w:val="single" w:sz="4" w:space="0" w:color="auto"/>
            </w:tcBorders>
            <w:shd w:val="clear" w:color="auto" w:fill="auto"/>
            <w:noWrap/>
            <w:vAlign w:val="bottom"/>
            <w:hideMark/>
          </w:tcPr>
          <w:p w14:paraId="6D289C20"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180</w:t>
            </w:r>
          </w:p>
        </w:tc>
        <w:tc>
          <w:tcPr>
            <w:tcW w:w="0" w:type="auto"/>
            <w:tcBorders>
              <w:top w:val="nil"/>
              <w:left w:val="nil"/>
              <w:bottom w:val="single" w:sz="4" w:space="0" w:color="auto"/>
              <w:right w:val="single" w:sz="4" w:space="0" w:color="auto"/>
            </w:tcBorders>
            <w:shd w:val="clear" w:color="auto" w:fill="auto"/>
            <w:noWrap/>
            <w:vAlign w:val="bottom"/>
            <w:hideMark/>
          </w:tcPr>
          <w:p w14:paraId="49FA61B9"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42%</w:t>
            </w:r>
          </w:p>
        </w:tc>
        <w:tc>
          <w:tcPr>
            <w:tcW w:w="0" w:type="auto"/>
            <w:tcBorders>
              <w:top w:val="nil"/>
              <w:left w:val="nil"/>
              <w:bottom w:val="single" w:sz="4" w:space="0" w:color="auto"/>
              <w:right w:val="single" w:sz="4" w:space="0" w:color="auto"/>
            </w:tcBorders>
            <w:shd w:val="clear" w:color="auto" w:fill="auto"/>
            <w:noWrap/>
            <w:vAlign w:val="bottom"/>
            <w:hideMark/>
          </w:tcPr>
          <w:p w14:paraId="2583D7D7"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180</w:t>
            </w:r>
          </w:p>
        </w:tc>
        <w:tc>
          <w:tcPr>
            <w:tcW w:w="0" w:type="auto"/>
            <w:tcBorders>
              <w:top w:val="nil"/>
              <w:left w:val="nil"/>
              <w:bottom w:val="single" w:sz="4" w:space="0" w:color="auto"/>
              <w:right w:val="single" w:sz="4" w:space="0" w:color="auto"/>
            </w:tcBorders>
            <w:shd w:val="clear" w:color="auto" w:fill="auto"/>
            <w:noWrap/>
            <w:vAlign w:val="bottom"/>
            <w:hideMark/>
          </w:tcPr>
          <w:p w14:paraId="4DFC2095"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(100.0)</w:t>
            </w:r>
          </w:p>
        </w:tc>
        <w:tc>
          <w:tcPr>
            <w:tcW w:w="0" w:type="auto"/>
            <w:tcBorders>
              <w:top w:val="nil"/>
              <w:left w:val="nil"/>
              <w:bottom w:val="single" w:sz="4" w:space="0" w:color="auto"/>
              <w:right w:val="single" w:sz="4" w:space="0" w:color="auto"/>
            </w:tcBorders>
            <w:shd w:val="clear" w:color="auto" w:fill="auto"/>
            <w:noWrap/>
            <w:vAlign w:val="bottom"/>
            <w:hideMark/>
          </w:tcPr>
          <w:p w14:paraId="5C7AC6EC"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6D2E40EB"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227D7ADF"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42DF8E75"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1569095B"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79989C48"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6EB06725"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0071F35A"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2E916F61"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1C6AB21C"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443FA14B"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59%</w:t>
            </w:r>
          </w:p>
        </w:tc>
      </w:tr>
      <w:tr w:rsidR="0067156B" w:rsidRPr="00BA48F1" w14:paraId="41033876" w14:textId="77777777" w:rsidTr="0067156B">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56A4D6D"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SUDBURY</w:t>
            </w:r>
          </w:p>
        </w:tc>
        <w:tc>
          <w:tcPr>
            <w:tcW w:w="0" w:type="auto"/>
            <w:tcBorders>
              <w:top w:val="nil"/>
              <w:left w:val="nil"/>
              <w:bottom w:val="single" w:sz="4" w:space="0" w:color="auto"/>
              <w:right w:val="single" w:sz="4" w:space="0" w:color="auto"/>
            </w:tcBorders>
            <w:shd w:val="clear" w:color="auto" w:fill="auto"/>
            <w:noWrap/>
            <w:vAlign w:val="bottom"/>
            <w:hideMark/>
          </w:tcPr>
          <w:p w14:paraId="4A2911A8"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585</w:t>
            </w:r>
          </w:p>
        </w:tc>
        <w:tc>
          <w:tcPr>
            <w:tcW w:w="0" w:type="auto"/>
            <w:tcBorders>
              <w:top w:val="nil"/>
              <w:left w:val="nil"/>
              <w:bottom w:val="single" w:sz="4" w:space="0" w:color="auto"/>
              <w:right w:val="single" w:sz="4" w:space="0" w:color="auto"/>
            </w:tcBorders>
            <w:shd w:val="clear" w:color="auto" w:fill="auto"/>
            <w:noWrap/>
            <w:vAlign w:val="bottom"/>
            <w:hideMark/>
          </w:tcPr>
          <w:p w14:paraId="249749AD"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435</w:t>
            </w:r>
          </w:p>
        </w:tc>
        <w:tc>
          <w:tcPr>
            <w:tcW w:w="0" w:type="auto"/>
            <w:tcBorders>
              <w:top w:val="nil"/>
              <w:left w:val="nil"/>
              <w:bottom w:val="single" w:sz="4" w:space="0" w:color="auto"/>
              <w:right w:val="single" w:sz="4" w:space="0" w:color="auto"/>
            </w:tcBorders>
            <w:shd w:val="clear" w:color="auto" w:fill="auto"/>
            <w:noWrap/>
            <w:vAlign w:val="bottom"/>
            <w:hideMark/>
          </w:tcPr>
          <w:p w14:paraId="5AF23E0C"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74%</w:t>
            </w:r>
          </w:p>
        </w:tc>
        <w:tc>
          <w:tcPr>
            <w:tcW w:w="0" w:type="auto"/>
            <w:tcBorders>
              <w:top w:val="nil"/>
              <w:left w:val="nil"/>
              <w:bottom w:val="single" w:sz="4" w:space="0" w:color="auto"/>
              <w:right w:val="single" w:sz="4" w:space="0" w:color="auto"/>
            </w:tcBorders>
            <w:shd w:val="clear" w:color="auto" w:fill="auto"/>
            <w:noWrap/>
            <w:vAlign w:val="bottom"/>
            <w:hideMark/>
          </w:tcPr>
          <w:p w14:paraId="1A434826"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434</w:t>
            </w:r>
          </w:p>
        </w:tc>
        <w:tc>
          <w:tcPr>
            <w:tcW w:w="0" w:type="auto"/>
            <w:tcBorders>
              <w:top w:val="nil"/>
              <w:left w:val="nil"/>
              <w:bottom w:val="single" w:sz="4" w:space="0" w:color="auto"/>
              <w:right w:val="single" w:sz="4" w:space="0" w:color="auto"/>
            </w:tcBorders>
            <w:shd w:val="clear" w:color="auto" w:fill="auto"/>
            <w:noWrap/>
            <w:vAlign w:val="bottom"/>
            <w:hideMark/>
          </w:tcPr>
          <w:p w14:paraId="2233A1F6"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(99.8)</w:t>
            </w:r>
          </w:p>
        </w:tc>
        <w:tc>
          <w:tcPr>
            <w:tcW w:w="0" w:type="auto"/>
            <w:tcBorders>
              <w:top w:val="nil"/>
              <w:left w:val="nil"/>
              <w:bottom w:val="single" w:sz="4" w:space="0" w:color="auto"/>
              <w:right w:val="single" w:sz="4" w:space="0" w:color="auto"/>
            </w:tcBorders>
            <w:shd w:val="clear" w:color="auto" w:fill="auto"/>
            <w:noWrap/>
            <w:vAlign w:val="bottom"/>
            <w:hideMark/>
          </w:tcPr>
          <w:p w14:paraId="31D93123"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743ECC3A"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282DB5F9"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7CAAD052"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4006C2D7"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5E6D7F0E"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29B02AD5"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6667F2B0"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3CD62474"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7E4139CC"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27534823"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49%</w:t>
            </w:r>
          </w:p>
        </w:tc>
      </w:tr>
      <w:tr w:rsidR="0067156B" w:rsidRPr="00BA48F1" w14:paraId="52D2B4B1" w14:textId="77777777" w:rsidTr="0067156B">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399E73A"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SUNDERLAND</w:t>
            </w:r>
          </w:p>
        </w:tc>
        <w:tc>
          <w:tcPr>
            <w:tcW w:w="0" w:type="auto"/>
            <w:tcBorders>
              <w:top w:val="nil"/>
              <w:left w:val="nil"/>
              <w:bottom w:val="single" w:sz="4" w:space="0" w:color="auto"/>
              <w:right w:val="single" w:sz="4" w:space="0" w:color="auto"/>
            </w:tcBorders>
            <w:shd w:val="clear" w:color="auto" w:fill="auto"/>
            <w:noWrap/>
            <w:vAlign w:val="bottom"/>
            <w:hideMark/>
          </w:tcPr>
          <w:p w14:paraId="3248662D"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85</w:t>
            </w:r>
          </w:p>
        </w:tc>
        <w:tc>
          <w:tcPr>
            <w:tcW w:w="0" w:type="auto"/>
            <w:tcBorders>
              <w:top w:val="nil"/>
              <w:left w:val="nil"/>
              <w:bottom w:val="single" w:sz="4" w:space="0" w:color="auto"/>
              <w:right w:val="single" w:sz="4" w:space="0" w:color="auto"/>
            </w:tcBorders>
            <w:shd w:val="clear" w:color="auto" w:fill="auto"/>
            <w:noWrap/>
            <w:vAlign w:val="bottom"/>
            <w:hideMark/>
          </w:tcPr>
          <w:p w14:paraId="1E84987A"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42</w:t>
            </w:r>
          </w:p>
        </w:tc>
        <w:tc>
          <w:tcPr>
            <w:tcW w:w="0" w:type="auto"/>
            <w:tcBorders>
              <w:top w:val="nil"/>
              <w:left w:val="nil"/>
              <w:bottom w:val="single" w:sz="4" w:space="0" w:color="auto"/>
              <w:right w:val="single" w:sz="4" w:space="0" w:color="auto"/>
            </w:tcBorders>
            <w:shd w:val="clear" w:color="auto" w:fill="auto"/>
            <w:noWrap/>
            <w:vAlign w:val="bottom"/>
            <w:hideMark/>
          </w:tcPr>
          <w:p w14:paraId="5FDA48C6"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49%</w:t>
            </w:r>
          </w:p>
        </w:tc>
        <w:tc>
          <w:tcPr>
            <w:tcW w:w="0" w:type="auto"/>
            <w:tcBorders>
              <w:top w:val="nil"/>
              <w:left w:val="nil"/>
              <w:bottom w:val="single" w:sz="4" w:space="0" w:color="auto"/>
              <w:right w:val="single" w:sz="4" w:space="0" w:color="auto"/>
            </w:tcBorders>
            <w:shd w:val="clear" w:color="auto" w:fill="auto"/>
            <w:noWrap/>
            <w:vAlign w:val="bottom"/>
            <w:hideMark/>
          </w:tcPr>
          <w:p w14:paraId="5426C692"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42</w:t>
            </w:r>
          </w:p>
        </w:tc>
        <w:tc>
          <w:tcPr>
            <w:tcW w:w="0" w:type="auto"/>
            <w:tcBorders>
              <w:top w:val="nil"/>
              <w:left w:val="nil"/>
              <w:bottom w:val="single" w:sz="4" w:space="0" w:color="auto"/>
              <w:right w:val="single" w:sz="4" w:space="0" w:color="auto"/>
            </w:tcBorders>
            <w:shd w:val="clear" w:color="auto" w:fill="auto"/>
            <w:noWrap/>
            <w:vAlign w:val="bottom"/>
            <w:hideMark/>
          </w:tcPr>
          <w:p w14:paraId="6E9CA56E"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(100.0)</w:t>
            </w:r>
          </w:p>
        </w:tc>
        <w:tc>
          <w:tcPr>
            <w:tcW w:w="0" w:type="auto"/>
            <w:tcBorders>
              <w:top w:val="nil"/>
              <w:left w:val="nil"/>
              <w:bottom w:val="single" w:sz="4" w:space="0" w:color="auto"/>
              <w:right w:val="single" w:sz="4" w:space="0" w:color="auto"/>
            </w:tcBorders>
            <w:shd w:val="clear" w:color="auto" w:fill="auto"/>
            <w:noWrap/>
            <w:vAlign w:val="bottom"/>
            <w:hideMark/>
          </w:tcPr>
          <w:p w14:paraId="0A83575D"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6BBB3B90"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08E8E6AC"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69E60290"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37FD435A"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0A0DA2E6"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482F04CE"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4ED835F7"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579B2A7B"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76B9A425"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4ADB1C1F"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81%</w:t>
            </w:r>
          </w:p>
        </w:tc>
      </w:tr>
      <w:tr w:rsidR="0067156B" w:rsidRPr="00BA48F1" w14:paraId="29104C3B" w14:textId="77777777" w:rsidTr="0067156B">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86AC58F"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SUTTON</w:t>
            </w:r>
          </w:p>
        </w:tc>
        <w:tc>
          <w:tcPr>
            <w:tcW w:w="0" w:type="auto"/>
            <w:tcBorders>
              <w:top w:val="nil"/>
              <w:left w:val="nil"/>
              <w:bottom w:val="single" w:sz="4" w:space="0" w:color="auto"/>
              <w:right w:val="single" w:sz="4" w:space="0" w:color="auto"/>
            </w:tcBorders>
            <w:shd w:val="clear" w:color="auto" w:fill="auto"/>
            <w:noWrap/>
            <w:vAlign w:val="bottom"/>
            <w:hideMark/>
          </w:tcPr>
          <w:p w14:paraId="332A084B"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228</w:t>
            </w:r>
          </w:p>
        </w:tc>
        <w:tc>
          <w:tcPr>
            <w:tcW w:w="0" w:type="auto"/>
            <w:tcBorders>
              <w:top w:val="nil"/>
              <w:left w:val="nil"/>
              <w:bottom w:val="single" w:sz="4" w:space="0" w:color="auto"/>
              <w:right w:val="single" w:sz="4" w:space="0" w:color="auto"/>
            </w:tcBorders>
            <w:shd w:val="clear" w:color="auto" w:fill="auto"/>
            <w:noWrap/>
            <w:vAlign w:val="bottom"/>
            <w:hideMark/>
          </w:tcPr>
          <w:p w14:paraId="6E8CFD22"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194</w:t>
            </w:r>
          </w:p>
        </w:tc>
        <w:tc>
          <w:tcPr>
            <w:tcW w:w="0" w:type="auto"/>
            <w:tcBorders>
              <w:top w:val="nil"/>
              <w:left w:val="nil"/>
              <w:bottom w:val="single" w:sz="4" w:space="0" w:color="auto"/>
              <w:right w:val="single" w:sz="4" w:space="0" w:color="auto"/>
            </w:tcBorders>
            <w:shd w:val="clear" w:color="auto" w:fill="auto"/>
            <w:noWrap/>
            <w:vAlign w:val="bottom"/>
            <w:hideMark/>
          </w:tcPr>
          <w:p w14:paraId="31D80407"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85%</w:t>
            </w:r>
          </w:p>
        </w:tc>
        <w:tc>
          <w:tcPr>
            <w:tcW w:w="0" w:type="auto"/>
            <w:tcBorders>
              <w:top w:val="nil"/>
              <w:left w:val="nil"/>
              <w:bottom w:val="single" w:sz="4" w:space="0" w:color="auto"/>
              <w:right w:val="single" w:sz="4" w:space="0" w:color="auto"/>
            </w:tcBorders>
            <w:shd w:val="clear" w:color="auto" w:fill="auto"/>
            <w:noWrap/>
            <w:vAlign w:val="bottom"/>
            <w:hideMark/>
          </w:tcPr>
          <w:p w14:paraId="471F51FD"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192</w:t>
            </w:r>
          </w:p>
        </w:tc>
        <w:tc>
          <w:tcPr>
            <w:tcW w:w="0" w:type="auto"/>
            <w:tcBorders>
              <w:top w:val="nil"/>
              <w:left w:val="nil"/>
              <w:bottom w:val="single" w:sz="4" w:space="0" w:color="auto"/>
              <w:right w:val="single" w:sz="4" w:space="0" w:color="auto"/>
            </w:tcBorders>
            <w:shd w:val="clear" w:color="auto" w:fill="auto"/>
            <w:noWrap/>
            <w:vAlign w:val="bottom"/>
            <w:hideMark/>
          </w:tcPr>
          <w:p w14:paraId="179941C3"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(99.0)</w:t>
            </w:r>
          </w:p>
        </w:tc>
        <w:tc>
          <w:tcPr>
            <w:tcW w:w="0" w:type="auto"/>
            <w:tcBorders>
              <w:top w:val="nil"/>
              <w:left w:val="nil"/>
              <w:bottom w:val="single" w:sz="4" w:space="0" w:color="auto"/>
              <w:right w:val="single" w:sz="4" w:space="0" w:color="auto"/>
            </w:tcBorders>
            <w:shd w:val="clear" w:color="auto" w:fill="auto"/>
            <w:noWrap/>
            <w:vAlign w:val="bottom"/>
            <w:hideMark/>
          </w:tcPr>
          <w:p w14:paraId="6D7C8A10"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5DC978CE"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152C4D62"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5FA15435"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4B286A84"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688B2E0E"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3E72C2B3"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53A43148"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5D037258"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684675FB"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7228FA1E"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68%</w:t>
            </w:r>
          </w:p>
        </w:tc>
      </w:tr>
      <w:tr w:rsidR="0067156B" w:rsidRPr="00BA48F1" w14:paraId="5C741572" w14:textId="77777777" w:rsidTr="0067156B">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1494CAC"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SWAMPSCOTT</w:t>
            </w:r>
          </w:p>
        </w:tc>
        <w:tc>
          <w:tcPr>
            <w:tcW w:w="0" w:type="auto"/>
            <w:tcBorders>
              <w:top w:val="nil"/>
              <w:left w:val="nil"/>
              <w:bottom w:val="single" w:sz="4" w:space="0" w:color="auto"/>
              <w:right w:val="single" w:sz="4" w:space="0" w:color="auto"/>
            </w:tcBorders>
            <w:shd w:val="clear" w:color="auto" w:fill="auto"/>
            <w:noWrap/>
            <w:vAlign w:val="bottom"/>
            <w:hideMark/>
          </w:tcPr>
          <w:p w14:paraId="240F4923"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446</w:t>
            </w:r>
          </w:p>
        </w:tc>
        <w:tc>
          <w:tcPr>
            <w:tcW w:w="0" w:type="auto"/>
            <w:tcBorders>
              <w:top w:val="nil"/>
              <w:left w:val="nil"/>
              <w:bottom w:val="single" w:sz="4" w:space="0" w:color="auto"/>
              <w:right w:val="single" w:sz="4" w:space="0" w:color="auto"/>
            </w:tcBorders>
            <w:shd w:val="clear" w:color="auto" w:fill="auto"/>
            <w:noWrap/>
            <w:vAlign w:val="bottom"/>
            <w:hideMark/>
          </w:tcPr>
          <w:p w14:paraId="797597DB"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423</w:t>
            </w:r>
          </w:p>
        </w:tc>
        <w:tc>
          <w:tcPr>
            <w:tcW w:w="0" w:type="auto"/>
            <w:tcBorders>
              <w:top w:val="nil"/>
              <w:left w:val="nil"/>
              <w:bottom w:val="single" w:sz="4" w:space="0" w:color="auto"/>
              <w:right w:val="single" w:sz="4" w:space="0" w:color="auto"/>
            </w:tcBorders>
            <w:shd w:val="clear" w:color="auto" w:fill="auto"/>
            <w:noWrap/>
            <w:vAlign w:val="bottom"/>
            <w:hideMark/>
          </w:tcPr>
          <w:p w14:paraId="2F4FAC17"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95%</w:t>
            </w:r>
          </w:p>
        </w:tc>
        <w:tc>
          <w:tcPr>
            <w:tcW w:w="0" w:type="auto"/>
            <w:tcBorders>
              <w:top w:val="nil"/>
              <w:left w:val="nil"/>
              <w:bottom w:val="single" w:sz="4" w:space="0" w:color="auto"/>
              <w:right w:val="single" w:sz="4" w:space="0" w:color="auto"/>
            </w:tcBorders>
            <w:shd w:val="clear" w:color="auto" w:fill="auto"/>
            <w:noWrap/>
            <w:vAlign w:val="bottom"/>
            <w:hideMark/>
          </w:tcPr>
          <w:p w14:paraId="1E89A7D4"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418</w:t>
            </w:r>
          </w:p>
        </w:tc>
        <w:tc>
          <w:tcPr>
            <w:tcW w:w="0" w:type="auto"/>
            <w:tcBorders>
              <w:top w:val="nil"/>
              <w:left w:val="nil"/>
              <w:bottom w:val="single" w:sz="4" w:space="0" w:color="auto"/>
              <w:right w:val="single" w:sz="4" w:space="0" w:color="auto"/>
            </w:tcBorders>
            <w:shd w:val="clear" w:color="auto" w:fill="auto"/>
            <w:noWrap/>
            <w:vAlign w:val="bottom"/>
            <w:hideMark/>
          </w:tcPr>
          <w:p w14:paraId="21F82FB5"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(98.8)</w:t>
            </w:r>
          </w:p>
        </w:tc>
        <w:tc>
          <w:tcPr>
            <w:tcW w:w="0" w:type="auto"/>
            <w:tcBorders>
              <w:top w:val="nil"/>
              <w:left w:val="nil"/>
              <w:bottom w:val="single" w:sz="4" w:space="0" w:color="auto"/>
              <w:right w:val="single" w:sz="4" w:space="0" w:color="auto"/>
            </w:tcBorders>
            <w:shd w:val="clear" w:color="auto" w:fill="auto"/>
            <w:noWrap/>
            <w:vAlign w:val="bottom"/>
            <w:hideMark/>
          </w:tcPr>
          <w:p w14:paraId="494AF55D"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5BB3DCFB"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1E316E1D"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695A1BB6"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40E5F267"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509138BA"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6E3A1335"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44FFB7B6"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2137AAD8"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6FA1DF42"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2FFEC90F"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63%</w:t>
            </w:r>
          </w:p>
        </w:tc>
      </w:tr>
      <w:tr w:rsidR="0067156B" w:rsidRPr="00BA48F1" w14:paraId="1B07C882" w14:textId="77777777" w:rsidTr="0067156B">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C679DD0"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SWANSEA</w:t>
            </w:r>
          </w:p>
        </w:tc>
        <w:tc>
          <w:tcPr>
            <w:tcW w:w="0" w:type="auto"/>
            <w:tcBorders>
              <w:top w:val="nil"/>
              <w:left w:val="nil"/>
              <w:bottom w:val="single" w:sz="4" w:space="0" w:color="auto"/>
              <w:right w:val="single" w:sz="4" w:space="0" w:color="auto"/>
            </w:tcBorders>
            <w:shd w:val="clear" w:color="auto" w:fill="auto"/>
            <w:noWrap/>
            <w:vAlign w:val="bottom"/>
            <w:hideMark/>
          </w:tcPr>
          <w:p w14:paraId="5E1E27E0"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405</w:t>
            </w:r>
          </w:p>
        </w:tc>
        <w:tc>
          <w:tcPr>
            <w:tcW w:w="0" w:type="auto"/>
            <w:tcBorders>
              <w:top w:val="nil"/>
              <w:left w:val="nil"/>
              <w:bottom w:val="single" w:sz="4" w:space="0" w:color="auto"/>
              <w:right w:val="single" w:sz="4" w:space="0" w:color="auto"/>
            </w:tcBorders>
            <w:shd w:val="clear" w:color="auto" w:fill="auto"/>
            <w:noWrap/>
            <w:vAlign w:val="bottom"/>
            <w:hideMark/>
          </w:tcPr>
          <w:p w14:paraId="45ECAB32"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271</w:t>
            </w:r>
          </w:p>
        </w:tc>
        <w:tc>
          <w:tcPr>
            <w:tcW w:w="0" w:type="auto"/>
            <w:tcBorders>
              <w:top w:val="nil"/>
              <w:left w:val="nil"/>
              <w:bottom w:val="single" w:sz="4" w:space="0" w:color="auto"/>
              <w:right w:val="single" w:sz="4" w:space="0" w:color="auto"/>
            </w:tcBorders>
            <w:shd w:val="clear" w:color="auto" w:fill="auto"/>
            <w:noWrap/>
            <w:vAlign w:val="bottom"/>
            <w:hideMark/>
          </w:tcPr>
          <w:p w14:paraId="23706971"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67%</w:t>
            </w:r>
          </w:p>
        </w:tc>
        <w:tc>
          <w:tcPr>
            <w:tcW w:w="0" w:type="auto"/>
            <w:tcBorders>
              <w:top w:val="nil"/>
              <w:left w:val="nil"/>
              <w:bottom w:val="single" w:sz="4" w:space="0" w:color="auto"/>
              <w:right w:val="single" w:sz="4" w:space="0" w:color="auto"/>
            </w:tcBorders>
            <w:shd w:val="clear" w:color="auto" w:fill="auto"/>
            <w:noWrap/>
            <w:vAlign w:val="bottom"/>
            <w:hideMark/>
          </w:tcPr>
          <w:p w14:paraId="2A89EA72"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270</w:t>
            </w:r>
          </w:p>
        </w:tc>
        <w:tc>
          <w:tcPr>
            <w:tcW w:w="0" w:type="auto"/>
            <w:tcBorders>
              <w:top w:val="nil"/>
              <w:left w:val="nil"/>
              <w:bottom w:val="single" w:sz="4" w:space="0" w:color="auto"/>
              <w:right w:val="single" w:sz="4" w:space="0" w:color="auto"/>
            </w:tcBorders>
            <w:shd w:val="clear" w:color="auto" w:fill="auto"/>
            <w:noWrap/>
            <w:vAlign w:val="bottom"/>
            <w:hideMark/>
          </w:tcPr>
          <w:p w14:paraId="07F3DB74"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(99.6)</w:t>
            </w:r>
          </w:p>
        </w:tc>
        <w:tc>
          <w:tcPr>
            <w:tcW w:w="0" w:type="auto"/>
            <w:tcBorders>
              <w:top w:val="nil"/>
              <w:left w:val="nil"/>
              <w:bottom w:val="single" w:sz="4" w:space="0" w:color="auto"/>
              <w:right w:val="single" w:sz="4" w:space="0" w:color="auto"/>
            </w:tcBorders>
            <w:shd w:val="clear" w:color="auto" w:fill="auto"/>
            <w:noWrap/>
            <w:vAlign w:val="bottom"/>
            <w:hideMark/>
          </w:tcPr>
          <w:p w14:paraId="3136A1EC"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17EE97BB"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373F8EDE"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1C589B64"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0E4DFC69"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60D8FAA5"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7F14761C"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4F041F22"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6C2B4B11"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53EBC4B5"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16E64593"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53%</w:t>
            </w:r>
          </w:p>
        </w:tc>
      </w:tr>
      <w:tr w:rsidR="0067156B" w:rsidRPr="00BA48F1" w14:paraId="524523A2" w14:textId="77777777" w:rsidTr="0067156B">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4A3EE3C"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TAUNTON</w:t>
            </w:r>
          </w:p>
        </w:tc>
        <w:tc>
          <w:tcPr>
            <w:tcW w:w="0" w:type="auto"/>
            <w:tcBorders>
              <w:top w:val="nil"/>
              <w:left w:val="nil"/>
              <w:bottom w:val="single" w:sz="4" w:space="0" w:color="auto"/>
              <w:right w:val="single" w:sz="4" w:space="0" w:color="auto"/>
            </w:tcBorders>
            <w:shd w:val="clear" w:color="auto" w:fill="auto"/>
            <w:noWrap/>
            <w:vAlign w:val="bottom"/>
            <w:hideMark/>
          </w:tcPr>
          <w:p w14:paraId="6FF72074"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2,288</w:t>
            </w:r>
          </w:p>
        </w:tc>
        <w:tc>
          <w:tcPr>
            <w:tcW w:w="0" w:type="auto"/>
            <w:tcBorders>
              <w:top w:val="nil"/>
              <w:left w:val="nil"/>
              <w:bottom w:val="single" w:sz="4" w:space="0" w:color="auto"/>
              <w:right w:val="single" w:sz="4" w:space="0" w:color="auto"/>
            </w:tcBorders>
            <w:shd w:val="clear" w:color="auto" w:fill="auto"/>
            <w:noWrap/>
            <w:vAlign w:val="bottom"/>
            <w:hideMark/>
          </w:tcPr>
          <w:p w14:paraId="76A4E5DE"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1,521</w:t>
            </w:r>
          </w:p>
        </w:tc>
        <w:tc>
          <w:tcPr>
            <w:tcW w:w="0" w:type="auto"/>
            <w:tcBorders>
              <w:top w:val="nil"/>
              <w:left w:val="nil"/>
              <w:bottom w:val="single" w:sz="4" w:space="0" w:color="auto"/>
              <w:right w:val="single" w:sz="4" w:space="0" w:color="auto"/>
            </w:tcBorders>
            <w:shd w:val="clear" w:color="auto" w:fill="auto"/>
            <w:noWrap/>
            <w:vAlign w:val="bottom"/>
            <w:hideMark/>
          </w:tcPr>
          <w:p w14:paraId="2F136CDC"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66%</w:t>
            </w:r>
          </w:p>
        </w:tc>
        <w:tc>
          <w:tcPr>
            <w:tcW w:w="0" w:type="auto"/>
            <w:tcBorders>
              <w:top w:val="nil"/>
              <w:left w:val="nil"/>
              <w:bottom w:val="single" w:sz="4" w:space="0" w:color="auto"/>
              <w:right w:val="single" w:sz="4" w:space="0" w:color="auto"/>
            </w:tcBorders>
            <w:shd w:val="clear" w:color="auto" w:fill="auto"/>
            <w:noWrap/>
            <w:vAlign w:val="bottom"/>
            <w:hideMark/>
          </w:tcPr>
          <w:p w14:paraId="17440D77"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1,482</w:t>
            </w:r>
          </w:p>
        </w:tc>
        <w:tc>
          <w:tcPr>
            <w:tcW w:w="0" w:type="auto"/>
            <w:tcBorders>
              <w:top w:val="nil"/>
              <w:left w:val="nil"/>
              <w:bottom w:val="single" w:sz="4" w:space="0" w:color="auto"/>
              <w:right w:val="single" w:sz="4" w:space="0" w:color="auto"/>
            </w:tcBorders>
            <w:shd w:val="clear" w:color="auto" w:fill="auto"/>
            <w:noWrap/>
            <w:vAlign w:val="bottom"/>
            <w:hideMark/>
          </w:tcPr>
          <w:p w14:paraId="28C54408"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(97.4)</w:t>
            </w:r>
          </w:p>
        </w:tc>
        <w:tc>
          <w:tcPr>
            <w:tcW w:w="0" w:type="auto"/>
            <w:tcBorders>
              <w:top w:val="nil"/>
              <w:left w:val="nil"/>
              <w:bottom w:val="single" w:sz="4" w:space="0" w:color="auto"/>
              <w:right w:val="single" w:sz="4" w:space="0" w:color="auto"/>
            </w:tcBorders>
            <w:shd w:val="clear" w:color="auto" w:fill="auto"/>
            <w:noWrap/>
            <w:vAlign w:val="bottom"/>
            <w:hideMark/>
          </w:tcPr>
          <w:p w14:paraId="32CFAA6B"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33</w:t>
            </w:r>
          </w:p>
        </w:tc>
        <w:tc>
          <w:tcPr>
            <w:tcW w:w="0" w:type="auto"/>
            <w:tcBorders>
              <w:top w:val="nil"/>
              <w:left w:val="nil"/>
              <w:bottom w:val="single" w:sz="4" w:space="0" w:color="auto"/>
              <w:right w:val="single" w:sz="4" w:space="0" w:color="auto"/>
            </w:tcBorders>
            <w:shd w:val="clear" w:color="auto" w:fill="auto"/>
            <w:noWrap/>
            <w:vAlign w:val="bottom"/>
            <w:hideMark/>
          </w:tcPr>
          <w:p w14:paraId="63C99799"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(2.2)</w:t>
            </w:r>
          </w:p>
        </w:tc>
        <w:tc>
          <w:tcPr>
            <w:tcW w:w="0" w:type="auto"/>
            <w:tcBorders>
              <w:top w:val="nil"/>
              <w:left w:val="nil"/>
              <w:bottom w:val="single" w:sz="4" w:space="0" w:color="auto"/>
              <w:right w:val="single" w:sz="4" w:space="0" w:color="auto"/>
            </w:tcBorders>
            <w:shd w:val="clear" w:color="auto" w:fill="auto"/>
            <w:noWrap/>
            <w:vAlign w:val="bottom"/>
            <w:hideMark/>
          </w:tcPr>
          <w:p w14:paraId="47C9A26C"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5</w:t>
            </w:r>
          </w:p>
        </w:tc>
        <w:tc>
          <w:tcPr>
            <w:tcW w:w="0" w:type="auto"/>
            <w:tcBorders>
              <w:top w:val="nil"/>
              <w:left w:val="nil"/>
              <w:bottom w:val="single" w:sz="4" w:space="0" w:color="auto"/>
              <w:right w:val="single" w:sz="4" w:space="0" w:color="auto"/>
            </w:tcBorders>
            <w:shd w:val="clear" w:color="auto" w:fill="auto"/>
            <w:noWrap/>
            <w:vAlign w:val="bottom"/>
            <w:hideMark/>
          </w:tcPr>
          <w:p w14:paraId="1D68DAE9"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(0.3)</w:t>
            </w:r>
          </w:p>
        </w:tc>
        <w:tc>
          <w:tcPr>
            <w:tcW w:w="0" w:type="auto"/>
            <w:tcBorders>
              <w:top w:val="nil"/>
              <w:left w:val="nil"/>
              <w:bottom w:val="single" w:sz="4" w:space="0" w:color="auto"/>
              <w:right w:val="single" w:sz="4" w:space="0" w:color="auto"/>
            </w:tcBorders>
            <w:shd w:val="clear" w:color="auto" w:fill="auto"/>
            <w:noWrap/>
            <w:vAlign w:val="bottom"/>
            <w:hideMark/>
          </w:tcPr>
          <w:p w14:paraId="5AA2CFAB"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1</w:t>
            </w:r>
          </w:p>
        </w:tc>
        <w:tc>
          <w:tcPr>
            <w:tcW w:w="0" w:type="auto"/>
            <w:tcBorders>
              <w:top w:val="nil"/>
              <w:left w:val="nil"/>
              <w:bottom w:val="single" w:sz="4" w:space="0" w:color="auto"/>
              <w:right w:val="single" w:sz="4" w:space="0" w:color="auto"/>
            </w:tcBorders>
            <w:shd w:val="clear" w:color="auto" w:fill="auto"/>
            <w:noWrap/>
            <w:vAlign w:val="bottom"/>
            <w:hideMark/>
          </w:tcPr>
          <w:p w14:paraId="3305C7B6"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(0.1)</w:t>
            </w:r>
          </w:p>
        </w:tc>
        <w:tc>
          <w:tcPr>
            <w:tcW w:w="0" w:type="auto"/>
            <w:tcBorders>
              <w:top w:val="nil"/>
              <w:left w:val="nil"/>
              <w:bottom w:val="single" w:sz="4" w:space="0" w:color="auto"/>
              <w:right w:val="single" w:sz="4" w:space="0" w:color="auto"/>
            </w:tcBorders>
            <w:shd w:val="clear" w:color="auto" w:fill="auto"/>
            <w:noWrap/>
            <w:vAlign w:val="bottom"/>
            <w:hideMark/>
          </w:tcPr>
          <w:p w14:paraId="7FCB5CDE"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31</w:t>
            </w:r>
          </w:p>
        </w:tc>
        <w:tc>
          <w:tcPr>
            <w:tcW w:w="0" w:type="auto"/>
            <w:tcBorders>
              <w:top w:val="nil"/>
              <w:left w:val="nil"/>
              <w:bottom w:val="single" w:sz="4" w:space="0" w:color="auto"/>
              <w:right w:val="single" w:sz="4" w:space="0" w:color="auto"/>
            </w:tcBorders>
            <w:shd w:val="clear" w:color="auto" w:fill="auto"/>
            <w:noWrap/>
            <w:vAlign w:val="bottom"/>
            <w:hideMark/>
          </w:tcPr>
          <w:p w14:paraId="37B6A2FD"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(2.0)</w:t>
            </w:r>
          </w:p>
        </w:tc>
        <w:tc>
          <w:tcPr>
            <w:tcW w:w="0" w:type="auto"/>
            <w:tcBorders>
              <w:top w:val="nil"/>
              <w:left w:val="nil"/>
              <w:bottom w:val="single" w:sz="4" w:space="0" w:color="auto"/>
              <w:right w:val="single" w:sz="4" w:space="0" w:color="auto"/>
            </w:tcBorders>
            <w:shd w:val="clear" w:color="auto" w:fill="auto"/>
            <w:noWrap/>
            <w:vAlign w:val="bottom"/>
            <w:hideMark/>
          </w:tcPr>
          <w:p w14:paraId="7497A4F0"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5</w:t>
            </w:r>
          </w:p>
        </w:tc>
        <w:tc>
          <w:tcPr>
            <w:tcW w:w="0" w:type="auto"/>
            <w:tcBorders>
              <w:top w:val="nil"/>
              <w:left w:val="nil"/>
              <w:bottom w:val="single" w:sz="4" w:space="0" w:color="auto"/>
              <w:right w:val="single" w:sz="4" w:space="0" w:color="auto"/>
            </w:tcBorders>
            <w:shd w:val="clear" w:color="auto" w:fill="auto"/>
            <w:noWrap/>
            <w:vAlign w:val="bottom"/>
            <w:hideMark/>
          </w:tcPr>
          <w:p w14:paraId="789F9401"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(0.3)</w:t>
            </w:r>
          </w:p>
        </w:tc>
        <w:tc>
          <w:tcPr>
            <w:tcW w:w="0" w:type="auto"/>
            <w:tcBorders>
              <w:top w:val="nil"/>
              <w:left w:val="nil"/>
              <w:bottom w:val="single" w:sz="4" w:space="0" w:color="auto"/>
              <w:right w:val="single" w:sz="4" w:space="0" w:color="auto"/>
            </w:tcBorders>
            <w:shd w:val="clear" w:color="auto" w:fill="auto"/>
            <w:noWrap/>
            <w:vAlign w:val="bottom"/>
            <w:hideMark/>
          </w:tcPr>
          <w:p w14:paraId="1CFDDE48"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48%</w:t>
            </w:r>
          </w:p>
        </w:tc>
      </w:tr>
      <w:tr w:rsidR="0067156B" w:rsidRPr="00BA48F1" w14:paraId="4BB8D364" w14:textId="77777777" w:rsidTr="0067156B">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174CF86"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TEMPLETON</w:t>
            </w:r>
          </w:p>
        </w:tc>
        <w:tc>
          <w:tcPr>
            <w:tcW w:w="0" w:type="auto"/>
            <w:tcBorders>
              <w:top w:val="nil"/>
              <w:left w:val="nil"/>
              <w:bottom w:val="single" w:sz="4" w:space="0" w:color="auto"/>
              <w:right w:val="single" w:sz="4" w:space="0" w:color="auto"/>
            </w:tcBorders>
            <w:shd w:val="clear" w:color="auto" w:fill="auto"/>
            <w:noWrap/>
            <w:vAlign w:val="bottom"/>
            <w:hideMark/>
          </w:tcPr>
          <w:p w14:paraId="394A2112"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332</w:t>
            </w:r>
          </w:p>
        </w:tc>
        <w:tc>
          <w:tcPr>
            <w:tcW w:w="0" w:type="auto"/>
            <w:tcBorders>
              <w:top w:val="nil"/>
              <w:left w:val="nil"/>
              <w:bottom w:val="single" w:sz="4" w:space="0" w:color="auto"/>
              <w:right w:val="single" w:sz="4" w:space="0" w:color="auto"/>
            </w:tcBorders>
            <w:shd w:val="clear" w:color="auto" w:fill="auto"/>
            <w:noWrap/>
            <w:vAlign w:val="bottom"/>
            <w:hideMark/>
          </w:tcPr>
          <w:p w14:paraId="6BE37DC3"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135</w:t>
            </w:r>
          </w:p>
        </w:tc>
        <w:tc>
          <w:tcPr>
            <w:tcW w:w="0" w:type="auto"/>
            <w:tcBorders>
              <w:top w:val="nil"/>
              <w:left w:val="nil"/>
              <w:bottom w:val="single" w:sz="4" w:space="0" w:color="auto"/>
              <w:right w:val="single" w:sz="4" w:space="0" w:color="auto"/>
            </w:tcBorders>
            <w:shd w:val="clear" w:color="auto" w:fill="auto"/>
            <w:noWrap/>
            <w:vAlign w:val="bottom"/>
            <w:hideMark/>
          </w:tcPr>
          <w:p w14:paraId="115C93F5"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41%</w:t>
            </w:r>
          </w:p>
        </w:tc>
        <w:tc>
          <w:tcPr>
            <w:tcW w:w="0" w:type="auto"/>
            <w:tcBorders>
              <w:top w:val="nil"/>
              <w:left w:val="nil"/>
              <w:bottom w:val="single" w:sz="4" w:space="0" w:color="auto"/>
              <w:right w:val="single" w:sz="4" w:space="0" w:color="auto"/>
            </w:tcBorders>
            <w:shd w:val="clear" w:color="auto" w:fill="auto"/>
            <w:noWrap/>
            <w:vAlign w:val="bottom"/>
            <w:hideMark/>
          </w:tcPr>
          <w:p w14:paraId="27A4EA0F"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132</w:t>
            </w:r>
          </w:p>
        </w:tc>
        <w:tc>
          <w:tcPr>
            <w:tcW w:w="0" w:type="auto"/>
            <w:tcBorders>
              <w:top w:val="nil"/>
              <w:left w:val="nil"/>
              <w:bottom w:val="single" w:sz="4" w:space="0" w:color="auto"/>
              <w:right w:val="single" w:sz="4" w:space="0" w:color="auto"/>
            </w:tcBorders>
            <w:shd w:val="clear" w:color="auto" w:fill="auto"/>
            <w:noWrap/>
            <w:vAlign w:val="bottom"/>
            <w:hideMark/>
          </w:tcPr>
          <w:p w14:paraId="7CB402EF"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(97.8)</w:t>
            </w:r>
          </w:p>
        </w:tc>
        <w:tc>
          <w:tcPr>
            <w:tcW w:w="0" w:type="auto"/>
            <w:tcBorders>
              <w:top w:val="nil"/>
              <w:left w:val="nil"/>
              <w:bottom w:val="single" w:sz="4" w:space="0" w:color="auto"/>
              <w:right w:val="single" w:sz="4" w:space="0" w:color="auto"/>
            </w:tcBorders>
            <w:shd w:val="clear" w:color="auto" w:fill="auto"/>
            <w:noWrap/>
            <w:vAlign w:val="bottom"/>
            <w:hideMark/>
          </w:tcPr>
          <w:p w14:paraId="20E18196"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06352D97"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4122A204"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68AE5B14"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03E8F020"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1A50B7A5"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25A1FB60"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523561D3"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64F6AE39"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6686A0FD"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55DAF368"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54%</w:t>
            </w:r>
          </w:p>
        </w:tc>
      </w:tr>
      <w:tr w:rsidR="0067156B" w:rsidRPr="00BA48F1" w14:paraId="77D7B0D7" w14:textId="77777777" w:rsidTr="0067156B">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C9291C7"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TEWKSBURY</w:t>
            </w:r>
          </w:p>
        </w:tc>
        <w:tc>
          <w:tcPr>
            <w:tcW w:w="0" w:type="auto"/>
            <w:tcBorders>
              <w:top w:val="nil"/>
              <w:left w:val="nil"/>
              <w:bottom w:val="single" w:sz="4" w:space="0" w:color="auto"/>
              <w:right w:val="single" w:sz="4" w:space="0" w:color="auto"/>
            </w:tcBorders>
            <w:shd w:val="clear" w:color="auto" w:fill="auto"/>
            <w:noWrap/>
            <w:vAlign w:val="bottom"/>
            <w:hideMark/>
          </w:tcPr>
          <w:p w14:paraId="6DEF28BA"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999</w:t>
            </w:r>
          </w:p>
        </w:tc>
        <w:tc>
          <w:tcPr>
            <w:tcW w:w="0" w:type="auto"/>
            <w:tcBorders>
              <w:top w:val="nil"/>
              <w:left w:val="nil"/>
              <w:bottom w:val="single" w:sz="4" w:space="0" w:color="auto"/>
              <w:right w:val="single" w:sz="4" w:space="0" w:color="auto"/>
            </w:tcBorders>
            <w:shd w:val="clear" w:color="auto" w:fill="auto"/>
            <w:noWrap/>
            <w:vAlign w:val="bottom"/>
            <w:hideMark/>
          </w:tcPr>
          <w:p w14:paraId="0AFA5292"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627</w:t>
            </w:r>
          </w:p>
        </w:tc>
        <w:tc>
          <w:tcPr>
            <w:tcW w:w="0" w:type="auto"/>
            <w:tcBorders>
              <w:top w:val="nil"/>
              <w:left w:val="nil"/>
              <w:bottom w:val="single" w:sz="4" w:space="0" w:color="auto"/>
              <w:right w:val="single" w:sz="4" w:space="0" w:color="auto"/>
            </w:tcBorders>
            <w:shd w:val="clear" w:color="auto" w:fill="auto"/>
            <w:noWrap/>
            <w:vAlign w:val="bottom"/>
            <w:hideMark/>
          </w:tcPr>
          <w:p w14:paraId="403E6D33"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63%</w:t>
            </w:r>
          </w:p>
        </w:tc>
        <w:tc>
          <w:tcPr>
            <w:tcW w:w="0" w:type="auto"/>
            <w:tcBorders>
              <w:top w:val="nil"/>
              <w:left w:val="nil"/>
              <w:bottom w:val="single" w:sz="4" w:space="0" w:color="auto"/>
              <w:right w:val="single" w:sz="4" w:space="0" w:color="auto"/>
            </w:tcBorders>
            <w:shd w:val="clear" w:color="auto" w:fill="auto"/>
            <w:noWrap/>
            <w:vAlign w:val="bottom"/>
            <w:hideMark/>
          </w:tcPr>
          <w:p w14:paraId="35F02647"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627</w:t>
            </w:r>
          </w:p>
        </w:tc>
        <w:tc>
          <w:tcPr>
            <w:tcW w:w="0" w:type="auto"/>
            <w:tcBorders>
              <w:top w:val="nil"/>
              <w:left w:val="nil"/>
              <w:bottom w:val="single" w:sz="4" w:space="0" w:color="auto"/>
              <w:right w:val="single" w:sz="4" w:space="0" w:color="auto"/>
            </w:tcBorders>
            <w:shd w:val="clear" w:color="auto" w:fill="auto"/>
            <w:noWrap/>
            <w:vAlign w:val="bottom"/>
            <w:hideMark/>
          </w:tcPr>
          <w:p w14:paraId="58F94915"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(100.0)</w:t>
            </w:r>
          </w:p>
        </w:tc>
        <w:tc>
          <w:tcPr>
            <w:tcW w:w="0" w:type="auto"/>
            <w:tcBorders>
              <w:top w:val="nil"/>
              <w:left w:val="nil"/>
              <w:bottom w:val="single" w:sz="4" w:space="0" w:color="auto"/>
              <w:right w:val="single" w:sz="4" w:space="0" w:color="auto"/>
            </w:tcBorders>
            <w:shd w:val="clear" w:color="auto" w:fill="auto"/>
            <w:noWrap/>
            <w:vAlign w:val="bottom"/>
            <w:hideMark/>
          </w:tcPr>
          <w:p w14:paraId="6E759BEB"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30EB78CA"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54859EF2"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252F8148"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2A7F790E"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7753D604"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66463FAD"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3005C32A"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681CEAA3"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38625AE3"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304590FB"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47%</w:t>
            </w:r>
          </w:p>
        </w:tc>
      </w:tr>
      <w:tr w:rsidR="0067156B" w:rsidRPr="00BA48F1" w14:paraId="3D12D93B" w14:textId="77777777" w:rsidTr="005E6FB1">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8A82922"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TISBURY</w:t>
            </w:r>
          </w:p>
        </w:tc>
        <w:tc>
          <w:tcPr>
            <w:tcW w:w="0" w:type="auto"/>
            <w:tcBorders>
              <w:top w:val="nil"/>
              <w:left w:val="nil"/>
              <w:bottom w:val="single" w:sz="4" w:space="0" w:color="auto"/>
              <w:right w:val="single" w:sz="4" w:space="0" w:color="auto"/>
            </w:tcBorders>
            <w:shd w:val="clear" w:color="auto" w:fill="auto"/>
            <w:noWrap/>
            <w:vAlign w:val="bottom"/>
            <w:hideMark/>
          </w:tcPr>
          <w:p w14:paraId="563ECF19"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146</w:t>
            </w:r>
          </w:p>
        </w:tc>
        <w:tc>
          <w:tcPr>
            <w:tcW w:w="0" w:type="auto"/>
            <w:tcBorders>
              <w:top w:val="nil"/>
              <w:left w:val="nil"/>
              <w:bottom w:val="single" w:sz="4" w:space="0" w:color="auto"/>
              <w:right w:val="single" w:sz="4" w:space="0" w:color="auto"/>
            </w:tcBorders>
            <w:shd w:val="clear" w:color="auto" w:fill="auto"/>
            <w:noWrap/>
            <w:vAlign w:val="bottom"/>
            <w:hideMark/>
          </w:tcPr>
          <w:p w14:paraId="429BD271"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96</w:t>
            </w:r>
          </w:p>
        </w:tc>
        <w:tc>
          <w:tcPr>
            <w:tcW w:w="0" w:type="auto"/>
            <w:tcBorders>
              <w:top w:val="nil"/>
              <w:left w:val="nil"/>
              <w:bottom w:val="single" w:sz="4" w:space="0" w:color="auto"/>
              <w:right w:val="single" w:sz="4" w:space="0" w:color="auto"/>
            </w:tcBorders>
            <w:shd w:val="clear" w:color="auto" w:fill="auto"/>
            <w:noWrap/>
            <w:vAlign w:val="bottom"/>
            <w:hideMark/>
          </w:tcPr>
          <w:p w14:paraId="6EE50327"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66%</w:t>
            </w:r>
          </w:p>
        </w:tc>
        <w:tc>
          <w:tcPr>
            <w:tcW w:w="0" w:type="auto"/>
            <w:tcBorders>
              <w:top w:val="nil"/>
              <w:left w:val="nil"/>
              <w:bottom w:val="single" w:sz="4" w:space="0" w:color="auto"/>
              <w:right w:val="single" w:sz="4" w:space="0" w:color="auto"/>
            </w:tcBorders>
            <w:shd w:val="clear" w:color="auto" w:fill="auto"/>
            <w:noWrap/>
            <w:vAlign w:val="bottom"/>
            <w:hideMark/>
          </w:tcPr>
          <w:p w14:paraId="62B6E1A8"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94</w:t>
            </w:r>
          </w:p>
        </w:tc>
        <w:tc>
          <w:tcPr>
            <w:tcW w:w="0" w:type="auto"/>
            <w:tcBorders>
              <w:top w:val="nil"/>
              <w:left w:val="nil"/>
              <w:bottom w:val="single" w:sz="4" w:space="0" w:color="auto"/>
              <w:right w:val="single" w:sz="4" w:space="0" w:color="auto"/>
            </w:tcBorders>
            <w:shd w:val="clear" w:color="auto" w:fill="auto"/>
            <w:noWrap/>
            <w:vAlign w:val="bottom"/>
            <w:hideMark/>
          </w:tcPr>
          <w:p w14:paraId="1CFBD8DA"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(97.9)</w:t>
            </w:r>
          </w:p>
        </w:tc>
        <w:tc>
          <w:tcPr>
            <w:tcW w:w="0" w:type="auto"/>
            <w:tcBorders>
              <w:top w:val="nil"/>
              <w:left w:val="nil"/>
              <w:bottom w:val="single" w:sz="4" w:space="0" w:color="auto"/>
              <w:right w:val="single" w:sz="4" w:space="0" w:color="auto"/>
            </w:tcBorders>
            <w:shd w:val="clear" w:color="auto" w:fill="auto"/>
            <w:noWrap/>
            <w:vAlign w:val="bottom"/>
            <w:hideMark/>
          </w:tcPr>
          <w:p w14:paraId="04BAEF7A"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1281CB5A"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1862FFBC"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28F98014"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06B33C43"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251B8446"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2BAE322B"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54C77310"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029605AE"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5064A805"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408EB06B"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68%</w:t>
            </w:r>
          </w:p>
        </w:tc>
      </w:tr>
      <w:tr w:rsidR="0067156B" w:rsidRPr="00BA48F1" w14:paraId="184A5227" w14:textId="77777777" w:rsidTr="005E6FB1">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24768A"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TOLLAND</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6CE45842"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14</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0F1ACACC"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1</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11E2C077"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7%</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42FE4C3A"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30BF3359"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3221B4D9"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5223C8AA"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41D607CF"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4AF6792C"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6C93792E"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709CBEA3"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484A66D4"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6957B758"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65218D1F"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532FDC84"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6E2B9043"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60%</w:t>
            </w:r>
          </w:p>
        </w:tc>
      </w:tr>
      <w:tr w:rsidR="0067156B" w:rsidRPr="00BA48F1" w14:paraId="70E38469" w14:textId="77777777" w:rsidTr="005E6FB1">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3E66B9"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TOPSFIELD</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52F7CF20"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138</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07D1EBA6"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133</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1B49FDCC"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96%</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009A4152"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132</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38C8A1D5"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(99.2)</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03F54751"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73BDB2AF"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4F7CCF9F"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0235DDE8"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678ECA45"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6BF2B3B9"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58E5BE4F"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00C2D184"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4CEC6F3F"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2574A9DE"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07A570C2"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57%</w:t>
            </w:r>
          </w:p>
        </w:tc>
      </w:tr>
      <w:tr w:rsidR="0067156B" w:rsidRPr="00BA48F1" w14:paraId="2AF3C9DA" w14:textId="77777777" w:rsidTr="0067156B">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5BAA5A"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lastRenderedPageBreak/>
              <w:t>TOWNSEND</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4EA3226D"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281</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636C805E"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204</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54858F02"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73%</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22CC190B"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200</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0AE98242"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(98.0)</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3B36C77D"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3F8FD203"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0B78A17F"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2DD847E6"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5D4B1653"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24A44AD7"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4DD7E808"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6EED5125"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214EFB45"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6E0A3F3C"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1A28D158"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29%</w:t>
            </w:r>
          </w:p>
        </w:tc>
      </w:tr>
      <w:tr w:rsidR="0067156B" w:rsidRPr="00BA48F1" w14:paraId="60856FDC" w14:textId="77777777" w:rsidTr="0067156B">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5938277"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TRURO</w:t>
            </w:r>
          </w:p>
        </w:tc>
        <w:tc>
          <w:tcPr>
            <w:tcW w:w="0" w:type="auto"/>
            <w:tcBorders>
              <w:top w:val="nil"/>
              <w:left w:val="nil"/>
              <w:bottom w:val="single" w:sz="4" w:space="0" w:color="auto"/>
              <w:right w:val="single" w:sz="4" w:space="0" w:color="auto"/>
            </w:tcBorders>
            <w:shd w:val="clear" w:color="auto" w:fill="auto"/>
            <w:noWrap/>
            <w:vAlign w:val="bottom"/>
            <w:hideMark/>
          </w:tcPr>
          <w:p w14:paraId="6700FA00"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25</w:t>
            </w:r>
          </w:p>
        </w:tc>
        <w:tc>
          <w:tcPr>
            <w:tcW w:w="0" w:type="auto"/>
            <w:tcBorders>
              <w:top w:val="nil"/>
              <w:left w:val="nil"/>
              <w:bottom w:val="single" w:sz="4" w:space="0" w:color="auto"/>
              <w:right w:val="single" w:sz="4" w:space="0" w:color="auto"/>
            </w:tcBorders>
            <w:shd w:val="clear" w:color="auto" w:fill="auto"/>
            <w:noWrap/>
            <w:vAlign w:val="bottom"/>
            <w:hideMark/>
          </w:tcPr>
          <w:p w14:paraId="2B83CBFC"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10</w:t>
            </w:r>
          </w:p>
        </w:tc>
        <w:tc>
          <w:tcPr>
            <w:tcW w:w="0" w:type="auto"/>
            <w:tcBorders>
              <w:top w:val="nil"/>
              <w:left w:val="nil"/>
              <w:bottom w:val="single" w:sz="4" w:space="0" w:color="auto"/>
              <w:right w:val="single" w:sz="4" w:space="0" w:color="auto"/>
            </w:tcBorders>
            <w:shd w:val="clear" w:color="auto" w:fill="auto"/>
            <w:noWrap/>
            <w:vAlign w:val="bottom"/>
            <w:hideMark/>
          </w:tcPr>
          <w:p w14:paraId="7A35514B"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40%</w:t>
            </w:r>
          </w:p>
        </w:tc>
        <w:tc>
          <w:tcPr>
            <w:tcW w:w="0" w:type="auto"/>
            <w:tcBorders>
              <w:top w:val="nil"/>
              <w:left w:val="nil"/>
              <w:bottom w:val="single" w:sz="4" w:space="0" w:color="auto"/>
              <w:right w:val="single" w:sz="4" w:space="0" w:color="auto"/>
            </w:tcBorders>
            <w:shd w:val="clear" w:color="auto" w:fill="auto"/>
            <w:noWrap/>
            <w:vAlign w:val="bottom"/>
            <w:hideMark/>
          </w:tcPr>
          <w:p w14:paraId="6A7CA6C6"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10</w:t>
            </w:r>
          </w:p>
        </w:tc>
        <w:tc>
          <w:tcPr>
            <w:tcW w:w="0" w:type="auto"/>
            <w:tcBorders>
              <w:top w:val="nil"/>
              <w:left w:val="nil"/>
              <w:bottom w:val="single" w:sz="4" w:space="0" w:color="auto"/>
              <w:right w:val="single" w:sz="4" w:space="0" w:color="auto"/>
            </w:tcBorders>
            <w:shd w:val="clear" w:color="auto" w:fill="auto"/>
            <w:noWrap/>
            <w:vAlign w:val="bottom"/>
            <w:hideMark/>
          </w:tcPr>
          <w:p w14:paraId="4B16F5F0"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(100.0)</w:t>
            </w:r>
          </w:p>
        </w:tc>
        <w:tc>
          <w:tcPr>
            <w:tcW w:w="0" w:type="auto"/>
            <w:tcBorders>
              <w:top w:val="nil"/>
              <w:left w:val="nil"/>
              <w:bottom w:val="single" w:sz="4" w:space="0" w:color="auto"/>
              <w:right w:val="single" w:sz="4" w:space="0" w:color="auto"/>
            </w:tcBorders>
            <w:shd w:val="clear" w:color="auto" w:fill="auto"/>
            <w:noWrap/>
            <w:vAlign w:val="bottom"/>
            <w:hideMark/>
          </w:tcPr>
          <w:p w14:paraId="4AE5C344"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6B80E1B1"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4A5F22E9"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3ECB15CB"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100FDBB9"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4B6D0CEA"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31955C81"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4A0A7F21"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0FBBECA8"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3772B070"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45E7967F"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61%</w:t>
            </w:r>
          </w:p>
        </w:tc>
      </w:tr>
      <w:tr w:rsidR="0067156B" w:rsidRPr="00BA48F1" w14:paraId="5F42EA0E" w14:textId="77777777" w:rsidTr="0067156B">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A213012"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TYNGSBOROUGH</w:t>
            </w:r>
          </w:p>
        </w:tc>
        <w:tc>
          <w:tcPr>
            <w:tcW w:w="0" w:type="auto"/>
            <w:tcBorders>
              <w:top w:val="nil"/>
              <w:left w:val="nil"/>
              <w:bottom w:val="single" w:sz="4" w:space="0" w:color="auto"/>
              <w:right w:val="single" w:sz="4" w:space="0" w:color="auto"/>
            </w:tcBorders>
            <w:shd w:val="clear" w:color="auto" w:fill="auto"/>
            <w:noWrap/>
            <w:vAlign w:val="bottom"/>
            <w:hideMark/>
          </w:tcPr>
          <w:p w14:paraId="663E2AFB"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359</w:t>
            </w:r>
          </w:p>
        </w:tc>
        <w:tc>
          <w:tcPr>
            <w:tcW w:w="0" w:type="auto"/>
            <w:tcBorders>
              <w:top w:val="nil"/>
              <w:left w:val="nil"/>
              <w:bottom w:val="single" w:sz="4" w:space="0" w:color="auto"/>
              <w:right w:val="single" w:sz="4" w:space="0" w:color="auto"/>
            </w:tcBorders>
            <w:shd w:val="clear" w:color="auto" w:fill="auto"/>
            <w:noWrap/>
            <w:vAlign w:val="bottom"/>
            <w:hideMark/>
          </w:tcPr>
          <w:p w14:paraId="7A03D68B"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247</w:t>
            </w:r>
          </w:p>
        </w:tc>
        <w:tc>
          <w:tcPr>
            <w:tcW w:w="0" w:type="auto"/>
            <w:tcBorders>
              <w:top w:val="nil"/>
              <w:left w:val="nil"/>
              <w:bottom w:val="single" w:sz="4" w:space="0" w:color="auto"/>
              <w:right w:val="single" w:sz="4" w:space="0" w:color="auto"/>
            </w:tcBorders>
            <w:shd w:val="clear" w:color="auto" w:fill="auto"/>
            <w:noWrap/>
            <w:vAlign w:val="bottom"/>
            <w:hideMark/>
          </w:tcPr>
          <w:p w14:paraId="004A79E7"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69%</w:t>
            </w:r>
          </w:p>
        </w:tc>
        <w:tc>
          <w:tcPr>
            <w:tcW w:w="0" w:type="auto"/>
            <w:tcBorders>
              <w:top w:val="nil"/>
              <w:left w:val="nil"/>
              <w:bottom w:val="single" w:sz="4" w:space="0" w:color="auto"/>
              <w:right w:val="single" w:sz="4" w:space="0" w:color="auto"/>
            </w:tcBorders>
            <w:shd w:val="clear" w:color="auto" w:fill="auto"/>
            <w:noWrap/>
            <w:vAlign w:val="bottom"/>
            <w:hideMark/>
          </w:tcPr>
          <w:p w14:paraId="44333982"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244</w:t>
            </w:r>
          </w:p>
        </w:tc>
        <w:tc>
          <w:tcPr>
            <w:tcW w:w="0" w:type="auto"/>
            <w:tcBorders>
              <w:top w:val="nil"/>
              <w:left w:val="nil"/>
              <w:bottom w:val="single" w:sz="4" w:space="0" w:color="auto"/>
              <w:right w:val="single" w:sz="4" w:space="0" w:color="auto"/>
            </w:tcBorders>
            <w:shd w:val="clear" w:color="auto" w:fill="auto"/>
            <w:noWrap/>
            <w:vAlign w:val="bottom"/>
            <w:hideMark/>
          </w:tcPr>
          <w:p w14:paraId="7C31F89B"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(98.8)</w:t>
            </w:r>
          </w:p>
        </w:tc>
        <w:tc>
          <w:tcPr>
            <w:tcW w:w="0" w:type="auto"/>
            <w:tcBorders>
              <w:top w:val="nil"/>
              <w:left w:val="nil"/>
              <w:bottom w:val="single" w:sz="4" w:space="0" w:color="auto"/>
              <w:right w:val="single" w:sz="4" w:space="0" w:color="auto"/>
            </w:tcBorders>
            <w:shd w:val="clear" w:color="auto" w:fill="auto"/>
            <w:noWrap/>
            <w:vAlign w:val="bottom"/>
            <w:hideMark/>
          </w:tcPr>
          <w:p w14:paraId="241B4C5E"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464D87F1"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27650191"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68F9E96C"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567CB497"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0928F554"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03583D49"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6B33BB9C"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3AB14250"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3D49CD9B"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53618547"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58%</w:t>
            </w:r>
          </w:p>
        </w:tc>
      </w:tr>
      <w:tr w:rsidR="0067156B" w:rsidRPr="00BA48F1" w14:paraId="43A20AA8" w14:textId="77777777" w:rsidTr="0067156B">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519FF31"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TYRINGHAM</w:t>
            </w:r>
          </w:p>
        </w:tc>
        <w:tc>
          <w:tcPr>
            <w:tcW w:w="0" w:type="auto"/>
            <w:tcBorders>
              <w:top w:val="nil"/>
              <w:left w:val="nil"/>
              <w:bottom w:val="single" w:sz="4" w:space="0" w:color="auto"/>
              <w:right w:val="single" w:sz="4" w:space="0" w:color="auto"/>
            </w:tcBorders>
            <w:shd w:val="clear" w:color="auto" w:fill="auto"/>
            <w:noWrap/>
            <w:vAlign w:val="bottom"/>
            <w:hideMark/>
          </w:tcPr>
          <w:p w14:paraId="715FC80D"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2</w:t>
            </w:r>
          </w:p>
        </w:tc>
        <w:tc>
          <w:tcPr>
            <w:tcW w:w="0" w:type="auto"/>
            <w:tcBorders>
              <w:top w:val="nil"/>
              <w:left w:val="nil"/>
              <w:bottom w:val="single" w:sz="4" w:space="0" w:color="auto"/>
              <w:right w:val="single" w:sz="4" w:space="0" w:color="auto"/>
            </w:tcBorders>
            <w:shd w:val="clear" w:color="auto" w:fill="auto"/>
            <w:noWrap/>
            <w:vAlign w:val="bottom"/>
            <w:hideMark/>
          </w:tcPr>
          <w:p w14:paraId="028A7EFB"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3</w:t>
            </w:r>
          </w:p>
        </w:tc>
        <w:tc>
          <w:tcPr>
            <w:tcW w:w="0" w:type="auto"/>
            <w:tcBorders>
              <w:top w:val="nil"/>
              <w:left w:val="nil"/>
              <w:bottom w:val="single" w:sz="4" w:space="0" w:color="auto"/>
              <w:right w:val="single" w:sz="4" w:space="0" w:color="auto"/>
            </w:tcBorders>
            <w:shd w:val="clear" w:color="auto" w:fill="auto"/>
            <w:noWrap/>
            <w:vAlign w:val="bottom"/>
            <w:hideMark/>
          </w:tcPr>
          <w:p w14:paraId="16361829"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&gt;99%</w:t>
            </w:r>
          </w:p>
        </w:tc>
        <w:tc>
          <w:tcPr>
            <w:tcW w:w="0" w:type="auto"/>
            <w:tcBorders>
              <w:top w:val="nil"/>
              <w:left w:val="nil"/>
              <w:bottom w:val="single" w:sz="4" w:space="0" w:color="auto"/>
              <w:right w:val="single" w:sz="4" w:space="0" w:color="auto"/>
            </w:tcBorders>
            <w:shd w:val="clear" w:color="auto" w:fill="auto"/>
            <w:noWrap/>
            <w:vAlign w:val="bottom"/>
            <w:hideMark/>
          </w:tcPr>
          <w:p w14:paraId="3449A07C"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079E7963"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65A37140"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4A3C9D7C"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127273D8"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4BD2D81F"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72B9EF01"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62130015"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0DF71640"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5B1D48F3"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0D8478DC"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2E1D3696"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31C3E7D8"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87%</w:t>
            </w:r>
          </w:p>
        </w:tc>
      </w:tr>
      <w:tr w:rsidR="0067156B" w:rsidRPr="00BA48F1" w14:paraId="4887ACED" w14:textId="77777777" w:rsidTr="0067156B">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A7FA9EC"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UPTON</w:t>
            </w:r>
          </w:p>
        </w:tc>
        <w:tc>
          <w:tcPr>
            <w:tcW w:w="0" w:type="auto"/>
            <w:tcBorders>
              <w:top w:val="nil"/>
              <w:left w:val="nil"/>
              <w:bottom w:val="single" w:sz="4" w:space="0" w:color="auto"/>
              <w:right w:val="single" w:sz="4" w:space="0" w:color="auto"/>
            </w:tcBorders>
            <w:shd w:val="clear" w:color="auto" w:fill="auto"/>
            <w:noWrap/>
            <w:vAlign w:val="bottom"/>
            <w:hideMark/>
          </w:tcPr>
          <w:p w14:paraId="4EA682DF"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289</w:t>
            </w:r>
          </w:p>
        </w:tc>
        <w:tc>
          <w:tcPr>
            <w:tcW w:w="0" w:type="auto"/>
            <w:tcBorders>
              <w:top w:val="nil"/>
              <w:left w:val="nil"/>
              <w:bottom w:val="single" w:sz="4" w:space="0" w:color="auto"/>
              <w:right w:val="single" w:sz="4" w:space="0" w:color="auto"/>
            </w:tcBorders>
            <w:shd w:val="clear" w:color="auto" w:fill="auto"/>
            <w:noWrap/>
            <w:vAlign w:val="bottom"/>
            <w:hideMark/>
          </w:tcPr>
          <w:p w14:paraId="64F7916E"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185</w:t>
            </w:r>
          </w:p>
        </w:tc>
        <w:tc>
          <w:tcPr>
            <w:tcW w:w="0" w:type="auto"/>
            <w:tcBorders>
              <w:top w:val="nil"/>
              <w:left w:val="nil"/>
              <w:bottom w:val="single" w:sz="4" w:space="0" w:color="auto"/>
              <w:right w:val="single" w:sz="4" w:space="0" w:color="auto"/>
            </w:tcBorders>
            <w:shd w:val="clear" w:color="auto" w:fill="auto"/>
            <w:noWrap/>
            <w:vAlign w:val="bottom"/>
            <w:hideMark/>
          </w:tcPr>
          <w:p w14:paraId="089322CC"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64%</w:t>
            </w:r>
          </w:p>
        </w:tc>
        <w:tc>
          <w:tcPr>
            <w:tcW w:w="0" w:type="auto"/>
            <w:tcBorders>
              <w:top w:val="nil"/>
              <w:left w:val="nil"/>
              <w:bottom w:val="single" w:sz="4" w:space="0" w:color="auto"/>
              <w:right w:val="single" w:sz="4" w:space="0" w:color="auto"/>
            </w:tcBorders>
            <w:shd w:val="clear" w:color="auto" w:fill="auto"/>
            <w:noWrap/>
            <w:vAlign w:val="bottom"/>
            <w:hideMark/>
          </w:tcPr>
          <w:p w14:paraId="0FAAACED"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185</w:t>
            </w:r>
          </w:p>
        </w:tc>
        <w:tc>
          <w:tcPr>
            <w:tcW w:w="0" w:type="auto"/>
            <w:tcBorders>
              <w:top w:val="nil"/>
              <w:left w:val="nil"/>
              <w:bottom w:val="single" w:sz="4" w:space="0" w:color="auto"/>
              <w:right w:val="single" w:sz="4" w:space="0" w:color="auto"/>
            </w:tcBorders>
            <w:shd w:val="clear" w:color="auto" w:fill="auto"/>
            <w:noWrap/>
            <w:vAlign w:val="bottom"/>
            <w:hideMark/>
          </w:tcPr>
          <w:p w14:paraId="21B8B825"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(100.0)</w:t>
            </w:r>
          </w:p>
        </w:tc>
        <w:tc>
          <w:tcPr>
            <w:tcW w:w="0" w:type="auto"/>
            <w:tcBorders>
              <w:top w:val="nil"/>
              <w:left w:val="nil"/>
              <w:bottom w:val="single" w:sz="4" w:space="0" w:color="auto"/>
              <w:right w:val="single" w:sz="4" w:space="0" w:color="auto"/>
            </w:tcBorders>
            <w:shd w:val="clear" w:color="auto" w:fill="auto"/>
            <w:noWrap/>
            <w:vAlign w:val="bottom"/>
            <w:hideMark/>
          </w:tcPr>
          <w:p w14:paraId="467D382F"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4CE14D9F"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7A6BB1D6"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10926039"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5A821963"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4C14CB06"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54BD79C6"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03F57D8C"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7BDE0473"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0F5DB082"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1849211A"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75%</w:t>
            </w:r>
          </w:p>
        </w:tc>
      </w:tr>
      <w:tr w:rsidR="0067156B" w:rsidRPr="00BA48F1" w14:paraId="6BE3B526" w14:textId="77777777" w:rsidTr="0067156B">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801C8B5"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UXBRIDGE</w:t>
            </w:r>
          </w:p>
        </w:tc>
        <w:tc>
          <w:tcPr>
            <w:tcW w:w="0" w:type="auto"/>
            <w:tcBorders>
              <w:top w:val="nil"/>
              <w:left w:val="nil"/>
              <w:bottom w:val="single" w:sz="4" w:space="0" w:color="auto"/>
              <w:right w:val="single" w:sz="4" w:space="0" w:color="auto"/>
            </w:tcBorders>
            <w:shd w:val="clear" w:color="auto" w:fill="auto"/>
            <w:noWrap/>
            <w:vAlign w:val="bottom"/>
            <w:hideMark/>
          </w:tcPr>
          <w:p w14:paraId="177D7B9B"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505</w:t>
            </w:r>
          </w:p>
        </w:tc>
        <w:tc>
          <w:tcPr>
            <w:tcW w:w="0" w:type="auto"/>
            <w:tcBorders>
              <w:top w:val="nil"/>
              <w:left w:val="nil"/>
              <w:bottom w:val="single" w:sz="4" w:space="0" w:color="auto"/>
              <w:right w:val="single" w:sz="4" w:space="0" w:color="auto"/>
            </w:tcBorders>
            <w:shd w:val="clear" w:color="auto" w:fill="auto"/>
            <w:noWrap/>
            <w:vAlign w:val="bottom"/>
            <w:hideMark/>
          </w:tcPr>
          <w:p w14:paraId="43FBB775"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202</w:t>
            </w:r>
          </w:p>
        </w:tc>
        <w:tc>
          <w:tcPr>
            <w:tcW w:w="0" w:type="auto"/>
            <w:tcBorders>
              <w:top w:val="nil"/>
              <w:left w:val="nil"/>
              <w:bottom w:val="single" w:sz="4" w:space="0" w:color="auto"/>
              <w:right w:val="single" w:sz="4" w:space="0" w:color="auto"/>
            </w:tcBorders>
            <w:shd w:val="clear" w:color="auto" w:fill="auto"/>
            <w:noWrap/>
            <w:vAlign w:val="bottom"/>
            <w:hideMark/>
          </w:tcPr>
          <w:p w14:paraId="2AB9EEA7"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40%</w:t>
            </w:r>
          </w:p>
        </w:tc>
        <w:tc>
          <w:tcPr>
            <w:tcW w:w="0" w:type="auto"/>
            <w:tcBorders>
              <w:top w:val="nil"/>
              <w:left w:val="nil"/>
              <w:bottom w:val="single" w:sz="4" w:space="0" w:color="auto"/>
              <w:right w:val="single" w:sz="4" w:space="0" w:color="auto"/>
            </w:tcBorders>
            <w:shd w:val="clear" w:color="auto" w:fill="auto"/>
            <w:noWrap/>
            <w:vAlign w:val="bottom"/>
            <w:hideMark/>
          </w:tcPr>
          <w:p w14:paraId="3A054CC4"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198</w:t>
            </w:r>
          </w:p>
        </w:tc>
        <w:tc>
          <w:tcPr>
            <w:tcW w:w="0" w:type="auto"/>
            <w:tcBorders>
              <w:top w:val="nil"/>
              <w:left w:val="nil"/>
              <w:bottom w:val="single" w:sz="4" w:space="0" w:color="auto"/>
              <w:right w:val="single" w:sz="4" w:space="0" w:color="auto"/>
            </w:tcBorders>
            <w:shd w:val="clear" w:color="auto" w:fill="auto"/>
            <w:noWrap/>
            <w:vAlign w:val="bottom"/>
            <w:hideMark/>
          </w:tcPr>
          <w:p w14:paraId="785EDBB5"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(98.0)</w:t>
            </w:r>
          </w:p>
        </w:tc>
        <w:tc>
          <w:tcPr>
            <w:tcW w:w="0" w:type="auto"/>
            <w:tcBorders>
              <w:top w:val="nil"/>
              <w:left w:val="nil"/>
              <w:bottom w:val="single" w:sz="4" w:space="0" w:color="auto"/>
              <w:right w:val="single" w:sz="4" w:space="0" w:color="auto"/>
            </w:tcBorders>
            <w:shd w:val="clear" w:color="auto" w:fill="auto"/>
            <w:noWrap/>
            <w:vAlign w:val="bottom"/>
            <w:hideMark/>
          </w:tcPr>
          <w:p w14:paraId="6A1FAD28"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5C42C1DA"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0813BEBC"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7888F368"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38EED711"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3DBD6B70"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26CF6D5F"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7EA3AC80"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681DA648"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5480F4B1"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723810A6"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44%</w:t>
            </w:r>
          </w:p>
        </w:tc>
      </w:tr>
      <w:tr w:rsidR="0067156B" w:rsidRPr="00BA48F1" w14:paraId="0FA9A996" w14:textId="77777777" w:rsidTr="0067156B">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9A974F5"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WAKEFIELD</w:t>
            </w:r>
          </w:p>
        </w:tc>
        <w:tc>
          <w:tcPr>
            <w:tcW w:w="0" w:type="auto"/>
            <w:tcBorders>
              <w:top w:val="nil"/>
              <w:left w:val="nil"/>
              <w:bottom w:val="single" w:sz="4" w:space="0" w:color="auto"/>
              <w:right w:val="single" w:sz="4" w:space="0" w:color="auto"/>
            </w:tcBorders>
            <w:shd w:val="clear" w:color="auto" w:fill="auto"/>
            <w:noWrap/>
            <w:vAlign w:val="bottom"/>
            <w:hideMark/>
          </w:tcPr>
          <w:p w14:paraId="14F8A21D"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944</w:t>
            </w:r>
          </w:p>
        </w:tc>
        <w:tc>
          <w:tcPr>
            <w:tcW w:w="0" w:type="auto"/>
            <w:tcBorders>
              <w:top w:val="nil"/>
              <w:left w:val="nil"/>
              <w:bottom w:val="single" w:sz="4" w:space="0" w:color="auto"/>
              <w:right w:val="single" w:sz="4" w:space="0" w:color="auto"/>
            </w:tcBorders>
            <w:shd w:val="clear" w:color="auto" w:fill="auto"/>
            <w:noWrap/>
            <w:vAlign w:val="bottom"/>
            <w:hideMark/>
          </w:tcPr>
          <w:p w14:paraId="216FF479"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677</w:t>
            </w:r>
          </w:p>
        </w:tc>
        <w:tc>
          <w:tcPr>
            <w:tcW w:w="0" w:type="auto"/>
            <w:tcBorders>
              <w:top w:val="nil"/>
              <w:left w:val="nil"/>
              <w:bottom w:val="single" w:sz="4" w:space="0" w:color="auto"/>
              <w:right w:val="single" w:sz="4" w:space="0" w:color="auto"/>
            </w:tcBorders>
            <w:shd w:val="clear" w:color="auto" w:fill="auto"/>
            <w:noWrap/>
            <w:vAlign w:val="bottom"/>
            <w:hideMark/>
          </w:tcPr>
          <w:p w14:paraId="5F0299CD"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72%</w:t>
            </w:r>
          </w:p>
        </w:tc>
        <w:tc>
          <w:tcPr>
            <w:tcW w:w="0" w:type="auto"/>
            <w:tcBorders>
              <w:top w:val="nil"/>
              <w:left w:val="nil"/>
              <w:bottom w:val="single" w:sz="4" w:space="0" w:color="auto"/>
              <w:right w:val="single" w:sz="4" w:space="0" w:color="auto"/>
            </w:tcBorders>
            <w:shd w:val="clear" w:color="auto" w:fill="auto"/>
            <w:noWrap/>
            <w:vAlign w:val="bottom"/>
            <w:hideMark/>
          </w:tcPr>
          <w:p w14:paraId="01D33122"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669</w:t>
            </w:r>
          </w:p>
        </w:tc>
        <w:tc>
          <w:tcPr>
            <w:tcW w:w="0" w:type="auto"/>
            <w:tcBorders>
              <w:top w:val="nil"/>
              <w:left w:val="nil"/>
              <w:bottom w:val="single" w:sz="4" w:space="0" w:color="auto"/>
              <w:right w:val="single" w:sz="4" w:space="0" w:color="auto"/>
            </w:tcBorders>
            <w:shd w:val="clear" w:color="auto" w:fill="auto"/>
            <w:noWrap/>
            <w:vAlign w:val="bottom"/>
            <w:hideMark/>
          </w:tcPr>
          <w:p w14:paraId="1E1088CC"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(98.8)</w:t>
            </w:r>
          </w:p>
        </w:tc>
        <w:tc>
          <w:tcPr>
            <w:tcW w:w="0" w:type="auto"/>
            <w:tcBorders>
              <w:top w:val="nil"/>
              <w:left w:val="nil"/>
              <w:bottom w:val="single" w:sz="4" w:space="0" w:color="auto"/>
              <w:right w:val="single" w:sz="4" w:space="0" w:color="auto"/>
            </w:tcBorders>
            <w:shd w:val="clear" w:color="auto" w:fill="auto"/>
            <w:noWrap/>
            <w:vAlign w:val="bottom"/>
            <w:hideMark/>
          </w:tcPr>
          <w:p w14:paraId="7B5CAA5D"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8</w:t>
            </w:r>
          </w:p>
        </w:tc>
        <w:tc>
          <w:tcPr>
            <w:tcW w:w="0" w:type="auto"/>
            <w:tcBorders>
              <w:top w:val="nil"/>
              <w:left w:val="nil"/>
              <w:bottom w:val="single" w:sz="4" w:space="0" w:color="auto"/>
              <w:right w:val="single" w:sz="4" w:space="0" w:color="auto"/>
            </w:tcBorders>
            <w:shd w:val="clear" w:color="auto" w:fill="auto"/>
            <w:noWrap/>
            <w:vAlign w:val="bottom"/>
            <w:hideMark/>
          </w:tcPr>
          <w:p w14:paraId="2D00A1BB"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(1.2)</w:t>
            </w:r>
          </w:p>
        </w:tc>
        <w:tc>
          <w:tcPr>
            <w:tcW w:w="0" w:type="auto"/>
            <w:tcBorders>
              <w:top w:val="nil"/>
              <w:left w:val="nil"/>
              <w:bottom w:val="single" w:sz="4" w:space="0" w:color="auto"/>
              <w:right w:val="single" w:sz="4" w:space="0" w:color="auto"/>
            </w:tcBorders>
            <w:shd w:val="clear" w:color="auto" w:fill="auto"/>
            <w:noWrap/>
            <w:vAlign w:val="bottom"/>
            <w:hideMark/>
          </w:tcPr>
          <w:p w14:paraId="0C4944CD"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71E112FC"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62A23552"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03E47AA9"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6F426023"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606F0823"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1E98166F"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4BA1737F"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0BD89A71"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45%</w:t>
            </w:r>
          </w:p>
        </w:tc>
      </w:tr>
      <w:tr w:rsidR="0067156B" w:rsidRPr="00BA48F1" w14:paraId="68D556D6" w14:textId="77777777" w:rsidTr="0067156B">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ADB8C5F"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WALES</w:t>
            </w:r>
          </w:p>
        </w:tc>
        <w:tc>
          <w:tcPr>
            <w:tcW w:w="0" w:type="auto"/>
            <w:tcBorders>
              <w:top w:val="nil"/>
              <w:left w:val="nil"/>
              <w:bottom w:val="single" w:sz="4" w:space="0" w:color="auto"/>
              <w:right w:val="single" w:sz="4" w:space="0" w:color="auto"/>
            </w:tcBorders>
            <w:shd w:val="clear" w:color="auto" w:fill="auto"/>
            <w:noWrap/>
            <w:vAlign w:val="bottom"/>
            <w:hideMark/>
          </w:tcPr>
          <w:p w14:paraId="53A51125"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63</w:t>
            </w:r>
          </w:p>
        </w:tc>
        <w:tc>
          <w:tcPr>
            <w:tcW w:w="0" w:type="auto"/>
            <w:tcBorders>
              <w:top w:val="nil"/>
              <w:left w:val="nil"/>
              <w:bottom w:val="single" w:sz="4" w:space="0" w:color="auto"/>
              <w:right w:val="single" w:sz="4" w:space="0" w:color="auto"/>
            </w:tcBorders>
            <w:shd w:val="clear" w:color="auto" w:fill="auto"/>
            <w:noWrap/>
            <w:vAlign w:val="bottom"/>
            <w:hideMark/>
          </w:tcPr>
          <w:p w14:paraId="7E8FA35C"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27</w:t>
            </w:r>
          </w:p>
        </w:tc>
        <w:tc>
          <w:tcPr>
            <w:tcW w:w="0" w:type="auto"/>
            <w:tcBorders>
              <w:top w:val="nil"/>
              <w:left w:val="nil"/>
              <w:bottom w:val="single" w:sz="4" w:space="0" w:color="auto"/>
              <w:right w:val="single" w:sz="4" w:space="0" w:color="auto"/>
            </w:tcBorders>
            <w:shd w:val="clear" w:color="auto" w:fill="auto"/>
            <w:noWrap/>
            <w:vAlign w:val="bottom"/>
            <w:hideMark/>
          </w:tcPr>
          <w:p w14:paraId="677B0857"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43%</w:t>
            </w:r>
          </w:p>
        </w:tc>
        <w:tc>
          <w:tcPr>
            <w:tcW w:w="0" w:type="auto"/>
            <w:tcBorders>
              <w:top w:val="nil"/>
              <w:left w:val="nil"/>
              <w:bottom w:val="single" w:sz="4" w:space="0" w:color="auto"/>
              <w:right w:val="single" w:sz="4" w:space="0" w:color="auto"/>
            </w:tcBorders>
            <w:shd w:val="clear" w:color="auto" w:fill="auto"/>
            <w:noWrap/>
            <w:vAlign w:val="bottom"/>
            <w:hideMark/>
          </w:tcPr>
          <w:p w14:paraId="75FBDEA0"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27</w:t>
            </w:r>
          </w:p>
        </w:tc>
        <w:tc>
          <w:tcPr>
            <w:tcW w:w="0" w:type="auto"/>
            <w:tcBorders>
              <w:top w:val="nil"/>
              <w:left w:val="nil"/>
              <w:bottom w:val="single" w:sz="4" w:space="0" w:color="auto"/>
              <w:right w:val="single" w:sz="4" w:space="0" w:color="auto"/>
            </w:tcBorders>
            <w:shd w:val="clear" w:color="auto" w:fill="auto"/>
            <w:noWrap/>
            <w:vAlign w:val="bottom"/>
            <w:hideMark/>
          </w:tcPr>
          <w:p w14:paraId="5A9884FA"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(100.0)</w:t>
            </w:r>
          </w:p>
        </w:tc>
        <w:tc>
          <w:tcPr>
            <w:tcW w:w="0" w:type="auto"/>
            <w:tcBorders>
              <w:top w:val="nil"/>
              <w:left w:val="nil"/>
              <w:bottom w:val="single" w:sz="4" w:space="0" w:color="auto"/>
              <w:right w:val="single" w:sz="4" w:space="0" w:color="auto"/>
            </w:tcBorders>
            <w:shd w:val="clear" w:color="auto" w:fill="auto"/>
            <w:noWrap/>
            <w:vAlign w:val="bottom"/>
            <w:hideMark/>
          </w:tcPr>
          <w:p w14:paraId="2832578B"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2E55387A"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16647704"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27368E00"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72F25CA8"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56D97DE2"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70BF33D2"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7233EEA1"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4D5693B1"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0D6CDB39"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2422DF18"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73%</w:t>
            </w:r>
          </w:p>
        </w:tc>
      </w:tr>
      <w:tr w:rsidR="0067156B" w:rsidRPr="00BA48F1" w14:paraId="5C0E1A5F" w14:textId="77777777" w:rsidTr="0067156B">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B7135A5"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WALPOLE</w:t>
            </w:r>
          </w:p>
        </w:tc>
        <w:tc>
          <w:tcPr>
            <w:tcW w:w="0" w:type="auto"/>
            <w:tcBorders>
              <w:top w:val="nil"/>
              <w:left w:val="nil"/>
              <w:bottom w:val="single" w:sz="4" w:space="0" w:color="auto"/>
              <w:right w:val="single" w:sz="4" w:space="0" w:color="auto"/>
            </w:tcBorders>
            <w:shd w:val="clear" w:color="auto" w:fill="auto"/>
            <w:noWrap/>
            <w:vAlign w:val="bottom"/>
            <w:hideMark/>
          </w:tcPr>
          <w:p w14:paraId="2123D5FB"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923</w:t>
            </w:r>
          </w:p>
        </w:tc>
        <w:tc>
          <w:tcPr>
            <w:tcW w:w="0" w:type="auto"/>
            <w:tcBorders>
              <w:top w:val="nil"/>
              <w:left w:val="nil"/>
              <w:bottom w:val="single" w:sz="4" w:space="0" w:color="auto"/>
              <w:right w:val="single" w:sz="4" w:space="0" w:color="auto"/>
            </w:tcBorders>
            <w:shd w:val="clear" w:color="auto" w:fill="auto"/>
            <w:noWrap/>
            <w:vAlign w:val="bottom"/>
            <w:hideMark/>
          </w:tcPr>
          <w:p w14:paraId="76D4CC41"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695</w:t>
            </w:r>
          </w:p>
        </w:tc>
        <w:tc>
          <w:tcPr>
            <w:tcW w:w="0" w:type="auto"/>
            <w:tcBorders>
              <w:top w:val="nil"/>
              <w:left w:val="nil"/>
              <w:bottom w:val="single" w:sz="4" w:space="0" w:color="auto"/>
              <w:right w:val="single" w:sz="4" w:space="0" w:color="auto"/>
            </w:tcBorders>
            <w:shd w:val="clear" w:color="auto" w:fill="auto"/>
            <w:noWrap/>
            <w:vAlign w:val="bottom"/>
            <w:hideMark/>
          </w:tcPr>
          <w:p w14:paraId="5CACE427"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75%</w:t>
            </w:r>
          </w:p>
        </w:tc>
        <w:tc>
          <w:tcPr>
            <w:tcW w:w="0" w:type="auto"/>
            <w:tcBorders>
              <w:top w:val="nil"/>
              <w:left w:val="nil"/>
              <w:bottom w:val="single" w:sz="4" w:space="0" w:color="auto"/>
              <w:right w:val="single" w:sz="4" w:space="0" w:color="auto"/>
            </w:tcBorders>
            <w:shd w:val="clear" w:color="auto" w:fill="auto"/>
            <w:noWrap/>
            <w:vAlign w:val="bottom"/>
            <w:hideMark/>
          </w:tcPr>
          <w:p w14:paraId="6FB9A6D3"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694</w:t>
            </w:r>
          </w:p>
        </w:tc>
        <w:tc>
          <w:tcPr>
            <w:tcW w:w="0" w:type="auto"/>
            <w:tcBorders>
              <w:top w:val="nil"/>
              <w:left w:val="nil"/>
              <w:bottom w:val="single" w:sz="4" w:space="0" w:color="auto"/>
              <w:right w:val="single" w:sz="4" w:space="0" w:color="auto"/>
            </w:tcBorders>
            <w:shd w:val="clear" w:color="auto" w:fill="auto"/>
            <w:noWrap/>
            <w:vAlign w:val="bottom"/>
            <w:hideMark/>
          </w:tcPr>
          <w:p w14:paraId="4041D3C1"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(99.9)</w:t>
            </w:r>
          </w:p>
        </w:tc>
        <w:tc>
          <w:tcPr>
            <w:tcW w:w="0" w:type="auto"/>
            <w:tcBorders>
              <w:top w:val="nil"/>
              <w:left w:val="nil"/>
              <w:bottom w:val="single" w:sz="4" w:space="0" w:color="auto"/>
              <w:right w:val="single" w:sz="4" w:space="0" w:color="auto"/>
            </w:tcBorders>
            <w:shd w:val="clear" w:color="auto" w:fill="auto"/>
            <w:noWrap/>
            <w:vAlign w:val="bottom"/>
            <w:hideMark/>
          </w:tcPr>
          <w:p w14:paraId="38656A8E"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25B5A274"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4425FFF3"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00D8F5E2"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1E5D8218"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0454A5E5"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3E6CF2A2"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74A50807"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7A31EE86"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68987FCA"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3D6B64FD"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53%</w:t>
            </w:r>
          </w:p>
        </w:tc>
      </w:tr>
      <w:tr w:rsidR="0067156B" w:rsidRPr="00BA48F1" w14:paraId="78647D8A" w14:textId="77777777" w:rsidTr="0067156B">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4168DE6"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WALTHAM</w:t>
            </w:r>
          </w:p>
        </w:tc>
        <w:tc>
          <w:tcPr>
            <w:tcW w:w="0" w:type="auto"/>
            <w:tcBorders>
              <w:top w:val="nil"/>
              <w:left w:val="nil"/>
              <w:bottom w:val="single" w:sz="4" w:space="0" w:color="auto"/>
              <w:right w:val="single" w:sz="4" w:space="0" w:color="auto"/>
            </w:tcBorders>
            <w:shd w:val="clear" w:color="auto" w:fill="auto"/>
            <w:noWrap/>
            <w:vAlign w:val="bottom"/>
            <w:hideMark/>
          </w:tcPr>
          <w:p w14:paraId="104E6CCD"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2,269</w:t>
            </w:r>
          </w:p>
        </w:tc>
        <w:tc>
          <w:tcPr>
            <w:tcW w:w="0" w:type="auto"/>
            <w:tcBorders>
              <w:top w:val="nil"/>
              <w:left w:val="nil"/>
              <w:bottom w:val="single" w:sz="4" w:space="0" w:color="auto"/>
              <w:right w:val="single" w:sz="4" w:space="0" w:color="auto"/>
            </w:tcBorders>
            <w:shd w:val="clear" w:color="auto" w:fill="auto"/>
            <w:noWrap/>
            <w:vAlign w:val="bottom"/>
            <w:hideMark/>
          </w:tcPr>
          <w:p w14:paraId="2BB0A973"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1,295</w:t>
            </w:r>
          </w:p>
        </w:tc>
        <w:tc>
          <w:tcPr>
            <w:tcW w:w="0" w:type="auto"/>
            <w:tcBorders>
              <w:top w:val="nil"/>
              <w:left w:val="nil"/>
              <w:bottom w:val="single" w:sz="4" w:space="0" w:color="auto"/>
              <w:right w:val="single" w:sz="4" w:space="0" w:color="auto"/>
            </w:tcBorders>
            <w:shd w:val="clear" w:color="auto" w:fill="auto"/>
            <w:noWrap/>
            <w:vAlign w:val="bottom"/>
            <w:hideMark/>
          </w:tcPr>
          <w:p w14:paraId="3361645D"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57%</w:t>
            </w:r>
          </w:p>
        </w:tc>
        <w:tc>
          <w:tcPr>
            <w:tcW w:w="0" w:type="auto"/>
            <w:tcBorders>
              <w:top w:val="nil"/>
              <w:left w:val="nil"/>
              <w:bottom w:val="single" w:sz="4" w:space="0" w:color="auto"/>
              <w:right w:val="single" w:sz="4" w:space="0" w:color="auto"/>
            </w:tcBorders>
            <w:shd w:val="clear" w:color="auto" w:fill="auto"/>
            <w:noWrap/>
            <w:vAlign w:val="bottom"/>
            <w:hideMark/>
          </w:tcPr>
          <w:p w14:paraId="3A54177B"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1,272</w:t>
            </w:r>
          </w:p>
        </w:tc>
        <w:tc>
          <w:tcPr>
            <w:tcW w:w="0" w:type="auto"/>
            <w:tcBorders>
              <w:top w:val="nil"/>
              <w:left w:val="nil"/>
              <w:bottom w:val="single" w:sz="4" w:space="0" w:color="auto"/>
              <w:right w:val="single" w:sz="4" w:space="0" w:color="auto"/>
            </w:tcBorders>
            <w:shd w:val="clear" w:color="auto" w:fill="auto"/>
            <w:noWrap/>
            <w:vAlign w:val="bottom"/>
            <w:hideMark/>
          </w:tcPr>
          <w:p w14:paraId="47159F67"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(98.2)</w:t>
            </w:r>
          </w:p>
        </w:tc>
        <w:tc>
          <w:tcPr>
            <w:tcW w:w="0" w:type="auto"/>
            <w:tcBorders>
              <w:top w:val="nil"/>
              <w:left w:val="nil"/>
              <w:bottom w:val="single" w:sz="4" w:space="0" w:color="auto"/>
              <w:right w:val="single" w:sz="4" w:space="0" w:color="auto"/>
            </w:tcBorders>
            <w:shd w:val="clear" w:color="auto" w:fill="auto"/>
            <w:noWrap/>
            <w:vAlign w:val="bottom"/>
            <w:hideMark/>
          </w:tcPr>
          <w:p w14:paraId="23910477"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18</w:t>
            </w:r>
          </w:p>
        </w:tc>
        <w:tc>
          <w:tcPr>
            <w:tcW w:w="0" w:type="auto"/>
            <w:tcBorders>
              <w:top w:val="nil"/>
              <w:left w:val="nil"/>
              <w:bottom w:val="single" w:sz="4" w:space="0" w:color="auto"/>
              <w:right w:val="single" w:sz="4" w:space="0" w:color="auto"/>
            </w:tcBorders>
            <w:shd w:val="clear" w:color="auto" w:fill="auto"/>
            <w:noWrap/>
            <w:vAlign w:val="bottom"/>
            <w:hideMark/>
          </w:tcPr>
          <w:p w14:paraId="0D651F1A"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(1.4)</w:t>
            </w:r>
          </w:p>
        </w:tc>
        <w:tc>
          <w:tcPr>
            <w:tcW w:w="0" w:type="auto"/>
            <w:tcBorders>
              <w:top w:val="nil"/>
              <w:left w:val="nil"/>
              <w:bottom w:val="single" w:sz="4" w:space="0" w:color="auto"/>
              <w:right w:val="single" w:sz="4" w:space="0" w:color="auto"/>
            </w:tcBorders>
            <w:shd w:val="clear" w:color="auto" w:fill="auto"/>
            <w:noWrap/>
            <w:vAlign w:val="bottom"/>
            <w:hideMark/>
          </w:tcPr>
          <w:p w14:paraId="7B66E210"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5</w:t>
            </w:r>
          </w:p>
        </w:tc>
        <w:tc>
          <w:tcPr>
            <w:tcW w:w="0" w:type="auto"/>
            <w:tcBorders>
              <w:top w:val="nil"/>
              <w:left w:val="nil"/>
              <w:bottom w:val="single" w:sz="4" w:space="0" w:color="auto"/>
              <w:right w:val="single" w:sz="4" w:space="0" w:color="auto"/>
            </w:tcBorders>
            <w:shd w:val="clear" w:color="auto" w:fill="auto"/>
            <w:noWrap/>
            <w:vAlign w:val="bottom"/>
            <w:hideMark/>
          </w:tcPr>
          <w:p w14:paraId="34FB73CD"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(0.4)</w:t>
            </w:r>
          </w:p>
        </w:tc>
        <w:tc>
          <w:tcPr>
            <w:tcW w:w="0" w:type="auto"/>
            <w:tcBorders>
              <w:top w:val="nil"/>
              <w:left w:val="nil"/>
              <w:bottom w:val="single" w:sz="4" w:space="0" w:color="auto"/>
              <w:right w:val="single" w:sz="4" w:space="0" w:color="auto"/>
            </w:tcBorders>
            <w:shd w:val="clear" w:color="auto" w:fill="auto"/>
            <w:noWrap/>
            <w:vAlign w:val="bottom"/>
            <w:hideMark/>
          </w:tcPr>
          <w:p w14:paraId="2D966035"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7CF597D5"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74CECAA0"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20</w:t>
            </w:r>
          </w:p>
        </w:tc>
        <w:tc>
          <w:tcPr>
            <w:tcW w:w="0" w:type="auto"/>
            <w:tcBorders>
              <w:top w:val="nil"/>
              <w:left w:val="nil"/>
              <w:bottom w:val="single" w:sz="4" w:space="0" w:color="auto"/>
              <w:right w:val="single" w:sz="4" w:space="0" w:color="auto"/>
            </w:tcBorders>
            <w:shd w:val="clear" w:color="auto" w:fill="auto"/>
            <w:noWrap/>
            <w:vAlign w:val="bottom"/>
            <w:hideMark/>
          </w:tcPr>
          <w:p w14:paraId="3C404CE5"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(1.5)</w:t>
            </w:r>
          </w:p>
        </w:tc>
        <w:tc>
          <w:tcPr>
            <w:tcW w:w="0" w:type="auto"/>
            <w:tcBorders>
              <w:top w:val="nil"/>
              <w:left w:val="nil"/>
              <w:bottom w:val="single" w:sz="4" w:space="0" w:color="auto"/>
              <w:right w:val="single" w:sz="4" w:space="0" w:color="auto"/>
            </w:tcBorders>
            <w:shd w:val="clear" w:color="auto" w:fill="auto"/>
            <w:noWrap/>
            <w:vAlign w:val="bottom"/>
            <w:hideMark/>
          </w:tcPr>
          <w:p w14:paraId="09D2AEE8"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3</w:t>
            </w:r>
          </w:p>
        </w:tc>
        <w:tc>
          <w:tcPr>
            <w:tcW w:w="0" w:type="auto"/>
            <w:tcBorders>
              <w:top w:val="nil"/>
              <w:left w:val="nil"/>
              <w:bottom w:val="single" w:sz="4" w:space="0" w:color="auto"/>
              <w:right w:val="single" w:sz="4" w:space="0" w:color="auto"/>
            </w:tcBorders>
            <w:shd w:val="clear" w:color="auto" w:fill="auto"/>
            <w:noWrap/>
            <w:vAlign w:val="bottom"/>
            <w:hideMark/>
          </w:tcPr>
          <w:p w14:paraId="728CB938"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(0.2)</w:t>
            </w:r>
          </w:p>
        </w:tc>
        <w:tc>
          <w:tcPr>
            <w:tcW w:w="0" w:type="auto"/>
            <w:tcBorders>
              <w:top w:val="nil"/>
              <w:left w:val="nil"/>
              <w:bottom w:val="single" w:sz="4" w:space="0" w:color="auto"/>
              <w:right w:val="single" w:sz="4" w:space="0" w:color="auto"/>
            </w:tcBorders>
            <w:shd w:val="clear" w:color="auto" w:fill="auto"/>
            <w:noWrap/>
            <w:vAlign w:val="bottom"/>
            <w:hideMark/>
          </w:tcPr>
          <w:p w14:paraId="1BAA895D"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58%</w:t>
            </w:r>
          </w:p>
        </w:tc>
      </w:tr>
      <w:tr w:rsidR="0067156B" w:rsidRPr="00BA48F1" w14:paraId="1B44061C" w14:textId="77777777" w:rsidTr="0067156B">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230FF49"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WARE</w:t>
            </w:r>
          </w:p>
        </w:tc>
        <w:tc>
          <w:tcPr>
            <w:tcW w:w="0" w:type="auto"/>
            <w:tcBorders>
              <w:top w:val="nil"/>
              <w:left w:val="nil"/>
              <w:bottom w:val="single" w:sz="4" w:space="0" w:color="auto"/>
              <w:right w:val="single" w:sz="4" w:space="0" w:color="auto"/>
            </w:tcBorders>
            <w:shd w:val="clear" w:color="auto" w:fill="auto"/>
            <w:noWrap/>
            <w:vAlign w:val="bottom"/>
            <w:hideMark/>
          </w:tcPr>
          <w:p w14:paraId="6CBE5993"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362</w:t>
            </w:r>
          </w:p>
        </w:tc>
        <w:tc>
          <w:tcPr>
            <w:tcW w:w="0" w:type="auto"/>
            <w:tcBorders>
              <w:top w:val="nil"/>
              <w:left w:val="nil"/>
              <w:bottom w:val="single" w:sz="4" w:space="0" w:color="auto"/>
              <w:right w:val="single" w:sz="4" w:space="0" w:color="auto"/>
            </w:tcBorders>
            <w:shd w:val="clear" w:color="auto" w:fill="auto"/>
            <w:noWrap/>
            <w:vAlign w:val="bottom"/>
            <w:hideMark/>
          </w:tcPr>
          <w:p w14:paraId="5D7F563C"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156</w:t>
            </w:r>
          </w:p>
        </w:tc>
        <w:tc>
          <w:tcPr>
            <w:tcW w:w="0" w:type="auto"/>
            <w:tcBorders>
              <w:top w:val="nil"/>
              <w:left w:val="nil"/>
              <w:bottom w:val="single" w:sz="4" w:space="0" w:color="auto"/>
              <w:right w:val="single" w:sz="4" w:space="0" w:color="auto"/>
            </w:tcBorders>
            <w:shd w:val="clear" w:color="auto" w:fill="auto"/>
            <w:noWrap/>
            <w:vAlign w:val="bottom"/>
            <w:hideMark/>
          </w:tcPr>
          <w:p w14:paraId="791C231F"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43%</w:t>
            </w:r>
          </w:p>
        </w:tc>
        <w:tc>
          <w:tcPr>
            <w:tcW w:w="0" w:type="auto"/>
            <w:tcBorders>
              <w:top w:val="nil"/>
              <w:left w:val="nil"/>
              <w:bottom w:val="single" w:sz="4" w:space="0" w:color="auto"/>
              <w:right w:val="single" w:sz="4" w:space="0" w:color="auto"/>
            </w:tcBorders>
            <w:shd w:val="clear" w:color="auto" w:fill="auto"/>
            <w:noWrap/>
            <w:vAlign w:val="bottom"/>
            <w:hideMark/>
          </w:tcPr>
          <w:p w14:paraId="477C489C"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148</w:t>
            </w:r>
          </w:p>
        </w:tc>
        <w:tc>
          <w:tcPr>
            <w:tcW w:w="0" w:type="auto"/>
            <w:tcBorders>
              <w:top w:val="nil"/>
              <w:left w:val="nil"/>
              <w:bottom w:val="single" w:sz="4" w:space="0" w:color="auto"/>
              <w:right w:val="single" w:sz="4" w:space="0" w:color="auto"/>
            </w:tcBorders>
            <w:shd w:val="clear" w:color="auto" w:fill="auto"/>
            <w:noWrap/>
            <w:vAlign w:val="bottom"/>
            <w:hideMark/>
          </w:tcPr>
          <w:p w14:paraId="05FA5554"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(94.9)</w:t>
            </w:r>
          </w:p>
        </w:tc>
        <w:tc>
          <w:tcPr>
            <w:tcW w:w="0" w:type="auto"/>
            <w:tcBorders>
              <w:top w:val="nil"/>
              <w:left w:val="nil"/>
              <w:bottom w:val="single" w:sz="4" w:space="0" w:color="auto"/>
              <w:right w:val="single" w:sz="4" w:space="0" w:color="auto"/>
            </w:tcBorders>
            <w:shd w:val="clear" w:color="auto" w:fill="auto"/>
            <w:noWrap/>
            <w:vAlign w:val="bottom"/>
            <w:hideMark/>
          </w:tcPr>
          <w:p w14:paraId="6FA82405"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207ACFFA"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22895C8D"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0AB03F94"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2683C6A4"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28684C0F"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443AA40E"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18B4874D"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60B7631F"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76628768"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3CF1973E"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74%</w:t>
            </w:r>
          </w:p>
        </w:tc>
      </w:tr>
      <w:tr w:rsidR="0067156B" w:rsidRPr="00BA48F1" w14:paraId="4EEA4CD3" w14:textId="77777777" w:rsidTr="0067156B">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BAB18D2"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WAREHAM</w:t>
            </w:r>
          </w:p>
        </w:tc>
        <w:tc>
          <w:tcPr>
            <w:tcW w:w="0" w:type="auto"/>
            <w:tcBorders>
              <w:top w:val="nil"/>
              <w:left w:val="nil"/>
              <w:bottom w:val="single" w:sz="4" w:space="0" w:color="auto"/>
              <w:right w:val="single" w:sz="4" w:space="0" w:color="auto"/>
            </w:tcBorders>
            <w:shd w:val="clear" w:color="auto" w:fill="auto"/>
            <w:noWrap/>
            <w:vAlign w:val="bottom"/>
            <w:hideMark/>
          </w:tcPr>
          <w:p w14:paraId="0DE3F00E"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797</w:t>
            </w:r>
          </w:p>
        </w:tc>
        <w:tc>
          <w:tcPr>
            <w:tcW w:w="0" w:type="auto"/>
            <w:tcBorders>
              <w:top w:val="nil"/>
              <w:left w:val="nil"/>
              <w:bottom w:val="single" w:sz="4" w:space="0" w:color="auto"/>
              <w:right w:val="single" w:sz="4" w:space="0" w:color="auto"/>
            </w:tcBorders>
            <w:shd w:val="clear" w:color="auto" w:fill="auto"/>
            <w:noWrap/>
            <w:vAlign w:val="bottom"/>
            <w:hideMark/>
          </w:tcPr>
          <w:p w14:paraId="7C7D12AA"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468</w:t>
            </w:r>
          </w:p>
        </w:tc>
        <w:tc>
          <w:tcPr>
            <w:tcW w:w="0" w:type="auto"/>
            <w:tcBorders>
              <w:top w:val="nil"/>
              <w:left w:val="nil"/>
              <w:bottom w:val="single" w:sz="4" w:space="0" w:color="auto"/>
              <w:right w:val="single" w:sz="4" w:space="0" w:color="auto"/>
            </w:tcBorders>
            <w:shd w:val="clear" w:color="auto" w:fill="auto"/>
            <w:noWrap/>
            <w:vAlign w:val="bottom"/>
            <w:hideMark/>
          </w:tcPr>
          <w:p w14:paraId="6541EBD5"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59%</w:t>
            </w:r>
          </w:p>
        </w:tc>
        <w:tc>
          <w:tcPr>
            <w:tcW w:w="0" w:type="auto"/>
            <w:tcBorders>
              <w:top w:val="nil"/>
              <w:left w:val="nil"/>
              <w:bottom w:val="single" w:sz="4" w:space="0" w:color="auto"/>
              <w:right w:val="single" w:sz="4" w:space="0" w:color="auto"/>
            </w:tcBorders>
            <w:shd w:val="clear" w:color="auto" w:fill="auto"/>
            <w:noWrap/>
            <w:vAlign w:val="bottom"/>
            <w:hideMark/>
          </w:tcPr>
          <w:p w14:paraId="2D012FC2"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458</w:t>
            </w:r>
          </w:p>
        </w:tc>
        <w:tc>
          <w:tcPr>
            <w:tcW w:w="0" w:type="auto"/>
            <w:tcBorders>
              <w:top w:val="nil"/>
              <w:left w:val="nil"/>
              <w:bottom w:val="single" w:sz="4" w:space="0" w:color="auto"/>
              <w:right w:val="single" w:sz="4" w:space="0" w:color="auto"/>
            </w:tcBorders>
            <w:shd w:val="clear" w:color="auto" w:fill="auto"/>
            <w:noWrap/>
            <w:vAlign w:val="bottom"/>
            <w:hideMark/>
          </w:tcPr>
          <w:p w14:paraId="2191F61A"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(97.9)</w:t>
            </w:r>
          </w:p>
        </w:tc>
        <w:tc>
          <w:tcPr>
            <w:tcW w:w="0" w:type="auto"/>
            <w:tcBorders>
              <w:top w:val="nil"/>
              <w:left w:val="nil"/>
              <w:bottom w:val="single" w:sz="4" w:space="0" w:color="auto"/>
              <w:right w:val="single" w:sz="4" w:space="0" w:color="auto"/>
            </w:tcBorders>
            <w:shd w:val="clear" w:color="auto" w:fill="auto"/>
            <w:noWrap/>
            <w:vAlign w:val="bottom"/>
            <w:hideMark/>
          </w:tcPr>
          <w:p w14:paraId="779B0800"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9</w:t>
            </w:r>
          </w:p>
        </w:tc>
        <w:tc>
          <w:tcPr>
            <w:tcW w:w="0" w:type="auto"/>
            <w:tcBorders>
              <w:top w:val="nil"/>
              <w:left w:val="nil"/>
              <w:bottom w:val="single" w:sz="4" w:space="0" w:color="auto"/>
              <w:right w:val="single" w:sz="4" w:space="0" w:color="auto"/>
            </w:tcBorders>
            <w:shd w:val="clear" w:color="auto" w:fill="auto"/>
            <w:noWrap/>
            <w:vAlign w:val="bottom"/>
            <w:hideMark/>
          </w:tcPr>
          <w:p w14:paraId="118EEFEC"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(1.9)</w:t>
            </w:r>
          </w:p>
        </w:tc>
        <w:tc>
          <w:tcPr>
            <w:tcW w:w="0" w:type="auto"/>
            <w:tcBorders>
              <w:top w:val="nil"/>
              <w:left w:val="nil"/>
              <w:bottom w:val="single" w:sz="4" w:space="0" w:color="auto"/>
              <w:right w:val="single" w:sz="4" w:space="0" w:color="auto"/>
            </w:tcBorders>
            <w:shd w:val="clear" w:color="auto" w:fill="auto"/>
            <w:noWrap/>
            <w:vAlign w:val="bottom"/>
            <w:hideMark/>
          </w:tcPr>
          <w:p w14:paraId="3396F765"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419D9C2F"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567D7D48"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273C1491"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46EDB73F"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289BCB0C"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7BC9590F"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766A7C26"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6E29A6A0"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67%</w:t>
            </w:r>
          </w:p>
        </w:tc>
      </w:tr>
      <w:tr w:rsidR="0067156B" w:rsidRPr="00BA48F1" w14:paraId="44A326C5" w14:textId="77777777" w:rsidTr="0067156B">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D920882"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WARREN</w:t>
            </w:r>
          </w:p>
        </w:tc>
        <w:tc>
          <w:tcPr>
            <w:tcW w:w="0" w:type="auto"/>
            <w:tcBorders>
              <w:top w:val="nil"/>
              <w:left w:val="nil"/>
              <w:bottom w:val="single" w:sz="4" w:space="0" w:color="auto"/>
              <w:right w:val="single" w:sz="4" w:space="0" w:color="auto"/>
            </w:tcBorders>
            <w:shd w:val="clear" w:color="auto" w:fill="auto"/>
            <w:noWrap/>
            <w:vAlign w:val="bottom"/>
            <w:hideMark/>
          </w:tcPr>
          <w:p w14:paraId="365D0C23"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189</w:t>
            </w:r>
          </w:p>
        </w:tc>
        <w:tc>
          <w:tcPr>
            <w:tcW w:w="0" w:type="auto"/>
            <w:tcBorders>
              <w:top w:val="nil"/>
              <w:left w:val="nil"/>
              <w:bottom w:val="single" w:sz="4" w:space="0" w:color="auto"/>
              <w:right w:val="single" w:sz="4" w:space="0" w:color="auto"/>
            </w:tcBorders>
            <w:shd w:val="clear" w:color="auto" w:fill="auto"/>
            <w:noWrap/>
            <w:vAlign w:val="bottom"/>
            <w:hideMark/>
          </w:tcPr>
          <w:p w14:paraId="2AA77B4D"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50</w:t>
            </w:r>
          </w:p>
        </w:tc>
        <w:tc>
          <w:tcPr>
            <w:tcW w:w="0" w:type="auto"/>
            <w:tcBorders>
              <w:top w:val="nil"/>
              <w:left w:val="nil"/>
              <w:bottom w:val="single" w:sz="4" w:space="0" w:color="auto"/>
              <w:right w:val="single" w:sz="4" w:space="0" w:color="auto"/>
            </w:tcBorders>
            <w:shd w:val="clear" w:color="auto" w:fill="auto"/>
            <w:noWrap/>
            <w:vAlign w:val="bottom"/>
            <w:hideMark/>
          </w:tcPr>
          <w:p w14:paraId="7631F19E"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26%</w:t>
            </w:r>
          </w:p>
        </w:tc>
        <w:tc>
          <w:tcPr>
            <w:tcW w:w="0" w:type="auto"/>
            <w:tcBorders>
              <w:top w:val="nil"/>
              <w:left w:val="nil"/>
              <w:bottom w:val="single" w:sz="4" w:space="0" w:color="auto"/>
              <w:right w:val="single" w:sz="4" w:space="0" w:color="auto"/>
            </w:tcBorders>
            <w:shd w:val="clear" w:color="auto" w:fill="auto"/>
            <w:noWrap/>
            <w:vAlign w:val="bottom"/>
            <w:hideMark/>
          </w:tcPr>
          <w:p w14:paraId="750F2086"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45</w:t>
            </w:r>
          </w:p>
        </w:tc>
        <w:tc>
          <w:tcPr>
            <w:tcW w:w="0" w:type="auto"/>
            <w:tcBorders>
              <w:top w:val="nil"/>
              <w:left w:val="nil"/>
              <w:bottom w:val="single" w:sz="4" w:space="0" w:color="auto"/>
              <w:right w:val="single" w:sz="4" w:space="0" w:color="auto"/>
            </w:tcBorders>
            <w:shd w:val="clear" w:color="auto" w:fill="auto"/>
            <w:noWrap/>
            <w:vAlign w:val="bottom"/>
            <w:hideMark/>
          </w:tcPr>
          <w:p w14:paraId="605FA4B2"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(90.0)</w:t>
            </w:r>
          </w:p>
        </w:tc>
        <w:tc>
          <w:tcPr>
            <w:tcW w:w="0" w:type="auto"/>
            <w:tcBorders>
              <w:top w:val="nil"/>
              <w:left w:val="nil"/>
              <w:bottom w:val="single" w:sz="4" w:space="0" w:color="auto"/>
              <w:right w:val="single" w:sz="4" w:space="0" w:color="auto"/>
            </w:tcBorders>
            <w:shd w:val="clear" w:color="auto" w:fill="auto"/>
            <w:noWrap/>
            <w:vAlign w:val="bottom"/>
            <w:hideMark/>
          </w:tcPr>
          <w:p w14:paraId="503E2FC8"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7CBBF3CE"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5185121B"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791481C7"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22C3A5AF"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46B7DDC0"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16C2EAEA"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4EBAD685"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70C4790A"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3C6474D6"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74E3077C"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70%</w:t>
            </w:r>
          </w:p>
        </w:tc>
      </w:tr>
      <w:tr w:rsidR="0067156B" w:rsidRPr="00BA48F1" w14:paraId="60BBF28F" w14:textId="77777777" w:rsidTr="0067156B">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2131DD2"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WARWICK</w:t>
            </w:r>
          </w:p>
        </w:tc>
        <w:tc>
          <w:tcPr>
            <w:tcW w:w="0" w:type="auto"/>
            <w:tcBorders>
              <w:top w:val="nil"/>
              <w:left w:val="nil"/>
              <w:bottom w:val="single" w:sz="4" w:space="0" w:color="auto"/>
              <w:right w:val="single" w:sz="4" w:space="0" w:color="auto"/>
            </w:tcBorders>
            <w:shd w:val="clear" w:color="auto" w:fill="auto"/>
            <w:noWrap/>
            <w:vAlign w:val="bottom"/>
            <w:hideMark/>
          </w:tcPr>
          <w:p w14:paraId="726BDB5A"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17</w:t>
            </w:r>
          </w:p>
        </w:tc>
        <w:tc>
          <w:tcPr>
            <w:tcW w:w="0" w:type="auto"/>
            <w:tcBorders>
              <w:top w:val="nil"/>
              <w:left w:val="nil"/>
              <w:bottom w:val="single" w:sz="4" w:space="0" w:color="auto"/>
              <w:right w:val="single" w:sz="4" w:space="0" w:color="auto"/>
            </w:tcBorders>
            <w:shd w:val="clear" w:color="auto" w:fill="auto"/>
            <w:noWrap/>
            <w:vAlign w:val="bottom"/>
            <w:hideMark/>
          </w:tcPr>
          <w:p w14:paraId="2ECAF246"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6</w:t>
            </w:r>
          </w:p>
        </w:tc>
        <w:tc>
          <w:tcPr>
            <w:tcW w:w="0" w:type="auto"/>
            <w:tcBorders>
              <w:top w:val="nil"/>
              <w:left w:val="nil"/>
              <w:bottom w:val="single" w:sz="4" w:space="0" w:color="auto"/>
              <w:right w:val="single" w:sz="4" w:space="0" w:color="auto"/>
            </w:tcBorders>
            <w:shd w:val="clear" w:color="auto" w:fill="auto"/>
            <w:noWrap/>
            <w:vAlign w:val="bottom"/>
            <w:hideMark/>
          </w:tcPr>
          <w:p w14:paraId="3ABD3488"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35%</w:t>
            </w:r>
          </w:p>
        </w:tc>
        <w:tc>
          <w:tcPr>
            <w:tcW w:w="0" w:type="auto"/>
            <w:tcBorders>
              <w:top w:val="nil"/>
              <w:left w:val="nil"/>
              <w:bottom w:val="single" w:sz="4" w:space="0" w:color="auto"/>
              <w:right w:val="single" w:sz="4" w:space="0" w:color="auto"/>
            </w:tcBorders>
            <w:shd w:val="clear" w:color="auto" w:fill="auto"/>
            <w:noWrap/>
            <w:vAlign w:val="bottom"/>
            <w:hideMark/>
          </w:tcPr>
          <w:p w14:paraId="07951BBA"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6</w:t>
            </w:r>
          </w:p>
        </w:tc>
        <w:tc>
          <w:tcPr>
            <w:tcW w:w="0" w:type="auto"/>
            <w:tcBorders>
              <w:top w:val="nil"/>
              <w:left w:val="nil"/>
              <w:bottom w:val="single" w:sz="4" w:space="0" w:color="auto"/>
              <w:right w:val="single" w:sz="4" w:space="0" w:color="auto"/>
            </w:tcBorders>
            <w:shd w:val="clear" w:color="auto" w:fill="auto"/>
            <w:noWrap/>
            <w:vAlign w:val="bottom"/>
            <w:hideMark/>
          </w:tcPr>
          <w:p w14:paraId="7E556BA2"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(100.0)</w:t>
            </w:r>
          </w:p>
        </w:tc>
        <w:tc>
          <w:tcPr>
            <w:tcW w:w="0" w:type="auto"/>
            <w:tcBorders>
              <w:top w:val="nil"/>
              <w:left w:val="nil"/>
              <w:bottom w:val="single" w:sz="4" w:space="0" w:color="auto"/>
              <w:right w:val="single" w:sz="4" w:space="0" w:color="auto"/>
            </w:tcBorders>
            <w:shd w:val="clear" w:color="auto" w:fill="auto"/>
            <w:noWrap/>
            <w:vAlign w:val="bottom"/>
            <w:hideMark/>
          </w:tcPr>
          <w:p w14:paraId="2E0F277B"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166A5674"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08835F89"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32F4B182"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704A9E8B"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79B11DEC"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1AD5E870"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1B42D45A"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6DD934FE"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40D2EC3C"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76BD8C4A"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60%</w:t>
            </w:r>
          </w:p>
        </w:tc>
      </w:tr>
      <w:tr w:rsidR="0067156B" w:rsidRPr="00BA48F1" w14:paraId="5CD350DA" w14:textId="77777777" w:rsidTr="0067156B">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5554592"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WASHINGTON</w:t>
            </w:r>
          </w:p>
        </w:tc>
        <w:tc>
          <w:tcPr>
            <w:tcW w:w="0" w:type="auto"/>
            <w:tcBorders>
              <w:top w:val="nil"/>
              <w:left w:val="nil"/>
              <w:bottom w:val="single" w:sz="4" w:space="0" w:color="auto"/>
              <w:right w:val="single" w:sz="4" w:space="0" w:color="auto"/>
            </w:tcBorders>
            <w:shd w:val="clear" w:color="auto" w:fill="auto"/>
            <w:noWrap/>
            <w:vAlign w:val="bottom"/>
            <w:hideMark/>
          </w:tcPr>
          <w:p w14:paraId="535AC1E9"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9</w:t>
            </w:r>
          </w:p>
        </w:tc>
        <w:tc>
          <w:tcPr>
            <w:tcW w:w="0" w:type="auto"/>
            <w:tcBorders>
              <w:top w:val="nil"/>
              <w:left w:val="nil"/>
              <w:bottom w:val="single" w:sz="4" w:space="0" w:color="auto"/>
              <w:right w:val="single" w:sz="4" w:space="0" w:color="auto"/>
            </w:tcBorders>
            <w:shd w:val="clear" w:color="auto" w:fill="auto"/>
            <w:noWrap/>
            <w:vAlign w:val="bottom"/>
            <w:hideMark/>
          </w:tcPr>
          <w:p w14:paraId="5BCDF99C"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7</w:t>
            </w:r>
          </w:p>
        </w:tc>
        <w:tc>
          <w:tcPr>
            <w:tcW w:w="0" w:type="auto"/>
            <w:tcBorders>
              <w:top w:val="nil"/>
              <w:left w:val="nil"/>
              <w:bottom w:val="single" w:sz="4" w:space="0" w:color="auto"/>
              <w:right w:val="single" w:sz="4" w:space="0" w:color="auto"/>
            </w:tcBorders>
            <w:shd w:val="clear" w:color="auto" w:fill="auto"/>
            <w:noWrap/>
            <w:vAlign w:val="bottom"/>
            <w:hideMark/>
          </w:tcPr>
          <w:p w14:paraId="07EDBA14"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78%</w:t>
            </w:r>
          </w:p>
        </w:tc>
        <w:tc>
          <w:tcPr>
            <w:tcW w:w="0" w:type="auto"/>
            <w:tcBorders>
              <w:top w:val="nil"/>
              <w:left w:val="nil"/>
              <w:bottom w:val="single" w:sz="4" w:space="0" w:color="auto"/>
              <w:right w:val="single" w:sz="4" w:space="0" w:color="auto"/>
            </w:tcBorders>
            <w:shd w:val="clear" w:color="auto" w:fill="auto"/>
            <w:noWrap/>
            <w:vAlign w:val="bottom"/>
            <w:hideMark/>
          </w:tcPr>
          <w:p w14:paraId="46085407"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7</w:t>
            </w:r>
          </w:p>
        </w:tc>
        <w:tc>
          <w:tcPr>
            <w:tcW w:w="0" w:type="auto"/>
            <w:tcBorders>
              <w:top w:val="nil"/>
              <w:left w:val="nil"/>
              <w:bottom w:val="single" w:sz="4" w:space="0" w:color="auto"/>
              <w:right w:val="single" w:sz="4" w:space="0" w:color="auto"/>
            </w:tcBorders>
            <w:shd w:val="clear" w:color="auto" w:fill="auto"/>
            <w:noWrap/>
            <w:vAlign w:val="bottom"/>
            <w:hideMark/>
          </w:tcPr>
          <w:p w14:paraId="488C6450"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(100.0)</w:t>
            </w:r>
          </w:p>
        </w:tc>
        <w:tc>
          <w:tcPr>
            <w:tcW w:w="0" w:type="auto"/>
            <w:tcBorders>
              <w:top w:val="nil"/>
              <w:left w:val="nil"/>
              <w:bottom w:val="single" w:sz="4" w:space="0" w:color="auto"/>
              <w:right w:val="single" w:sz="4" w:space="0" w:color="auto"/>
            </w:tcBorders>
            <w:shd w:val="clear" w:color="auto" w:fill="auto"/>
            <w:noWrap/>
            <w:vAlign w:val="bottom"/>
            <w:hideMark/>
          </w:tcPr>
          <w:p w14:paraId="4CF12DC0"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5B74ECAD"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2FA87F17"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6E2071D1"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6DBB3E4F"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43523F61"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45564E9E"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1B12F032"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40957E1D"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4213F11B"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12157918"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62%</w:t>
            </w:r>
          </w:p>
        </w:tc>
      </w:tr>
      <w:tr w:rsidR="0067156B" w:rsidRPr="00BA48F1" w14:paraId="060270CB" w14:textId="77777777" w:rsidTr="0067156B">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1D1B1CF"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WATERTOWN</w:t>
            </w:r>
          </w:p>
        </w:tc>
        <w:tc>
          <w:tcPr>
            <w:tcW w:w="0" w:type="auto"/>
            <w:tcBorders>
              <w:top w:val="nil"/>
              <w:left w:val="nil"/>
              <w:bottom w:val="single" w:sz="4" w:space="0" w:color="auto"/>
              <w:right w:val="single" w:sz="4" w:space="0" w:color="auto"/>
            </w:tcBorders>
            <w:shd w:val="clear" w:color="auto" w:fill="auto"/>
            <w:noWrap/>
            <w:vAlign w:val="bottom"/>
            <w:hideMark/>
          </w:tcPr>
          <w:p w14:paraId="549F1A48"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1,132</w:t>
            </w:r>
          </w:p>
        </w:tc>
        <w:tc>
          <w:tcPr>
            <w:tcW w:w="0" w:type="auto"/>
            <w:tcBorders>
              <w:top w:val="nil"/>
              <w:left w:val="nil"/>
              <w:bottom w:val="single" w:sz="4" w:space="0" w:color="auto"/>
              <w:right w:val="single" w:sz="4" w:space="0" w:color="auto"/>
            </w:tcBorders>
            <w:shd w:val="clear" w:color="auto" w:fill="auto"/>
            <w:noWrap/>
            <w:vAlign w:val="bottom"/>
            <w:hideMark/>
          </w:tcPr>
          <w:p w14:paraId="76C00BF4"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787</w:t>
            </w:r>
          </w:p>
        </w:tc>
        <w:tc>
          <w:tcPr>
            <w:tcW w:w="0" w:type="auto"/>
            <w:tcBorders>
              <w:top w:val="nil"/>
              <w:left w:val="nil"/>
              <w:bottom w:val="single" w:sz="4" w:space="0" w:color="auto"/>
              <w:right w:val="single" w:sz="4" w:space="0" w:color="auto"/>
            </w:tcBorders>
            <w:shd w:val="clear" w:color="auto" w:fill="auto"/>
            <w:noWrap/>
            <w:vAlign w:val="bottom"/>
            <w:hideMark/>
          </w:tcPr>
          <w:p w14:paraId="40977AA3"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70%</w:t>
            </w:r>
          </w:p>
        </w:tc>
        <w:tc>
          <w:tcPr>
            <w:tcW w:w="0" w:type="auto"/>
            <w:tcBorders>
              <w:top w:val="nil"/>
              <w:left w:val="nil"/>
              <w:bottom w:val="single" w:sz="4" w:space="0" w:color="auto"/>
              <w:right w:val="single" w:sz="4" w:space="0" w:color="auto"/>
            </w:tcBorders>
            <w:shd w:val="clear" w:color="auto" w:fill="auto"/>
            <w:noWrap/>
            <w:vAlign w:val="bottom"/>
            <w:hideMark/>
          </w:tcPr>
          <w:p w14:paraId="0E48A7BE"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779</w:t>
            </w:r>
          </w:p>
        </w:tc>
        <w:tc>
          <w:tcPr>
            <w:tcW w:w="0" w:type="auto"/>
            <w:tcBorders>
              <w:top w:val="nil"/>
              <w:left w:val="nil"/>
              <w:bottom w:val="single" w:sz="4" w:space="0" w:color="auto"/>
              <w:right w:val="single" w:sz="4" w:space="0" w:color="auto"/>
            </w:tcBorders>
            <w:shd w:val="clear" w:color="auto" w:fill="auto"/>
            <w:noWrap/>
            <w:vAlign w:val="bottom"/>
            <w:hideMark/>
          </w:tcPr>
          <w:p w14:paraId="1457E66A"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(99.0)</w:t>
            </w:r>
          </w:p>
        </w:tc>
        <w:tc>
          <w:tcPr>
            <w:tcW w:w="0" w:type="auto"/>
            <w:tcBorders>
              <w:top w:val="nil"/>
              <w:left w:val="nil"/>
              <w:bottom w:val="single" w:sz="4" w:space="0" w:color="auto"/>
              <w:right w:val="single" w:sz="4" w:space="0" w:color="auto"/>
            </w:tcBorders>
            <w:shd w:val="clear" w:color="auto" w:fill="auto"/>
            <w:noWrap/>
            <w:vAlign w:val="bottom"/>
            <w:hideMark/>
          </w:tcPr>
          <w:p w14:paraId="0B2F2171"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8</w:t>
            </w:r>
          </w:p>
        </w:tc>
        <w:tc>
          <w:tcPr>
            <w:tcW w:w="0" w:type="auto"/>
            <w:tcBorders>
              <w:top w:val="nil"/>
              <w:left w:val="nil"/>
              <w:bottom w:val="single" w:sz="4" w:space="0" w:color="auto"/>
              <w:right w:val="single" w:sz="4" w:space="0" w:color="auto"/>
            </w:tcBorders>
            <w:shd w:val="clear" w:color="auto" w:fill="auto"/>
            <w:noWrap/>
            <w:vAlign w:val="bottom"/>
            <w:hideMark/>
          </w:tcPr>
          <w:p w14:paraId="2A22909E"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(1.0)</w:t>
            </w:r>
          </w:p>
        </w:tc>
        <w:tc>
          <w:tcPr>
            <w:tcW w:w="0" w:type="auto"/>
            <w:tcBorders>
              <w:top w:val="nil"/>
              <w:left w:val="nil"/>
              <w:bottom w:val="single" w:sz="4" w:space="0" w:color="auto"/>
              <w:right w:val="single" w:sz="4" w:space="0" w:color="auto"/>
            </w:tcBorders>
            <w:shd w:val="clear" w:color="auto" w:fill="auto"/>
            <w:noWrap/>
            <w:vAlign w:val="bottom"/>
            <w:hideMark/>
          </w:tcPr>
          <w:p w14:paraId="0B12C974"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6AC728A0"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756E78E2"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2A20728F"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39D7A68D"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211D3775"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78E53ADF"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0D108622"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4DF68969"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78%</w:t>
            </w:r>
          </w:p>
        </w:tc>
      </w:tr>
      <w:tr w:rsidR="0067156B" w:rsidRPr="00BA48F1" w14:paraId="5E900DE8" w14:textId="77777777" w:rsidTr="0067156B">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6ADC196"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WAYLAND</w:t>
            </w:r>
          </w:p>
        </w:tc>
        <w:tc>
          <w:tcPr>
            <w:tcW w:w="0" w:type="auto"/>
            <w:tcBorders>
              <w:top w:val="nil"/>
              <w:left w:val="nil"/>
              <w:bottom w:val="single" w:sz="4" w:space="0" w:color="auto"/>
              <w:right w:val="single" w:sz="4" w:space="0" w:color="auto"/>
            </w:tcBorders>
            <w:shd w:val="clear" w:color="auto" w:fill="auto"/>
            <w:noWrap/>
            <w:vAlign w:val="bottom"/>
            <w:hideMark/>
          </w:tcPr>
          <w:p w14:paraId="72E866EA"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401</w:t>
            </w:r>
          </w:p>
        </w:tc>
        <w:tc>
          <w:tcPr>
            <w:tcW w:w="0" w:type="auto"/>
            <w:tcBorders>
              <w:top w:val="nil"/>
              <w:left w:val="nil"/>
              <w:bottom w:val="single" w:sz="4" w:space="0" w:color="auto"/>
              <w:right w:val="single" w:sz="4" w:space="0" w:color="auto"/>
            </w:tcBorders>
            <w:shd w:val="clear" w:color="auto" w:fill="auto"/>
            <w:noWrap/>
            <w:vAlign w:val="bottom"/>
            <w:hideMark/>
          </w:tcPr>
          <w:p w14:paraId="58C10D87"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331</w:t>
            </w:r>
          </w:p>
        </w:tc>
        <w:tc>
          <w:tcPr>
            <w:tcW w:w="0" w:type="auto"/>
            <w:tcBorders>
              <w:top w:val="nil"/>
              <w:left w:val="nil"/>
              <w:bottom w:val="single" w:sz="4" w:space="0" w:color="auto"/>
              <w:right w:val="single" w:sz="4" w:space="0" w:color="auto"/>
            </w:tcBorders>
            <w:shd w:val="clear" w:color="auto" w:fill="auto"/>
            <w:noWrap/>
            <w:vAlign w:val="bottom"/>
            <w:hideMark/>
          </w:tcPr>
          <w:p w14:paraId="0130CAE4"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83%</w:t>
            </w:r>
          </w:p>
        </w:tc>
        <w:tc>
          <w:tcPr>
            <w:tcW w:w="0" w:type="auto"/>
            <w:tcBorders>
              <w:top w:val="nil"/>
              <w:left w:val="nil"/>
              <w:bottom w:val="single" w:sz="4" w:space="0" w:color="auto"/>
              <w:right w:val="single" w:sz="4" w:space="0" w:color="auto"/>
            </w:tcBorders>
            <w:shd w:val="clear" w:color="auto" w:fill="auto"/>
            <w:noWrap/>
            <w:vAlign w:val="bottom"/>
            <w:hideMark/>
          </w:tcPr>
          <w:p w14:paraId="47E42DF2"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328</w:t>
            </w:r>
          </w:p>
        </w:tc>
        <w:tc>
          <w:tcPr>
            <w:tcW w:w="0" w:type="auto"/>
            <w:tcBorders>
              <w:top w:val="nil"/>
              <w:left w:val="nil"/>
              <w:bottom w:val="single" w:sz="4" w:space="0" w:color="auto"/>
              <w:right w:val="single" w:sz="4" w:space="0" w:color="auto"/>
            </w:tcBorders>
            <w:shd w:val="clear" w:color="auto" w:fill="auto"/>
            <w:noWrap/>
            <w:vAlign w:val="bottom"/>
            <w:hideMark/>
          </w:tcPr>
          <w:p w14:paraId="17C381B2"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(99.1)</w:t>
            </w:r>
          </w:p>
        </w:tc>
        <w:tc>
          <w:tcPr>
            <w:tcW w:w="0" w:type="auto"/>
            <w:tcBorders>
              <w:top w:val="nil"/>
              <w:left w:val="nil"/>
              <w:bottom w:val="single" w:sz="4" w:space="0" w:color="auto"/>
              <w:right w:val="single" w:sz="4" w:space="0" w:color="auto"/>
            </w:tcBorders>
            <w:shd w:val="clear" w:color="auto" w:fill="auto"/>
            <w:noWrap/>
            <w:vAlign w:val="bottom"/>
            <w:hideMark/>
          </w:tcPr>
          <w:p w14:paraId="4253545E"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11D877A9"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38735C3F"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3CA6AC29"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6127817A"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439F0454"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4675F0A5"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359DB386"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7DFCDD63"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68C62AA1"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155E5282"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74%</w:t>
            </w:r>
          </w:p>
        </w:tc>
      </w:tr>
      <w:tr w:rsidR="0067156B" w:rsidRPr="00BA48F1" w14:paraId="6FD9C9B7" w14:textId="77777777" w:rsidTr="0067156B">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7725E76"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WEBSTER</w:t>
            </w:r>
          </w:p>
        </w:tc>
        <w:tc>
          <w:tcPr>
            <w:tcW w:w="0" w:type="auto"/>
            <w:tcBorders>
              <w:top w:val="nil"/>
              <w:left w:val="nil"/>
              <w:bottom w:val="single" w:sz="4" w:space="0" w:color="auto"/>
              <w:right w:val="single" w:sz="4" w:space="0" w:color="auto"/>
            </w:tcBorders>
            <w:shd w:val="clear" w:color="auto" w:fill="auto"/>
            <w:noWrap/>
            <w:vAlign w:val="bottom"/>
            <w:hideMark/>
          </w:tcPr>
          <w:p w14:paraId="599EC542"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659</w:t>
            </w:r>
          </w:p>
        </w:tc>
        <w:tc>
          <w:tcPr>
            <w:tcW w:w="0" w:type="auto"/>
            <w:tcBorders>
              <w:top w:val="nil"/>
              <w:left w:val="nil"/>
              <w:bottom w:val="single" w:sz="4" w:space="0" w:color="auto"/>
              <w:right w:val="single" w:sz="4" w:space="0" w:color="auto"/>
            </w:tcBorders>
            <w:shd w:val="clear" w:color="auto" w:fill="auto"/>
            <w:noWrap/>
            <w:vAlign w:val="bottom"/>
            <w:hideMark/>
          </w:tcPr>
          <w:p w14:paraId="3B026080"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392</w:t>
            </w:r>
          </w:p>
        </w:tc>
        <w:tc>
          <w:tcPr>
            <w:tcW w:w="0" w:type="auto"/>
            <w:tcBorders>
              <w:top w:val="nil"/>
              <w:left w:val="nil"/>
              <w:bottom w:val="single" w:sz="4" w:space="0" w:color="auto"/>
              <w:right w:val="single" w:sz="4" w:space="0" w:color="auto"/>
            </w:tcBorders>
            <w:shd w:val="clear" w:color="auto" w:fill="auto"/>
            <w:noWrap/>
            <w:vAlign w:val="bottom"/>
            <w:hideMark/>
          </w:tcPr>
          <w:p w14:paraId="653CDB13"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59%</w:t>
            </w:r>
          </w:p>
        </w:tc>
        <w:tc>
          <w:tcPr>
            <w:tcW w:w="0" w:type="auto"/>
            <w:tcBorders>
              <w:top w:val="nil"/>
              <w:left w:val="nil"/>
              <w:bottom w:val="single" w:sz="4" w:space="0" w:color="auto"/>
              <w:right w:val="single" w:sz="4" w:space="0" w:color="auto"/>
            </w:tcBorders>
            <w:shd w:val="clear" w:color="auto" w:fill="auto"/>
            <w:noWrap/>
            <w:vAlign w:val="bottom"/>
            <w:hideMark/>
          </w:tcPr>
          <w:p w14:paraId="6AAD5A2A"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381</w:t>
            </w:r>
          </w:p>
        </w:tc>
        <w:tc>
          <w:tcPr>
            <w:tcW w:w="0" w:type="auto"/>
            <w:tcBorders>
              <w:top w:val="nil"/>
              <w:left w:val="nil"/>
              <w:bottom w:val="single" w:sz="4" w:space="0" w:color="auto"/>
              <w:right w:val="single" w:sz="4" w:space="0" w:color="auto"/>
            </w:tcBorders>
            <w:shd w:val="clear" w:color="auto" w:fill="auto"/>
            <w:noWrap/>
            <w:vAlign w:val="bottom"/>
            <w:hideMark/>
          </w:tcPr>
          <w:p w14:paraId="1768FD8A"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(97.2)</w:t>
            </w:r>
          </w:p>
        </w:tc>
        <w:tc>
          <w:tcPr>
            <w:tcW w:w="0" w:type="auto"/>
            <w:tcBorders>
              <w:top w:val="nil"/>
              <w:left w:val="nil"/>
              <w:bottom w:val="single" w:sz="4" w:space="0" w:color="auto"/>
              <w:right w:val="single" w:sz="4" w:space="0" w:color="auto"/>
            </w:tcBorders>
            <w:shd w:val="clear" w:color="auto" w:fill="auto"/>
            <w:noWrap/>
            <w:vAlign w:val="bottom"/>
            <w:hideMark/>
          </w:tcPr>
          <w:p w14:paraId="31D34969"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8</w:t>
            </w:r>
          </w:p>
        </w:tc>
        <w:tc>
          <w:tcPr>
            <w:tcW w:w="0" w:type="auto"/>
            <w:tcBorders>
              <w:top w:val="nil"/>
              <w:left w:val="nil"/>
              <w:bottom w:val="single" w:sz="4" w:space="0" w:color="auto"/>
              <w:right w:val="single" w:sz="4" w:space="0" w:color="auto"/>
            </w:tcBorders>
            <w:shd w:val="clear" w:color="auto" w:fill="auto"/>
            <w:noWrap/>
            <w:vAlign w:val="bottom"/>
            <w:hideMark/>
          </w:tcPr>
          <w:p w14:paraId="11B4166B"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(2.0)</w:t>
            </w:r>
          </w:p>
        </w:tc>
        <w:tc>
          <w:tcPr>
            <w:tcW w:w="0" w:type="auto"/>
            <w:tcBorders>
              <w:top w:val="nil"/>
              <w:left w:val="nil"/>
              <w:bottom w:val="single" w:sz="4" w:space="0" w:color="auto"/>
              <w:right w:val="single" w:sz="4" w:space="0" w:color="auto"/>
            </w:tcBorders>
            <w:shd w:val="clear" w:color="auto" w:fill="auto"/>
            <w:noWrap/>
            <w:vAlign w:val="bottom"/>
            <w:hideMark/>
          </w:tcPr>
          <w:p w14:paraId="44CCAF1C"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7B668D66"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284B8628"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746668FF"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17D6EEE2"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2B970B7A"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5CA003B6"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01BB4665"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08884C0A"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70%</w:t>
            </w:r>
          </w:p>
        </w:tc>
      </w:tr>
      <w:tr w:rsidR="0067156B" w:rsidRPr="00BA48F1" w14:paraId="223B94FF" w14:textId="77777777" w:rsidTr="0067156B">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11C5727"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WELLESLEY</w:t>
            </w:r>
          </w:p>
        </w:tc>
        <w:tc>
          <w:tcPr>
            <w:tcW w:w="0" w:type="auto"/>
            <w:tcBorders>
              <w:top w:val="nil"/>
              <w:left w:val="nil"/>
              <w:bottom w:val="single" w:sz="4" w:space="0" w:color="auto"/>
              <w:right w:val="single" w:sz="4" w:space="0" w:color="auto"/>
            </w:tcBorders>
            <w:shd w:val="clear" w:color="auto" w:fill="auto"/>
            <w:noWrap/>
            <w:vAlign w:val="bottom"/>
            <w:hideMark/>
          </w:tcPr>
          <w:p w14:paraId="07482A18"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1,140</w:t>
            </w:r>
          </w:p>
        </w:tc>
        <w:tc>
          <w:tcPr>
            <w:tcW w:w="0" w:type="auto"/>
            <w:tcBorders>
              <w:top w:val="nil"/>
              <w:left w:val="nil"/>
              <w:bottom w:val="single" w:sz="4" w:space="0" w:color="auto"/>
              <w:right w:val="single" w:sz="4" w:space="0" w:color="auto"/>
            </w:tcBorders>
            <w:shd w:val="clear" w:color="auto" w:fill="auto"/>
            <w:noWrap/>
            <w:vAlign w:val="bottom"/>
            <w:hideMark/>
          </w:tcPr>
          <w:p w14:paraId="768393A9"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530</w:t>
            </w:r>
          </w:p>
        </w:tc>
        <w:tc>
          <w:tcPr>
            <w:tcW w:w="0" w:type="auto"/>
            <w:tcBorders>
              <w:top w:val="nil"/>
              <w:left w:val="nil"/>
              <w:bottom w:val="single" w:sz="4" w:space="0" w:color="auto"/>
              <w:right w:val="single" w:sz="4" w:space="0" w:color="auto"/>
            </w:tcBorders>
            <w:shd w:val="clear" w:color="auto" w:fill="auto"/>
            <w:noWrap/>
            <w:vAlign w:val="bottom"/>
            <w:hideMark/>
          </w:tcPr>
          <w:p w14:paraId="30C4BC65"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46%</w:t>
            </w:r>
          </w:p>
        </w:tc>
        <w:tc>
          <w:tcPr>
            <w:tcW w:w="0" w:type="auto"/>
            <w:tcBorders>
              <w:top w:val="nil"/>
              <w:left w:val="nil"/>
              <w:bottom w:val="single" w:sz="4" w:space="0" w:color="auto"/>
              <w:right w:val="single" w:sz="4" w:space="0" w:color="auto"/>
            </w:tcBorders>
            <w:shd w:val="clear" w:color="auto" w:fill="auto"/>
            <w:noWrap/>
            <w:vAlign w:val="bottom"/>
            <w:hideMark/>
          </w:tcPr>
          <w:p w14:paraId="067C4E3B"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528</w:t>
            </w:r>
          </w:p>
        </w:tc>
        <w:tc>
          <w:tcPr>
            <w:tcW w:w="0" w:type="auto"/>
            <w:tcBorders>
              <w:top w:val="nil"/>
              <w:left w:val="nil"/>
              <w:bottom w:val="single" w:sz="4" w:space="0" w:color="auto"/>
              <w:right w:val="single" w:sz="4" w:space="0" w:color="auto"/>
            </w:tcBorders>
            <w:shd w:val="clear" w:color="auto" w:fill="auto"/>
            <w:noWrap/>
            <w:vAlign w:val="bottom"/>
            <w:hideMark/>
          </w:tcPr>
          <w:p w14:paraId="69D1D13F"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(99.6)</w:t>
            </w:r>
          </w:p>
        </w:tc>
        <w:tc>
          <w:tcPr>
            <w:tcW w:w="0" w:type="auto"/>
            <w:tcBorders>
              <w:top w:val="nil"/>
              <w:left w:val="nil"/>
              <w:bottom w:val="single" w:sz="4" w:space="0" w:color="auto"/>
              <w:right w:val="single" w:sz="4" w:space="0" w:color="auto"/>
            </w:tcBorders>
            <w:shd w:val="clear" w:color="auto" w:fill="auto"/>
            <w:noWrap/>
            <w:vAlign w:val="bottom"/>
            <w:hideMark/>
          </w:tcPr>
          <w:p w14:paraId="31555759"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3204B5AB"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79BA2DC5"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767AD7CC"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61B5A96A"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11312E8A"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26D30E3F"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09D63D83"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7B028E06"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2C0F684E"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66213001"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77%</w:t>
            </w:r>
          </w:p>
        </w:tc>
      </w:tr>
      <w:tr w:rsidR="0067156B" w:rsidRPr="00BA48F1" w14:paraId="1D41688F" w14:textId="77777777" w:rsidTr="0067156B">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2CFAD10"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WELLFLEET</w:t>
            </w:r>
          </w:p>
        </w:tc>
        <w:tc>
          <w:tcPr>
            <w:tcW w:w="0" w:type="auto"/>
            <w:tcBorders>
              <w:top w:val="nil"/>
              <w:left w:val="nil"/>
              <w:bottom w:val="single" w:sz="4" w:space="0" w:color="auto"/>
              <w:right w:val="single" w:sz="4" w:space="0" w:color="auto"/>
            </w:tcBorders>
            <w:shd w:val="clear" w:color="auto" w:fill="auto"/>
            <w:noWrap/>
            <w:vAlign w:val="bottom"/>
            <w:hideMark/>
          </w:tcPr>
          <w:p w14:paraId="542F2204"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43</w:t>
            </w:r>
          </w:p>
        </w:tc>
        <w:tc>
          <w:tcPr>
            <w:tcW w:w="0" w:type="auto"/>
            <w:tcBorders>
              <w:top w:val="nil"/>
              <w:left w:val="nil"/>
              <w:bottom w:val="single" w:sz="4" w:space="0" w:color="auto"/>
              <w:right w:val="single" w:sz="4" w:space="0" w:color="auto"/>
            </w:tcBorders>
            <w:shd w:val="clear" w:color="auto" w:fill="auto"/>
            <w:noWrap/>
            <w:vAlign w:val="bottom"/>
            <w:hideMark/>
          </w:tcPr>
          <w:p w14:paraId="2F38E02D"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18</w:t>
            </w:r>
          </w:p>
        </w:tc>
        <w:tc>
          <w:tcPr>
            <w:tcW w:w="0" w:type="auto"/>
            <w:tcBorders>
              <w:top w:val="nil"/>
              <w:left w:val="nil"/>
              <w:bottom w:val="single" w:sz="4" w:space="0" w:color="auto"/>
              <w:right w:val="single" w:sz="4" w:space="0" w:color="auto"/>
            </w:tcBorders>
            <w:shd w:val="clear" w:color="auto" w:fill="auto"/>
            <w:noWrap/>
            <w:vAlign w:val="bottom"/>
            <w:hideMark/>
          </w:tcPr>
          <w:p w14:paraId="33FCE754"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42%</w:t>
            </w:r>
          </w:p>
        </w:tc>
        <w:tc>
          <w:tcPr>
            <w:tcW w:w="0" w:type="auto"/>
            <w:tcBorders>
              <w:top w:val="nil"/>
              <w:left w:val="nil"/>
              <w:bottom w:val="single" w:sz="4" w:space="0" w:color="auto"/>
              <w:right w:val="single" w:sz="4" w:space="0" w:color="auto"/>
            </w:tcBorders>
            <w:shd w:val="clear" w:color="auto" w:fill="auto"/>
            <w:noWrap/>
            <w:vAlign w:val="bottom"/>
            <w:hideMark/>
          </w:tcPr>
          <w:p w14:paraId="08435836"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17</w:t>
            </w:r>
          </w:p>
        </w:tc>
        <w:tc>
          <w:tcPr>
            <w:tcW w:w="0" w:type="auto"/>
            <w:tcBorders>
              <w:top w:val="nil"/>
              <w:left w:val="nil"/>
              <w:bottom w:val="single" w:sz="4" w:space="0" w:color="auto"/>
              <w:right w:val="single" w:sz="4" w:space="0" w:color="auto"/>
            </w:tcBorders>
            <w:shd w:val="clear" w:color="auto" w:fill="auto"/>
            <w:noWrap/>
            <w:vAlign w:val="bottom"/>
            <w:hideMark/>
          </w:tcPr>
          <w:p w14:paraId="1A9BC92A"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(94.4)</w:t>
            </w:r>
          </w:p>
        </w:tc>
        <w:tc>
          <w:tcPr>
            <w:tcW w:w="0" w:type="auto"/>
            <w:tcBorders>
              <w:top w:val="nil"/>
              <w:left w:val="nil"/>
              <w:bottom w:val="single" w:sz="4" w:space="0" w:color="auto"/>
              <w:right w:val="single" w:sz="4" w:space="0" w:color="auto"/>
            </w:tcBorders>
            <w:shd w:val="clear" w:color="auto" w:fill="auto"/>
            <w:noWrap/>
            <w:vAlign w:val="bottom"/>
            <w:hideMark/>
          </w:tcPr>
          <w:p w14:paraId="658116EA"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2458F3DD"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03902B7F"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4CE1622E"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7D805DA4"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4095621A"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3DE14D4C"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075F2BE3"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69235DAF"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0CCDE196"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5153F741"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53%</w:t>
            </w:r>
          </w:p>
        </w:tc>
      </w:tr>
      <w:tr w:rsidR="0067156B" w:rsidRPr="00BA48F1" w14:paraId="7110D37D" w14:textId="77777777" w:rsidTr="0067156B">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154F7A9"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WENDELL</w:t>
            </w:r>
          </w:p>
        </w:tc>
        <w:tc>
          <w:tcPr>
            <w:tcW w:w="0" w:type="auto"/>
            <w:tcBorders>
              <w:top w:val="nil"/>
              <w:left w:val="nil"/>
              <w:bottom w:val="single" w:sz="4" w:space="0" w:color="auto"/>
              <w:right w:val="single" w:sz="4" w:space="0" w:color="auto"/>
            </w:tcBorders>
            <w:shd w:val="clear" w:color="auto" w:fill="auto"/>
            <w:noWrap/>
            <w:vAlign w:val="bottom"/>
            <w:hideMark/>
          </w:tcPr>
          <w:p w14:paraId="63ADF3B2"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17</w:t>
            </w:r>
          </w:p>
        </w:tc>
        <w:tc>
          <w:tcPr>
            <w:tcW w:w="0" w:type="auto"/>
            <w:tcBorders>
              <w:top w:val="nil"/>
              <w:left w:val="nil"/>
              <w:bottom w:val="single" w:sz="4" w:space="0" w:color="auto"/>
              <w:right w:val="single" w:sz="4" w:space="0" w:color="auto"/>
            </w:tcBorders>
            <w:shd w:val="clear" w:color="auto" w:fill="auto"/>
            <w:noWrap/>
            <w:vAlign w:val="bottom"/>
            <w:hideMark/>
          </w:tcPr>
          <w:p w14:paraId="236AE3AF"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6</w:t>
            </w:r>
          </w:p>
        </w:tc>
        <w:tc>
          <w:tcPr>
            <w:tcW w:w="0" w:type="auto"/>
            <w:tcBorders>
              <w:top w:val="nil"/>
              <w:left w:val="nil"/>
              <w:bottom w:val="single" w:sz="4" w:space="0" w:color="auto"/>
              <w:right w:val="single" w:sz="4" w:space="0" w:color="auto"/>
            </w:tcBorders>
            <w:shd w:val="clear" w:color="auto" w:fill="auto"/>
            <w:noWrap/>
            <w:vAlign w:val="bottom"/>
            <w:hideMark/>
          </w:tcPr>
          <w:p w14:paraId="56AD7941"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35%</w:t>
            </w:r>
          </w:p>
        </w:tc>
        <w:tc>
          <w:tcPr>
            <w:tcW w:w="0" w:type="auto"/>
            <w:tcBorders>
              <w:top w:val="nil"/>
              <w:left w:val="nil"/>
              <w:bottom w:val="single" w:sz="4" w:space="0" w:color="auto"/>
              <w:right w:val="single" w:sz="4" w:space="0" w:color="auto"/>
            </w:tcBorders>
            <w:shd w:val="clear" w:color="auto" w:fill="auto"/>
            <w:noWrap/>
            <w:vAlign w:val="bottom"/>
            <w:hideMark/>
          </w:tcPr>
          <w:p w14:paraId="581193CB"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6</w:t>
            </w:r>
          </w:p>
        </w:tc>
        <w:tc>
          <w:tcPr>
            <w:tcW w:w="0" w:type="auto"/>
            <w:tcBorders>
              <w:top w:val="nil"/>
              <w:left w:val="nil"/>
              <w:bottom w:val="single" w:sz="4" w:space="0" w:color="auto"/>
              <w:right w:val="single" w:sz="4" w:space="0" w:color="auto"/>
            </w:tcBorders>
            <w:shd w:val="clear" w:color="auto" w:fill="auto"/>
            <w:noWrap/>
            <w:vAlign w:val="bottom"/>
            <w:hideMark/>
          </w:tcPr>
          <w:p w14:paraId="355FC324"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(100.0)</w:t>
            </w:r>
          </w:p>
        </w:tc>
        <w:tc>
          <w:tcPr>
            <w:tcW w:w="0" w:type="auto"/>
            <w:tcBorders>
              <w:top w:val="nil"/>
              <w:left w:val="nil"/>
              <w:bottom w:val="single" w:sz="4" w:space="0" w:color="auto"/>
              <w:right w:val="single" w:sz="4" w:space="0" w:color="auto"/>
            </w:tcBorders>
            <w:shd w:val="clear" w:color="auto" w:fill="auto"/>
            <w:noWrap/>
            <w:vAlign w:val="bottom"/>
            <w:hideMark/>
          </w:tcPr>
          <w:p w14:paraId="35CE013D"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3B124DBD"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483D1790"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6ABDC939"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0DDD8EB7"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07B8B164"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5379F190"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08350FE9"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76B01503"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5C231D35"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4A2463AD"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44%</w:t>
            </w:r>
          </w:p>
        </w:tc>
      </w:tr>
      <w:tr w:rsidR="0067156B" w:rsidRPr="00BA48F1" w14:paraId="40A63A50" w14:textId="77777777" w:rsidTr="0067156B">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D8E54FA"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WENHAM</w:t>
            </w:r>
          </w:p>
        </w:tc>
        <w:tc>
          <w:tcPr>
            <w:tcW w:w="0" w:type="auto"/>
            <w:tcBorders>
              <w:top w:val="nil"/>
              <w:left w:val="nil"/>
              <w:bottom w:val="single" w:sz="4" w:space="0" w:color="auto"/>
              <w:right w:val="single" w:sz="4" w:space="0" w:color="auto"/>
            </w:tcBorders>
            <w:shd w:val="clear" w:color="auto" w:fill="auto"/>
            <w:noWrap/>
            <w:vAlign w:val="bottom"/>
            <w:hideMark/>
          </w:tcPr>
          <w:p w14:paraId="485ECA52"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94</w:t>
            </w:r>
          </w:p>
        </w:tc>
        <w:tc>
          <w:tcPr>
            <w:tcW w:w="0" w:type="auto"/>
            <w:tcBorders>
              <w:top w:val="nil"/>
              <w:left w:val="nil"/>
              <w:bottom w:val="single" w:sz="4" w:space="0" w:color="auto"/>
              <w:right w:val="single" w:sz="4" w:space="0" w:color="auto"/>
            </w:tcBorders>
            <w:shd w:val="clear" w:color="auto" w:fill="auto"/>
            <w:noWrap/>
            <w:vAlign w:val="bottom"/>
            <w:hideMark/>
          </w:tcPr>
          <w:p w14:paraId="77847AE9"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95</w:t>
            </w:r>
          </w:p>
        </w:tc>
        <w:tc>
          <w:tcPr>
            <w:tcW w:w="0" w:type="auto"/>
            <w:tcBorders>
              <w:top w:val="nil"/>
              <w:left w:val="nil"/>
              <w:bottom w:val="single" w:sz="4" w:space="0" w:color="auto"/>
              <w:right w:val="single" w:sz="4" w:space="0" w:color="auto"/>
            </w:tcBorders>
            <w:shd w:val="clear" w:color="auto" w:fill="auto"/>
            <w:noWrap/>
            <w:vAlign w:val="bottom"/>
            <w:hideMark/>
          </w:tcPr>
          <w:p w14:paraId="306C35A8"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&gt;99%</w:t>
            </w:r>
          </w:p>
        </w:tc>
        <w:tc>
          <w:tcPr>
            <w:tcW w:w="0" w:type="auto"/>
            <w:tcBorders>
              <w:top w:val="nil"/>
              <w:left w:val="nil"/>
              <w:bottom w:val="single" w:sz="4" w:space="0" w:color="auto"/>
              <w:right w:val="single" w:sz="4" w:space="0" w:color="auto"/>
            </w:tcBorders>
            <w:shd w:val="clear" w:color="auto" w:fill="auto"/>
            <w:noWrap/>
            <w:vAlign w:val="bottom"/>
            <w:hideMark/>
          </w:tcPr>
          <w:p w14:paraId="42532EFF"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94</w:t>
            </w:r>
          </w:p>
        </w:tc>
        <w:tc>
          <w:tcPr>
            <w:tcW w:w="0" w:type="auto"/>
            <w:tcBorders>
              <w:top w:val="nil"/>
              <w:left w:val="nil"/>
              <w:bottom w:val="single" w:sz="4" w:space="0" w:color="auto"/>
              <w:right w:val="single" w:sz="4" w:space="0" w:color="auto"/>
            </w:tcBorders>
            <w:shd w:val="clear" w:color="auto" w:fill="auto"/>
            <w:noWrap/>
            <w:vAlign w:val="bottom"/>
            <w:hideMark/>
          </w:tcPr>
          <w:p w14:paraId="0C3EB2A0"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(98.9)</w:t>
            </w:r>
          </w:p>
        </w:tc>
        <w:tc>
          <w:tcPr>
            <w:tcW w:w="0" w:type="auto"/>
            <w:tcBorders>
              <w:top w:val="nil"/>
              <w:left w:val="nil"/>
              <w:bottom w:val="single" w:sz="4" w:space="0" w:color="auto"/>
              <w:right w:val="single" w:sz="4" w:space="0" w:color="auto"/>
            </w:tcBorders>
            <w:shd w:val="clear" w:color="auto" w:fill="auto"/>
            <w:noWrap/>
            <w:vAlign w:val="bottom"/>
            <w:hideMark/>
          </w:tcPr>
          <w:p w14:paraId="5C574A43"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1BC8D7A4"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03056641"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01307D85"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3C4C09BF"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4C1EB83A"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518E599E"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5D10E65A"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6C61F05F"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044F5903"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73167C2A"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70%</w:t>
            </w:r>
          </w:p>
        </w:tc>
      </w:tr>
      <w:tr w:rsidR="0067156B" w:rsidRPr="00BA48F1" w14:paraId="7D7C5EBD" w14:textId="77777777" w:rsidTr="0067156B">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417EDFF"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WEST BOYLSTON</w:t>
            </w:r>
          </w:p>
        </w:tc>
        <w:tc>
          <w:tcPr>
            <w:tcW w:w="0" w:type="auto"/>
            <w:tcBorders>
              <w:top w:val="nil"/>
              <w:left w:val="nil"/>
              <w:bottom w:val="single" w:sz="4" w:space="0" w:color="auto"/>
              <w:right w:val="single" w:sz="4" w:space="0" w:color="auto"/>
            </w:tcBorders>
            <w:shd w:val="clear" w:color="auto" w:fill="auto"/>
            <w:noWrap/>
            <w:vAlign w:val="bottom"/>
            <w:hideMark/>
          </w:tcPr>
          <w:p w14:paraId="65122ECB"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176</w:t>
            </w:r>
          </w:p>
        </w:tc>
        <w:tc>
          <w:tcPr>
            <w:tcW w:w="0" w:type="auto"/>
            <w:tcBorders>
              <w:top w:val="nil"/>
              <w:left w:val="nil"/>
              <w:bottom w:val="single" w:sz="4" w:space="0" w:color="auto"/>
              <w:right w:val="single" w:sz="4" w:space="0" w:color="auto"/>
            </w:tcBorders>
            <w:shd w:val="clear" w:color="auto" w:fill="auto"/>
            <w:noWrap/>
            <w:vAlign w:val="bottom"/>
            <w:hideMark/>
          </w:tcPr>
          <w:p w14:paraId="059A15D0"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127</w:t>
            </w:r>
          </w:p>
        </w:tc>
        <w:tc>
          <w:tcPr>
            <w:tcW w:w="0" w:type="auto"/>
            <w:tcBorders>
              <w:top w:val="nil"/>
              <w:left w:val="nil"/>
              <w:bottom w:val="single" w:sz="4" w:space="0" w:color="auto"/>
              <w:right w:val="single" w:sz="4" w:space="0" w:color="auto"/>
            </w:tcBorders>
            <w:shd w:val="clear" w:color="auto" w:fill="auto"/>
            <w:noWrap/>
            <w:vAlign w:val="bottom"/>
            <w:hideMark/>
          </w:tcPr>
          <w:p w14:paraId="03438DE7"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72%</w:t>
            </w:r>
          </w:p>
        </w:tc>
        <w:tc>
          <w:tcPr>
            <w:tcW w:w="0" w:type="auto"/>
            <w:tcBorders>
              <w:top w:val="nil"/>
              <w:left w:val="nil"/>
              <w:bottom w:val="single" w:sz="4" w:space="0" w:color="auto"/>
              <w:right w:val="single" w:sz="4" w:space="0" w:color="auto"/>
            </w:tcBorders>
            <w:shd w:val="clear" w:color="auto" w:fill="auto"/>
            <w:noWrap/>
            <w:vAlign w:val="bottom"/>
            <w:hideMark/>
          </w:tcPr>
          <w:p w14:paraId="51A79961"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126</w:t>
            </w:r>
          </w:p>
        </w:tc>
        <w:tc>
          <w:tcPr>
            <w:tcW w:w="0" w:type="auto"/>
            <w:tcBorders>
              <w:top w:val="nil"/>
              <w:left w:val="nil"/>
              <w:bottom w:val="single" w:sz="4" w:space="0" w:color="auto"/>
              <w:right w:val="single" w:sz="4" w:space="0" w:color="auto"/>
            </w:tcBorders>
            <w:shd w:val="clear" w:color="auto" w:fill="auto"/>
            <w:noWrap/>
            <w:vAlign w:val="bottom"/>
            <w:hideMark/>
          </w:tcPr>
          <w:p w14:paraId="25B3FC81"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(99.2)</w:t>
            </w:r>
          </w:p>
        </w:tc>
        <w:tc>
          <w:tcPr>
            <w:tcW w:w="0" w:type="auto"/>
            <w:tcBorders>
              <w:top w:val="nil"/>
              <w:left w:val="nil"/>
              <w:bottom w:val="single" w:sz="4" w:space="0" w:color="auto"/>
              <w:right w:val="single" w:sz="4" w:space="0" w:color="auto"/>
            </w:tcBorders>
            <w:shd w:val="clear" w:color="auto" w:fill="auto"/>
            <w:noWrap/>
            <w:vAlign w:val="bottom"/>
            <w:hideMark/>
          </w:tcPr>
          <w:p w14:paraId="04EA9850"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36E1F86D"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16042C64"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3927B40C"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43330148"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16C50798"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1FC0FCEE"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49B3FE77"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19360A6D"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493AC05A"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6DF224D8"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67%</w:t>
            </w:r>
          </w:p>
        </w:tc>
      </w:tr>
      <w:tr w:rsidR="0067156B" w:rsidRPr="00BA48F1" w14:paraId="1B99FE3B" w14:textId="77777777" w:rsidTr="0067156B">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74B64A2"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WEST BRIDGEWATER</w:t>
            </w:r>
          </w:p>
        </w:tc>
        <w:tc>
          <w:tcPr>
            <w:tcW w:w="0" w:type="auto"/>
            <w:tcBorders>
              <w:top w:val="nil"/>
              <w:left w:val="nil"/>
              <w:bottom w:val="single" w:sz="4" w:space="0" w:color="auto"/>
              <w:right w:val="single" w:sz="4" w:space="0" w:color="auto"/>
            </w:tcBorders>
            <w:shd w:val="clear" w:color="auto" w:fill="auto"/>
            <w:noWrap/>
            <w:vAlign w:val="bottom"/>
            <w:hideMark/>
          </w:tcPr>
          <w:p w14:paraId="12606AF4"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204</w:t>
            </w:r>
          </w:p>
        </w:tc>
        <w:tc>
          <w:tcPr>
            <w:tcW w:w="0" w:type="auto"/>
            <w:tcBorders>
              <w:top w:val="nil"/>
              <w:left w:val="nil"/>
              <w:bottom w:val="single" w:sz="4" w:space="0" w:color="auto"/>
              <w:right w:val="single" w:sz="4" w:space="0" w:color="auto"/>
            </w:tcBorders>
            <w:shd w:val="clear" w:color="auto" w:fill="auto"/>
            <w:noWrap/>
            <w:vAlign w:val="bottom"/>
            <w:hideMark/>
          </w:tcPr>
          <w:p w14:paraId="17F3CCCA"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218</w:t>
            </w:r>
          </w:p>
        </w:tc>
        <w:tc>
          <w:tcPr>
            <w:tcW w:w="0" w:type="auto"/>
            <w:tcBorders>
              <w:top w:val="nil"/>
              <w:left w:val="nil"/>
              <w:bottom w:val="single" w:sz="4" w:space="0" w:color="auto"/>
              <w:right w:val="single" w:sz="4" w:space="0" w:color="auto"/>
            </w:tcBorders>
            <w:shd w:val="clear" w:color="auto" w:fill="auto"/>
            <w:noWrap/>
            <w:vAlign w:val="bottom"/>
            <w:hideMark/>
          </w:tcPr>
          <w:p w14:paraId="7F04130F"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&gt;99%</w:t>
            </w:r>
          </w:p>
        </w:tc>
        <w:tc>
          <w:tcPr>
            <w:tcW w:w="0" w:type="auto"/>
            <w:tcBorders>
              <w:top w:val="nil"/>
              <w:left w:val="nil"/>
              <w:bottom w:val="single" w:sz="4" w:space="0" w:color="auto"/>
              <w:right w:val="single" w:sz="4" w:space="0" w:color="auto"/>
            </w:tcBorders>
            <w:shd w:val="clear" w:color="auto" w:fill="auto"/>
            <w:noWrap/>
            <w:vAlign w:val="bottom"/>
            <w:hideMark/>
          </w:tcPr>
          <w:p w14:paraId="5A5C10B2"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216</w:t>
            </w:r>
          </w:p>
        </w:tc>
        <w:tc>
          <w:tcPr>
            <w:tcW w:w="0" w:type="auto"/>
            <w:tcBorders>
              <w:top w:val="nil"/>
              <w:left w:val="nil"/>
              <w:bottom w:val="single" w:sz="4" w:space="0" w:color="auto"/>
              <w:right w:val="single" w:sz="4" w:space="0" w:color="auto"/>
            </w:tcBorders>
            <w:shd w:val="clear" w:color="auto" w:fill="auto"/>
            <w:noWrap/>
            <w:vAlign w:val="bottom"/>
            <w:hideMark/>
          </w:tcPr>
          <w:p w14:paraId="18F96C63"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(99.1)</w:t>
            </w:r>
          </w:p>
        </w:tc>
        <w:tc>
          <w:tcPr>
            <w:tcW w:w="0" w:type="auto"/>
            <w:tcBorders>
              <w:top w:val="nil"/>
              <w:left w:val="nil"/>
              <w:bottom w:val="single" w:sz="4" w:space="0" w:color="auto"/>
              <w:right w:val="single" w:sz="4" w:space="0" w:color="auto"/>
            </w:tcBorders>
            <w:shd w:val="clear" w:color="auto" w:fill="auto"/>
            <w:noWrap/>
            <w:vAlign w:val="bottom"/>
            <w:hideMark/>
          </w:tcPr>
          <w:p w14:paraId="33BFBEC6"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5E067D3B"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39FF2F54"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0DC77CC4"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390A171D"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532577F2"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5F775288"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7FA62084"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233A647C"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122DBEB1"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7FF95760"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71%</w:t>
            </w:r>
          </w:p>
        </w:tc>
      </w:tr>
      <w:tr w:rsidR="0067156B" w:rsidRPr="00BA48F1" w14:paraId="54CD8919" w14:textId="77777777" w:rsidTr="0067156B">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DBAD6C0"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WEST BROOKFIELD</w:t>
            </w:r>
          </w:p>
        </w:tc>
        <w:tc>
          <w:tcPr>
            <w:tcW w:w="0" w:type="auto"/>
            <w:tcBorders>
              <w:top w:val="nil"/>
              <w:left w:val="nil"/>
              <w:bottom w:val="single" w:sz="4" w:space="0" w:color="auto"/>
              <w:right w:val="single" w:sz="4" w:space="0" w:color="auto"/>
            </w:tcBorders>
            <w:shd w:val="clear" w:color="auto" w:fill="auto"/>
            <w:noWrap/>
            <w:vAlign w:val="bottom"/>
            <w:hideMark/>
          </w:tcPr>
          <w:p w14:paraId="03CD823C"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94</w:t>
            </w:r>
          </w:p>
        </w:tc>
        <w:tc>
          <w:tcPr>
            <w:tcW w:w="0" w:type="auto"/>
            <w:tcBorders>
              <w:top w:val="nil"/>
              <w:left w:val="nil"/>
              <w:bottom w:val="single" w:sz="4" w:space="0" w:color="auto"/>
              <w:right w:val="single" w:sz="4" w:space="0" w:color="auto"/>
            </w:tcBorders>
            <w:shd w:val="clear" w:color="auto" w:fill="auto"/>
            <w:noWrap/>
            <w:vAlign w:val="bottom"/>
            <w:hideMark/>
          </w:tcPr>
          <w:p w14:paraId="7E09DC49"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57</w:t>
            </w:r>
          </w:p>
        </w:tc>
        <w:tc>
          <w:tcPr>
            <w:tcW w:w="0" w:type="auto"/>
            <w:tcBorders>
              <w:top w:val="nil"/>
              <w:left w:val="nil"/>
              <w:bottom w:val="single" w:sz="4" w:space="0" w:color="auto"/>
              <w:right w:val="single" w:sz="4" w:space="0" w:color="auto"/>
            </w:tcBorders>
            <w:shd w:val="clear" w:color="auto" w:fill="auto"/>
            <w:noWrap/>
            <w:vAlign w:val="bottom"/>
            <w:hideMark/>
          </w:tcPr>
          <w:p w14:paraId="5B54C7F7"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61%</w:t>
            </w:r>
          </w:p>
        </w:tc>
        <w:tc>
          <w:tcPr>
            <w:tcW w:w="0" w:type="auto"/>
            <w:tcBorders>
              <w:top w:val="nil"/>
              <w:left w:val="nil"/>
              <w:bottom w:val="single" w:sz="4" w:space="0" w:color="auto"/>
              <w:right w:val="single" w:sz="4" w:space="0" w:color="auto"/>
            </w:tcBorders>
            <w:shd w:val="clear" w:color="auto" w:fill="auto"/>
            <w:noWrap/>
            <w:vAlign w:val="bottom"/>
            <w:hideMark/>
          </w:tcPr>
          <w:p w14:paraId="5E883ADA"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57</w:t>
            </w:r>
          </w:p>
        </w:tc>
        <w:tc>
          <w:tcPr>
            <w:tcW w:w="0" w:type="auto"/>
            <w:tcBorders>
              <w:top w:val="nil"/>
              <w:left w:val="nil"/>
              <w:bottom w:val="single" w:sz="4" w:space="0" w:color="auto"/>
              <w:right w:val="single" w:sz="4" w:space="0" w:color="auto"/>
            </w:tcBorders>
            <w:shd w:val="clear" w:color="auto" w:fill="auto"/>
            <w:noWrap/>
            <w:vAlign w:val="bottom"/>
            <w:hideMark/>
          </w:tcPr>
          <w:p w14:paraId="2B469B28"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(100.0)</w:t>
            </w:r>
          </w:p>
        </w:tc>
        <w:tc>
          <w:tcPr>
            <w:tcW w:w="0" w:type="auto"/>
            <w:tcBorders>
              <w:top w:val="nil"/>
              <w:left w:val="nil"/>
              <w:bottom w:val="single" w:sz="4" w:space="0" w:color="auto"/>
              <w:right w:val="single" w:sz="4" w:space="0" w:color="auto"/>
            </w:tcBorders>
            <w:shd w:val="clear" w:color="auto" w:fill="auto"/>
            <w:noWrap/>
            <w:vAlign w:val="bottom"/>
            <w:hideMark/>
          </w:tcPr>
          <w:p w14:paraId="4EBB1ED4"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7B9A87EC"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725D71ED"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05E8816B"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43B9A423"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43DAAA62"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36C73902"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13E2DF8A"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01A6747F"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69CFEAED"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6874682E"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66%</w:t>
            </w:r>
          </w:p>
        </w:tc>
      </w:tr>
      <w:tr w:rsidR="0067156B" w:rsidRPr="00BA48F1" w14:paraId="0FD87EDC" w14:textId="77777777" w:rsidTr="0067156B">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C115C7F"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WEST NEWBURY</w:t>
            </w:r>
          </w:p>
        </w:tc>
        <w:tc>
          <w:tcPr>
            <w:tcW w:w="0" w:type="auto"/>
            <w:tcBorders>
              <w:top w:val="nil"/>
              <w:left w:val="nil"/>
              <w:bottom w:val="single" w:sz="4" w:space="0" w:color="auto"/>
              <w:right w:val="single" w:sz="4" w:space="0" w:color="auto"/>
            </w:tcBorders>
            <w:shd w:val="clear" w:color="auto" w:fill="auto"/>
            <w:noWrap/>
            <w:vAlign w:val="bottom"/>
            <w:hideMark/>
          </w:tcPr>
          <w:p w14:paraId="71165ADC"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95</w:t>
            </w:r>
          </w:p>
        </w:tc>
        <w:tc>
          <w:tcPr>
            <w:tcW w:w="0" w:type="auto"/>
            <w:tcBorders>
              <w:top w:val="nil"/>
              <w:left w:val="nil"/>
              <w:bottom w:val="single" w:sz="4" w:space="0" w:color="auto"/>
              <w:right w:val="single" w:sz="4" w:space="0" w:color="auto"/>
            </w:tcBorders>
            <w:shd w:val="clear" w:color="auto" w:fill="auto"/>
            <w:noWrap/>
            <w:vAlign w:val="bottom"/>
            <w:hideMark/>
          </w:tcPr>
          <w:p w14:paraId="01A8AB54"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99</w:t>
            </w:r>
          </w:p>
        </w:tc>
        <w:tc>
          <w:tcPr>
            <w:tcW w:w="0" w:type="auto"/>
            <w:tcBorders>
              <w:top w:val="nil"/>
              <w:left w:val="nil"/>
              <w:bottom w:val="single" w:sz="4" w:space="0" w:color="auto"/>
              <w:right w:val="single" w:sz="4" w:space="0" w:color="auto"/>
            </w:tcBorders>
            <w:shd w:val="clear" w:color="auto" w:fill="auto"/>
            <w:noWrap/>
            <w:vAlign w:val="bottom"/>
            <w:hideMark/>
          </w:tcPr>
          <w:p w14:paraId="3EC15D4E"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&gt;99%</w:t>
            </w:r>
          </w:p>
        </w:tc>
        <w:tc>
          <w:tcPr>
            <w:tcW w:w="0" w:type="auto"/>
            <w:tcBorders>
              <w:top w:val="nil"/>
              <w:left w:val="nil"/>
              <w:bottom w:val="single" w:sz="4" w:space="0" w:color="auto"/>
              <w:right w:val="single" w:sz="4" w:space="0" w:color="auto"/>
            </w:tcBorders>
            <w:shd w:val="clear" w:color="auto" w:fill="auto"/>
            <w:noWrap/>
            <w:vAlign w:val="bottom"/>
            <w:hideMark/>
          </w:tcPr>
          <w:p w14:paraId="1B253E20"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98</w:t>
            </w:r>
          </w:p>
        </w:tc>
        <w:tc>
          <w:tcPr>
            <w:tcW w:w="0" w:type="auto"/>
            <w:tcBorders>
              <w:top w:val="nil"/>
              <w:left w:val="nil"/>
              <w:bottom w:val="single" w:sz="4" w:space="0" w:color="auto"/>
              <w:right w:val="single" w:sz="4" w:space="0" w:color="auto"/>
            </w:tcBorders>
            <w:shd w:val="clear" w:color="auto" w:fill="auto"/>
            <w:noWrap/>
            <w:vAlign w:val="bottom"/>
            <w:hideMark/>
          </w:tcPr>
          <w:p w14:paraId="7ECD06D2"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(99.0)</w:t>
            </w:r>
          </w:p>
        </w:tc>
        <w:tc>
          <w:tcPr>
            <w:tcW w:w="0" w:type="auto"/>
            <w:tcBorders>
              <w:top w:val="nil"/>
              <w:left w:val="nil"/>
              <w:bottom w:val="single" w:sz="4" w:space="0" w:color="auto"/>
              <w:right w:val="single" w:sz="4" w:space="0" w:color="auto"/>
            </w:tcBorders>
            <w:shd w:val="clear" w:color="auto" w:fill="auto"/>
            <w:noWrap/>
            <w:vAlign w:val="bottom"/>
            <w:hideMark/>
          </w:tcPr>
          <w:p w14:paraId="1A8BA525"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7A4B43D8"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3476B9A5"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49BCB24D"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67111920"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15FDC2B6"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43236AAD"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40C04F48"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2CAE4E3B"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35FBF571"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1E03B8E2"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50%</w:t>
            </w:r>
          </w:p>
        </w:tc>
      </w:tr>
      <w:tr w:rsidR="0067156B" w:rsidRPr="00BA48F1" w14:paraId="6558C990" w14:textId="77777777" w:rsidTr="0067156B">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F877FB5"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WEST SPRINGFIELD</w:t>
            </w:r>
          </w:p>
        </w:tc>
        <w:tc>
          <w:tcPr>
            <w:tcW w:w="0" w:type="auto"/>
            <w:tcBorders>
              <w:top w:val="nil"/>
              <w:left w:val="nil"/>
              <w:bottom w:val="single" w:sz="4" w:space="0" w:color="auto"/>
              <w:right w:val="single" w:sz="4" w:space="0" w:color="auto"/>
            </w:tcBorders>
            <w:shd w:val="clear" w:color="auto" w:fill="auto"/>
            <w:noWrap/>
            <w:vAlign w:val="bottom"/>
            <w:hideMark/>
          </w:tcPr>
          <w:p w14:paraId="0C3B2F07"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1,115</w:t>
            </w:r>
          </w:p>
        </w:tc>
        <w:tc>
          <w:tcPr>
            <w:tcW w:w="0" w:type="auto"/>
            <w:tcBorders>
              <w:top w:val="nil"/>
              <w:left w:val="nil"/>
              <w:bottom w:val="single" w:sz="4" w:space="0" w:color="auto"/>
              <w:right w:val="single" w:sz="4" w:space="0" w:color="auto"/>
            </w:tcBorders>
            <w:shd w:val="clear" w:color="auto" w:fill="auto"/>
            <w:noWrap/>
            <w:vAlign w:val="bottom"/>
            <w:hideMark/>
          </w:tcPr>
          <w:p w14:paraId="5587E526"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592</w:t>
            </w:r>
          </w:p>
        </w:tc>
        <w:tc>
          <w:tcPr>
            <w:tcW w:w="0" w:type="auto"/>
            <w:tcBorders>
              <w:top w:val="nil"/>
              <w:left w:val="nil"/>
              <w:bottom w:val="single" w:sz="4" w:space="0" w:color="auto"/>
              <w:right w:val="single" w:sz="4" w:space="0" w:color="auto"/>
            </w:tcBorders>
            <w:shd w:val="clear" w:color="auto" w:fill="auto"/>
            <w:noWrap/>
            <w:vAlign w:val="bottom"/>
            <w:hideMark/>
          </w:tcPr>
          <w:p w14:paraId="596ED931"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53%</w:t>
            </w:r>
          </w:p>
        </w:tc>
        <w:tc>
          <w:tcPr>
            <w:tcW w:w="0" w:type="auto"/>
            <w:tcBorders>
              <w:top w:val="nil"/>
              <w:left w:val="nil"/>
              <w:bottom w:val="single" w:sz="4" w:space="0" w:color="auto"/>
              <w:right w:val="single" w:sz="4" w:space="0" w:color="auto"/>
            </w:tcBorders>
            <w:shd w:val="clear" w:color="auto" w:fill="auto"/>
            <w:noWrap/>
            <w:vAlign w:val="bottom"/>
            <w:hideMark/>
          </w:tcPr>
          <w:p w14:paraId="0C8F0658"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580</w:t>
            </w:r>
          </w:p>
        </w:tc>
        <w:tc>
          <w:tcPr>
            <w:tcW w:w="0" w:type="auto"/>
            <w:tcBorders>
              <w:top w:val="nil"/>
              <w:left w:val="nil"/>
              <w:bottom w:val="single" w:sz="4" w:space="0" w:color="auto"/>
              <w:right w:val="single" w:sz="4" w:space="0" w:color="auto"/>
            </w:tcBorders>
            <w:shd w:val="clear" w:color="auto" w:fill="auto"/>
            <w:noWrap/>
            <w:vAlign w:val="bottom"/>
            <w:hideMark/>
          </w:tcPr>
          <w:p w14:paraId="65F313C4"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(98.0)</w:t>
            </w:r>
          </w:p>
        </w:tc>
        <w:tc>
          <w:tcPr>
            <w:tcW w:w="0" w:type="auto"/>
            <w:tcBorders>
              <w:top w:val="nil"/>
              <w:left w:val="nil"/>
              <w:bottom w:val="single" w:sz="4" w:space="0" w:color="auto"/>
              <w:right w:val="single" w:sz="4" w:space="0" w:color="auto"/>
            </w:tcBorders>
            <w:shd w:val="clear" w:color="auto" w:fill="auto"/>
            <w:noWrap/>
            <w:vAlign w:val="bottom"/>
            <w:hideMark/>
          </w:tcPr>
          <w:p w14:paraId="394A3014"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8</w:t>
            </w:r>
          </w:p>
        </w:tc>
        <w:tc>
          <w:tcPr>
            <w:tcW w:w="0" w:type="auto"/>
            <w:tcBorders>
              <w:top w:val="nil"/>
              <w:left w:val="nil"/>
              <w:bottom w:val="single" w:sz="4" w:space="0" w:color="auto"/>
              <w:right w:val="single" w:sz="4" w:space="0" w:color="auto"/>
            </w:tcBorders>
            <w:shd w:val="clear" w:color="auto" w:fill="auto"/>
            <w:noWrap/>
            <w:vAlign w:val="bottom"/>
            <w:hideMark/>
          </w:tcPr>
          <w:p w14:paraId="6E233BFD"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(1.4)</w:t>
            </w:r>
          </w:p>
        </w:tc>
        <w:tc>
          <w:tcPr>
            <w:tcW w:w="0" w:type="auto"/>
            <w:tcBorders>
              <w:top w:val="nil"/>
              <w:left w:val="nil"/>
              <w:bottom w:val="single" w:sz="4" w:space="0" w:color="auto"/>
              <w:right w:val="single" w:sz="4" w:space="0" w:color="auto"/>
            </w:tcBorders>
            <w:shd w:val="clear" w:color="auto" w:fill="auto"/>
            <w:noWrap/>
            <w:vAlign w:val="bottom"/>
            <w:hideMark/>
          </w:tcPr>
          <w:p w14:paraId="58C1591C"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0C847F49"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5213CD83"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5CC00B0E"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4E750A93"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10</w:t>
            </w:r>
          </w:p>
        </w:tc>
        <w:tc>
          <w:tcPr>
            <w:tcW w:w="0" w:type="auto"/>
            <w:tcBorders>
              <w:top w:val="nil"/>
              <w:left w:val="nil"/>
              <w:bottom w:val="single" w:sz="4" w:space="0" w:color="auto"/>
              <w:right w:val="single" w:sz="4" w:space="0" w:color="auto"/>
            </w:tcBorders>
            <w:shd w:val="clear" w:color="auto" w:fill="auto"/>
            <w:noWrap/>
            <w:vAlign w:val="bottom"/>
            <w:hideMark/>
          </w:tcPr>
          <w:p w14:paraId="7B239838"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(1.7)</w:t>
            </w:r>
          </w:p>
        </w:tc>
        <w:tc>
          <w:tcPr>
            <w:tcW w:w="0" w:type="auto"/>
            <w:tcBorders>
              <w:top w:val="nil"/>
              <w:left w:val="nil"/>
              <w:bottom w:val="single" w:sz="4" w:space="0" w:color="auto"/>
              <w:right w:val="single" w:sz="4" w:space="0" w:color="auto"/>
            </w:tcBorders>
            <w:shd w:val="clear" w:color="auto" w:fill="auto"/>
            <w:noWrap/>
            <w:vAlign w:val="bottom"/>
            <w:hideMark/>
          </w:tcPr>
          <w:p w14:paraId="1F938EFD"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7AE13016"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2BFEB454"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77%</w:t>
            </w:r>
          </w:p>
        </w:tc>
      </w:tr>
      <w:tr w:rsidR="0067156B" w:rsidRPr="00BA48F1" w14:paraId="3CF830C5" w14:textId="77777777" w:rsidTr="0067156B">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A398B5B"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WEST STOCKBRIDGE</w:t>
            </w:r>
          </w:p>
        </w:tc>
        <w:tc>
          <w:tcPr>
            <w:tcW w:w="0" w:type="auto"/>
            <w:tcBorders>
              <w:top w:val="nil"/>
              <w:left w:val="nil"/>
              <w:bottom w:val="single" w:sz="4" w:space="0" w:color="auto"/>
              <w:right w:val="single" w:sz="4" w:space="0" w:color="auto"/>
            </w:tcBorders>
            <w:shd w:val="clear" w:color="auto" w:fill="auto"/>
            <w:noWrap/>
            <w:vAlign w:val="bottom"/>
            <w:hideMark/>
          </w:tcPr>
          <w:p w14:paraId="2CA3E712"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15</w:t>
            </w:r>
          </w:p>
        </w:tc>
        <w:tc>
          <w:tcPr>
            <w:tcW w:w="0" w:type="auto"/>
            <w:tcBorders>
              <w:top w:val="nil"/>
              <w:left w:val="nil"/>
              <w:bottom w:val="single" w:sz="4" w:space="0" w:color="auto"/>
              <w:right w:val="single" w:sz="4" w:space="0" w:color="auto"/>
            </w:tcBorders>
            <w:shd w:val="clear" w:color="auto" w:fill="auto"/>
            <w:noWrap/>
            <w:vAlign w:val="bottom"/>
            <w:hideMark/>
          </w:tcPr>
          <w:p w14:paraId="26E45C2E"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12</w:t>
            </w:r>
          </w:p>
        </w:tc>
        <w:tc>
          <w:tcPr>
            <w:tcW w:w="0" w:type="auto"/>
            <w:tcBorders>
              <w:top w:val="nil"/>
              <w:left w:val="nil"/>
              <w:bottom w:val="single" w:sz="4" w:space="0" w:color="auto"/>
              <w:right w:val="single" w:sz="4" w:space="0" w:color="auto"/>
            </w:tcBorders>
            <w:shd w:val="clear" w:color="auto" w:fill="auto"/>
            <w:noWrap/>
            <w:vAlign w:val="bottom"/>
            <w:hideMark/>
          </w:tcPr>
          <w:p w14:paraId="21B124DC"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80%</w:t>
            </w:r>
          </w:p>
        </w:tc>
        <w:tc>
          <w:tcPr>
            <w:tcW w:w="0" w:type="auto"/>
            <w:tcBorders>
              <w:top w:val="nil"/>
              <w:left w:val="nil"/>
              <w:bottom w:val="single" w:sz="4" w:space="0" w:color="auto"/>
              <w:right w:val="single" w:sz="4" w:space="0" w:color="auto"/>
            </w:tcBorders>
            <w:shd w:val="clear" w:color="auto" w:fill="auto"/>
            <w:noWrap/>
            <w:vAlign w:val="bottom"/>
            <w:hideMark/>
          </w:tcPr>
          <w:p w14:paraId="23DFBEBA"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12</w:t>
            </w:r>
          </w:p>
        </w:tc>
        <w:tc>
          <w:tcPr>
            <w:tcW w:w="0" w:type="auto"/>
            <w:tcBorders>
              <w:top w:val="nil"/>
              <w:left w:val="nil"/>
              <w:bottom w:val="single" w:sz="4" w:space="0" w:color="auto"/>
              <w:right w:val="single" w:sz="4" w:space="0" w:color="auto"/>
            </w:tcBorders>
            <w:shd w:val="clear" w:color="auto" w:fill="auto"/>
            <w:noWrap/>
            <w:vAlign w:val="bottom"/>
            <w:hideMark/>
          </w:tcPr>
          <w:p w14:paraId="59A49EE4"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(100.0)</w:t>
            </w:r>
          </w:p>
        </w:tc>
        <w:tc>
          <w:tcPr>
            <w:tcW w:w="0" w:type="auto"/>
            <w:tcBorders>
              <w:top w:val="nil"/>
              <w:left w:val="nil"/>
              <w:bottom w:val="single" w:sz="4" w:space="0" w:color="auto"/>
              <w:right w:val="single" w:sz="4" w:space="0" w:color="auto"/>
            </w:tcBorders>
            <w:shd w:val="clear" w:color="auto" w:fill="auto"/>
            <w:noWrap/>
            <w:vAlign w:val="bottom"/>
            <w:hideMark/>
          </w:tcPr>
          <w:p w14:paraId="1B7068F2"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4276D6C5"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641A08A6"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55CAB446"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5C72D7D1"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3CCE4677"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50721F64"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452B2934"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23D87C9F"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4331933D"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5FEA5CD5"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60%</w:t>
            </w:r>
          </w:p>
        </w:tc>
      </w:tr>
      <w:tr w:rsidR="0067156B" w:rsidRPr="00BA48F1" w14:paraId="7951927A" w14:textId="77777777" w:rsidTr="0067156B">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873C3CB"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WEST TISBURY</w:t>
            </w:r>
          </w:p>
        </w:tc>
        <w:tc>
          <w:tcPr>
            <w:tcW w:w="0" w:type="auto"/>
            <w:tcBorders>
              <w:top w:val="nil"/>
              <w:left w:val="nil"/>
              <w:bottom w:val="single" w:sz="4" w:space="0" w:color="auto"/>
              <w:right w:val="single" w:sz="4" w:space="0" w:color="auto"/>
            </w:tcBorders>
            <w:shd w:val="clear" w:color="auto" w:fill="auto"/>
            <w:noWrap/>
            <w:vAlign w:val="bottom"/>
            <w:hideMark/>
          </w:tcPr>
          <w:p w14:paraId="2C2B0E80"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68</w:t>
            </w:r>
          </w:p>
        </w:tc>
        <w:tc>
          <w:tcPr>
            <w:tcW w:w="0" w:type="auto"/>
            <w:tcBorders>
              <w:top w:val="nil"/>
              <w:left w:val="nil"/>
              <w:bottom w:val="single" w:sz="4" w:space="0" w:color="auto"/>
              <w:right w:val="single" w:sz="4" w:space="0" w:color="auto"/>
            </w:tcBorders>
            <w:shd w:val="clear" w:color="auto" w:fill="auto"/>
            <w:noWrap/>
            <w:vAlign w:val="bottom"/>
            <w:hideMark/>
          </w:tcPr>
          <w:p w14:paraId="0AD8107B"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38</w:t>
            </w:r>
          </w:p>
        </w:tc>
        <w:tc>
          <w:tcPr>
            <w:tcW w:w="0" w:type="auto"/>
            <w:tcBorders>
              <w:top w:val="nil"/>
              <w:left w:val="nil"/>
              <w:bottom w:val="single" w:sz="4" w:space="0" w:color="auto"/>
              <w:right w:val="single" w:sz="4" w:space="0" w:color="auto"/>
            </w:tcBorders>
            <w:shd w:val="clear" w:color="auto" w:fill="auto"/>
            <w:noWrap/>
            <w:vAlign w:val="bottom"/>
            <w:hideMark/>
          </w:tcPr>
          <w:p w14:paraId="1DFCF934"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56%</w:t>
            </w:r>
          </w:p>
        </w:tc>
        <w:tc>
          <w:tcPr>
            <w:tcW w:w="0" w:type="auto"/>
            <w:tcBorders>
              <w:top w:val="nil"/>
              <w:left w:val="nil"/>
              <w:bottom w:val="single" w:sz="4" w:space="0" w:color="auto"/>
              <w:right w:val="single" w:sz="4" w:space="0" w:color="auto"/>
            </w:tcBorders>
            <w:shd w:val="clear" w:color="auto" w:fill="auto"/>
            <w:noWrap/>
            <w:vAlign w:val="bottom"/>
            <w:hideMark/>
          </w:tcPr>
          <w:p w14:paraId="0CF1146A"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35</w:t>
            </w:r>
          </w:p>
        </w:tc>
        <w:tc>
          <w:tcPr>
            <w:tcW w:w="0" w:type="auto"/>
            <w:tcBorders>
              <w:top w:val="nil"/>
              <w:left w:val="nil"/>
              <w:bottom w:val="single" w:sz="4" w:space="0" w:color="auto"/>
              <w:right w:val="single" w:sz="4" w:space="0" w:color="auto"/>
            </w:tcBorders>
            <w:shd w:val="clear" w:color="auto" w:fill="auto"/>
            <w:noWrap/>
            <w:vAlign w:val="bottom"/>
            <w:hideMark/>
          </w:tcPr>
          <w:p w14:paraId="17A8D5CA"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(92.1)</w:t>
            </w:r>
          </w:p>
        </w:tc>
        <w:tc>
          <w:tcPr>
            <w:tcW w:w="0" w:type="auto"/>
            <w:tcBorders>
              <w:top w:val="nil"/>
              <w:left w:val="nil"/>
              <w:bottom w:val="single" w:sz="4" w:space="0" w:color="auto"/>
              <w:right w:val="single" w:sz="4" w:space="0" w:color="auto"/>
            </w:tcBorders>
            <w:shd w:val="clear" w:color="auto" w:fill="auto"/>
            <w:noWrap/>
            <w:vAlign w:val="bottom"/>
            <w:hideMark/>
          </w:tcPr>
          <w:p w14:paraId="431E7176"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01F395DC"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78C8D22A"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4B338CC5"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13AC478C"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53418180"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1311FBD2"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33F6657B"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0E9FF062"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28D5AB22"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2812EE6D"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30%</w:t>
            </w:r>
          </w:p>
        </w:tc>
      </w:tr>
      <w:tr w:rsidR="0067156B" w:rsidRPr="00BA48F1" w14:paraId="4F4AE1DC" w14:textId="77777777" w:rsidTr="0067156B">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96D4C14"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WESTBOROUGH</w:t>
            </w:r>
          </w:p>
        </w:tc>
        <w:tc>
          <w:tcPr>
            <w:tcW w:w="0" w:type="auto"/>
            <w:tcBorders>
              <w:top w:val="nil"/>
              <w:left w:val="nil"/>
              <w:bottom w:val="single" w:sz="4" w:space="0" w:color="auto"/>
              <w:right w:val="single" w:sz="4" w:space="0" w:color="auto"/>
            </w:tcBorders>
            <w:shd w:val="clear" w:color="auto" w:fill="auto"/>
            <w:noWrap/>
            <w:vAlign w:val="bottom"/>
            <w:hideMark/>
          </w:tcPr>
          <w:p w14:paraId="010C7B8D"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692</w:t>
            </w:r>
          </w:p>
        </w:tc>
        <w:tc>
          <w:tcPr>
            <w:tcW w:w="0" w:type="auto"/>
            <w:tcBorders>
              <w:top w:val="nil"/>
              <w:left w:val="nil"/>
              <w:bottom w:val="single" w:sz="4" w:space="0" w:color="auto"/>
              <w:right w:val="single" w:sz="4" w:space="0" w:color="auto"/>
            </w:tcBorders>
            <w:shd w:val="clear" w:color="auto" w:fill="auto"/>
            <w:noWrap/>
            <w:vAlign w:val="bottom"/>
            <w:hideMark/>
          </w:tcPr>
          <w:p w14:paraId="56EC935B"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511</w:t>
            </w:r>
          </w:p>
        </w:tc>
        <w:tc>
          <w:tcPr>
            <w:tcW w:w="0" w:type="auto"/>
            <w:tcBorders>
              <w:top w:val="nil"/>
              <w:left w:val="nil"/>
              <w:bottom w:val="single" w:sz="4" w:space="0" w:color="auto"/>
              <w:right w:val="single" w:sz="4" w:space="0" w:color="auto"/>
            </w:tcBorders>
            <w:shd w:val="clear" w:color="auto" w:fill="auto"/>
            <w:noWrap/>
            <w:vAlign w:val="bottom"/>
            <w:hideMark/>
          </w:tcPr>
          <w:p w14:paraId="4CDE00AC"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74%</w:t>
            </w:r>
          </w:p>
        </w:tc>
        <w:tc>
          <w:tcPr>
            <w:tcW w:w="0" w:type="auto"/>
            <w:tcBorders>
              <w:top w:val="nil"/>
              <w:left w:val="nil"/>
              <w:bottom w:val="single" w:sz="4" w:space="0" w:color="auto"/>
              <w:right w:val="single" w:sz="4" w:space="0" w:color="auto"/>
            </w:tcBorders>
            <w:shd w:val="clear" w:color="auto" w:fill="auto"/>
            <w:noWrap/>
            <w:vAlign w:val="bottom"/>
            <w:hideMark/>
          </w:tcPr>
          <w:p w14:paraId="7BCC9A07"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501</w:t>
            </w:r>
          </w:p>
        </w:tc>
        <w:tc>
          <w:tcPr>
            <w:tcW w:w="0" w:type="auto"/>
            <w:tcBorders>
              <w:top w:val="nil"/>
              <w:left w:val="nil"/>
              <w:bottom w:val="single" w:sz="4" w:space="0" w:color="auto"/>
              <w:right w:val="single" w:sz="4" w:space="0" w:color="auto"/>
            </w:tcBorders>
            <w:shd w:val="clear" w:color="auto" w:fill="auto"/>
            <w:noWrap/>
            <w:vAlign w:val="bottom"/>
            <w:hideMark/>
          </w:tcPr>
          <w:p w14:paraId="733DECAF"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(98.0)</w:t>
            </w:r>
          </w:p>
        </w:tc>
        <w:tc>
          <w:tcPr>
            <w:tcW w:w="0" w:type="auto"/>
            <w:tcBorders>
              <w:top w:val="nil"/>
              <w:left w:val="nil"/>
              <w:bottom w:val="single" w:sz="4" w:space="0" w:color="auto"/>
              <w:right w:val="single" w:sz="4" w:space="0" w:color="auto"/>
            </w:tcBorders>
            <w:shd w:val="clear" w:color="auto" w:fill="auto"/>
            <w:noWrap/>
            <w:vAlign w:val="bottom"/>
            <w:hideMark/>
          </w:tcPr>
          <w:p w14:paraId="29ADF661"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9</w:t>
            </w:r>
          </w:p>
        </w:tc>
        <w:tc>
          <w:tcPr>
            <w:tcW w:w="0" w:type="auto"/>
            <w:tcBorders>
              <w:top w:val="nil"/>
              <w:left w:val="nil"/>
              <w:bottom w:val="single" w:sz="4" w:space="0" w:color="auto"/>
              <w:right w:val="single" w:sz="4" w:space="0" w:color="auto"/>
            </w:tcBorders>
            <w:shd w:val="clear" w:color="auto" w:fill="auto"/>
            <w:noWrap/>
            <w:vAlign w:val="bottom"/>
            <w:hideMark/>
          </w:tcPr>
          <w:p w14:paraId="11D1A402"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(1.8)</w:t>
            </w:r>
          </w:p>
        </w:tc>
        <w:tc>
          <w:tcPr>
            <w:tcW w:w="0" w:type="auto"/>
            <w:tcBorders>
              <w:top w:val="nil"/>
              <w:left w:val="nil"/>
              <w:bottom w:val="single" w:sz="4" w:space="0" w:color="auto"/>
              <w:right w:val="single" w:sz="4" w:space="0" w:color="auto"/>
            </w:tcBorders>
            <w:shd w:val="clear" w:color="auto" w:fill="auto"/>
            <w:noWrap/>
            <w:vAlign w:val="bottom"/>
            <w:hideMark/>
          </w:tcPr>
          <w:p w14:paraId="328DA01E"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7E446BFF"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21F01252"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11FB90DC"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7AF0FCD1"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8</w:t>
            </w:r>
          </w:p>
        </w:tc>
        <w:tc>
          <w:tcPr>
            <w:tcW w:w="0" w:type="auto"/>
            <w:tcBorders>
              <w:top w:val="nil"/>
              <w:left w:val="nil"/>
              <w:bottom w:val="single" w:sz="4" w:space="0" w:color="auto"/>
              <w:right w:val="single" w:sz="4" w:space="0" w:color="auto"/>
            </w:tcBorders>
            <w:shd w:val="clear" w:color="auto" w:fill="auto"/>
            <w:noWrap/>
            <w:vAlign w:val="bottom"/>
            <w:hideMark/>
          </w:tcPr>
          <w:p w14:paraId="0A1FE746"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(1.6)</w:t>
            </w:r>
          </w:p>
        </w:tc>
        <w:tc>
          <w:tcPr>
            <w:tcW w:w="0" w:type="auto"/>
            <w:tcBorders>
              <w:top w:val="nil"/>
              <w:left w:val="nil"/>
              <w:bottom w:val="single" w:sz="4" w:space="0" w:color="auto"/>
              <w:right w:val="single" w:sz="4" w:space="0" w:color="auto"/>
            </w:tcBorders>
            <w:shd w:val="clear" w:color="auto" w:fill="auto"/>
            <w:noWrap/>
            <w:vAlign w:val="bottom"/>
            <w:hideMark/>
          </w:tcPr>
          <w:p w14:paraId="04F819F6"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3D08A851"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102DFCE0"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52%</w:t>
            </w:r>
          </w:p>
        </w:tc>
      </w:tr>
      <w:tr w:rsidR="0067156B" w:rsidRPr="00BA48F1" w14:paraId="4DEF7958" w14:textId="77777777" w:rsidTr="0067156B">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6C78F84"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WESTFIELD</w:t>
            </w:r>
          </w:p>
        </w:tc>
        <w:tc>
          <w:tcPr>
            <w:tcW w:w="0" w:type="auto"/>
            <w:tcBorders>
              <w:top w:val="nil"/>
              <w:left w:val="nil"/>
              <w:bottom w:val="single" w:sz="4" w:space="0" w:color="auto"/>
              <w:right w:val="single" w:sz="4" w:space="0" w:color="auto"/>
            </w:tcBorders>
            <w:shd w:val="clear" w:color="auto" w:fill="auto"/>
            <w:noWrap/>
            <w:vAlign w:val="bottom"/>
            <w:hideMark/>
          </w:tcPr>
          <w:p w14:paraId="30D95F38"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1,392</w:t>
            </w:r>
          </w:p>
        </w:tc>
        <w:tc>
          <w:tcPr>
            <w:tcW w:w="0" w:type="auto"/>
            <w:tcBorders>
              <w:top w:val="nil"/>
              <w:left w:val="nil"/>
              <w:bottom w:val="single" w:sz="4" w:space="0" w:color="auto"/>
              <w:right w:val="single" w:sz="4" w:space="0" w:color="auto"/>
            </w:tcBorders>
            <w:shd w:val="clear" w:color="auto" w:fill="auto"/>
            <w:noWrap/>
            <w:vAlign w:val="bottom"/>
            <w:hideMark/>
          </w:tcPr>
          <w:p w14:paraId="1E26BDE3"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654</w:t>
            </w:r>
          </w:p>
        </w:tc>
        <w:tc>
          <w:tcPr>
            <w:tcW w:w="0" w:type="auto"/>
            <w:tcBorders>
              <w:top w:val="nil"/>
              <w:left w:val="nil"/>
              <w:bottom w:val="single" w:sz="4" w:space="0" w:color="auto"/>
              <w:right w:val="single" w:sz="4" w:space="0" w:color="auto"/>
            </w:tcBorders>
            <w:shd w:val="clear" w:color="auto" w:fill="auto"/>
            <w:noWrap/>
            <w:vAlign w:val="bottom"/>
            <w:hideMark/>
          </w:tcPr>
          <w:p w14:paraId="4F4F7F70"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47%</w:t>
            </w:r>
          </w:p>
        </w:tc>
        <w:tc>
          <w:tcPr>
            <w:tcW w:w="0" w:type="auto"/>
            <w:tcBorders>
              <w:top w:val="nil"/>
              <w:left w:val="nil"/>
              <w:bottom w:val="single" w:sz="4" w:space="0" w:color="auto"/>
              <w:right w:val="single" w:sz="4" w:space="0" w:color="auto"/>
            </w:tcBorders>
            <w:shd w:val="clear" w:color="auto" w:fill="auto"/>
            <w:noWrap/>
            <w:vAlign w:val="bottom"/>
            <w:hideMark/>
          </w:tcPr>
          <w:p w14:paraId="37D8BA96"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634</w:t>
            </w:r>
          </w:p>
        </w:tc>
        <w:tc>
          <w:tcPr>
            <w:tcW w:w="0" w:type="auto"/>
            <w:tcBorders>
              <w:top w:val="nil"/>
              <w:left w:val="nil"/>
              <w:bottom w:val="single" w:sz="4" w:space="0" w:color="auto"/>
              <w:right w:val="single" w:sz="4" w:space="0" w:color="auto"/>
            </w:tcBorders>
            <w:shd w:val="clear" w:color="auto" w:fill="auto"/>
            <w:noWrap/>
            <w:vAlign w:val="bottom"/>
            <w:hideMark/>
          </w:tcPr>
          <w:p w14:paraId="107AF09A"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(96.9)</w:t>
            </w:r>
          </w:p>
        </w:tc>
        <w:tc>
          <w:tcPr>
            <w:tcW w:w="0" w:type="auto"/>
            <w:tcBorders>
              <w:top w:val="nil"/>
              <w:left w:val="nil"/>
              <w:bottom w:val="single" w:sz="4" w:space="0" w:color="auto"/>
              <w:right w:val="single" w:sz="4" w:space="0" w:color="auto"/>
            </w:tcBorders>
            <w:shd w:val="clear" w:color="auto" w:fill="auto"/>
            <w:noWrap/>
            <w:vAlign w:val="bottom"/>
            <w:hideMark/>
          </w:tcPr>
          <w:p w14:paraId="576CEAD5"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14</w:t>
            </w:r>
          </w:p>
        </w:tc>
        <w:tc>
          <w:tcPr>
            <w:tcW w:w="0" w:type="auto"/>
            <w:tcBorders>
              <w:top w:val="nil"/>
              <w:left w:val="nil"/>
              <w:bottom w:val="single" w:sz="4" w:space="0" w:color="auto"/>
              <w:right w:val="single" w:sz="4" w:space="0" w:color="auto"/>
            </w:tcBorders>
            <w:shd w:val="clear" w:color="auto" w:fill="auto"/>
            <w:noWrap/>
            <w:vAlign w:val="bottom"/>
            <w:hideMark/>
          </w:tcPr>
          <w:p w14:paraId="0879D1A3"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(2.1)</w:t>
            </w:r>
          </w:p>
        </w:tc>
        <w:tc>
          <w:tcPr>
            <w:tcW w:w="0" w:type="auto"/>
            <w:tcBorders>
              <w:top w:val="nil"/>
              <w:left w:val="nil"/>
              <w:bottom w:val="single" w:sz="4" w:space="0" w:color="auto"/>
              <w:right w:val="single" w:sz="4" w:space="0" w:color="auto"/>
            </w:tcBorders>
            <w:shd w:val="clear" w:color="auto" w:fill="auto"/>
            <w:noWrap/>
            <w:vAlign w:val="bottom"/>
            <w:hideMark/>
          </w:tcPr>
          <w:p w14:paraId="446C0F0A"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6</w:t>
            </w:r>
          </w:p>
        </w:tc>
        <w:tc>
          <w:tcPr>
            <w:tcW w:w="0" w:type="auto"/>
            <w:tcBorders>
              <w:top w:val="nil"/>
              <w:left w:val="nil"/>
              <w:bottom w:val="single" w:sz="4" w:space="0" w:color="auto"/>
              <w:right w:val="single" w:sz="4" w:space="0" w:color="auto"/>
            </w:tcBorders>
            <w:shd w:val="clear" w:color="auto" w:fill="auto"/>
            <w:noWrap/>
            <w:vAlign w:val="bottom"/>
            <w:hideMark/>
          </w:tcPr>
          <w:p w14:paraId="0089CEA6"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(0.9)</w:t>
            </w:r>
          </w:p>
        </w:tc>
        <w:tc>
          <w:tcPr>
            <w:tcW w:w="0" w:type="auto"/>
            <w:tcBorders>
              <w:top w:val="nil"/>
              <w:left w:val="nil"/>
              <w:bottom w:val="single" w:sz="4" w:space="0" w:color="auto"/>
              <w:right w:val="single" w:sz="4" w:space="0" w:color="auto"/>
            </w:tcBorders>
            <w:shd w:val="clear" w:color="auto" w:fill="auto"/>
            <w:noWrap/>
            <w:vAlign w:val="bottom"/>
            <w:hideMark/>
          </w:tcPr>
          <w:p w14:paraId="41C96BE1"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673C6BB5"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13FCE350"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17</w:t>
            </w:r>
          </w:p>
        </w:tc>
        <w:tc>
          <w:tcPr>
            <w:tcW w:w="0" w:type="auto"/>
            <w:tcBorders>
              <w:top w:val="nil"/>
              <w:left w:val="nil"/>
              <w:bottom w:val="single" w:sz="4" w:space="0" w:color="auto"/>
              <w:right w:val="single" w:sz="4" w:space="0" w:color="auto"/>
            </w:tcBorders>
            <w:shd w:val="clear" w:color="auto" w:fill="auto"/>
            <w:noWrap/>
            <w:vAlign w:val="bottom"/>
            <w:hideMark/>
          </w:tcPr>
          <w:p w14:paraId="67A91E65"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(2.6)</w:t>
            </w:r>
          </w:p>
        </w:tc>
        <w:tc>
          <w:tcPr>
            <w:tcW w:w="0" w:type="auto"/>
            <w:tcBorders>
              <w:top w:val="nil"/>
              <w:left w:val="nil"/>
              <w:bottom w:val="single" w:sz="4" w:space="0" w:color="auto"/>
              <w:right w:val="single" w:sz="4" w:space="0" w:color="auto"/>
            </w:tcBorders>
            <w:shd w:val="clear" w:color="auto" w:fill="auto"/>
            <w:noWrap/>
            <w:vAlign w:val="bottom"/>
            <w:hideMark/>
          </w:tcPr>
          <w:p w14:paraId="5DFFFA95"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6</w:t>
            </w:r>
          </w:p>
        </w:tc>
        <w:tc>
          <w:tcPr>
            <w:tcW w:w="0" w:type="auto"/>
            <w:tcBorders>
              <w:top w:val="nil"/>
              <w:left w:val="nil"/>
              <w:bottom w:val="single" w:sz="4" w:space="0" w:color="auto"/>
              <w:right w:val="single" w:sz="4" w:space="0" w:color="auto"/>
            </w:tcBorders>
            <w:shd w:val="clear" w:color="auto" w:fill="auto"/>
            <w:noWrap/>
            <w:vAlign w:val="bottom"/>
            <w:hideMark/>
          </w:tcPr>
          <w:p w14:paraId="403D0391"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(0.9)</w:t>
            </w:r>
          </w:p>
        </w:tc>
        <w:tc>
          <w:tcPr>
            <w:tcW w:w="0" w:type="auto"/>
            <w:tcBorders>
              <w:top w:val="nil"/>
              <w:left w:val="nil"/>
              <w:bottom w:val="single" w:sz="4" w:space="0" w:color="auto"/>
              <w:right w:val="single" w:sz="4" w:space="0" w:color="auto"/>
            </w:tcBorders>
            <w:shd w:val="clear" w:color="auto" w:fill="auto"/>
            <w:noWrap/>
            <w:vAlign w:val="bottom"/>
            <w:hideMark/>
          </w:tcPr>
          <w:p w14:paraId="7FBE988E"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69%</w:t>
            </w:r>
          </w:p>
        </w:tc>
      </w:tr>
      <w:tr w:rsidR="0067156B" w:rsidRPr="00BA48F1" w14:paraId="4AA75E23" w14:textId="77777777" w:rsidTr="0067156B">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70F0540"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WESTFORD</w:t>
            </w:r>
          </w:p>
        </w:tc>
        <w:tc>
          <w:tcPr>
            <w:tcW w:w="0" w:type="auto"/>
            <w:tcBorders>
              <w:top w:val="nil"/>
              <w:left w:val="nil"/>
              <w:bottom w:val="single" w:sz="4" w:space="0" w:color="auto"/>
              <w:right w:val="single" w:sz="4" w:space="0" w:color="auto"/>
            </w:tcBorders>
            <w:shd w:val="clear" w:color="auto" w:fill="auto"/>
            <w:noWrap/>
            <w:vAlign w:val="bottom"/>
            <w:hideMark/>
          </w:tcPr>
          <w:p w14:paraId="164951C0"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660</w:t>
            </w:r>
          </w:p>
        </w:tc>
        <w:tc>
          <w:tcPr>
            <w:tcW w:w="0" w:type="auto"/>
            <w:tcBorders>
              <w:top w:val="nil"/>
              <w:left w:val="nil"/>
              <w:bottom w:val="single" w:sz="4" w:space="0" w:color="auto"/>
              <w:right w:val="single" w:sz="4" w:space="0" w:color="auto"/>
            </w:tcBorders>
            <w:shd w:val="clear" w:color="auto" w:fill="auto"/>
            <w:noWrap/>
            <w:vAlign w:val="bottom"/>
            <w:hideMark/>
          </w:tcPr>
          <w:p w14:paraId="15D20300"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512</w:t>
            </w:r>
          </w:p>
        </w:tc>
        <w:tc>
          <w:tcPr>
            <w:tcW w:w="0" w:type="auto"/>
            <w:tcBorders>
              <w:top w:val="nil"/>
              <w:left w:val="nil"/>
              <w:bottom w:val="single" w:sz="4" w:space="0" w:color="auto"/>
              <w:right w:val="single" w:sz="4" w:space="0" w:color="auto"/>
            </w:tcBorders>
            <w:shd w:val="clear" w:color="auto" w:fill="auto"/>
            <w:noWrap/>
            <w:vAlign w:val="bottom"/>
            <w:hideMark/>
          </w:tcPr>
          <w:p w14:paraId="34C9DF15"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78%</w:t>
            </w:r>
          </w:p>
        </w:tc>
        <w:tc>
          <w:tcPr>
            <w:tcW w:w="0" w:type="auto"/>
            <w:tcBorders>
              <w:top w:val="nil"/>
              <w:left w:val="nil"/>
              <w:bottom w:val="single" w:sz="4" w:space="0" w:color="auto"/>
              <w:right w:val="single" w:sz="4" w:space="0" w:color="auto"/>
            </w:tcBorders>
            <w:shd w:val="clear" w:color="auto" w:fill="auto"/>
            <w:noWrap/>
            <w:vAlign w:val="bottom"/>
            <w:hideMark/>
          </w:tcPr>
          <w:p w14:paraId="3F7FF86E"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506</w:t>
            </w:r>
          </w:p>
        </w:tc>
        <w:tc>
          <w:tcPr>
            <w:tcW w:w="0" w:type="auto"/>
            <w:tcBorders>
              <w:top w:val="nil"/>
              <w:left w:val="nil"/>
              <w:bottom w:val="single" w:sz="4" w:space="0" w:color="auto"/>
              <w:right w:val="single" w:sz="4" w:space="0" w:color="auto"/>
            </w:tcBorders>
            <w:shd w:val="clear" w:color="auto" w:fill="auto"/>
            <w:noWrap/>
            <w:vAlign w:val="bottom"/>
            <w:hideMark/>
          </w:tcPr>
          <w:p w14:paraId="2B6A5899"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(98.8)</w:t>
            </w:r>
          </w:p>
        </w:tc>
        <w:tc>
          <w:tcPr>
            <w:tcW w:w="0" w:type="auto"/>
            <w:tcBorders>
              <w:top w:val="nil"/>
              <w:left w:val="nil"/>
              <w:bottom w:val="single" w:sz="4" w:space="0" w:color="auto"/>
              <w:right w:val="single" w:sz="4" w:space="0" w:color="auto"/>
            </w:tcBorders>
            <w:shd w:val="clear" w:color="auto" w:fill="auto"/>
            <w:noWrap/>
            <w:vAlign w:val="bottom"/>
            <w:hideMark/>
          </w:tcPr>
          <w:p w14:paraId="29D5A7BF"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04910CC7"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4BA3DF39"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68B758A2"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5CD03144"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39FEE58E"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02B948FD"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1931C191"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24DB9F3D"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18789D30"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6632EC7D"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43%</w:t>
            </w:r>
          </w:p>
        </w:tc>
      </w:tr>
      <w:tr w:rsidR="0067156B" w:rsidRPr="00BA48F1" w14:paraId="45E9FBF6" w14:textId="77777777" w:rsidTr="0067156B">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1D33FAE"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WESTHAMPTON</w:t>
            </w:r>
          </w:p>
        </w:tc>
        <w:tc>
          <w:tcPr>
            <w:tcW w:w="0" w:type="auto"/>
            <w:tcBorders>
              <w:top w:val="nil"/>
              <w:left w:val="nil"/>
              <w:bottom w:val="single" w:sz="4" w:space="0" w:color="auto"/>
              <w:right w:val="single" w:sz="4" w:space="0" w:color="auto"/>
            </w:tcBorders>
            <w:shd w:val="clear" w:color="auto" w:fill="auto"/>
            <w:noWrap/>
            <w:vAlign w:val="bottom"/>
            <w:hideMark/>
          </w:tcPr>
          <w:p w14:paraId="703EBD51"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43</w:t>
            </w:r>
          </w:p>
        </w:tc>
        <w:tc>
          <w:tcPr>
            <w:tcW w:w="0" w:type="auto"/>
            <w:tcBorders>
              <w:top w:val="nil"/>
              <w:left w:val="nil"/>
              <w:bottom w:val="single" w:sz="4" w:space="0" w:color="auto"/>
              <w:right w:val="single" w:sz="4" w:space="0" w:color="auto"/>
            </w:tcBorders>
            <w:shd w:val="clear" w:color="auto" w:fill="auto"/>
            <w:noWrap/>
            <w:vAlign w:val="bottom"/>
            <w:hideMark/>
          </w:tcPr>
          <w:p w14:paraId="31F1B4BA"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14</w:t>
            </w:r>
          </w:p>
        </w:tc>
        <w:tc>
          <w:tcPr>
            <w:tcW w:w="0" w:type="auto"/>
            <w:tcBorders>
              <w:top w:val="nil"/>
              <w:left w:val="nil"/>
              <w:bottom w:val="single" w:sz="4" w:space="0" w:color="auto"/>
              <w:right w:val="single" w:sz="4" w:space="0" w:color="auto"/>
            </w:tcBorders>
            <w:shd w:val="clear" w:color="auto" w:fill="auto"/>
            <w:noWrap/>
            <w:vAlign w:val="bottom"/>
            <w:hideMark/>
          </w:tcPr>
          <w:p w14:paraId="20AF176B"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33%</w:t>
            </w:r>
          </w:p>
        </w:tc>
        <w:tc>
          <w:tcPr>
            <w:tcW w:w="0" w:type="auto"/>
            <w:tcBorders>
              <w:top w:val="nil"/>
              <w:left w:val="nil"/>
              <w:bottom w:val="single" w:sz="4" w:space="0" w:color="auto"/>
              <w:right w:val="single" w:sz="4" w:space="0" w:color="auto"/>
            </w:tcBorders>
            <w:shd w:val="clear" w:color="auto" w:fill="auto"/>
            <w:noWrap/>
            <w:vAlign w:val="bottom"/>
            <w:hideMark/>
          </w:tcPr>
          <w:p w14:paraId="78222129"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14</w:t>
            </w:r>
          </w:p>
        </w:tc>
        <w:tc>
          <w:tcPr>
            <w:tcW w:w="0" w:type="auto"/>
            <w:tcBorders>
              <w:top w:val="nil"/>
              <w:left w:val="nil"/>
              <w:bottom w:val="single" w:sz="4" w:space="0" w:color="auto"/>
              <w:right w:val="single" w:sz="4" w:space="0" w:color="auto"/>
            </w:tcBorders>
            <w:shd w:val="clear" w:color="auto" w:fill="auto"/>
            <w:noWrap/>
            <w:vAlign w:val="bottom"/>
            <w:hideMark/>
          </w:tcPr>
          <w:p w14:paraId="505F1210"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(100.0)</w:t>
            </w:r>
          </w:p>
        </w:tc>
        <w:tc>
          <w:tcPr>
            <w:tcW w:w="0" w:type="auto"/>
            <w:tcBorders>
              <w:top w:val="nil"/>
              <w:left w:val="nil"/>
              <w:bottom w:val="single" w:sz="4" w:space="0" w:color="auto"/>
              <w:right w:val="single" w:sz="4" w:space="0" w:color="auto"/>
            </w:tcBorders>
            <w:shd w:val="clear" w:color="auto" w:fill="auto"/>
            <w:noWrap/>
            <w:vAlign w:val="bottom"/>
            <w:hideMark/>
          </w:tcPr>
          <w:p w14:paraId="6A44C681"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6B8022C5"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2DC2CC97"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252F7B6C"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299EAB6A"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4722B86E"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1A0A3346"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145DB9B5"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6AAA0DD9"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18E22769"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370E9800"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56%</w:t>
            </w:r>
          </w:p>
        </w:tc>
      </w:tr>
      <w:tr w:rsidR="0067156B" w:rsidRPr="00BA48F1" w14:paraId="1DF161BF" w14:textId="77777777" w:rsidTr="0067156B">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C73DC8A"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WESTMINSTER</w:t>
            </w:r>
          </w:p>
        </w:tc>
        <w:tc>
          <w:tcPr>
            <w:tcW w:w="0" w:type="auto"/>
            <w:tcBorders>
              <w:top w:val="nil"/>
              <w:left w:val="nil"/>
              <w:bottom w:val="single" w:sz="4" w:space="0" w:color="auto"/>
              <w:right w:val="single" w:sz="4" w:space="0" w:color="auto"/>
            </w:tcBorders>
            <w:shd w:val="clear" w:color="auto" w:fill="auto"/>
            <w:noWrap/>
            <w:vAlign w:val="bottom"/>
            <w:hideMark/>
          </w:tcPr>
          <w:p w14:paraId="43E0819C"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190</w:t>
            </w:r>
          </w:p>
        </w:tc>
        <w:tc>
          <w:tcPr>
            <w:tcW w:w="0" w:type="auto"/>
            <w:tcBorders>
              <w:top w:val="nil"/>
              <w:left w:val="nil"/>
              <w:bottom w:val="single" w:sz="4" w:space="0" w:color="auto"/>
              <w:right w:val="single" w:sz="4" w:space="0" w:color="auto"/>
            </w:tcBorders>
            <w:shd w:val="clear" w:color="auto" w:fill="auto"/>
            <w:noWrap/>
            <w:vAlign w:val="bottom"/>
            <w:hideMark/>
          </w:tcPr>
          <w:p w14:paraId="16D91198"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164</w:t>
            </w:r>
          </w:p>
        </w:tc>
        <w:tc>
          <w:tcPr>
            <w:tcW w:w="0" w:type="auto"/>
            <w:tcBorders>
              <w:top w:val="nil"/>
              <w:left w:val="nil"/>
              <w:bottom w:val="single" w:sz="4" w:space="0" w:color="auto"/>
              <w:right w:val="single" w:sz="4" w:space="0" w:color="auto"/>
            </w:tcBorders>
            <w:shd w:val="clear" w:color="auto" w:fill="auto"/>
            <w:noWrap/>
            <w:vAlign w:val="bottom"/>
            <w:hideMark/>
          </w:tcPr>
          <w:p w14:paraId="2084B87B"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86%</w:t>
            </w:r>
          </w:p>
        </w:tc>
        <w:tc>
          <w:tcPr>
            <w:tcW w:w="0" w:type="auto"/>
            <w:tcBorders>
              <w:top w:val="nil"/>
              <w:left w:val="nil"/>
              <w:bottom w:val="single" w:sz="4" w:space="0" w:color="auto"/>
              <w:right w:val="single" w:sz="4" w:space="0" w:color="auto"/>
            </w:tcBorders>
            <w:shd w:val="clear" w:color="auto" w:fill="auto"/>
            <w:noWrap/>
            <w:vAlign w:val="bottom"/>
            <w:hideMark/>
          </w:tcPr>
          <w:p w14:paraId="1EA60C5F"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164</w:t>
            </w:r>
          </w:p>
        </w:tc>
        <w:tc>
          <w:tcPr>
            <w:tcW w:w="0" w:type="auto"/>
            <w:tcBorders>
              <w:top w:val="nil"/>
              <w:left w:val="nil"/>
              <w:bottom w:val="single" w:sz="4" w:space="0" w:color="auto"/>
              <w:right w:val="single" w:sz="4" w:space="0" w:color="auto"/>
            </w:tcBorders>
            <w:shd w:val="clear" w:color="auto" w:fill="auto"/>
            <w:noWrap/>
            <w:vAlign w:val="bottom"/>
            <w:hideMark/>
          </w:tcPr>
          <w:p w14:paraId="63354923"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(100.0)</w:t>
            </w:r>
          </w:p>
        </w:tc>
        <w:tc>
          <w:tcPr>
            <w:tcW w:w="0" w:type="auto"/>
            <w:tcBorders>
              <w:top w:val="nil"/>
              <w:left w:val="nil"/>
              <w:bottom w:val="single" w:sz="4" w:space="0" w:color="auto"/>
              <w:right w:val="single" w:sz="4" w:space="0" w:color="auto"/>
            </w:tcBorders>
            <w:shd w:val="clear" w:color="auto" w:fill="auto"/>
            <w:noWrap/>
            <w:vAlign w:val="bottom"/>
            <w:hideMark/>
          </w:tcPr>
          <w:p w14:paraId="0E43BF80"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581647AC"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69C877D6"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4AAA2B3A"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7D492BC7"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7B217E14"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4EEED128"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3ADACA2B"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768A96E7"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3DCC2077"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5B065B82"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60%</w:t>
            </w:r>
          </w:p>
        </w:tc>
      </w:tr>
      <w:tr w:rsidR="0067156B" w:rsidRPr="00BA48F1" w14:paraId="3161FED9" w14:textId="77777777" w:rsidTr="0067156B">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03F95DB"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WESTON</w:t>
            </w:r>
          </w:p>
        </w:tc>
        <w:tc>
          <w:tcPr>
            <w:tcW w:w="0" w:type="auto"/>
            <w:tcBorders>
              <w:top w:val="nil"/>
              <w:left w:val="nil"/>
              <w:bottom w:val="single" w:sz="4" w:space="0" w:color="auto"/>
              <w:right w:val="single" w:sz="4" w:space="0" w:color="auto"/>
            </w:tcBorders>
            <w:shd w:val="clear" w:color="auto" w:fill="auto"/>
            <w:noWrap/>
            <w:vAlign w:val="bottom"/>
            <w:hideMark/>
          </w:tcPr>
          <w:p w14:paraId="3264D89D"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300</w:t>
            </w:r>
          </w:p>
        </w:tc>
        <w:tc>
          <w:tcPr>
            <w:tcW w:w="0" w:type="auto"/>
            <w:tcBorders>
              <w:top w:val="nil"/>
              <w:left w:val="nil"/>
              <w:bottom w:val="single" w:sz="4" w:space="0" w:color="auto"/>
              <w:right w:val="single" w:sz="4" w:space="0" w:color="auto"/>
            </w:tcBorders>
            <w:shd w:val="clear" w:color="auto" w:fill="auto"/>
            <w:noWrap/>
            <w:vAlign w:val="bottom"/>
            <w:hideMark/>
          </w:tcPr>
          <w:p w14:paraId="61D6C1A5"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204</w:t>
            </w:r>
          </w:p>
        </w:tc>
        <w:tc>
          <w:tcPr>
            <w:tcW w:w="0" w:type="auto"/>
            <w:tcBorders>
              <w:top w:val="nil"/>
              <w:left w:val="nil"/>
              <w:bottom w:val="single" w:sz="4" w:space="0" w:color="auto"/>
              <w:right w:val="single" w:sz="4" w:space="0" w:color="auto"/>
            </w:tcBorders>
            <w:shd w:val="clear" w:color="auto" w:fill="auto"/>
            <w:noWrap/>
            <w:vAlign w:val="bottom"/>
            <w:hideMark/>
          </w:tcPr>
          <w:p w14:paraId="06CFC324"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68%</w:t>
            </w:r>
          </w:p>
        </w:tc>
        <w:tc>
          <w:tcPr>
            <w:tcW w:w="0" w:type="auto"/>
            <w:tcBorders>
              <w:top w:val="nil"/>
              <w:left w:val="nil"/>
              <w:bottom w:val="single" w:sz="4" w:space="0" w:color="auto"/>
              <w:right w:val="single" w:sz="4" w:space="0" w:color="auto"/>
            </w:tcBorders>
            <w:shd w:val="clear" w:color="auto" w:fill="auto"/>
            <w:noWrap/>
            <w:vAlign w:val="bottom"/>
            <w:hideMark/>
          </w:tcPr>
          <w:p w14:paraId="6B7DFAA4"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201</w:t>
            </w:r>
          </w:p>
        </w:tc>
        <w:tc>
          <w:tcPr>
            <w:tcW w:w="0" w:type="auto"/>
            <w:tcBorders>
              <w:top w:val="nil"/>
              <w:left w:val="nil"/>
              <w:bottom w:val="single" w:sz="4" w:space="0" w:color="auto"/>
              <w:right w:val="single" w:sz="4" w:space="0" w:color="auto"/>
            </w:tcBorders>
            <w:shd w:val="clear" w:color="auto" w:fill="auto"/>
            <w:noWrap/>
            <w:vAlign w:val="bottom"/>
            <w:hideMark/>
          </w:tcPr>
          <w:p w14:paraId="5B05591E"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(98.5)</w:t>
            </w:r>
          </w:p>
        </w:tc>
        <w:tc>
          <w:tcPr>
            <w:tcW w:w="0" w:type="auto"/>
            <w:tcBorders>
              <w:top w:val="nil"/>
              <w:left w:val="nil"/>
              <w:bottom w:val="single" w:sz="4" w:space="0" w:color="auto"/>
              <w:right w:val="single" w:sz="4" w:space="0" w:color="auto"/>
            </w:tcBorders>
            <w:shd w:val="clear" w:color="auto" w:fill="auto"/>
            <w:noWrap/>
            <w:vAlign w:val="bottom"/>
            <w:hideMark/>
          </w:tcPr>
          <w:p w14:paraId="7738B155"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54F7F720"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47D05A2B"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1F2011C5"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2C56667E"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09A6C4E5"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5DDC45DA"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6670B308"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0C9116E5"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352812A1"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5D5F703F"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73%</w:t>
            </w:r>
          </w:p>
        </w:tc>
      </w:tr>
      <w:tr w:rsidR="0067156B" w:rsidRPr="00BA48F1" w14:paraId="2A75EB7E" w14:textId="77777777" w:rsidTr="005E6FB1">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77A9C22"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WESTPORT</w:t>
            </w:r>
          </w:p>
        </w:tc>
        <w:tc>
          <w:tcPr>
            <w:tcW w:w="0" w:type="auto"/>
            <w:tcBorders>
              <w:top w:val="nil"/>
              <w:left w:val="nil"/>
              <w:bottom w:val="single" w:sz="4" w:space="0" w:color="auto"/>
              <w:right w:val="single" w:sz="4" w:space="0" w:color="auto"/>
            </w:tcBorders>
            <w:shd w:val="clear" w:color="auto" w:fill="auto"/>
            <w:noWrap/>
            <w:vAlign w:val="bottom"/>
            <w:hideMark/>
          </w:tcPr>
          <w:p w14:paraId="55C47AE6"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391</w:t>
            </w:r>
          </w:p>
        </w:tc>
        <w:tc>
          <w:tcPr>
            <w:tcW w:w="0" w:type="auto"/>
            <w:tcBorders>
              <w:top w:val="nil"/>
              <w:left w:val="nil"/>
              <w:bottom w:val="single" w:sz="4" w:space="0" w:color="auto"/>
              <w:right w:val="single" w:sz="4" w:space="0" w:color="auto"/>
            </w:tcBorders>
            <w:shd w:val="clear" w:color="auto" w:fill="auto"/>
            <w:noWrap/>
            <w:vAlign w:val="bottom"/>
            <w:hideMark/>
          </w:tcPr>
          <w:p w14:paraId="6DABAC62"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272</w:t>
            </w:r>
          </w:p>
        </w:tc>
        <w:tc>
          <w:tcPr>
            <w:tcW w:w="0" w:type="auto"/>
            <w:tcBorders>
              <w:top w:val="nil"/>
              <w:left w:val="nil"/>
              <w:bottom w:val="single" w:sz="4" w:space="0" w:color="auto"/>
              <w:right w:val="single" w:sz="4" w:space="0" w:color="auto"/>
            </w:tcBorders>
            <w:shd w:val="clear" w:color="auto" w:fill="auto"/>
            <w:noWrap/>
            <w:vAlign w:val="bottom"/>
            <w:hideMark/>
          </w:tcPr>
          <w:p w14:paraId="6E011BD7"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70%</w:t>
            </w:r>
          </w:p>
        </w:tc>
        <w:tc>
          <w:tcPr>
            <w:tcW w:w="0" w:type="auto"/>
            <w:tcBorders>
              <w:top w:val="nil"/>
              <w:left w:val="nil"/>
              <w:bottom w:val="single" w:sz="4" w:space="0" w:color="auto"/>
              <w:right w:val="single" w:sz="4" w:space="0" w:color="auto"/>
            </w:tcBorders>
            <w:shd w:val="clear" w:color="auto" w:fill="auto"/>
            <w:noWrap/>
            <w:vAlign w:val="bottom"/>
            <w:hideMark/>
          </w:tcPr>
          <w:p w14:paraId="3B960B34"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269</w:t>
            </w:r>
          </w:p>
        </w:tc>
        <w:tc>
          <w:tcPr>
            <w:tcW w:w="0" w:type="auto"/>
            <w:tcBorders>
              <w:top w:val="nil"/>
              <w:left w:val="nil"/>
              <w:bottom w:val="single" w:sz="4" w:space="0" w:color="auto"/>
              <w:right w:val="single" w:sz="4" w:space="0" w:color="auto"/>
            </w:tcBorders>
            <w:shd w:val="clear" w:color="auto" w:fill="auto"/>
            <w:noWrap/>
            <w:vAlign w:val="bottom"/>
            <w:hideMark/>
          </w:tcPr>
          <w:p w14:paraId="0638ACBA"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(98.9)</w:t>
            </w:r>
          </w:p>
        </w:tc>
        <w:tc>
          <w:tcPr>
            <w:tcW w:w="0" w:type="auto"/>
            <w:tcBorders>
              <w:top w:val="nil"/>
              <w:left w:val="nil"/>
              <w:bottom w:val="single" w:sz="4" w:space="0" w:color="auto"/>
              <w:right w:val="single" w:sz="4" w:space="0" w:color="auto"/>
            </w:tcBorders>
            <w:shd w:val="clear" w:color="auto" w:fill="auto"/>
            <w:noWrap/>
            <w:vAlign w:val="bottom"/>
            <w:hideMark/>
          </w:tcPr>
          <w:p w14:paraId="4746FF16"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09B4CC95"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78191E95"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76B72BA4"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6C1239F9"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1246E7FE"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453EA95B"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0FF3D6BD"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1881B980"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43B616C0"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3B93A6E1"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61%</w:t>
            </w:r>
          </w:p>
        </w:tc>
      </w:tr>
      <w:tr w:rsidR="0067156B" w:rsidRPr="00BA48F1" w14:paraId="34EEE2D2" w14:textId="77777777" w:rsidTr="005E6FB1">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D80DE1"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WESTWOOD</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639920B1"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472</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048809BC"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367</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71EA2632"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78%</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3EC82F25"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367</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20C57656"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(100.0)</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52597731"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4D3E643F"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6D98AFBB"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159A99E3"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670E642B"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2E25A322"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74F01D33"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3A9D232A"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395AE2FE"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6EC2F0DA"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479EDF72"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64%</w:t>
            </w:r>
          </w:p>
        </w:tc>
      </w:tr>
      <w:tr w:rsidR="0067156B" w:rsidRPr="00BA48F1" w14:paraId="538C1DC4" w14:textId="77777777" w:rsidTr="005E6FB1">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8053ED"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WEYMOUTH</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1520896F"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2,193</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1C45351A"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1,457</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2612EEC1"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66%</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3F5E2074"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1,445</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190FE0C7"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(99.2)</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112EF595"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7</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51900CF3"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(0.5)</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1E4DAC7B"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5</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24DEBB3C"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(0.3)</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0FC1AA64"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13B27DA5"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418AE913"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11</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091C5858"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(0.8)</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1F75E4AA"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5</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08D2062F"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(0.3)</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7C43E3EE"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75%</w:t>
            </w:r>
          </w:p>
        </w:tc>
      </w:tr>
      <w:tr w:rsidR="0067156B" w:rsidRPr="00BA48F1" w14:paraId="306286F1" w14:textId="77777777" w:rsidTr="0067156B">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5ECF3B"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lastRenderedPageBreak/>
              <w:t>WHATELY</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6D40DAE7"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39</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6C1AD344"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29</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5C27C193"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74%</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7C3A1790"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29</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5BA6F67B"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(100.0)</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2F4AC099"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61CB8758"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58142C09"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18EA32C8"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6BAAF081"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17D97A81"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0D3D613C"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06C80162"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41E9C420"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4015C9F4"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1EF176AD"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58%</w:t>
            </w:r>
          </w:p>
        </w:tc>
      </w:tr>
      <w:tr w:rsidR="0067156B" w:rsidRPr="00BA48F1" w14:paraId="5BFE56D2" w14:textId="77777777" w:rsidTr="0067156B">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EDF98F3"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WHITMAN</w:t>
            </w:r>
          </w:p>
        </w:tc>
        <w:tc>
          <w:tcPr>
            <w:tcW w:w="0" w:type="auto"/>
            <w:tcBorders>
              <w:top w:val="nil"/>
              <w:left w:val="nil"/>
              <w:bottom w:val="single" w:sz="4" w:space="0" w:color="auto"/>
              <w:right w:val="single" w:sz="4" w:space="0" w:color="auto"/>
            </w:tcBorders>
            <w:shd w:val="clear" w:color="auto" w:fill="auto"/>
            <w:noWrap/>
            <w:vAlign w:val="bottom"/>
            <w:hideMark/>
          </w:tcPr>
          <w:p w14:paraId="72FB9477"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640</w:t>
            </w:r>
          </w:p>
        </w:tc>
        <w:tc>
          <w:tcPr>
            <w:tcW w:w="0" w:type="auto"/>
            <w:tcBorders>
              <w:top w:val="nil"/>
              <w:left w:val="nil"/>
              <w:bottom w:val="single" w:sz="4" w:space="0" w:color="auto"/>
              <w:right w:val="single" w:sz="4" w:space="0" w:color="auto"/>
            </w:tcBorders>
            <w:shd w:val="clear" w:color="auto" w:fill="auto"/>
            <w:noWrap/>
            <w:vAlign w:val="bottom"/>
            <w:hideMark/>
          </w:tcPr>
          <w:p w14:paraId="387B928A"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348</w:t>
            </w:r>
          </w:p>
        </w:tc>
        <w:tc>
          <w:tcPr>
            <w:tcW w:w="0" w:type="auto"/>
            <w:tcBorders>
              <w:top w:val="nil"/>
              <w:left w:val="nil"/>
              <w:bottom w:val="single" w:sz="4" w:space="0" w:color="auto"/>
              <w:right w:val="single" w:sz="4" w:space="0" w:color="auto"/>
            </w:tcBorders>
            <w:shd w:val="clear" w:color="auto" w:fill="auto"/>
            <w:noWrap/>
            <w:vAlign w:val="bottom"/>
            <w:hideMark/>
          </w:tcPr>
          <w:p w14:paraId="77B194F7"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54%</w:t>
            </w:r>
          </w:p>
        </w:tc>
        <w:tc>
          <w:tcPr>
            <w:tcW w:w="0" w:type="auto"/>
            <w:tcBorders>
              <w:top w:val="nil"/>
              <w:left w:val="nil"/>
              <w:bottom w:val="single" w:sz="4" w:space="0" w:color="auto"/>
              <w:right w:val="single" w:sz="4" w:space="0" w:color="auto"/>
            </w:tcBorders>
            <w:shd w:val="clear" w:color="auto" w:fill="auto"/>
            <w:noWrap/>
            <w:vAlign w:val="bottom"/>
            <w:hideMark/>
          </w:tcPr>
          <w:p w14:paraId="72ACC9F4"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341</w:t>
            </w:r>
          </w:p>
        </w:tc>
        <w:tc>
          <w:tcPr>
            <w:tcW w:w="0" w:type="auto"/>
            <w:tcBorders>
              <w:top w:val="nil"/>
              <w:left w:val="nil"/>
              <w:bottom w:val="single" w:sz="4" w:space="0" w:color="auto"/>
              <w:right w:val="single" w:sz="4" w:space="0" w:color="auto"/>
            </w:tcBorders>
            <w:shd w:val="clear" w:color="auto" w:fill="auto"/>
            <w:noWrap/>
            <w:vAlign w:val="bottom"/>
            <w:hideMark/>
          </w:tcPr>
          <w:p w14:paraId="69CC8A27"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(98.0)</w:t>
            </w:r>
          </w:p>
        </w:tc>
        <w:tc>
          <w:tcPr>
            <w:tcW w:w="0" w:type="auto"/>
            <w:tcBorders>
              <w:top w:val="nil"/>
              <w:left w:val="nil"/>
              <w:bottom w:val="single" w:sz="4" w:space="0" w:color="auto"/>
              <w:right w:val="single" w:sz="4" w:space="0" w:color="auto"/>
            </w:tcBorders>
            <w:shd w:val="clear" w:color="auto" w:fill="auto"/>
            <w:noWrap/>
            <w:vAlign w:val="bottom"/>
            <w:hideMark/>
          </w:tcPr>
          <w:p w14:paraId="66DCE563"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6</w:t>
            </w:r>
          </w:p>
        </w:tc>
        <w:tc>
          <w:tcPr>
            <w:tcW w:w="0" w:type="auto"/>
            <w:tcBorders>
              <w:top w:val="nil"/>
              <w:left w:val="nil"/>
              <w:bottom w:val="single" w:sz="4" w:space="0" w:color="auto"/>
              <w:right w:val="single" w:sz="4" w:space="0" w:color="auto"/>
            </w:tcBorders>
            <w:shd w:val="clear" w:color="auto" w:fill="auto"/>
            <w:noWrap/>
            <w:vAlign w:val="bottom"/>
            <w:hideMark/>
          </w:tcPr>
          <w:p w14:paraId="43590465"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(1.7)</w:t>
            </w:r>
          </w:p>
        </w:tc>
        <w:tc>
          <w:tcPr>
            <w:tcW w:w="0" w:type="auto"/>
            <w:tcBorders>
              <w:top w:val="nil"/>
              <w:left w:val="nil"/>
              <w:bottom w:val="single" w:sz="4" w:space="0" w:color="auto"/>
              <w:right w:val="single" w:sz="4" w:space="0" w:color="auto"/>
            </w:tcBorders>
            <w:shd w:val="clear" w:color="auto" w:fill="auto"/>
            <w:noWrap/>
            <w:vAlign w:val="bottom"/>
            <w:hideMark/>
          </w:tcPr>
          <w:p w14:paraId="490A7314"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30ED9EAF"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26ED5FF1"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7B865526"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6B7D8046"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6</w:t>
            </w:r>
          </w:p>
        </w:tc>
        <w:tc>
          <w:tcPr>
            <w:tcW w:w="0" w:type="auto"/>
            <w:tcBorders>
              <w:top w:val="nil"/>
              <w:left w:val="nil"/>
              <w:bottom w:val="single" w:sz="4" w:space="0" w:color="auto"/>
              <w:right w:val="single" w:sz="4" w:space="0" w:color="auto"/>
            </w:tcBorders>
            <w:shd w:val="clear" w:color="auto" w:fill="auto"/>
            <w:noWrap/>
            <w:vAlign w:val="bottom"/>
            <w:hideMark/>
          </w:tcPr>
          <w:p w14:paraId="48AEE5CE"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(1.7)</w:t>
            </w:r>
          </w:p>
        </w:tc>
        <w:tc>
          <w:tcPr>
            <w:tcW w:w="0" w:type="auto"/>
            <w:tcBorders>
              <w:top w:val="nil"/>
              <w:left w:val="nil"/>
              <w:bottom w:val="single" w:sz="4" w:space="0" w:color="auto"/>
              <w:right w:val="single" w:sz="4" w:space="0" w:color="auto"/>
            </w:tcBorders>
            <w:shd w:val="clear" w:color="auto" w:fill="auto"/>
            <w:noWrap/>
            <w:vAlign w:val="bottom"/>
            <w:hideMark/>
          </w:tcPr>
          <w:p w14:paraId="78B2EAB9"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02E3A1B7"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71BF892C"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77%</w:t>
            </w:r>
          </w:p>
        </w:tc>
      </w:tr>
      <w:tr w:rsidR="0067156B" w:rsidRPr="00BA48F1" w14:paraId="158F9584" w14:textId="77777777" w:rsidTr="0067156B">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7558E2E"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WILBRAHAM</w:t>
            </w:r>
          </w:p>
        </w:tc>
        <w:tc>
          <w:tcPr>
            <w:tcW w:w="0" w:type="auto"/>
            <w:tcBorders>
              <w:top w:val="nil"/>
              <w:left w:val="nil"/>
              <w:bottom w:val="single" w:sz="4" w:space="0" w:color="auto"/>
              <w:right w:val="single" w:sz="4" w:space="0" w:color="auto"/>
            </w:tcBorders>
            <w:shd w:val="clear" w:color="auto" w:fill="auto"/>
            <w:noWrap/>
            <w:vAlign w:val="bottom"/>
            <w:hideMark/>
          </w:tcPr>
          <w:p w14:paraId="383C5706"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393</w:t>
            </w:r>
          </w:p>
        </w:tc>
        <w:tc>
          <w:tcPr>
            <w:tcW w:w="0" w:type="auto"/>
            <w:tcBorders>
              <w:top w:val="nil"/>
              <w:left w:val="nil"/>
              <w:bottom w:val="single" w:sz="4" w:space="0" w:color="auto"/>
              <w:right w:val="single" w:sz="4" w:space="0" w:color="auto"/>
            </w:tcBorders>
            <w:shd w:val="clear" w:color="auto" w:fill="auto"/>
            <w:noWrap/>
            <w:vAlign w:val="bottom"/>
            <w:hideMark/>
          </w:tcPr>
          <w:p w14:paraId="7DE352A0"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312</w:t>
            </w:r>
          </w:p>
        </w:tc>
        <w:tc>
          <w:tcPr>
            <w:tcW w:w="0" w:type="auto"/>
            <w:tcBorders>
              <w:top w:val="nil"/>
              <w:left w:val="nil"/>
              <w:bottom w:val="single" w:sz="4" w:space="0" w:color="auto"/>
              <w:right w:val="single" w:sz="4" w:space="0" w:color="auto"/>
            </w:tcBorders>
            <w:shd w:val="clear" w:color="auto" w:fill="auto"/>
            <w:noWrap/>
            <w:vAlign w:val="bottom"/>
            <w:hideMark/>
          </w:tcPr>
          <w:p w14:paraId="14E5AEFA"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79%</w:t>
            </w:r>
          </w:p>
        </w:tc>
        <w:tc>
          <w:tcPr>
            <w:tcW w:w="0" w:type="auto"/>
            <w:tcBorders>
              <w:top w:val="nil"/>
              <w:left w:val="nil"/>
              <w:bottom w:val="single" w:sz="4" w:space="0" w:color="auto"/>
              <w:right w:val="single" w:sz="4" w:space="0" w:color="auto"/>
            </w:tcBorders>
            <w:shd w:val="clear" w:color="auto" w:fill="auto"/>
            <w:noWrap/>
            <w:vAlign w:val="bottom"/>
            <w:hideMark/>
          </w:tcPr>
          <w:p w14:paraId="4A766132"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310</w:t>
            </w:r>
          </w:p>
        </w:tc>
        <w:tc>
          <w:tcPr>
            <w:tcW w:w="0" w:type="auto"/>
            <w:tcBorders>
              <w:top w:val="nil"/>
              <w:left w:val="nil"/>
              <w:bottom w:val="single" w:sz="4" w:space="0" w:color="auto"/>
              <w:right w:val="single" w:sz="4" w:space="0" w:color="auto"/>
            </w:tcBorders>
            <w:shd w:val="clear" w:color="auto" w:fill="auto"/>
            <w:noWrap/>
            <w:vAlign w:val="bottom"/>
            <w:hideMark/>
          </w:tcPr>
          <w:p w14:paraId="3A7B93BB"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(99.4)</w:t>
            </w:r>
          </w:p>
        </w:tc>
        <w:tc>
          <w:tcPr>
            <w:tcW w:w="0" w:type="auto"/>
            <w:tcBorders>
              <w:top w:val="nil"/>
              <w:left w:val="nil"/>
              <w:bottom w:val="single" w:sz="4" w:space="0" w:color="auto"/>
              <w:right w:val="single" w:sz="4" w:space="0" w:color="auto"/>
            </w:tcBorders>
            <w:shd w:val="clear" w:color="auto" w:fill="auto"/>
            <w:noWrap/>
            <w:vAlign w:val="bottom"/>
            <w:hideMark/>
          </w:tcPr>
          <w:p w14:paraId="31DF3B3C"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5BF03F84"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2AC1992D"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601E0E3D"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7C153185"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5419A2B7"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768439CB"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49AA0F7D"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1C211A3C"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3CF831E2"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189E8CE3"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74%</w:t>
            </w:r>
          </w:p>
        </w:tc>
      </w:tr>
      <w:tr w:rsidR="0067156B" w:rsidRPr="00BA48F1" w14:paraId="3613C8B3" w14:textId="77777777" w:rsidTr="0067156B">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067B382"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WILLIAMSBURG</w:t>
            </w:r>
          </w:p>
        </w:tc>
        <w:tc>
          <w:tcPr>
            <w:tcW w:w="0" w:type="auto"/>
            <w:tcBorders>
              <w:top w:val="nil"/>
              <w:left w:val="nil"/>
              <w:bottom w:val="single" w:sz="4" w:space="0" w:color="auto"/>
              <w:right w:val="single" w:sz="4" w:space="0" w:color="auto"/>
            </w:tcBorders>
            <w:shd w:val="clear" w:color="auto" w:fill="auto"/>
            <w:noWrap/>
            <w:vAlign w:val="bottom"/>
            <w:hideMark/>
          </w:tcPr>
          <w:p w14:paraId="655E51CC"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59</w:t>
            </w:r>
          </w:p>
        </w:tc>
        <w:tc>
          <w:tcPr>
            <w:tcW w:w="0" w:type="auto"/>
            <w:tcBorders>
              <w:top w:val="nil"/>
              <w:left w:val="nil"/>
              <w:bottom w:val="single" w:sz="4" w:space="0" w:color="auto"/>
              <w:right w:val="single" w:sz="4" w:space="0" w:color="auto"/>
            </w:tcBorders>
            <w:shd w:val="clear" w:color="auto" w:fill="auto"/>
            <w:noWrap/>
            <w:vAlign w:val="bottom"/>
            <w:hideMark/>
          </w:tcPr>
          <w:p w14:paraId="6E74FB90"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27</w:t>
            </w:r>
          </w:p>
        </w:tc>
        <w:tc>
          <w:tcPr>
            <w:tcW w:w="0" w:type="auto"/>
            <w:tcBorders>
              <w:top w:val="nil"/>
              <w:left w:val="nil"/>
              <w:bottom w:val="single" w:sz="4" w:space="0" w:color="auto"/>
              <w:right w:val="single" w:sz="4" w:space="0" w:color="auto"/>
            </w:tcBorders>
            <w:shd w:val="clear" w:color="auto" w:fill="auto"/>
            <w:noWrap/>
            <w:vAlign w:val="bottom"/>
            <w:hideMark/>
          </w:tcPr>
          <w:p w14:paraId="18E3B834"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46%</w:t>
            </w:r>
          </w:p>
        </w:tc>
        <w:tc>
          <w:tcPr>
            <w:tcW w:w="0" w:type="auto"/>
            <w:tcBorders>
              <w:top w:val="nil"/>
              <w:left w:val="nil"/>
              <w:bottom w:val="single" w:sz="4" w:space="0" w:color="auto"/>
              <w:right w:val="single" w:sz="4" w:space="0" w:color="auto"/>
            </w:tcBorders>
            <w:shd w:val="clear" w:color="auto" w:fill="auto"/>
            <w:noWrap/>
            <w:vAlign w:val="bottom"/>
            <w:hideMark/>
          </w:tcPr>
          <w:p w14:paraId="731E6426"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27</w:t>
            </w:r>
          </w:p>
        </w:tc>
        <w:tc>
          <w:tcPr>
            <w:tcW w:w="0" w:type="auto"/>
            <w:tcBorders>
              <w:top w:val="nil"/>
              <w:left w:val="nil"/>
              <w:bottom w:val="single" w:sz="4" w:space="0" w:color="auto"/>
              <w:right w:val="single" w:sz="4" w:space="0" w:color="auto"/>
            </w:tcBorders>
            <w:shd w:val="clear" w:color="auto" w:fill="auto"/>
            <w:noWrap/>
            <w:vAlign w:val="bottom"/>
            <w:hideMark/>
          </w:tcPr>
          <w:p w14:paraId="6FF50E06"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(100.0)</w:t>
            </w:r>
          </w:p>
        </w:tc>
        <w:tc>
          <w:tcPr>
            <w:tcW w:w="0" w:type="auto"/>
            <w:tcBorders>
              <w:top w:val="nil"/>
              <w:left w:val="nil"/>
              <w:bottom w:val="single" w:sz="4" w:space="0" w:color="auto"/>
              <w:right w:val="single" w:sz="4" w:space="0" w:color="auto"/>
            </w:tcBorders>
            <w:shd w:val="clear" w:color="auto" w:fill="auto"/>
            <w:noWrap/>
            <w:vAlign w:val="bottom"/>
            <w:hideMark/>
          </w:tcPr>
          <w:p w14:paraId="2727DEB6"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3F97C090"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3BC322FD"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4822131C"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5E43F2C9"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6FC5EC26"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1701538F"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28EF6234"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029722C9"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7B1E2DD7"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4FD1937B"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67%</w:t>
            </w:r>
          </w:p>
        </w:tc>
      </w:tr>
      <w:tr w:rsidR="0067156B" w:rsidRPr="00BA48F1" w14:paraId="716CA368" w14:textId="77777777" w:rsidTr="0067156B">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0074DE6"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WILLIAMSTOWN</w:t>
            </w:r>
          </w:p>
        </w:tc>
        <w:tc>
          <w:tcPr>
            <w:tcW w:w="0" w:type="auto"/>
            <w:tcBorders>
              <w:top w:val="nil"/>
              <w:left w:val="nil"/>
              <w:bottom w:val="single" w:sz="4" w:space="0" w:color="auto"/>
              <w:right w:val="single" w:sz="4" w:space="0" w:color="auto"/>
            </w:tcBorders>
            <w:shd w:val="clear" w:color="auto" w:fill="auto"/>
            <w:noWrap/>
            <w:vAlign w:val="bottom"/>
            <w:hideMark/>
          </w:tcPr>
          <w:p w14:paraId="2344465A"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117</w:t>
            </w:r>
          </w:p>
        </w:tc>
        <w:tc>
          <w:tcPr>
            <w:tcW w:w="0" w:type="auto"/>
            <w:tcBorders>
              <w:top w:val="nil"/>
              <w:left w:val="nil"/>
              <w:bottom w:val="single" w:sz="4" w:space="0" w:color="auto"/>
              <w:right w:val="single" w:sz="4" w:space="0" w:color="auto"/>
            </w:tcBorders>
            <w:shd w:val="clear" w:color="auto" w:fill="auto"/>
            <w:noWrap/>
            <w:vAlign w:val="bottom"/>
            <w:hideMark/>
          </w:tcPr>
          <w:p w14:paraId="0D4B9D5A"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100</w:t>
            </w:r>
          </w:p>
        </w:tc>
        <w:tc>
          <w:tcPr>
            <w:tcW w:w="0" w:type="auto"/>
            <w:tcBorders>
              <w:top w:val="nil"/>
              <w:left w:val="nil"/>
              <w:bottom w:val="single" w:sz="4" w:space="0" w:color="auto"/>
              <w:right w:val="single" w:sz="4" w:space="0" w:color="auto"/>
            </w:tcBorders>
            <w:shd w:val="clear" w:color="auto" w:fill="auto"/>
            <w:noWrap/>
            <w:vAlign w:val="bottom"/>
            <w:hideMark/>
          </w:tcPr>
          <w:p w14:paraId="28E03115"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85%</w:t>
            </w:r>
          </w:p>
        </w:tc>
        <w:tc>
          <w:tcPr>
            <w:tcW w:w="0" w:type="auto"/>
            <w:tcBorders>
              <w:top w:val="nil"/>
              <w:left w:val="nil"/>
              <w:bottom w:val="single" w:sz="4" w:space="0" w:color="auto"/>
              <w:right w:val="single" w:sz="4" w:space="0" w:color="auto"/>
            </w:tcBorders>
            <w:shd w:val="clear" w:color="auto" w:fill="auto"/>
            <w:noWrap/>
            <w:vAlign w:val="bottom"/>
            <w:hideMark/>
          </w:tcPr>
          <w:p w14:paraId="3BC7ACA0"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92</w:t>
            </w:r>
          </w:p>
        </w:tc>
        <w:tc>
          <w:tcPr>
            <w:tcW w:w="0" w:type="auto"/>
            <w:tcBorders>
              <w:top w:val="nil"/>
              <w:left w:val="nil"/>
              <w:bottom w:val="single" w:sz="4" w:space="0" w:color="auto"/>
              <w:right w:val="single" w:sz="4" w:space="0" w:color="auto"/>
            </w:tcBorders>
            <w:shd w:val="clear" w:color="auto" w:fill="auto"/>
            <w:noWrap/>
            <w:vAlign w:val="bottom"/>
            <w:hideMark/>
          </w:tcPr>
          <w:p w14:paraId="7636403A"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(92.0)</w:t>
            </w:r>
          </w:p>
        </w:tc>
        <w:tc>
          <w:tcPr>
            <w:tcW w:w="0" w:type="auto"/>
            <w:tcBorders>
              <w:top w:val="nil"/>
              <w:left w:val="nil"/>
              <w:bottom w:val="single" w:sz="4" w:space="0" w:color="auto"/>
              <w:right w:val="single" w:sz="4" w:space="0" w:color="auto"/>
            </w:tcBorders>
            <w:shd w:val="clear" w:color="auto" w:fill="auto"/>
            <w:noWrap/>
            <w:vAlign w:val="bottom"/>
            <w:hideMark/>
          </w:tcPr>
          <w:p w14:paraId="1A4AE390"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7</w:t>
            </w:r>
          </w:p>
        </w:tc>
        <w:tc>
          <w:tcPr>
            <w:tcW w:w="0" w:type="auto"/>
            <w:tcBorders>
              <w:top w:val="nil"/>
              <w:left w:val="nil"/>
              <w:bottom w:val="single" w:sz="4" w:space="0" w:color="auto"/>
              <w:right w:val="single" w:sz="4" w:space="0" w:color="auto"/>
            </w:tcBorders>
            <w:shd w:val="clear" w:color="auto" w:fill="auto"/>
            <w:noWrap/>
            <w:vAlign w:val="bottom"/>
            <w:hideMark/>
          </w:tcPr>
          <w:p w14:paraId="4608D3C5"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(7.0)</w:t>
            </w:r>
          </w:p>
        </w:tc>
        <w:tc>
          <w:tcPr>
            <w:tcW w:w="0" w:type="auto"/>
            <w:tcBorders>
              <w:top w:val="nil"/>
              <w:left w:val="nil"/>
              <w:bottom w:val="single" w:sz="4" w:space="0" w:color="auto"/>
              <w:right w:val="single" w:sz="4" w:space="0" w:color="auto"/>
            </w:tcBorders>
            <w:shd w:val="clear" w:color="auto" w:fill="auto"/>
            <w:noWrap/>
            <w:vAlign w:val="bottom"/>
            <w:hideMark/>
          </w:tcPr>
          <w:p w14:paraId="5BB0F8D8"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2F474CDD"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5D5C7E52"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4066E6EE"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46B61BD1"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5355F538"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23AD4C72"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4A5A88DB"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0E41126D"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79%</w:t>
            </w:r>
          </w:p>
        </w:tc>
      </w:tr>
      <w:tr w:rsidR="0067156B" w:rsidRPr="00BA48F1" w14:paraId="3BD2D9D2" w14:textId="77777777" w:rsidTr="0067156B">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FC5B561"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WILMINGTON</w:t>
            </w:r>
          </w:p>
        </w:tc>
        <w:tc>
          <w:tcPr>
            <w:tcW w:w="0" w:type="auto"/>
            <w:tcBorders>
              <w:top w:val="nil"/>
              <w:left w:val="nil"/>
              <w:bottom w:val="single" w:sz="4" w:space="0" w:color="auto"/>
              <w:right w:val="single" w:sz="4" w:space="0" w:color="auto"/>
            </w:tcBorders>
            <w:shd w:val="clear" w:color="auto" w:fill="auto"/>
            <w:noWrap/>
            <w:vAlign w:val="bottom"/>
            <w:hideMark/>
          </w:tcPr>
          <w:p w14:paraId="0ECC39F6"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932</w:t>
            </w:r>
          </w:p>
        </w:tc>
        <w:tc>
          <w:tcPr>
            <w:tcW w:w="0" w:type="auto"/>
            <w:tcBorders>
              <w:top w:val="nil"/>
              <w:left w:val="nil"/>
              <w:bottom w:val="single" w:sz="4" w:space="0" w:color="auto"/>
              <w:right w:val="single" w:sz="4" w:space="0" w:color="auto"/>
            </w:tcBorders>
            <w:shd w:val="clear" w:color="auto" w:fill="auto"/>
            <w:noWrap/>
            <w:vAlign w:val="bottom"/>
            <w:hideMark/>
          </w:tcPr>
          <w:p w14:paraId="4BD83F40"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489</w:t>
            </w:r>
          </w:p>
        </w:tc>
        <w:tc>
          <w:tcPr>
            <w:tcW w:w="0" w:type="auto"/>
            <w:tcBorders>
              <w:top w:val="nil"/>
              <w:left w:val="nil"/>
              <w:bottom w:val="single" w:sz="4" w:space="0" w:color="auto"/>
              <w:right w:val="single" w:sz="4" w:space="0" w:color="auto"/>
            </w:tcBorders>
            <w:shd w:val="clear" w:color="auto" w:fill="auto"/>
            <w:noWrap/>
            <w:vAlign w:val="bottom"/>
            <w:hideMark/>
          </w:tcPr>
          <w:p w14:paraId="41FF4C85"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52%</w:t>
            </w:r>
          </w:p>
        </w:tc>
        <w:tc>
          <w:tcPr>
            <w:tcW w:w="0" w:type="auto"/>
            <w:tcBorders>
              <w:top w:val="nil"/>
              <w:left w:val="nil"/>
              <w:bottom w:val="single" w:sz="4" w:space="0" w:color="auto"/>
              <w:right w:val="single" w:sz="4" w:space="0" w:color="auto"/>
            </w:tcBorders>
            <w:shd w:val="clear" w:color="auto" w:fill="auto"/>
            <w:noWrap/>
            <w:vAlign w:val="bottom"/>
            <w:hideMark/>
          </w:tcPr>
          <w:p w14:paraId="7A277516"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489</w:t>
            </w:r>
          </w:p>
        </w:tc>
        <w:tc>
          <w:tcPr>
            <w:tcW w:w="0" w:type="auto"/>
            <w:tcBorders>
              <w:top w:val="nil"/>
              <w:left w:val="nil"/>
              <w:bottom w:val="single" w:sz="4" w:space="0" w:color="auto"/>
              <w:right w:val="single" w:sz="4" w:space="0" w:color="auto"/>
            </w:tcBorders>
            <w:shd w:val="clear" w:color="auto" w:fill="auto"/>
            <w:noWrap/>
            <w:vAlign w:val="bottom"/>
            <w:hideMark/>
          </w:tcPr>
          <w:p w14:paraId="56C3C6F9"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(100.0)</w:t>
            </w:r>
          </w:p>
        </w:tc>
        <w:tc>
          <w:tcPr>
            <w:tcW w:w="0" w:type="auto"/>
            <w:tcBorders>
              <w:top w:val="nil"/>
              <w:left w:val="nil"/>
              <w:bottom w:val="single" w:sz="4" w:space="0" w:color="auto"/>
              <w:right w:val="single" w:sz="4" w:space="0" w:color="auto"/>
            </w:tcBorders>
            <w:shd w:val="clear" w:color="auto" w:fill="auto"/>
            <w:noWrap/>
            <w:vAlign w:val="bottom"/>
            <w:hideMark/>
          </w:tcPr>
          <w:p w14:paraId="2FB53392"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55883E35"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66C74CBF"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06D81EE5"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2C25F310"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46EA654F"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293D5FE4"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32947FA7"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05F1EAA2"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2CC30ED6"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521CF43E"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57%</w:t>
            </w:r>
          </w:p>
        </w:tc>
      </w:tr>
      <w:tr w:rsidR="0067156B" w:rsidRPr="00BA48F1" w14:paraId="675B60EE" w14:textId="77777777" w:rsidTr="0067156B">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2FB2B53"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WINCHENDON</w:t>
            </w:r>
          </w:p>
        </w:tc>
        <w:tc>
          <w:tcPr>
            <w:tcW w:w="0" w:type="auto"/>
            <w:tcBorders>
              <w:top w:val="nil"/>
              <w:left w:val="nil"/>
              <w:bottom w:val="single" w:sz="4" w:space="0" w:color="auto"/>
              <w:right w:val="single" w:sz="4" w:space="0" w:color="auto"/>
            </w:tcBorders>
            <w:shd w:val="clear" w:color="auto" w:fill="auto"/>
            <w:noWrap/>
            <w:vAlign w:val="bottom"/>
            <w:hideMark/>
          </w:tcPr>
          <w:p w14:paraId="18B9E76C"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337</w:t>
            </w:r>
          </w:p>
        </w:tc>
        <w:tc>
          <w:tcPr>
            <w:tcW w:w="0" w:type="auto"/>
            <w:tcBorders>
              <w:top w:val="nil"/>
              <w:left w:val="nil"/>
              <w:bottom w:val="single" w:sz="4" w:space="0" w:color="auto"/>
              <w:right w:val="single" w:sz="4" w:space="0" w:color="auto"/>
            </w:tcBorders>
            <w:shd w:val="clear" w:color="auto" w:fill="auto"/>
            <w:noWrap/>
            <w:vAlign w:val="bottom"/>
            <w:hideMark/>
          </w:tcPr>
          <w:p w14:paraId="2EEFCCAA"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190</w:t>
            </w:r>
          </w:p>
        </w:tc>
        <w:tc>
          <w:tcPr>
            <w:tcW w:w="0" w:type="auto"/>
            <w:tcBorders>
              <w:top w:val="nil"/>
              <w:left w:val="nil"/>
              <w:bottom w:val="single" w:sz="4" w:space="0" w:color="auto"/>
              <w:right w:val="single" w:sz="4" w:space="0" w:color="auto"/>
            </w:tcBorders>
            <w:shd w:val="clear" w:color="auto" w:fill="auto"/>
            <w:noWrap/>
            <w:vAlign w:val="bottom"/>
            <w:hideMark/>
          </w:tcPr>
          <w:p w14:paraId="408B529A"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56%</w:t>
            </w:r>
          </w:p>
        </w:tc>
        <w:tc>
          <w:tcPr>
            <w:tcW w:w="0" w:type="auto"/>
            <w:tcBorders>
              <w:top w:val="nil"/>
              <w:left w:val="nil"/>
              <w:bottom w:val="single" w:sz="4" w:space="0" w:color="auto"/>
              <w:right w:val="single" w:sz="4" w:space="0" w:color="auto"/>
            </w:tcBorders>
            <w:shd w:val="clear" w:color="auto" w:fill="auto"/>
            <w:noWrap/>
            <w:vAlign w:val="bottom"/>
            <w:hideMark/>
          </w:tcPr>
          <w:p w14:paraId="3BECA44E"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181</w:t>
            </w:r>
          </w:p>
        </w:tc>
        <w:tc>
          <w:tcPr>
            <w:tcW w:w="0" w:type="auto"/>
            <w:tcBorders>
              <w:top w:val="nil"/>
              <w:left w:val="nil"/>
              <w:bottom w:val="single" w:sz="4" w:space="0" w:color="auto"/>
              <w:right w:val="single" w:sz="4" w:space="0" w:color="auto"/>
            </w:tcBorders>
            <w:shd w:val="clear" w:color="auto" w:fill="auto"/>
            <w:noWrap/>
            <w:vAlign w:val="bottom"/>
            <w:hideMark/>
          </w:tcPr>
          <w:p w14:paraId="00680D52"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(95.3)</w:t>
            </w:r>
          </w:p>
        </w:tc>
        <w:tc>
          <w:tcPr>
            <w:tcW w:w="0" w:type="auto"/>
            <w:tcBorders>
              <w:top w:val="nil"/>
              <w:left w:val="nil"/>
              <w:bottom w:val="single" w:sz="4" w:space="0" w:color="auto"/>
              <w:right w:val="single" w:sz="4" w:space="0" w:color="auto"/>
            </w:tcBorders>
            <w:shd w:val="clear" w:color="auto" w:fill="auto"/>
            <w:noWrap/>
            <w:vAlign w:val="bottom"/>
            <w:hideMark/>
          </w:tcPr>
          <w:p w14:paraId="32D3B31E"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8</w:t>
            </w:r>
          </w:p>
        </w:tc>
        <w:tc>
          <w:tcPr>
            <w:tcW w:w="0" w:type="auto"/>
            <w:tcBorders>
              <w:top w:val="nil"/>
              <w:left w:val="nil"/>
              <w:bottom w:val="single" w:sz="4" w:space="0" w:color="auto"/>
              <w:right w:val="single" w:sz="4" w:space="0" w:color="auto"/>
            </w:tcBorders>
            <w:shd w:val="clear" w:color="auto" w:fill="auto"/>
            <w:noWrap/>
            <w:vAlign w:val="bottom"/>
            <w:hideMark/>
          </w:tcPr>
          <w:p w14:paraId="7E8B65CE"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(4.2)</w:t>
            </w:r>
          </w:p>
        </w:tc>
        <w:tc>
          <w:tcPr>
            <w:tcW w:w="0" w:type="auto"/>
            <w:tcBorders>
              <w:top w:val="nil"/>
              <w:left w:val="nil"/>
              <w:bottom w:val="single" w:sz="4" w:space="0" w:color="auto"/>
              <w:right w:val="single" w:sz="4" w:space="0" w:color="auto"/>
            </w:tcBorders>
            <w:shd w:val="clear" w:color="auto" w:fill="auto"/>
            <w:noWrap/>
            <w:vAlign w:val="bottom"/>
            <w:hideMark/>
          </w:tcPr>
          <w:p w14:paraId="44CD8B3E"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1C63A9A9"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36706D98"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122938B6"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52716573"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6</w:t>
            </w:r>
          </w:p>
        </w:tc>
        <w:tc>
          <w:tcPr>
            <w:tcW w:w="0" w:type="auto"/>
            <w:tcBorders>
              <w:top w:val="nil"/>
              <w:left w:val="nil"/>
              <w:bottom w:val="single" w:sz="4" w:space="0" w:color="auto"/>
              <w:right w:val="single" w:sz="4" w:space="0" w:color="auto"/>
            </w:tcBorders>
            <w:shd w:val="clear" w:color="auto" w:fill="auto"/>
            <w:noWrap/>
            <w:vAlign w:val="bottom"/>
            <w:hideMark/>
          </w:tcPr>
          <w:p w14:paraId="634DC39E"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(3.2)</w:t>
            </w:r>
          </w:p>
        </w:tc>
        <w:tc>
          <w:tcPr>
            <w:tcW w:w="0" w:type="auto"/>
            <w:tcBorders>
              <w:top w:val="nil"/>
              <w:left w:val="nil"/>
              <w:bottom w:val="single" w:sz="4" w:space="0" w:color="auto"/>
              <w:right w:val="single" w:sz="4" w:space="0" w:color="auto"/>
            </w:tcBorders>
            <w:shd w:val="clear" w:color="auto" w:fill="auto"/>
            <w:noWrap/>
            <w:vAlign w:val="bottom"/>
            <w:hideMark/>
          </w:tcPr>
          <w:p w14:paraId="3956723E"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4469994D"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222B0494"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50%</w:t>
            </w:r>
          </w:p>
        </w:tc>
      </w:tr>
      <w:tr w:rsidR="0067156B" w:rsidRPr="00BA48F1" w14:paraId="493D5485" w14:textId="77777777" w:rsidTr="0067156B">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7A26905"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WINCHESTER</w:t>
            </w:r>
          </w:p>
        </w:tc>
        <w:tc>
          <w:tcPr>
            <w:tcW w:w="0" w:type="auto"/>
            <w:tcBorders>
              <w:top w:val="nil"/>
              <w:left w:val="nil"/>
              <w:bottom w:val="single" w:sz="4" w:space="0" w:color="auto"/>
              <w:right w:val="single" w:sz="4" w:space="0" w:color="auto"/>
            </w:tcBorders>
            <w:shd w:val="clear" w:color="auto" w:fill="auto"/>
            <w:noWrap/>
            <w:vAlign w:val="bottom"/>
            <w:hideMark/>
          </w:tcPr>
          <w:p w14:paraId="6CA3C77F"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800</w:t>
            </w:r>
          </w:p>
        </w:tc>
        <w:tc>
          <w:tcPr>
            <w:tcW w:w="0" w:type="auto"/>
            <w:tcBorders>
              <w:top w:val="nil"/>
              <w:left w:val="nil"/>
              <w:bottom w:val="single" w:sz="4" w:space="0" w:color="auto"/>
              <w:right w:val="single" w:sz="4" w:space="0" w:color="auto"/>
            </w:tcBorders>
            <w:shd w:val="clear" w:color="auto" w:fill="auto"/>
            <w:noWrap/>
            <w:vAlign w:val="bottom"/>
            <w:hideMark/>
          </w:tcPr>
          <w:p w14:paraId="62293571"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541</w:t>
            </w:r>
          </w:p>
        </w:tc>
        <w:tc>
          <w:tcPr>
            <w:tcW w:w="0" w:type="auto"/>
            <w:tcBorders>
              <w:top w:val="nil"/>
              <w:left w:val="nil"/>
              <w:bottom w:val="single" w:sz="4" w:space="0" w:color="auto"/>
              <w:right w:val="single" w:sz="4" w:space="0" w:color="auto"/>
            </w:tcBorders>
            <w:shd w:val="clear" w:color="auto" w:fill="auto"/>
            <w:noWrap/>
            <w:vAlign w:val="bottom"/>
            <w:hideMark/>
          </w:tcPr>
          <w:p w14:paraId="61F415E0"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68%</w:t>
            </w:r>
          </w:p>
        </w:tc>
        <w:tc>
          <w:tcPr>
            <w:tcW w:w="0" w:type="auto"/>
            <w:tcBorders>
              <w:top w:val="nil"/>
              <w:left w:val="nil"/>
              <w:bottom w:val="single" w:sz="4" w:space="0" w:color="auto"/>
              <w:right w:val="single" w:sz="4" w:space="0" w:color="auto"/>
            </w:tcBorders>
            <w:shd w:val="clear" w:color="auto" w:fill="auto"/>
            <w:noWrap/>
            <w:vAlign w:val="bottom"/>
            <w:hideMark/>
          </w:tcPr>
          <w:p w14:paraId="6BF82CCE"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537</w:t>
            </w:r>
          </w:p>
        </w:tc>
        <w:tc>
          <w:tcPr>
            <w:tcW w:w="0" w:type="auto"/>
            <w:tcBorders>
              <w:top w:val="nil"/>
              <w:left w:val="nil"/>
              <w:bottom w:val="single" w:sz="4" w:space="0" w:color="auto"/>
              <w:right w:val="single" w:sz="4" w:space="0" w:color="auto"/>
            </w:tcBorders>
            <w:shd w:val="clear" w:color="auto" w:fill="auto"/>
            <w:noWrap/>
            <w:vAlign w:val="bottom"/>
            <w:hideMark/>
          </w:tcPr>
          <w:p w14:paraId="2ADBD366"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(99.3)</w:t>
            </w:r>
          </w:p>
        </w:tc>
        <w:tc>
          <w:tcPr>
            <w:tcW w:w="0" w:type="auto"/>
            <w:tcBorders>
              <w:top w:val="nil"/>
              <w:left w:val="nil"/>
              <w:bottom w:val="single" w:sz="4" w:space="0" w:color="auto"/>
              <w:right w:val="single" w:sz="4" w:space="0" w:color="auto"/>
            </w:tcBorders>
            <w:shd w:val="clear" w:color="auto" w:fill="auto"/>
            <w:noWrap/>
            <w:vAlign w:val="bottom"/>
            <w:hideMark/>
          </w:tcPr>
          <w:p w14:paraId="4E49AD92"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7B9498BF"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0EB4C802"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4869A880"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1872240C"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6DDDA943"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6BB3656D"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5C46EAA0"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27A3E8D9"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562895D0"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6E082341"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77%</w:t>
            </w:r>
          </w:p>
        </w:tc>
      </w:tr>
      <w:tr w:rsidR="0067156B" w:rsidRPr="00BA48F1" w14:paraId="17A9E0C7" w14:textId="77777777" w:rsidTr="0067156B">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0E05F56"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WINDSOR</w:t>
            </w:r>
          </w:p>
        </w:tc>
        <w:tc>
          <w:tcPr>
            <w:tcW w:w="0" w:type="auto"/>
            <w:tcBorders>
              <w:top w:val="nil"/>
              <w:left w:val="nil"/>
              <w:bottom w:val="single" w:sz="4" w:space="0" w:color="auto"/>
              <w:right w:val="single" w:sz="4" w:space="0" w:color="auto"/>
            </w:tcBorders>
            <w:shd w:val="clear" w:color="auto" w:fill="auto"/>
            <w:noWrap/>
            <w:vAlign w:val="bottom"/>
            <w:hideMark/>
          </w:tcPr>
          <w:p w14:paraId="4AB64B18"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9</w:t>
            </w:r>
          </w:p>
        </w:tc>
        <w:tc>
          <w:tcPr>
            <w:tcW w:w="0" w:type="auto"/>
            <w:tcBorders>
              <w:top w:val="nil"/>
              <w:left w:val="nil"/>
              <w:bottom w:val="single" w:sz="4" w:space="0" w:color="auto"/>
              <w:right w:val="single" w:sz="4" w:space="0" w:color="auto"/>
            </w:tcBorders>
            <w:shd w:val="clear" w:color="auto" w:fill="auto"/>
            <w:noWrap/>
            <w:vAlign w:val="bottom"/>
            <w:hideMark/>
          </w:tcPr>
          <w:p w14:paraId="4E6BC44A"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12</w:t>
            </w:r>
          </w:p>
        </w:tc>
        <w:tc>
          <w:tcPr>
            <w:tcW w:w="0" w:type="auto"/>
            <w:tcBorders>
              <w:top w:val="nil"/>
              <w:left w:val="nil"/>
              <w:bottom w:val="single" w:sz="4" w:space="0" w:color="auto"/>
              <w:right w:val="single" w:sz="4" w:space="0" w:color="auto"/>
            </w:tcBorders>
            <w:shd w:val="clear" w:color="auto" w:fill="auto"/>
            <w:noWrap/>
            <w:vAlign w:val="bottom"/>
            <w:hideMark/>
          </w:tcPr>
          <w:p w14:paraId="17562C4B"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&gt;99%</w:t>
            </w:r>
          </w:p>
        </w:tc>
        <w:tc>
          <w:tcPr>
            <w:tcW w:w="0" w:type="auto"/>
            <w:tcBorders>
              <w:top w:val="nil"/>
              <w:left w:val="nil"/>
              <w:bottom w:val="single" w:sz="4" w:space="0" w:color="auto"/>
              <w:right w:val="single" w:sz="4" w:space="0" w:color="auto"/>
            </w:tcBorders>
            <w:shd w:val="clear" w:color="auto" w:fill="auto"/>
            <w:noWrap/>
            <w:vAlign w:val="bottom"/>
            <w:hideMark/>
          </w:tcPr>
          <w:p w14:paraId="5FEDF1D1"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10</w:t>
            </w:r>
          </w:p>
        </w:tc>
        <w:tc>
          <w:tcPr>
            <w:tcW w:w="0" w:type="auto"/>
            <w:tcBorders>
              <w:top w:val="nil"/>
              <w:left w:val="nil"/>
              <w:bottom w:val="single" w:sz="4" w:space="0" w:color="auto"/>
              <w:right w:val="single" w:sz="4" w:space="0" w:color="auto"/>
            </w:tcBorders>
            <w:shd w:val="clear" w:color="auto" w:fill="auto"/>
            <w:noWrap/>
            <w:vAlign w:val="bottom"/>
            <w:hideMark/>
          </w:tcPr>
          <w:p w14:paraId="4662BE16"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(83.3)</w:t>
            </w:r>
          </w:p>
        </w:tc>
        <w:tc>
          <w:tcPr>
            <w:tcW w:w="0" w:type="auto"/>
            <w:tcBorders>
              <w:top w:val="nil"/>
              <w:left w:val="nil"/>
              <w:bottom w:val="single" w:sz="4" w:space="0" w:color="auto"/>
              <w:right w:val="single" w:sz="4" w:space="0" w:color="auto"/>
            </w:tcBorders>
            <w:shd w:val="clear" w:color="auto" w:fill="auto"/>
            <w:noWrap/>
            <w:vAlign w:val="bottom"/>
            <w:hideMark/>
          </w:tcPr>
          <w:p w14:paraId="55231FB1"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3F83B100"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3A2A35D3"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005FBDEB"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740580D0"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122B9E5B"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2E66D569"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3A15FA82"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78380D23"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195CF599"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1E46A80E"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48%</w:t>
            </w:r>
          </w:p>
        </w:tc>
      </w:tr>
      <w:tr w:rsidR="0067156B" w:rsidRPr="00BA48F1" w14:paraId="6EB0CBC6" w14:textId="77777777" w:rsidTr="0067156B">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B20F4E7"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WINTHROP</w:t>
            </w:r>
          </w:p>
        </w:tc>
        <w:tc>
          <w:tcPr>
            <w:tcW w:w="0" w:type="auto"/>
            <w:tcBorders>
              <w:top w:val="nil"/>
              <w:left w:val="nil"/>
              <w:bottom w:val="single" w:sz="4" w:space="0" w:color="auto"/>
              <w:right w:val="single" w:sz="4" w:space="0" w:color="auto"/>
            </w:tcBorders>
            <w:shd w:val="clear" w:color="auto" w:fill="auto"/>
            <w:noWrap/>
            <w:vAlign w:val="bottom"/>
            <w:hideMark/>
          </w:tcPr>
          <w:p w14:paraId="6A602E1D"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584</w:t>
            </w:r>
          </w:p>
        </w:tc>
        <w:tc>
          <w:tcPr>
            <w:tcW w:w="0" w:type="auto"/>
            <w:tcBorders>
              <w:top w:val="nil"/>
              <w:left w:val="nil"/>
              <w:bottom w:val="single" w:sz="4" w:space="0" w:color="auto"/>
              <w:right w:val="single" w:sz="4" w:space="0" w:color="auto"/>
            </w:tcBorders>
            <w:shd w:val="clear" w:color="auto" w:fill="auto"/>
            <w:noWrap/>
            <w:vAlign w:val="bottom"/>
            <w:hideMark/>
          </w:tcPr>
          <w:p w14:paraId="06D5F378"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387</w:t>
            </w:r>
          </w:p>
        </w:tc>
        <w:tc>
          <w:tcPr>
            <w:tcW w:w="0" w:type="auto"/>
            <w:tcBorders>
              <w:top w:val="nil"/>
              <w:left w:val="nil"/>
              <w:bottom w:val="single" w:sz="4" w:space="0" w:color="auto"/>
              <w:right w:val="single" w:sz="4" w:space="0" w:color="auto"/>
            </w:tcBorders>
            <w:shd w:val="clear" w:color="auto" w:fill="auto"/>
            <w:noWrap/>
            <w:vAlign w:val="bottom"/>
            <w:hideMark/>
          </w:tcPr>
          <w:p w14:paraId="58E9E968"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66%</w:t>
            </w:r>
          </w:p>
        </w:tc>
        <w:tc>
          <w:tcPr>
            <w:tcW w:w="0" w:type="auto"/>
            <w:tcBorders>
              <w:top w:val="nil"/>
              <w:left w:val="nil"/>
              <w:bottom w:val="single" w:sz="4" w:space="0" w:color="auto"/>
              <w:right w:val="single" w:sz="4" w:space="0" w:color="auto"/>
            </w:tcBorders>
            <w:shd w:val="clear" w:color="auto" w:fill="auto"/>
            <w:noWrap/>
            <w:vAlign w:val="bottom"/>
            <w:hideMark/>
          </w:tcPr>
          <w:p w14:paraId="20AC1812"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375</w:t>
            </w:r>
          </w:p>
        </w:tc>
        <w:tc>
          <w:tcPr>
            <w:tcW w:w="0" w:type="auto"/>
            <w:tcBorders>
              <w:top w:val="nil"/>
              <w:left w:val="nil"/>
              <w:bottom w:val="single" w:sz="4" w:space="0" w:color="auto"/>
              <w:right w:val="single" w:sz="4" w:space="0" w:color="auto"/>
            </w:tcBorders>
            <w:shd w:val="clear" w:color="auto" w:fill="auto"/>
            <w:noWrap/>
            <w:vAlign w:val="bottom"/>
            <w:hideMark/>
          </w:tcPr>
          <w:p w14:paraId="0524237D"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(96.9)</w:t>
            </w:r>
          </w:p>
        </w:tc>
        <w:tc>
          <w:tcPr>
            <w:tcW w:w="0" w:type="auto"/>
            <w:tcBorders>
              <w:top w:val="nil"/>
              <w:left w:val="nil"/>
              <w:bottom w:val="single" w:sz="4" w:space="0" w:color="auto"/>
              <w:right w:val="single" w:sz="4" w:space="0" w:color="auto"/>
            </w:tcBorders>
            <w:shd w:val="clear" w:color="auto" w:fill="auto"/>
            <w:noWrap/>
            <w:vAlign w:val="bottom"/>
            <w:hideMark/>
          </w:tcPr>
          <w:p w14:paraId="567227AF"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10</w:t>
            </w:r>
          </w:p>
        </w:tc>
        <w:tc>
          <w:tcPr>
            <w:tcW w:w="0" w:type="auto"/>
            <w:tcBorders>
              <w:top w:val="nil"/>
              <w:left w:val="nil"/>
              <w:bottom w:val="single" w:sz="4" w:space="0" w:color="auto"/>
              <w:right w:val="single" w:sz="4" w:space="0" w:color="auto"/>
            </w:tcBorders>
            <w:shd w:val="clear" w:color="auto" w:fill="auto"/>
            <w:noWrap/>
            <w:vAlign w:val="bottom"/>
            <w:hideMark/>
          </w:tcPr>
          <w:p w14:paraId="74694408"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(2.6)</w:t>
            </w:r>
          </w:p>
        </w:tc>
        <w:tc>
          <w:tcPr>
            <w:tcW w:w="0" w:type="auto"/>
            <w:tcBorders>
              <w:top w:val="nil"/>
              <w:left w:val="nil"/>
              <w:bottom w:val="single" w:sz="4" w:space="0" w:color="auto"/>
              <w:right w:val="single" w:sz="4" w:space="0" w:color="auto"/>
            </w:tcBorders>
            <w:shd w:val="clear" w:color="auto" w:fill="auto"/>
            <w:noWrap/>
            <w:vAlign w:val="bottom"/>
            <w:hideMark/>
          </w:tcPr>
          <w:p w14:paraId="0563D07C"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6141D5F9"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35BAA2C0"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54026BCD"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7BEE7F52"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8</w:t>
            </w:r>
          </w:p>
        </w:tc>
        <w:tc>
          <w:tcPr>
            <w:tcW w:w="0" w:type="auto"/>
            <w:tcBorders>
              <w:top w:val="nil"/>
              <w:left w:val="nil"/>
              <w:bottom w:val="single" w:sz="4" w:space="0" w:color="auto"/>
              <w:right w:val="single" w:sz="4" w:space="0" w:color="auto"/>
            </w:tcBorders>
            <w:shd w:val="clear" w:color="auto" w:fill="auto"/>
            <w:noWrap/>
            <w:vAlign w:val="bottom"/>
            <w:hideMark/>
          </w:tcPr>
          <w:p w14:paraId="0797638E"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(2.1)</w:t>
            </w:r>
          </w:p>
        </w:tc>
        <w:tc>
          <w:tcPr>
            <w:tcW w:w="0" w:type="auto"/>
            <w:tcBorders>
              <w:top w:val="nil"/>
              <w:left w:val="nil"/>
              <w:bottom w:val="single" w:sz="4" w:space="0" w:color="auto"/>
              <w:right w:val="single" w:sz="4" w:space="0" w:color="auto"/>
            </w:tcBorders>
            <w:shd w:val="clear" w:color="auto" w:fill="auto"/>
            <w:noWrap/>
            <w:vAlign w:val="bottom"/>
            <w:hideMark/>
          </w:tcPr>
          <w:p w14:paraId="55D2EE50"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180D67F4"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5559BCE7"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87%</w:t>
            </w:r>
          </w:p>
        </w:tc>
      </w:tr>
      <w:tr w:rsidR="0067156B" w:rsidRPr="00BA48F1" w14:paraId="16B7FAA1" w14:textId="77777777" w:rsidTr="0067156B">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F864D50"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WOBURN</w:t>
            </w:r>
          </w:p>
        </w:tc>
        <w:tc>
          <w:tcPr>
            <w:tcW w:w="0" w:type="auto"/>
            <w:tcBorders>
              <w:top w:val="nil"/>
              <w:left w:val="nil"/>
              <w:bottom w:val="single" w:sz="4" w:space="0" w:color="auto"/>
              <w:right w:val="single" w:sz="4" w:space="0" w:color="auto"/>
            </w:tcBorders>
            <w:shd w:val="clear" w:color="auto" w:fill="auto"/>
            <w:noWrap/>
            <w:vAlign w:val="bottom"/>
            <w:hideMark/>
          </w:tcPr>
          <w:p w14:paraId="2E50BC92"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1,588</w:t>
            </w:r>
          </w:p>
        </w:tc>
        <w:tc>
          <w:tcPr>
            <w:tcW w:w="0" w:type="auto"/>
            <w:tcBorders>
              <w:top w:val="nil"/>
              <w:left w:val="nil"/>
              <w:bottom w:val="single" w:sz="4" w:space="0" w:color="auto"/>
              <w:right w:val="single" w:sz="4" w:space="0" w:color="auto"/>
            </w:tcBorders>
            <w:shd w:val="clear" w:color="auto" w:fill="auto"/>
            <w:noWrap/>
            <w:vAlign w:val="bottom"/>
            <w:hideMark/>
          </w:tcPr>
          <w:p w14:paraId="6A5F03F4"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1,013</w:t>
            </w:r>
          </w:p>
        </w:tc>
        <w:tc>
          <w:tcPr>
            <w:tcW w:w="0" w:type="auto"/>
            <w:tcBorders>
              <w:top w:val="nil"/>
              <w:left w:val="nil"/>
              <w:bottom w:val="single" w:sz="4" w:space="0" w:color="auto"/>
              <w:right w:val="single" w:sz="4" w:space="0" w:color="auto"/>
            </w:tcBorders>
            <w:shd w:val="clear" w:color="auto" w:fill="auto"/>
            <w:noWrap/>
            <w:vAlign w:val="bottom"/>
            <w:hideMark/>
          </w:tcPr>
          <w:p w14:paraId="5A279C74"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64%</w:t>
            </w:r>
          </w:p>
        </w:tc>
        <w:tc>
          <w:tcPr>
            <w:tcW w:w="0" w:type="auto"/>
            <w:tcBorders>
              <w:top w:val="nil"/>
              <w:left w:val="nil"/>
              <w:bottom w:val="single" w:sz="4" w:space="0" w:color="auto"/>
              <w:right w:val="single" w:sz="4" w:space="0" w:color="auto"/>
            </w:tcBorders>
            <w:shd w:val="clear" w:color="auto" w:fill="auto"/>
            <w:noWrap/>
            <w:vAlign w:val="bottom"/>
            <w:hideMark/>
          </w:tcPr>
          <w:p w14:paraId="3CA9EECC"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996</w:t>
            </w:r>
          </w:p>
        </w:tc>
        <w:tc>
          <w:tcPr>
            <w:tcW w:w="0" w:type="auto"/>
            <w:tcBorders>
              <w:top w:val="nil"/>
              <w:left w:val="nil"/>
              <w:bottom w:val="single" w:sz="4" w:space="0" w:color="auto"/>
              <w:right w:val="single" w:sz="4" w:space="0" w:color="auto"/>
            </w:tcBorders>
            <w:shd w:val="clear" w:color="auto" w:fill="auto"/>
            <w:noWrap/>
            <w:vAlign w:val="bottom"/>
            <w:hideMark/>
          </w:tcPr>
          <w:p w14:paraId="5E3AEE16"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(98.3)</w:t>
            </w:r>
          </w:p>
        </w:tc>
        <w:tc>
          <w:tcPr>
            <w:tcW w:w="0" w:type="auto"/>
            <w:tcBorders>
              <w:top w:val="nil"/>
              <w:left w:val="nil"/>
              <w:bottom w:val="single" w:sz="4" w:space="0" w:color="auto"/>
              <w:right w:val="single" w:sz="4" w:space="0" w:color="auto"/>
            </w:tcBorders>
            <w:shd w:val="clear" w:color="auto" w:fill="auto"/>
            <w:noWrap/>
            <w:vAlign w:val="bottom"/>
            <w:hideMark/>
          </w:tcPr>
          <w:p w14:paraId="15CCA400"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14</w:t>
            </w:r>
          </w:p>
        </w:tc>
        <w:tc>
          <w:tcPr>
            <w:tcW w:w="0" w:type="auto"/>
            <w:tcBorders>
              <w:top w:val="nil"/>
              <w:left w:val="nil"/>
              <w:bottom w:val="single" w:sz="4" w:space="0" w:color="auto"/>
              <w:right w:val="single" w:sz="4" w:space="0" w:color="auto"/>
            </w:tcBorders>
            <w:shd w:val="clear" w:color="auto" w:fill="auto"/>
            <w:noWrap/>
            <w:vAlign w:val="bottom"/>
            <w:hideMark/>
          </w:tcPr>
          <w:p w14:paraId="66BC5DF4"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(1.4)</w:t>
            </w:r>
          </w:p>
        </w:tc>
        <w:tc>
          <w:tcPr>
            <w:tcW w:w="0" w:type="auto"/>
            <w:tcBorders>
              <w:top w:val="nil"/>
              <w:left w:val="nil"/>
              <w:bottom w:val="single" w:sz="4" w:space="0" w:color="auto"/>
              <w:right w:val="single" w:sz="4" w:space="0" w:color="auto"/>
            </w:tcBorders>
            <w:shd w:val="clear" w:color="auto" w:fill="auto"/>
            <w:noWrap/>
            <w:vAlign w:val="bottom"/>
            <w:hideMark/>
          </w:tcPr>
          <w:p w14:paraId="636D3E31"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70F7D4DC"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6EADEDCF"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21892200"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24EA20F6"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11</w:t>
            </w:r>
          </w:p>
        </w:tc>
        <w:tc>
          <w:tcPr>
            <w:tcW w:w="0" w:type="auto"/>
            <w:tcBorders>
              <w:top w:val="nil"/>
              <w:left w:val="nil"/>
              <w:bottom w:val="single" w:sz="4" w:space="0" w:color="auto"/>
              <w:right w:val="single" w:sz="4" w:space="0" w:color="auto"/>
            </w:tcBorders>
            <w:shd w:val="clear" w:color="auto" w:fill="auto"/>
            <w:noWrap/>
            <w:vAlign w:val="bottom"/>
            <w:hideMark/>
          </w:tcPr>
          <w:p w14:paraId="44FF315E"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(1.1)</w:t>
            </w:r>
          </w:p>
        </w:tc>
        <w:tc>
          <w:tcPr>
            <w:tcW w:w="0" w:type="auto"/>
            <w:tcBorders>
              <w:top w:val="nil"/>
              <w:left w:val="nil"/>
              <w:bottom w:val="single" w:sz="4" w:space="0" w:color="auto"/>
              <w:right w:val="single" w:sz="4" w:space="0" w:color="auto"/>
            </w:tcBorders>
            <w:shd w:val="clear" w:color="auto" w:fill="auto"/>
            <w:noWrap/>
            <w:vAlign w:val="bottom"/>
            <w:hideMark/>
          </w:tcPr>
          <w:p w14:paraId="0D15BF3D"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165643B5"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0670213E"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67%</w:t>
            </w:r>
          </w:p>
        </w:tc>
      </w:tr>
      <w:tr w:rsidR="0067156B" w:rsidRPr="00BA48F1" w14:paraId="6371AB29" w14:textId="77777777" w:rsidTr="0067156B">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B16A152"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WORCESTER</w:t>
            </w:r>
          </w:p>
        </w:tc>
        <w:tc>
          <w:tcPr>
            <w:tcW w:w="0" w:type="auto"/>
            <w:tcBorders>
              <w:top w:val="nil"/>
              <w:left w:val="nil"/>
              <w:bottom w:val="single" w:sz="4" w:space="0" w:color="auto"/>
              <w:right w:val="single" w:sz="4" w:space="0" w:color="auto"/>
            </w:tcBorders>
            <w:shd w:val="clear" w:color="auto" w:fill="auto"/>
            <w:noWrap/>
            <w:vAlign w:val="bottom"/>
            <w:hideMark/>
          </w:tcPr>
          <w:p w14:paraId="1E378E6C"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7,321</w:t>
            </w:r>
          </w:p>
        </w:tc>
        <w:tc>
          <w:tcPr>
            <w:tcW w:w="0" w:type="auto"/>
            <w:tcBorders>
              <w:top w:val="nil"/>
              <w:left w:val="nil"/>
              <w:bottom w:val="single" w:sz="4" w:space="0" w:color="auto"/>
              <w:right w:val="single" w:sz="4" w:space="0" w:color="auto"/>
            </w:tcBorders>
            <w:shd w:val="clear" w:color="auto" w:fill="auto"/>
            <w:noWrap/>
            <w:vAlign w:val="bottom"/>
            <w:hideMark/>
          </w:tcPr>
          <w:p w14:paraId="545F9196"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4,421</w:t>
            </w:r>
          </w:p>
        </w:tc>
        <w:tc>
          <w:tcPr>
            <w:tcW w:w="0" w:type="auto"/>
            <w:tcBorders>
              <w:top w:val="nil"/>
              <w:left w:val="nil"/>
              <w:bottom w:val="single" w:sz="4" w:space="0" w:color="auto"/>
              <w:right w:val="single" w:sz="4" w:space="0" w:color="auto"/>
            </w:tcBorders>
            <w:shd w:val="clear" w:color="auto" w:fill="auto"/>
            <w:noWrap/>
            <w:vAlign w:val="bottom"/>
            <w:hideMark/>
          </w:tcPr>
          <w:p w14:paraId="716104DA"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60%</w:t>
            </w:r>
          </w:p>
        </w:tc>
        <w:tc>
          <w:tcPr>
            <w:tcW w:w="0" w:type="auto"/>
            <w:tcBorders>
              <w:top w:val="nil"/>
              <w:left w:val="nil"/>
              <w:bottom w:val="single" w:sz="4" w:space="0" w:color="auto"/>
              <w:right w:val="single" w:sz="4" w:space="0" w:color="auto"/>
            </w:tcBorders>
            <w:shd w:val="clear" w:color="auto" w:fill="auto"/>
            <w:noWrap/>
            <w:vAlign w:val="bottom"/>
            <w:hideMark/>
          </w:tcPr>
          <w:p w14:paraId="32040579"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4,343</w:t>
            </w:r>
          </w:p>
        </w:tc>
        <w:tc>
          <w:tcPr>
            <w:tcW w:w="0" w:type="auto"/>
            <w:tcBorders>
              <w:top w:val="nil"/>
              <w:left w:val="nil"/>
              <w:bottom w:val="single" w:sz="4" w:space="0" w:color="auto"/>
              <w:right w:val="single" w:sz="4" w:space="0" w:color="auto"/>
            </w:tcBorders>
            <w:shd w:val="clear" w:color="auto" w:fill="auto"/>
            <w:noWrap/>
            <w:vAlign w:val="bottom"/>
            <w:hideMark/>
          </w:tcPr>
          <w:p w14:paraId="5F52CA8C"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(98.2)</w:t>
            </w:r>
          </w:p>
        </w:tc>
        <w:tc>
          <w:tcPr>
            <w:tcW w:w="0" w:type="auto"/>
            <w:tcBorders>
              <w:top w:val="nil"/>
              <w:left w:val="nil"/>
              <w:bottom w:val="single" w:sz="4" w:space="0" w:color="auto"/>
              <w:right w:val="single" w:sz="4" w:space="0" w:color="auto"/>
            </w:tcBorders>
            <w:shd w:val="clear" w:color="auto" w:fill="auto"/>
            <w:noWrap/>
            <w:vAlign w:val="bottom"/>
            <w:hideMark/>
          </w:tcPr>
          <w:p w14:paraId="063143AA"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56</w:t>
            </w:r>
          </w:p>
        </w:tc>
        <w:tc>
          <w:tcPr>
            <w:tcW w:w="0" w:type="auto"/>
            <w:tcBorders>
              <w:top w:val="nil"/>
              <w:left w:val="nil"/>
              <w:bottom w:val="single" w:sz="4" w:space="0" w:color="auto"/>
              <w:right w:val="single" w:sz="4" w:space="0" w:color="auto"/>
            </w:tcBorders>
            <w:shd w:val="clear" w:color="auto" w:fill="auto"/>
            <w:noWrap/>
            <w:vAlign w:val="bottom"/>
            <w:hideMark/>
          </w:tcPr>
          <w:p w14:paraId="2AFD8C54"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(1.3)</w:t>
            </w:r>
          </w:p>
        </w:tc>
        <w:tc>
          <w:tcPr>
            <w:tcW w:w="0" w:type="auto"/>
            <w:tcBorders>
              <w:top w:val="nil"/>
              <w:left w:val="nil"/>
              <w:bottom w:val="single" w:sz="4" w:space="0" w:color="auto"/>
              <w:right w:val="single" w:sz="4" w:space="0" w:color="auto"/>
            </w:tcBorders>
            <w:shd w:val="clear" w:color="auto" w:fill="auto"/>
            <w:noWrap/>
            <w:vAlign w:val="bottom"/>
            <w:hideMark/>
          </w:tcPr>
          <w:p w14:paraId="5BFD3580"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20</w:t>
            </w:r>
          </w:p>
        </w:tc>
        <w:tc>
          <w:tcPr>
            <w:tcW w:w="0" w:type="auto"/>
            <w:tcBorders>
              <w:top w:val="nil"/>
              <w:left w:val="nil"/>
              <w:bottom w:val="single" w:sz="4" w:space="0" w:color="auto"/>
              <w:right w:val="single" w:sz="4" w:space="0" w:color="auto"/>
            </w:tcBorders>
            <w:shd w:val="clear" w:color="auto" w:fill="auto"/>
            <w:noWrap/>
            <w:vAlign w:val="bottom"/>
            <w:hideMark/>
          </w:tcPr>
          <w:p w14:paraId="1BFA582D"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(0.5)</w:t>
            </w:r>
          </w:p>
        </w:tc>
        <w:tc>
          <w:tcPr>
            <w:tcW w:w="0" w:type="auto"/>
            <w:tcBorders>
              <w:top w:val="nil"/>
              <w:left w:val="nil"/>
              <w:bottom w:val="single" w:sz="4" w:space="0" w:color="auto"/>
              <w:right w:val="single" w:sz="4" w:space="0" w:color="auto"/>
            </w:tcBorders>
            <w:shd w:val="clear" w:color="auto" w:fill="auto"/>
            <w:noWrap/>
            <w:vAlign w:val="bottom"/>
            <w:hideMark/>
          </w:tcPr>
          <w:p w14:paraId="6E1586AB"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2</w:t>
            </w:r>
          </w:p>
        </w:tc>
        <w:tc>
          <w:tcPr>
            <w:tcW w:w="0" w:type="auto"/>
            <w:tcBorders>
              <w:top w:val="nil"/>
              <w:left w:val="nil"/>
              <w:bottom w:val="single" w:sz="4" w:space="0" w:color="auto"/>
              <w:right w:val="single" w:sz="4" w:space="0" w:color="auto"/>
            </w:tcBorders>
            <w:shd w:val="clear" w:color="auto" w:fill="auto"/>
            <w:noWrap/>
            <w:vAlign w:val="bottom"/>
            <w:hideMark/>
          </w:tcPr>
          <w:p w14:paraId="4ADC4389"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(&lt;0.1)</w:t>
            </w:r>
          </w:p>
        </w:tc>
        <w:tc>
          <w:tcPr>
            <w:tcW w:w="0" w:type="auto"/>
            <w:tcBorders>
              <w:top w:val="nil"/>
              <w:left w:val="nil"/>
              <w:bottom w:val="single" w:sz="4" w:space="0" w:color="auto"/>
              <w:right w:val="single" w:sz="4" w:space="0" w:color="auto"/>
            </w:tcBorders>
            <w:shd w:val="clear" w:color="auto" w:fill="auto"/>
            <w:noWrap/>
            <w:vAlign w:val="bottom"/>
            <w:hideMark/>
          </w:tcPr>
          <w:p w14:paraId="7F17AA85"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71</w:t>
            </w:r>
          </w:p>
        </w:tc>
        <w:tc>
          <w:tcPr>
            <w:tcW w:w="0" w:type="auto"/>
            <w:tcBorders>
              <w:top w:val="nil"/>
              <w:left w:val="nil"/>
              <w:bottom w:val="single" w:sz="4" w:space="0" w:color="auto"/>
              <w:right w:val="single" w:sz="4" w:space="0" w:color="auto"/>
            </w:tcBorders>
            <w:shd w:val="clear" w:color="auto" w:fill="auto"/>
            <w:noWrap/>
            <w:vAlign w:val="bottom"/>
            <w:hideMark/>
          </w:tcPr>
          <w:p w14:paraId="49F5A2A8"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(1.6)</w:t>
            </w:r>
          </w:p>
        </w:tc>
        <w:tc>
          <w:tcPr>
            <w:tcW w:w="0" w:type="auto"/>
            <w:tcBorders>
              <w:top w:val="nil"/>
              <w:left w:val="nil"/>
              <w:bottom w:val="single" w:sz="4" w:space="0" w:color="auto"/>
              <w:right w:val="single" w:sz="4" w:space="0" w:color="auto"/>
            </w:tcBorders>
            <w:shd w:val="clear" w:color="auto" w:fill="auto"/>
            <w:noWrap/>
            <w:vAlign w:val="bottom"/>
            <w:hideMark/>
          </w:tcPr>
          <w:p w14:paraId="6F6DE810"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22</w:t>
            </w:r>
          </w:p>
        </w:tc>
        <w:tc>
          <w:tcPr>
            <w:tcW w:w="0" w:type="auto"/>
            <w:tcBorders>
              <w:top w:val="nil"/>
              <w:left w:val="nil"/>
              <w:bottom w:val="single" w:sz="4" w:space="0" w:color="auto"/>
              <w:right w:val="single" w:sz="4" w:space="0" w:color="auto"/>
            </w:tcBorders>
            <w:shd w:val="clear" w:color="auto" w:fill="auto"/>
            <w:noWrap/>
            <w:vAlign w:val="bottom"/>
            <w:hideMark/>
          </w:tcPr>
          <w:p w14:paraId="666C9044"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(0.5)</w:t>
            </w:r>
          </w:p>
        </w:tc>
        <w:tc>
          <w:tcPr>
            <w:tcW w:w="0" w:type="auto"/>
            <w:tcBorders>
              <w:top w:val="nil"/>
              <w:left w:val="nil"/>
              <w:bottom w:val="single" w:sz="4" w:space="0" w:color="auto"/>
              <w:right w:val="single" w:sz="4" w:space="0" w:color="auto"/>
            </w:tcBorders>
            <w:shd w:val="clear" w:color="auto" w:fill="auto"/>
            <w:noWrap/>
            <w:vAlign w:val="bottom"/>
            <w:hideMark/>
          </w:tcPr>
          <w:p w14:paraId="6DE7749D"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78%</w:t>
            </w:r>
          </w:p>
        </w:tc>
      </w:tr>
      <w:tr w:rsidR="0067156B" w:rsidRPr="00BA48F1" w14:paraId="0C7B315E" w14:textId="77777777" w:rsidTr="0067156B">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AC0351D"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WORTHINGTON</w:t>
            </w:r>
          </w:p>
        </w:tc>
        <w:tc>
          <w:tcPr>
            <w:tcW w:w="0" w:type="auto"/>
            <w:tcBorders>
              <w:top w:val="nil"/>
              <w:left w:val="nil"/>
              <w:bottom w:val="single" w:sz="4" w:space="0" w:color="auto"/>
              <w:right w:val="single" w:sz="4" w:space="0" w:color="auto"/>
            </w:tcBorders>
            <w:shd w:val="clear" w:color="auto" w:fill="auto"/>
            <w:noWrap/>
            <w:vAlign w:val="bottom"/>
            <w:hideMark/>
          </w:tcPr>
          <w:p w14:paraId="5AC25E9E"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13</w:t>
            </w:r>
          </w:p>
        </w:tc>
        <w:tc>
          <w:tcPr>
            <w:tcW w:w="0" w:type="auto"/>
            <w:tcBorders>
              <w:top w:val="nil"/>
              <w:left w:val="nil"/>
              <w:bottom w:val="single" w:sz="4" w:space="0" w:color="auto"/>
              <w:right w:val="single" w:sz="4" w:space="0" w:color="auto"/>
            </w:tcBorders>
            <w:shd w:val="clear" w:color="auto" w:fill="auto"/>
            <w:noWrap/>
            <w:vAlign w:val="bottom"/>
            <w:hideMark/>
          </w:tcPr>
          <w:p w14:paraId="6DB4BF5E"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17</w:t>
            </w:r>
          </w:p>
        </w:tc>
        <w:tc>
          <w:tcPr>
            <w:tcW w:w="0" w:type="auto"/>
            <w:tcBorders>
              <w:top w:val="nil"/>
              <w:left w:val="nil"/>
              <w:bottom w:val="single" w:sz="4" w:space="0" w:color="auto"/>
              <w:right w:val="single" w:sz="4" w:space="0" w:color="auto"/>
            </w:tcBorders>
            <w:shd w:val="clear" w:color="auto" w:fill="auto"/>
            <w:noWrap/>
            <w:vAlign w:val="bottom"/>
            <w:hideMark/>
          </w:tcPr>
          <w:p w14:paraId="4A1E6F89"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&gt;99%</w:t>
            </w:r>
          </w:p>
        </w:tc>
        <w:tc>
          <w:tcPr>
            <w:tcW w:w="0" w:type="auto"/>
            <w:tcBorders>
              <w:top w:val="nil"/>
              <w:left w:val="nil"/>
              <w:bottom w:val="single" w:sz="4" w:space="0" w:color="auto"/>
              <w:right w:val="single" w:sz="4" w:space="0" w:color="auto"/>
            </w:tcBorders>
            <w:shd w:val="clear" w:color="auto" w:fill="auto"/>
            <w:noWrap/>
            <w:vAlign w:val="bottom"/>
            <w:hideMark/>
          </w:tcPr>
          <w:p w14:paraId="0CA9B450"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16</w:t>
            </w:r>
          </w:p>
        </w:tc>
        <w:tc>
          <w:tcPr>
            <w:tcW w:w="0" w:type="auto"/>
            <w:tcBorders>
              <w:top w:val="nil"/>
              <w:left w:val="nil"/>
              <w:bottom w:val="single" w:sz="4" w:space="0" w:color="auto"/>
              <w:right w:val="single" w:sz="4" w:space="0" w:color="auto"/>
            </w:tcBorders>
            <w:shd w:val="clear" w:color="auto" w:fill="auto"/>
            <w:noWrap/>
            <w:vAlign w:val="bottom"/>
            <w:hideMark/>
          </w:tcPr>
          <w:p w14:paraId="657716DC"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(94.1)</w:t>
            </w:r>
          </w:p>
        </w:tc>
        <w:tc>
          <w:tcPr>
            <w:tcW w:w="0" w:type="auto"/>
            <w:tcBorders>
              <w:top w:val="nil"/>
              <w:left w:val="nil"/>
              <w:bottom w:val="single" w:sz="4" w:space="0" w:color="auto"/>
              <w:right w:val="single" w:sz="4" w:space="0" w:color="auto"/>
            </w:tcBorders>
            <w:shd w:val="clear" w:color="auto" w:fill="auto"/>
            <w:noWrap/>
            <w:vAlign w:val="bottom"/>
            <w:hideMark/>
          </w:tcPr>
          <w:p w14:paraId="24B4DFCC"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49FA61D6"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25882895"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7389ADCC"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03DD6ADE"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60596E95"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61F44336"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72C35CD5"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4BCD5F00"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20C25426"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5A2304C7"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63%</w:t>
            </w:r>
          </w:p>
        </w:tc>
      </w:tr>
      <w:tr w:rsidR="0067156B" w:rsidRPr="00BA48F1" w14:paraId="30DBC39A" w14:textId="77777777" w:rsidTr="0067156B">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D21AC47"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WRENTHAM</w:t>
            </w:r>
          </w:p>
        </w:tc>
        <w:tc>
          <w:tcPr>
            <w:tcW w:w="0" w:type="auto"/>
            <w:tcBorders>
              <w:top w:val="nil"/>
              <w:left w:val="nil"/>
              <w:bottom w:val="single" w:sz="4" w:space="0" w:color="auto"/>
              <w:right w:val="single" w:sz="4" w:space="0" w:color="auto"/>
            </w:tcBorders>
            <w:shd w:val="clear" w:color="auto" w:fill="auto"/>
            <w:noWrap/>
            <w:vAlign w:val="bottom"/>
            <w:hideMark/>
          </w:tcPr>
          <w:p w14:paraId="3FDB046C"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366</w:t>
            </w:r>
          </w:p>
        </w:tc>
        <w:tc>
          <w:tcPr>
            <w:tcW w:w="0" w:type="auto"/>
            <w:tcBorders>
              <w:top w:val="nil"/>
              <w:left w:val="nil"/>
              <w:bottom w:val="single" w:sz="4" w:space="0" w:color="auto"/>
              <w:right w:val="single" w:sz="4" w:space="0" w:color="auto"/>
            </w:tcBorders>
            <w:shd w:val="clear" w:color="auto" w:fill="auto"/>
            <w:noWrap/>
            <w:vAlign w:val="bottom"/>
            <w:hideMark/>
          </w:tcPr>
          <w:p w14:paraId="50457AFA"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307</w:t>
            </w:r>
          </w:p>
        </w:tc>
        <w:tc>
          <w:tcPr>
            <w:tcW w:w="0" w:type="auto"/>
            <w:tcBorders>
              <w:top w:val="nil"/>
              <w:left w:val="nil"/>
              <w:bottom w:val="single" w:sz="4" w:space="0" w:color="auto"/>
              <w:right w:val="single" w:sz="4" w:space="0" w:color="auto"/>
            </w:tcBorders>
            <w:shd w:val="clear" w:color="auto" w:fill="auto"/>
            <w:noWrap/>
            <w:vAlign w:val="bottom"/>
            <w:hideMark/>
          </w:tcPr>
          <w:p w14:paraId="148B9733"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84%</w:t>
            </w:r>
          </w:p>
        </w:tc>
        <w:tc>
          <w:tcPr>
            <w:tcW w:w="0" w:type="auto"/>
            <w:tcBorders>
              <w:top w:val="nil"/>
              <w:left w:val="nil"/>
              <w:bottom w:val="single" w:sz="4" w:space="0" w:color="auto"/>
              <w:right w:val="single" w:sz="4" w:space="0" w:color="auto"/>
            </w:tcBorders>
            <w:shd w:val="clear" w:color="auto" w:fill="auto"/>
            <w:noWrap/>
            <w:vAlign w:val="bottom"/>
            <w:hideMark/>
          </w:tcPr>
          <w:p w14:paraId="4A3432DA"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305</w:t>
            </w:r>
          </w:p>
        </w:tc>
        <w:tc>
          <w:tcPr>
            <w:tcW w:w="0" w:type="auto"/>
            <w:tcBorders>
              <w:top w:val="nil"/>
              <w:left w:val="nil"/>
              <w:bottom w:val="single" w:sz="4" w:space="0" w:color="auto"/>
              <w:right w:val="single" w:sz="4" w:space="0" w:color="auto"/>
            </w:tcBorders>
            <w:shd w:val="clear" w:color="auto" w:fill="auto"/>
            <w:noWrap/>
            <w:vAlign w:val="bottom"/>
            <w:hideMark/>
          </w:tcPr>
          <w:p w14:paraId="4F8FBF4B"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(99.3)</w:t>
            </w:r>
          </w:p>
        </w:tc>
        <w:tc>
          <w:tcPr>
            <w:tcW w:w="0" w:type="auto"/>
            <w:tcBorders>
              <w:top w:val="nil"/>
              <w:left w:val="nil"/>
              <w:bottom w:val="single" w:sz="4" w:space="0" w:color="auto"/>
              <w:right w:val="single" w:sz="4" w:space="0" w:color="auto"/>
            </w:tcBorders>
            <w:shd w:val="clear" w:color="auto" w:fill="auto"/>
            <w:noWrap/>
            <w:vAlign w:val="bottom"/>
            <w:hideMark/>
          </w:tcPr>
          <w:p w14:paraId="58AA81E0"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20456237"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20D5AAC7"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4005631E"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29B85309"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1F5651A5"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4D86E475"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4AF73B37"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09A7773D"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789612DC"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305E6880"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52%</w:t>
            </w:r>
          </w:p>
        </w:tc>
      </w:tr>
      <w:tr w:rsidR="0067156B" w:rsidRPr="00BA48F1" w14:paraId="11F7FCC9" w14:textId="77777777" w:rsidTr="0067156B">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9EBC142"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YARMOUTH</w:t>
            </w:r>
          </w:p>
        </w:tc>
        <w:tc>
          <w:tcPr>
            <w:tcW w:w="0" w:type="auto"/>
            <w:tcBorders>
              <w:top w:val="nil"/>
              <w:left w:val="nil"/>
              <w:bottom w:val="single" w:sz="4" w:space="0" w:color="auto"/>
              <w:right w:val="single" w:sz="4" w:space="0" w:color="auto"/>
            </w:tcBorders>
            <w:shd w:val="clear" w:color="auto" w:fill="auto"/>
            <w:noWrap/>
            <w:vAlign w:val="bottom"/>
            <w:hideMark/>
          </w:tcPr>
          <w:p w14:paraId="64620AC5"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652</w:t>
            </w:r>
          </w:p>
        </w:tc>
        <w:tc>
          <w:tcPr>
            <w:tcW w:w="0" w:type="auto"/>
            <w:tcBorders>
              <w:top w:val="nil"/>
              <w:left w:val="nil"/>
              <w:bottom w:val="single" w:sz="4" w:space="0" w:color="auto"/>
              <w:right w:val="single" w:sz="4" w:space="0" w:color="auto"/>
            </w:tcBorders>
            <w:shd w:val="clear" w:color="auto" w:fill="auto"/>
            <w:noWrap/>
            <w:vAlign w:val="bottom"/>
            <w:hideMark/>
          </w:tcPr>
          <w:p w14:paraId="204402E8"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340</w:t>
            </w:r>
          </w:p>
        </w:tc>
        <w:tc>
          <w:tcPr>
            <w:tcW w:w="0" w:type="auto"/>
            <w:tcBorders>
              <w:top w:val="nil"/>
              <w:left w:val="nil"/>
              <w:bottom w:val="single" w:sz="4" w:space="0" w:color="auto"/>
              <w:right w:val="single" w:sz="4" w:space="0" w:color="auto"/>
            </w:tcBorders>
            <w:shd w:val="clear" w:color="auto" w:fill="auto"/>
            <w:noWrap/>
            <w:vAlign w:val="bottom"/>
            <w:hideMark/>
          </w:tcPr>
          <w:p w14:paraId="6C3041DD"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52%</w:t>
            </w:r>
          </w:p>
        </w:tc>
        <w:tc>
          <w:tcPr>
            <w:tcW w:w="0" w:type="auto"/>
            <w:tcBorders>
              <w:top w:val="nil"/>
              <w:left w:val="nil"/>
              <w:bottom w:val="single" w:sz="4" w:space="0" w:color="auto"/>
              <w:right w:val="single" w:sz="4" w:space="0" w:color="auto"/>
            </w:tcBorders>
            <w:shd w:val="clear" w:color="auto" w:fill="auto"/>
            <w:noWrap/>
            <w:vAlign w:val="bottom"/>
            <w:hideMark/>
          </w:tcPr>
          <w:p w14:paraId="125BB559"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334</w:t>
            </w:r>
          </w:p>
        </w:tc>
        <w:tc>
          <w:tcPr>
            <w:tcW w:w="0" w:type="auto"/>
            <w:tcBorders>
              <w:top w:val="nil"/>
              <w:left w:val="nil"/>
              <w:bottom w:val="single" w:sz="4" w:space="0" w:color="auto"/>
              <w:right w:val="single" w:sz="4" w:space="0" w:color="auto"/>
            </w:tcBorders>
            <w:shd w:val="clear" w:color="auto" w:fill="auto"/>
            <w:noWrap/>
            <w:vAlign w:val="bottom"/>
            <w:hideMark/>
          </w:tcPr>
          <w:p w14:paraId="6348C6C3"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(98.2)</w:t>
            </w:r>
          </w:p>
        </w:tc>
        <w:tc>
          <w:tcPr>
            <w:tcW w:w="0" w:type="auto"/>
            <w:tcBorders>
              <w:top w:val="nil"/>
              <w:left w:val="nil"/>
              <w:bottom w:val="single" w:sz="4" w:space="0" w:color="auto"/>
              <w:right w:val="single" w:sz="4" w:space="0" w:color="auto"/>
            </w:tcBorders>
            <w:shd w:val="clear" w:color="auto" w:fill="auto"/>
            <w:noWrap/>
            <w:vAlign w:val="bottom"/>
            <w:hideMark/>
          </w:tcPr>
          <w:p w14:paraId="79FDFFDA"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204D464F"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4F8EFEC5"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3BD09CA4"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4D160795"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612DCE52"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35510EE9"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01B5C270"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34F0E23C" w14:textId="77777777" w:rsidR="00BA48F1" w:rsidRPr="00BA48F1" w:rsidRDefault="00BA48F1" w:rsidP="00BA48F1">
            <w:pPr>
              <w:spacing w:after="0" w:line="240" w:lineRule="auto"/>
              <w:rPr>
                <w:rFonts w:ascii="Arial" w:eastAsia="Times New Roman" w:hAnsi="Arial" w:cs="Arial"/>
                <w:color w:val="000000"/>
                <w:sz w:val="16"/>
                <w:szCs w:val="16"/>
              </w:rPr>
            </w:pPr>
            <w:r w:rsidRPr="00BA48F1">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1823DD56"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32EEE5F0" w14:textId="77777777" w:rsidR="00BA48F1" w:rsidRPr="00BA48F1" w:rsidRDefault="00BA48F1" w:rsidP="00BA48F1">
            <w:pPr>
              <w:spacing w:after="0" w:line="240" w:lineRule="auto"/>
              <w:jc w:val="right"/>
              <w:rPr>
                <w:rFonts w:ascii="Arial" w:eastAsia="Times New Roman" w:hAnsi="Arial" w:cs="Arial"/>
                <w:color w:val="000000"/>
                <w:sz w:val="16"/>
                <w:szCs w:val="16"/>
              </w:rPr>
            </w:pPr>
            <w:r w:rsidRPr="00BA48F1">
              <w:rPr>
                <w:rFonts w:ascii="Arial" w:eastAsia="Times New Roman" w:hAnsi="Arial" w:cs="Arial"/>
                <w:color w:val="000000"/>
                <w:sz w:val="16"/>
                <w:szCs w:val="16"/>
              </w:rPr>
              <w:t>67%</w:t>
            </w:r>
          </w:p>
        </w:tc>
      </w:tr>
      <w:tr w:rsidR="0067156B" w:rsidRPr="00BA48F1" w14:paraId="4B782D9A" w14:textId="77777777" w:rsidTr="0067156B">
        <w:trPr>
          <w:trHeight w:val="28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1A96144" w14:textId="77777777" w:rsidR="00BA48F1" w:rsidRPr="00BA48F1" w:rsidRDefault="00BA48F1" w:rsidP="00BA48F1">
            <w:pPr>
              <w:spacing w:after="0" w:line="240" w:lineRule="auto"/>
              <w:rPr>
                <w:rFonts w:ascii="Arial" w:eastAsia="Times New Roman" w:hAnsi="Arial" w:cs="Arial"/>
                <w:b/>
                <w:bCs/>
                <w:color w:val="000000"/>
                <w:sz w:val="16"/>
                <w:szCs w:val="16"/>
              </w:rPr>
            </w:pPr>
            <w:r w:rsidRPr="00BA48F1">
              <w:rPr>
                <w:rFonts w:ascii="Arial" w:eastAsia="Times New Roman" w:hAnsi="Arial" w:cs="Arial"/>
                <w:b/>
                <w:bCs/>
                <w:color w:val="000000"/>
                <w:sz w:val="16"/>
                <w:szCs w:val="16"/>
              </w:rPr>
              <w:t>Total for MA</w:t>
            </w:r>
          </w:p>
        </w:tc>
        <w:tc>
          <w:tcPr>
            <w:tcW w:w="0" w:type="auto"/>
            <w:tcBorders>
              <w:top w:val="nil"/>
              <w:left w:val="nil"/>
              <w:bottom w:val="single" w:sz="4" w:space="0" w:color="auto"/>
              <w:right w:val="single" w:sz="4" w:space="0" w:color="auto"/>
            </w:tcBorders>
            <w:shd w:val="clear" w:color="auto" w:fill="auto"/>
            <w:noWrap/>
            <w:vAlign w:val="bottom"/>
            <w:hideMark/>
          </w:tcPr>
          <w:p w14:paraId="0A055B07" w14:textId="77777777" w:rsidR="00BA48F1" w:rsidRPr="00BA48F1" w:rsidRDefault="00BA48F1" w:rsidP="00BA48F1">
            <w:pPr>
              <w:spacing w:after="0" w:line="240" w:lineRule="auto"/>
              <w:jc w:val="right"/>
              <w:rPr>
                <w:rFonts w:ascii="Arial" w:eastAsia="Times New Roman" w:hAnsi="Arial" w:cs="Arial"/>
                <w:b/>
                <w:bCs/>
                <w:color w:val="000000"/>
                <w:sz w:val="16"/>
                <w:szCs w:val="16"/>
              </w:rPr>
            </w:pPr>
            <w:r w:rsidRPr="00BA48F1">
              <w:rPr>
                <w:rFonts w:ascii="Arial" w:eastAsia="Times New Roman" w:hAnsi="Arial" w:cs="Arial"/>
                <w:b/>
                <w:bCs/>
                <w:color w:val="000000"/>
                <w:sz w:val="16"/>
                <w:szCs w:val="16"/>
              </w:rPr>
              <w:t>240575</w:t>
            </w:r>
          </w:p>
        </w:tc>
        <w:tc>
          <w:tcPr>
            <w:tcW w:w="0" w:type="auto"/>
            <w:tcBorders>
              <w:top w:val="nil"/>
              <w:left w:val="nil"/>
              <w:bottom w:val="single" w:sz="4" w:space="0" w:color="auto"/>
              <w:right w:val="single" w:sz="4" w:space="0" w:color="auto"/>
            </w:tcBorders>
            <w:shd w:val="clear" w:color="auto" w:fill="auto"/>
            <w:noWrap/>
            <w:vAlign w:val="bottom"/>
            <w:hideMark/>
          </w:tcPr>
          <w:p w14:paraId="0A81CF9F" w14:textId="77777777" w:rsidR="00BA48F1" w:rsidRPr="00BA48F1" w:rsidRDefault="00BA48F1" w:rsidP="00BA48F1">
            <w:pPr>
              <w:spacing w:after="0" w:line="240" w:lineRule="auto"/>
              <w:jc w:val="right"/>
              <w:rPr>
                <w:rFonts w:ascii="Arial" w:eastAsia="Times New Roman" w:hAnsi="Arial" w:cs="Arial"/>
                <w:b/>
                <w:bCs/>
                <w:color w:val="000000"/>
                <w:sz w:val="16"/>
                <w:szCs w:val="16"/>
              </w:rPr>
            </w:pPr>
            <w:r w:rsidRPr="00BA48F1">
              <w:rPr>
                <w:rFonts w:ascii="Arial" w:eastAsia="Times New Roman" w:hAnsi="Arial" w:cs="Arial"/>
                <w:b/>
                <w:bCs/>
                <w:color w:val="000000"/>
                <w:sz w:val="16"/>
                <w:szCs w:val="16"/>
              </w:rPr>
              <w:t>150092</w:t>
            </w:r>
          </w:p>
        </w:tc>
        <w:tc>
          <w:tcPr>
            <w:tcW w:w="0" w:type="auto"/>
            <w:tcBorders>
              <w:top w:val="nil"/>
              <w:left w:val="nil"/>
              <w:bottom w:val="single" w:sz="4" w:space="0" w:color="auto"/>
              <w:right w:val="single" w:sz="4" w:space="0" w:color="auto"/>
            </w:tcBorders>
            <w:shd w:val="clear" w:color="auto" w:fill="auto"/>
            <w:noWrap/>
            <w:vAlign w:val="bottom"/>
            <w:hideMark/>
          </w:tcPr>
          <w:p w14:paraId="3106C374" w14:textId="77777777" w:rsidR="00BA48F1" w:rsidRPr="00BA48F1" w:rsidRDefault="00BA48F1" w:rsidP="00BA48F1">
            <w:pPr>
              <w:spacing w:after="0" w:line="240" w:lineRule="auto"/>
              <w:jc w:val="right"/>
              <w:rPr>
                <w:rFonts w:ascii="Arial" w:eastAsia="Times New Roman" w:hAnsi="Arial" w:cs="Arial"/>
                <w:b/>
                <w:bCs/>
                <w:color w:val="000000"/>
                <w:sz w:val="16"/>
                <w:szCs w:val="16"/>
              </w:rPr>
            </w:pPr>
            <w:r w:rsidRPr="00BA48F1">
              <w:rPr>
                <w:rFonts w:ascii="Arial" w:eastAsia="Times New Roman" w:hAnsi="Arial" w:cs="Arial"/>
                <w:b/>
                <w:bCs/>
                <w:color w:val="000000"/>
                <w:sz w:val="16"/>
                <w:szCs w:val="16"/>
              </w:rPr>
              <w:t>62</w:t>
            </w:r>
          </w:p>
        </w:tc>
        <w:tc>
          <w:tcPr>
            <w:tcW w:w="0" w:type="auto"/>
            <w:tcBorders>
              <w:top w:val="nil"/>
              <w:left w:val="nil"/>
              <w:bottom w:val="single" w:sz="4" w:space="0" w:color="auto"/>
              <w:right w:val="single" w:sz="4" w:space="0" w:color="auto"/>
            </w:tcBorders>
            <w:shd w:val="clear" w:color="auto" w:fill="auto"/>
            <w:noWrap/>
            <w:vAlign w:val="bottom"/>
            <w:hideMark/>
          </w:tcPr>
          <w:p w14:paraId="6B8517EC" w14:textId="77777777" w:rsidR="00BA48F1" w:rsidRPr="00BA48F1" w:rsidRDefault="00BA48F1" w:rsidP="00BA48F1">
            <w:pPr>
              <w:spacing w:after="0" w:line="240" w:lineRule="auto"/>
              <w:jc w:val="right"/>
              <w:rPr>
                <w:rFonts w:ascii="Arial" w:eastAsia="Times New Roman" w:hAnsi="Arial" w:cs="Arial"/>
                <w:b/>
                <w:bCs/>
                <w:color w:val="000000"/>
                <w:sz w:val="16"/>
                <w:szCs w:val="16"/>
              </w:rPr>
            </w:pPr>
            <w:r w:rsidRPr="00BA48F1">
              <w:rPr>
                <w:rFonts w:ascii="Arial" w:eastAsia="Times New Roman" w:hAnsi="Arial" w:cs="Arial"/>
                <w:b/>
                <w:bCs/>
                <w:color w:val="000000"/>
                <w:sz w:val="16"/>
                <w:szCs w:val="16"/>
              </w:rPr>
              <w:t>147452</w:t>
            </w:r>
          </w:p>
        </w:tc>
        <w:tc>
          <w:tcPr>
            <w:tcW w:w="0" w:type="auto"/>
            <w:tcBorders>
              <w:top w:val="nil"/>
              <w:left w:val="nil"/>
              <w:bottom w:val="single" w:sz="4" w:space="0" w:color="auto"/>
              <w:right w:val="single" w:sz="4" w:space="0" w:color="auto"/>
            </w:tcBorders>
            <w:shd w:val="clear" w:color="auto" w:fill="auto"/>
            <w:noWrap/>
            <w:vAlign w:val="bottom"/>
            <w:hideMark/>
          </w:tcPr>
          <w:p w14:paraId="6BF3B051" w14:textId="77777777" w:rsidR="00BA48F1" w:rsidRPr="00BA48F1" w:rsidRDefault="00BA48F1" w:rsidP="00BA48F1">
            <w:pPr>
              <w:spacing w:after="0" w:line="240" w:lineRule="auto"/>
              <w:rPr>
                <w:rFonts w:ascii="Arial" w:eastAsia="Times New Roman" w:hAnsi="Arial" w:cs="Arial"/>
                <w:b/>
                <w:bCs/>
                <w:color w:val="000000"/>
                <w:sz w:val="16"/>
                <w:szCs w:val="16"/>
              </w:rPr>
            </w:pPr>
            <w:r w:rsidRPr="00BA48F1">
              <w:rPr>
                <w:rFonts w:ascii="Arial" w:eastAsia="Times New Roman" w:hAnsi="Arial" w:cs="Arial"/>
                <w:b/>
                <w:bCs/>
                <w:color w:val="000000"/>
                <w:sz w:val="16"/>
                <w:szCs w:val="16"/>
              </w:rPr>
              <w:t>(98.2)</w:t>
            </w:r>
          </w:p>
        </w:tc>
        <w:tc>
          <w:tcPr>
            <w:tcW w:w="0" w:type="auto"/>
            <w:tcBorders>
              <w:top w:val="nil"/>
              <w:left w:val="nil"/>
              <w:bottom w:val="single" w:sz="4" w:space="0" w:color="auto"/>
              <w:right w:val="single" w:sz="4" w:space="0" w:color="auto"/>
            </w:tcBorders>
            <w:shd w:val="clear" w:color="auto" w:fill="auto"/>
            <w:noWrap/>
            <w:vAlign w:val="bottom"/>
            <w:hideMark/>
          </w:tcPr>
          <w:p w14:paraId="7EC00FBA" w14:textId="77777777" w:rsidR="00BA48F1" w:rsidRPr="00BA48F1" w:rsidRDefault="00BA48F1" w:rsidP="00BA48F1">
            <w:pPr>
              <w:spacing w:after="0" w:line="240" w:lineRule="auto"/>
              <w:jc w:val="right"/>
              <w:rPr>
                <w:rFonts w:ascii="Arial" w:eastAsia="Times New Roman" w:hAnsi="Arial" w:cs="Arial"/>
                <w:b/>
                <w:bCs/>
                <w:color w:val="000000"/>
                <w:sz w:val="16"/>
                <w:szCs w:val="16"/>
              </w:rPr>
            </w:pPr>
            <w:r w:rsidRPr="00BA48F1">
              <w:rPr>
                <w:rFonts w:ascii="Arial" w:eastAsia="Times New Roman" w:hAnsi="Arial" w:cs="Arial"/>
                <w:b/>
                <w:bCs/>
                <w:color w:val="000000"/>
                <w:sz w:val="16"/>
                <w:szCs w:val="16"/>
              </w:rPr>
              <w:t>2161</w:t>
            </w:r>
          </w:p>
        </w:tc>
        <w:tc>
          <w:tcPr>
            <w:tcW w:w="0" w:type="auto"/>
            <w:tcBorders>
              <w:top w:val="nil"/>
              <w:left w:val="nil"/>
              <w:bottom w:val="single" w:sz="4" w:space="0" w:color="auto"/>
              <w:right w:val="single" w:sz="4" w:space="0" w:color="auto"/>
            </w:tcBorders>
            <w:shd w:val="clear" w:color="auto" w:fill="auto"/>
            <w:noWrap/>
            <w:vAlign w:val="bottom"/>
            <w:hideMark/>
          </w:tcPr>
          <w:p w14:paraId="29285FF6" w14:textId="77777777" w:rsidR="00BA48F1" w:rsidRPr="00BA48F1" w:rsidRDefault="00BA48F1" w:rsidP="00BA48F1">
            <w:pPr>
              <w:spacing w:after="0" w:line="240" w:lineRule="auto"/>
              <w:rPr>
                <w:rFonts w:ascii="Arial" w:eastAsia="Times New Roman" w:hAnsi="Arial" w:cs="Arial"/>
                <w:b/>
                <w:bCs/>
                <w:color w:val="000000"/>
                <w:sz w:val="16"/>
                <w:szCs w:val="16"/>
              </w:rPr>
            </w:pPr>
            <w:r w:rsidRPr="00BA48F1">
              <w:rPr>
                <w:rFonts w:ascii="Arial" w:eastAsia="Times New Roman" w:hAnsi="Arial" w:cs="Arial"/>
                <w:b/>
                <w:bCs/>
                <w:color w:val="000000"/>
                <w:sz w:val="16"/>
                <w:szCs w:val="16"/>
              </w:rPr>
              <w:t>(1.4)</w:t>
            </w:r>
          </w:p>
        </w:tc>
        <w:tc>
          <w:tcPr>
            <w:tcW w:w="0" w:type="auto"/>
            <w:tcBorders>
              <w:top w:val="nil"/>
              <w:left w:val="nil"/>
              <w:bottom w:val="single" w:sz="4" w:space="0" w:color="auto"/>
              <w:right w:val="single" w:sz="4" w:space="0" w:color="auto"/>
            </w:tcBorders>
            <w:shd w:val="clear" w:color="auto" w:fill="auto"/>
            <w:noWrap/>
            <w:vAlign w:val="bottom"/>
            <w:hideMark/>
          </w:tcPr>
          <w:p w14:paraId="0CF630EB" w14:textId="77777777" w:rsidR="00BA48F1" w:rsidRPr="00BA48F1" w:rsidRDefault="00BA48F1" w:rsidP="00BA48F1">
            <w:pPr>
              <w:spacing w:after="0" w:line="240" w:lineRule="auto"/>
              <w:jc w:val="right"/>
              <w:rPr>
                <w:rFonts w:ascii="Arial" w:eastAsia="Times New Roman" w:hAnsi="Arial" w:cs="Arial"/>
                <w:b/>
                <w:bCs/>
                <w:color w:val="000000"/>
                <w:sz w:val="16"/>
                <w:szCs w:val="16"/>
              </w:rPr>
            </w:pPr>
            <w:r w:rsidRPr="00BA48F1">
              <w:rPr>
                <w:rFonts w:ascii="Arial" w:eastAsia="Times New Roman" w:hAnsi="Arial" w:cs="Arial"/>
                <w:b/>
                <w:bCs/>
                <w:color w:val="000000"/>
                <w:sz w:val="16"/>
                <w:szCs w:val="16"/>
              </w:rPr>
              <w:t>438</w:t>
            </w:r>
          </w:p>
        </w:tc>
        <w:tc>
          <w:tcPr>
            <w:tcW w:w="0" w:type="auto"/>
            <w:tcBorders>
              <w:top w:val="nil"/>
              <w:left w:val="nil"/>
              <w:bottom w:val="single" w:sz="4" w:space="0" w:color="auto"/>
              <w:right w:val="single" w:sz="4" w:space="0" w:color="auto"/>
            </w:tcBorders>
            <w:shd w:val="clear" w:color="auto" w:fill="auto"/>
            <w:noWrap/>
            <w:vAlign w:val="bottom"/>
            <w:hideMark/>
          </w:tcPr>
          <w:p w14:paraId="5BBF64F6" w14:textId="77777777" w:rsidR="00BA48F1" w:rsidRPr="00BA48F1" w:rsidRDefault="00BA48F1" w:rsidP="00BA48F1">
            <w:pPr>
              <w:spacing w:after="0" w:line="240" w:lineRule="auto"/>
              <w:rPr>
                <w:rFonts w:ascii="Arial" w:eastAsia="Times New Roman" w:hAnsi="Arial" w:cs="Arial"/>
                <w:b/>
                <w:bCs/>
                <w:color w:val="000000"/>
                <w:sz w:val="16"/>
                <w:szCs w:val="16"/>
              </w:rPr>
            </w:pPr>
            <w:r w:rsidRPr="00BA48F1">
              <w:rPr>
                <w:rFonts w:ascii="Arial" w:eastAsia="Times New Roman" w:hAnsi="Arial" w:cs="Arial"/>
                <w:b/>
                <w:bCs/>
                <w:color w:val="000000"/>
                <w:sz w:val="16"/>
                <w:szCs w:val="16"/>
              </w:rPr>
              <w:t>(0.3)</w:t>
            </w:r>
          </w:p>
        </w:tc>
        <w:tc>
          <w:tcPr>
            <w:tcW w:w="0" w:type="auto"/>
            <w:tcBorders>
              <w:top w:val="nil"/>
              <w:left w:val="nil"/>
              <w:bottom w:val="single" w:sz="4" w:space="0" w:color="auto"/>
              <w:right w:val="single" w:sz="4" w:space="0" w:color="auto"/>
            </w:tcBorders>
            <w:shd w:val="clear" w:color="auto" w:fill="auto"/>
            <w:noWrap/>
            <w:vAlign w:val="bottom"/>
            <w:hideMark/>
          </w:tcPr>
          <w:p w14:paraId="5891170B" w14:textId="77777777" w:rsidR="00BA48F1" w:rsidRPr="00BA48F1" w:rsidRDefault="00BA48F1" w:rsidP="00BA48F1">
            <w:pPr>
              <w:spacing w:after="0" w:line="240" w:lineRule="auto"/>
              <w:jc w:val="right"/>
              <w:rPr>
                <w:rFonts w:ascii="Arial" w:eastAsia="Times New Roman" w:hAnsi="Arial" w:cs="Arial"/>
                <w:b/>
                <w:bCs/>
                <w:color w:val="000000"/>
                <w:sz w:val="16"/>
                <w:szCs w:val="16"/>
              </w:rPr>
            </w:pPr>
            <w:r w:rsidRPr="00BA48F1">
              <w:rPr>
                <w:rFonts w:ascii="Arial" w:eastAsia="Times New Roman" w:hAnsi="Arial" w:cs="Arial"/>
                <w:b/>
                <w:bCs/>
                <w:color w:val="000000"/>
                <w:sz w:val="16"/>
                <w:szCs w:val="16"/>
              </w:rPr>
              <w:t>41</w:t>
            </w:r>
          </w:p>
        </w:tc>
        <w:tc>
          <w:tcPr>
            <w:tcW w:w="0" w:type="auto"/>
            <w:tcBorders>
              <w:top w:val="nil"/>
              <w:left w:val="nil"/>
              <w:bottom w:val="single" w:sz="4" w:space="0" w:color="auto"/>
              <w:right w:val="single" w:sz="4" w:space="0" w:color="auto"/>
            </w:tcBorders>
            <w:shd w:val="clear" w:color="auto" w:fill="auto"/>
            <w:noWrap/>
            <w:vAlign w:val="bottom"/>
            <w:hideMark/>
          </w:tcPr>
          <w:p w14:paraId="512DED7E" w14:textId="77777777" w:rsidR="00BA48F1" w:rsidRPr="00BA48F1" w:rsidRDefault="00BA48F1" w:rsidP="00BA48F1">
            <w:pPr>
              <w:spacing w:after="0" w:line="240" w:lineRule="auto"/>
              <w:rPr>
                <w:rFonts w:ascii="Arial" w:eastAsia="Times New Roman" w:hAnsi="Arial" w:cs="Arial"/>
                <w:b/>
                <w:bCs/>
                <w:color w:val="000000"/>
                <w:sz w:val="16"/>
                <w:szCs w:val="16"/>
              </w:rPr>
            </w:pPr>
            <w:r w:rsidRPr="00BA48F1">
              <w:rPr>
                <w:rFonts w:ascii="Arial" w:eastAsia="Times New Roman" w:hAnsi="Arial" w:cs="Arial"/>
                <w:b/>
                <w:bCs/>
                <w:color w:val="000000"/>
                <w:sz w:val="16"/>
                <w:szCs w:val="16"/>
              </w:rPr>
              <w:t>(&lt;0.1)</w:t>
            </w:r>
          </w:p>
        </w:tc>
        <w:tc>
          <w:tcPr>
            <w:tcW w:w="0" w:type="auto"/>
            <w:tcBorders>
              <w:top w:val="nil"/>
              <w:left w:val="nil"/>
              <w:bottom w:val="single" w:sz="4" w:space="0" w:color="auto"/>
              <w:right w:val="single" w:sz="4" w:space="0" w:color="auto"/>
            </w:tcBorders>
            <w:shd w:val="clear" w:color="auto" w:fill="auto"/>
            <w:noWrap/>
            <w:vAlign w:val="bottom"/>
            <w:hideMark/>
          </w:tcPr>
          <w:p w14:paraId="69FCD536" w14:textId="77777777" w:rsidR="00BA48F1" w:rsidRPr="00BA48F1" w:rsidRDefault="00BA48F1" w:rsidP="00BA48F1">
            <w:pPr>
              <w:spacing w:after="0" w:line="240" w:lineRule="auto"/>
              <w:jc w:val="right"/>
              <w:rPr>
                <w:rFonts w:ascii="Arial" w:eastAsia="Times New Roman" w:hAnsi="Arial" w:cs="Arial"/>
                <w:b/>
                <w:bCs/>
                <w:color w:val="000000"/>
                <w:sz w:val="16"/>
                <w:szCs w:val="16"/>
              </w:rPr>
            </w:pPr>
            <w:r w:rsidRPr="00BA48F1">
              <w:rPr>
                <w:rFonts w:ascii="Arial" w:eastAsia="Times New Roman" w:hAnsi="Arial" w:cs="Arial"/>
                <w:b/>
                <w:bCs/>
                <w:color w:val="000000"/>
                <w:sz w:val="16"/>
                <w:szCs w:val="16"/>
              </w:rPr>
              <w:t>1880</w:t>
            </w:r>
          </w:p>
        </w:tc>
        <w:tc>
          <w:tcPr>
            <w:tcW w:w="0" w:type="auto"/>
            <w:tcBorders>
              <w:top w:val="nil"/>
              <w:left w:val="nil"/>
              <w:bottom w:val="single" w:sz="4" w:space="0" w:color="auto"/>
              <w:right w:val="single" w:sz="4" w:space="0" w:color="auto"/>
            </w:tcBorders>
            <w:shd w:val="clear" w:color="auto" w:fill="auto"/>
            <w:noWrap/>
            <w:vAlign w:val="bottom"/>
            <w:hideMark/>
          </w:tcPr>
          <w:p w14:paraId="238C5BAD" w14:textId="77777777" w:rsidR="00BA48F1" w:rsidRPr="00BA48F1" w:rsidRDefault="00BA48F1" w:rsidP="00BA48F1">
            <w:pPr>
              <w:spacing w:after="0" w:line="240" w:lineRule="auto"/>
              <w:rPr>
                <w:rFonts w:ascii="Arial" w:eastAsia="Times New Roman" w:hAnsi="Arial" w:cs="Arial"/>
                <w:b/>
                <w:bCs/>
                <w:color w:val="000000"/>
                <w:sz w:val="16"/>
                <w:szCs w:val="16"/>
              </w:rPr>
            </w:pPr>
            <w:r w:rsidRPr="00BA48F1">
              <w:rPr>
                <w:rFonts w:ascii="Arial" w:eastAsia="Times New Roman" w:hAnsi="Arial" w:cs="Arial"/>
                <w:b/>
                <w:bCs/>
                <w:color w:val="000000"/>
                <w:sz w:val="16"/>
                <w:szCs w:val="16"/>
              </w:rPr>
              <w:t>(1.3)</w:t>
            </w:r>
          </w:p>
        </w:tc>
        <w:tc>
          <w:tcPr>
            <w:tcW w:w="0" w:type="auto"/>
            <w:tcBorders>
              <w:top w:val="nil"/>
              <w:left w:val="nil"/>
              <w:bottom w:val="single" w:sz="4" w:space="0" w:color="auto"/>
              <w:right w:val="single" w:sz="4" w:space="0" w:color="auto"/>
            </w:tcBorders>
            <w:shd w:val="clear" w:color="auto" w:fill="auto"/>
            <w:noWrap/>
            <w:vAlign w:val="bottom"/>
            <w:hideMark/>
          </w:tcPr>
          <w:p w14:paraId="5AA5B444" w14:textId="77777777" w:rsidR="00BA48F1" w:rsidRPr="00BA48F1" w:rsidRDefault="00BA48F1" w:rsidP="00BA48F1">
            <w:pPr>
              <w:spacing w:after="0" w:line="240" w:lineRule="auto"/>
              <w:jc w:val="right"/>
              <w:rPr>
                <w:rFonts w:ascii="Arial" w:eastAsia="Times New Roman" w:hAnsi="Arial" w:cs="Arial"/>
                <w:b/>
                <w:bCs/>
                <w:color w:val="000000"/>
                <w:sz w:val="16"/>
                <w:szCs w:val="16"/>
              </w:rPr>
            </w:pPr>
            <w:r w:rsidRPr="00BA48F1">
              <w:rPr>
                <w:rFonts w:ascii="Arial" w:eastAsia="Times New Roman" w:hAnsi="Arial" w:cs="Arial"/>
                <w:b/>
                <w:bCs/>
                <w:color w:val="000000"/>
                <w:sz w:val="16"/>
                <w:szCs w:val="16"/>
              </w:rPr>
              <w:t>430</w:t>
            </w:r>
          </w:p>
        </w:tc>
        <w:tc>
          <w:tcPr>
            <w:tcW w:w="0" w:type="auto"/>
            <w:tcBorders>
              <w:top w:val="nil"/>
              <w:left w:val="nil"/>
              <w:bottom w:val="single" w:sz="4" w:space="0" w:color="auto"/>
              <w:right w:val="single" w:sz="4" w:space="0" w:color="auto"/>
            </w:tcBorders>
            <w:shd w:val="clear" w:color="auto" w:fill="auto"/>
            <w:noWrap/>
            <w:vAlign w:val="bottom"/>
            <w:hideMark/>
          </w:tcPr>
          <w:p w14:paraId="22018C4A" w14:textId="77777777" w:rsidR="00BA48F1" w:rsidRPr="00BA48F1" w:rsidRDefault="00BA48F1" w:rsidP="00BA48F1">
            <w:pPr>
              <w:spacing w:after="0" w:line="240" w:lineRule="auto"/>
              <w:rPr>
                <w:rFonts w:ascii="Arial" w:eastAsia="Times New Roman" w:hAnsi="Arial" w:cs="Arial"/>
                <w:b/>
                <w:bCs/>
                <w:color w:val="000000"/>
                <w:sz w:val="16"/>
                <w:szCs w:val="16"/>
              </w:rPr>
            </w:pPr>
            <w:r w:rsidRPr="00BA48F1">
              <w:rPr>
                <w:rFonts w:ascii="Arial" w:eastAsia="Times New Roman" w:hAnsi="Arial" w:cs="Arial"/>
                <w:b/>
                <w:bCs/>
                <w:color w:val="000000"/>
                <w:sz w:val="16"/>
                <w:szCs w:val="16"/>
              </w:rPr>
              <w:t>(0.3)</w:t>
            </w:r>
          </w:p>
        </w:tc>
        <w:tc>
          <w:tcPr>
            <w:tcW w:w="0" w:type="auto"/>
            <w:tcBorders>
              <w:top w:val="nil"/>
              <w:left w:val="nil"/>
              <w:bottom w:val="single" w:sz="4" w:space="0" w:color="auto"/>
              <w:right w:val="single" w:sz="4" w:space="0" w:color="auto"/>
            </w:tcBorders>
            <w:shd w:val="clear" w:color="auto" w:fill="auto"/>
            <w:noWrap/>
            <w:vAlign w:val="bottom"/>
            <w:hideMark/>
          </w:tcPr>
          <w:p w14:paraId="306FC8D4" w14:textId="77777777" w:rsidR="00BA48F1" w:rsidRPr="00BA48F1" w:rsidRDefault="00BA48F1" w:rsidP="00BA48F1">
            <w:pPr>
              <w:spacing w:after="0" w:line="240" w:lineRule="auto"/>
              <w:jc w:val="right"/>
              <w:rPr>
                <w:rFonts w:ascii="Arial" w:eastAsia="Times New Roman" w:hAnsi="Arial" w:cs="Arial"/>
                <w:b/>
                <w:bCs/>
                <w:color w:val="000000"/>
                <w:sz w:val="16"/>
                <w:szCs w:val="16"/>
              </w:rPr>
            </w:pPr>
            <w:r w:rsidRPr="00BA48F1">
              <w:rPr>
                <w:rFonts w:ascii="Arial" w:eastAsia="Times New Roman" w:hAnsi="Arial" w:cs="Arial"/>
                <w:b/>
                <w:bCs/>
                <w:color w:val="000000"/>
                <w:sz w:val="16"/>
                <w:szCs w:val="16"/>
              </w:rPr>
              <w:t>69%</w:t>
            </w:r>
          </w:p>
        </w:tc>
      </w:tr>
      <w:tr w:rsidR="0067156B" w:rsidRPr="00BA48F1" w14:paraId="2ECD145C" w14:textId="77777777" w:rsidTr="0067156B">
        <w:trPr>
          <w:trHeight w:val="255"/>
        </w:trPr>
        <w:tc>
          <w:tcPr>
            <w:tcW w:w="0" w:type="auto"/>
            <w:tcBorders>
              <w:top w:val="nil"/>
              <w:left w:val="nil"/>
              <w:bottom w:val="nil"/>
              <w:right w:val="nil"/>
            </w:tcBorders>
            <w:shd w:val="clear" w:color="auto" w:fill="auto"/>
            <w:noWrap/>
            <w:vAlign w:val="bottom"/>
            <w:hideMark/>
          </w:tcPr>
          <w:p w14:paraId="5C7A5CD0" w14:textId="77777777" w:rsidR="00BA48F1" w:rsidRPr="00BA48F1" w:rsidRDefault="00BA48F1" w:rsidP="00BA48F1">
            <w:pPr>
              <w:spacing w:after="0" w:line="240" w:lineRule="auto"/>
              <w:jc w:val="right"/>
              <w:rPr>
                <w:rFonts w:ascii="Arial" w:eastAsia="Times New Roman" w:hAnsi="Arial" w:cs="Arial"/>
                <w:b/>
                <w:bCs/>
                <w:color w:val="000000"/>
                <w:sz w:val="16"/>
                <w:szCs w:val="16"/>
              </w:rPr>
            </w:pPr>
          </w:p>
        </w:tc>
        <w:tc>
          <w:tcPr>
            <w:tcW w:w="0" w:type="auto"/>
            <w:tcBorders>
              <w:top w:val="nil"/>
              <w:left w:val="nil"/>
              <w:bottom w:val="nil"/>
              <w:right w:val="nil"/>
            </w:tcBorders>
            <w:shd w:val="clear" w:color="auto" w:fill="auto"/>
            <w:noWrap/>
            <w:vAlign w:val="bottom"/>
            <w:hideMark/>
          </w:tcPr>
          <w:p w14:paraId="5D4778AB" w14:textId="77777777" w:rsidR="00BA48F1" w:rsidRPr="00BA48F1" w:rsidRDefault="00BA48F1" w:rsidP="00BA48F1">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14:paraId="19ED218C" w14:textId="77777777" w:rsidR="00BA48F1" w:rsidRPr="00BA48F1" w:rsidRDefault="00BA48F1" w:rsidP="00BA48F1">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14:paraId="392CC124" w14:textId="77777777" w:rsidR="00BA48F1" w:rsidRPr="00BA48F1" w:rsidRDefault="00BA48F1" w:rsidP="00BA48F1">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14:paraId="04FA4E49" w14:textId="77777777" w:rsidR="00BA48F1" w:rsidRPr="00BA48F1" w:rsidRDefault="00BA48F1" w:rsidP="00BA48F1">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14:paraId="1199EF95" w14:textId="77777777" w:rsidR="00BA48F1" w:rsidRPr="00BA48F1" w:rsidRDefault="00BA48F1" w:rsidP="00BA48F1">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14:paraId="5988EF49" w14:textId="77777777" w:rsidR="00BA48F1" w:rsidRPr="00BA48F1" w:rsidRDefault="00BA48F1" w:rsidP="00BA48F1">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14:paraId="75509A49" w14:textId="77777777" w:rsidR="00BA48F1" w:rsidRPr="00BA48F1" w:rsidRDefault="00BA48F1" w:rsidP="00BA48F1">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14:paraId="303BC966" w14:textId="77777777" w:rsidR="00BA48F1" w:rsidRPr="00BA48F1" w:rsidRDefault="00BA48F1" w:rsidP="00BA48F1">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14:paraId="00AA10AC" w14:textId="77777777" w:rsidR="00BA48F1" w:rsidRPr="00BA48F1" w:rsidRDefault="00BA48F1" w:rsidP="00BA48F1">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14:paraId="174E35F5" w14:textId="77777777" w:rsidR="00BA48F1" w:rsidRPr="00BA48F1" w:rsidRDefault="00BA48F1" w:rsidP="00BA48F1">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14:paraId="2E78B692" w14:textId="77777777" w:rsidR="00BA48F1" w:rsidRPr="00BA48F1" w:rsidRDefault="00BA48F1" w:rsidP="00BA48F1">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14:paraId="6800D7B7" w14:textId="77777777" w:rsidR="00BA48F1" w:rsidRPr="00BA48F1" w:rsidRDefault="00BA48F1" w:rsidP="00BA48F1">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14:paraId="0360736B" w14:textId="77777777" w:rsidR="00BA48F1" w:rsidRPr="00BA48F1" w:rsidRDefault="00BA48F1" w:rsidP="00BA48F1">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14:paraId="26388945" w14:textId="77777777" w:rsidR="00BA48F1" w:rsidRPr="00BA48F1" w:rsidRDefault="00BA48F1" w:rsidP="00BA48F1">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14:paraId="61F6D4C9" w14:textId="77777777" w:rsidR="00BA48F1" w:rsidRPr="00BA48F1" w:rsidRDefault="00BA48F1" w:rsidP="00BA48F1">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14:paraId="554E101D" w14:textId="77777777" w:rsidR="00BA48F1" w:rsidRPr="00BA48F1" w:rsidRDefault="00BA48F1" w:rsidP="00BA48F1">
            <w:pPr>
              <w:spacing w:after="0" w:line="240" w:lineRule="auto"/>
              <w:rPr>
                <w:rFonts w:ascii="Times New Roman" w:eastAsia="Times New Roman" w:hAnsi="Times New Roman" w:cs="Times New Roman"/>
                <w:sz w:val="20"/>
                <w:szCs w:val="20"/>
              </w:rPr>
            </w:pPr>
          </w:p>
        </w:tc>
      </w:tr>
      <w:tr w:rsidR="0067156B" w:rsidRPr="00BA48F1" w14:paraId="07947596" w14:textId="77777777" w:rsidTr="0067156B">
        <w:trPr>
          <w:trHeight w:val="255"/>
        </w:trPr>
        <w:tc>
          <w:tcPr>
            <w:tcW w:w="0" w:type="auto"/>
            <w:tcBorders>
              <w:top w:val="nil"/>
              <w:left w:val="nil"/>
              <w:bottom w:val="nil"/>
              <w:right w:val="nil"/>
            </w:tcBorders>
            <w:shd w:val="clear" w:color="auto" w:fill="auto"/>
            <w:noWrap/>
            <w:vAlign w:val="bottom"/>
            <w:hideMark/>
          </w:tcPr>
          <w:p w14:paraId="0C92CF83" w14:textId="77777777" w:rsidR="00BA48F1" w:rsidRPr="0067156B" w:rsidRDefault="00BA48F1" w:rsidP="00BA48F1">
            <w:pPr>
              <w:spacing w:after="0" w:line="240" w:lineRule="auto"/>
              <w:rPr>
                <w:rFonts w:ascii="Arial" w:eastAsia="Times New Roman" w:hAnsi="Arial" w:cs="Arial"/>
                <w:color w:val="000000"/>
                <w:sz w:val="18"/>
                <w:szCs w:val="18"/>
              </w:rPr>
            </w:pPr>
            <w:r w:rsidRPr="0067156B">
              <w:rPr>
                <w:rFonts w:ascii="Arial" w:eastAsia="Times New Roman" w:hAnsi="Arial" w:cs="Arial"/>
                <w:color w:val="000000"/>
                <w:sz w:val="18"/>
                <w:szCs w:val="18"/>
              </w:rPr>
              <w:t>Comments:</w:t>
            </w:r>
          </w:p>
        </w:tc>
        <w:tc>
          <w:tcPr>
            <w:tcW w:w="0" w:type="auto"/>
            <w:tcBorders>
              <w:top w:val="nil"/>
              <w:left w:val="nil"/>
              <w:bottom w:val="nil"/>
              <w:right w:val="nil"/>
            </w:tcBorders>
            <w:shd w:val="clear" w:color="auto" w:fill="auto"/>
            <w:noWrap/>
            <w:vAlign w:val="bottom"/>
            <w:hideMark/>
          </w:tcPr>
          <w:p w14:paraId="772F9001" w14:textId="77777777" w:rsidR="00BA48F1" w:rsidRPr="0067156B" w:rsidRDefault="00BA48F1" w:rsidP="00BA48F1">
            <w:pPr>
              <w:spacing w:after="0" w:line="240" w:lineRule="auto"/>
              <w:rPr>
                <w:rFonts w:ascii="Arial" w:eastAsia="Times New Roman" w:hAnsi="Arial" w:cs="Arial"/>
                <w:color w:val="000000"/>
                <w:sz w:val="18"/>
                <w:szCs w:val="18"/>
              </w:rPr>
            </w:pPr>
          </w:p>
        </w:tc>
        <w:tc>
          <w:tcPr>
            <w:tcW w:w="0" w:type="auto"/>
            <w:tcBorders>
              <w:top w:val="nil"/>
              <w:left w:val="nil"/>
              <w:bottom w:val="nil"/>
              <w:right w:val="nil"/>
            </w:tcBorders>
            <w:shd w:val="clear" w:color="auto" w:fill="auto"/>
            <w:noWrap/>
            <w:vAlign w:val="bottom"/>
            <w:hideMark/>
          </w:tcPr>
          <w:p w14:paraId="76B47823" w14:textId="77777777" w:rsidR="00BA48F1" w:rsidRPr="0067156B" w:rsidRDefault="00BA48F1" w:rsidP="00BA48F1">
            <w:pPr>
              <w:spacing w:after="0" w:line="240" w:lineRule="auto"/>
              <w:rPr>
                <w:rFonts w:ascii="Times New Roman" w:eastAsia="Times New Roman" w:hAnsi="Times New Roman" w:cs="Times New Roman"/>
                <w:sz w:val="18"/>
                <w:szCs w:val="18"/>
              </w:rPr>
            </w:pPr>
          </w:p>
        </w:tc>
        <w:tc>
          <w:tcPr>
            <w:tcW w:w="0" w:type="auto"/>
            <w:tcBorders>
              <w:top w:val="nil"/>
              <w:left w:val="nil"/>
              <w:bottom w:val="nil"/>
              <w:right w:val="nil"/>
            </w:tcBorders>
            <w:shd w:val="clear" w:color="auto" w:fill="auto"/>
            <w:noWrap/>
            <w:vAlign w:val="bottom"/>
            <w:hideMark/>
          </w:tcPr>
          <w:p w14:paraId="0471C7A3" w14:textId="77777777" w:rsidR="00BA48F1" w:rsidRPr="0067156B" w:rsidRDefault="00BA48F1" w:rsidP="00BA48F1">
            <w:pPr>
              <w:spacing w:after="0" w:line="240" w:lineRule="auto"/>
              <w:rPr>
                <w:rFonts w:ascii="Times New Roman" w:eastAsia="Times New Roman" w:hAnsi="Times New Roman" w:cs="Times New Roman"/>
                <w:sz w:val="18"/>
                <w:szCs w:val="18"/>
              </w:rPr>
            </w:pPr>
          </w:p>
        </w:tc>
        <w:tc>
          <w:tcPr>
            <w:tcW w:w="0" w:type="auto"/>
            <w:tcBorders>
              <w:top w:val="nil"/>
              <w:left w:val="nil"/>
              <w:bottom w:val="nil"/>
              <w:right w:val="nil"/>
            </w:tcBorders>
            <w:shd w:val="clear" w:color="auto" w:fill="auto"/>
            <w:noWrap/>
            <w:vAlign w:val="bottom"/>
            <w:hideMark/>
          </w:tcPr>
          <w:p w14:paraId="1C046181" w14:textId="77777777" w:rsidR="00BA48F1" w:rsidRPr="0067156B" w:rsidRDefault="00BA48F1" w:rsidP="00BA48F1">
            <w:pPr>
              <w:spacing w:after="0" w:line="240" w:lineRule="auto"/>
              <w:rPr>
                <w:rFonts w:ascii="Times New Roman" w:eastAsia="Times New Roman" w:hAnsi="Times New Roman" w:cs="Times New Roman"/>
                <w:sz w:val="18"/>
                <w:szCs w:val="18"/>
              </w:rPr>
            </w:pPr>
          </w:p>
        </w:tc>
        <w:tc>
          <w:tcPr>
            <w:tcW w:w="0" w:type="auto"/>
            <w:tcBorders>
              <w:top w:val="nil"/>
              <w:left w:val="nil"/>
              <w:bottom w:val="nil"/>
              <w:right w:val="nil"/>
            </w:tcBorders>
            <w:shd w:val="clear" w:color="auto" w:fill="auto"/>
            <w:noWrap/>
            <w:vAlign w:val="bottom"/>
            <w:hideMark/>
          </w:tcPr>
          <w:p w14:paraId="6F1D488F" w14:textId="77777777" w:rsidR="00BA48F1" w:rsidRPr="0067156B" w:rsidRDefault="00BA48F1" w:rsidP="00BA48F1">
            <w:pPr>
              <w:spacing w:after="0" w:line="240" w:lineRule="auto"/>
              <w:rPr>
                <w:rFonts w:ascii="Times New Roman" w:eastAsia="Times New Roman" w:hAnsi="Times New Roman" w:cs="Times New Roman"/>
                <w:sz w:val="18"/>
                <w:szCs w:val="18"/>
              </w:rPr>
            </w:pPr>
          </w:p>
        </w:tc>
        <w:tc>
          <w:tcPr>
            <w:tcW w:w="0" w:type="auto"/>
            <w:tcBorders>
              <w:top w:val="nil"/>
              <w:left w:val="nil"/>
              <w:bottom w:val="nil"/>
              <w:right w:val="nil"/>
            </w:tcBorders>
            <w:shd w:val="clear" w:color="auto" w:fill="auto"/>
            <w:noWrap/>
            <w:vAlign w:val="bottom"/>
            <w:hideMark/>
          </w:tcPr>
          <w:p w14:paraId="517586B7" w14:textId="77777777" w:rsidR="00BA48F1" w:rsidRPr="0067156B" w:rsidRDefault="00BA48F1" w:rsidP="00BA48F1">
            <w:pPr>
              <w:spacing w:after="0" w:line="240" w:lineRule="auto"/>
              <w:rPr>
                <w:rFonts w:ascii="Times New Roman" w:eastAsia="Times New Roman" w:hAnsi="Times New Roman" w:cs="Times New Roman"/>
                <w:sz w:val="18"/>
                <w:szCs w:val="18"/>
              </w:rPr>
            </w:pPr>
          </w:p>
        </w:tc>
        <w:tc>
          <w:tcPr>
            <w:tcW w:w="0" w:type="auto"/>
            <w:tcBorders>
              <w:top w:val="nil"/>
              <w:left w:val="nil"/>
              <w:bottom w:val="nil"/>
              <w:right w:val="nil"/>
            </w:tcBorders>
            <w:shd w:val="clear" w:color="auto" w:fill="auto"/>
            <w:noWrap/>
            <w:vAlign w:val="bottom"/>
            <w:hideMark/>
          </w:tcPr>
          <w:p w14:paraId="24BE028F" w14:textId="77777777" w:rsidR="00BA48F1" w:rsidRPr="0067156B" w:rsidRDefault="00BA48F1" w:rsidP="00BA48F1">
            <w:pPr>
              <w:spacing w:after="0" w:line="240" w:lineRule="auto"/>
              <w:rPr>
                <w:rFonts w:ascii="Times New Roman" w:eastAsia="Times New Roman" w:hAnsi="Times New Roman" w:cs="Times New Roman"/>
                <w:sz w:val="18"/>
                <w:szCs w:val="18"/>
              </w:rPr>
            </w:pPr>
          </w:p>
        </w:tc>
        <w:tc>
          <w:tcPr>
            <w:tcW w:w="0" w:type="auto"/>
            <w:tcBorders>
              <w:top w:val="nil"/>
              <w:left w:val="nil"/>
              <w:bottom w:val="nil"/>
              <w:right w:val="nil"/>
            </w:tcBorders>
            <w:shd w:val="clear" w:color="auto" w:fill="auto"/>
            <w:noWrap/>
            <w:vAlign w:val="bottom"/>
            <w:hideMark/>
          </w:tcPr>
          <w:p w14:paraId="2874E6E4" w14:textId="77777777" w:rsidR="00BA48F1" w:rsidRPr="00BA48F1" w:rsidRDefault="00BA48F1" w:rsidP="00BA48F1">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14:paraId="27CA827C" w14:textId="77777777" w:rsidR="00BA48F1" w:rsidRPr="00BA48F1" w:rsidRDefault="00BA48F1" w:rsidP="00BA48F1">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14:paraId="1EFC97BB" w14:textId="77777777" w:rsidR="00BA48F1" w:rsidRPr="00BA48F1" w:rsidRDefault="00BA48F1" w:rsidP="00BA48F1">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14:paraId="5B559BC0" w14:textId="77777777" w:rsidR="00BA48F1" w:rsidRPr="00BA48F1" w:rsidRDefault="00BA48F1" w:rsidP="00BA48F1">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14:paraId="7E450524" w14:textId="77777777" w:rsidR="00BA48F1" w:rsidRPr="00BA48F1" w:rsidRDefault="00BA48F1" w:rsidP="00BA48F1">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14:paraId="38E3219A" w14:textId="77777777" w:rsidR="00BA48F1" w:rsidRPr="00BA48F1" w:rsidRDefault="00BA48F1" w:rsidP="00BA48F1">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14:paraId="7C8CDD98" w14:textId="77777777" w:rsidR="00BA48F1" w:rsidRPr="00BA48F1" w:rsidRDefault="00BA48F1" w:rsidP="00BA48F1">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14:paraId="431E0974" w14:textId="77777777" w:rsidR="00BA48F1" w:rsidRPr="00BA48F1" w:rsidRDefault="00BA48F1" w:rsidP="00BA48F1">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14:paraId="725D7D15" w14:textId="77777777" w:rsidR="00BA48F1" w:rsidRPr="00BA48F1" w:rsidRDefault="00BA48F1" w:rsidP="00BA48F1">
            <w:pPr>
              <w:spacing w:after="0" w:line="240" w:lineRule="auto"/>
              <w:rPr>
                <w:rFonts w:ascii="Times New Roman" w:eastAsia="Times New Roman" w:hAnsi="Times New Roman" w:cs="Times New Roman"/>
                <w:sz w:val="20"/>
                <w:szCs w:val="20"/>
              </w:rPr>
            </w:pPr>
          </w:p>
        </w:tc>
      </w:tr>
      <w:tr w:rsidR="0067156B" w:rsidRPr="00BA48F1" w14:paraId="70249436" w14:textId="77777777" w:rsidTr="0067156B">
        <w:trPr>
          <w:trHeight w:val="255"/>
        </w:trPr>
        <w:tc>
          <w:tcPr>
            <w:tcW w:w="0" w:type="auto"/>
            <w:gridSpan w:val="2"/>
            <w:tcBorders>
              <w:top w:val="nil"/>
              <w:left w:val="nil"/>
              <w:bottom w:val="nil"/>
              <w:right w:val="nil"/>
            </w:tcBorders>
            <w:shd w:val="clear" w:color="auto" w:fill="auto"/>
            <w:noWrap/>
            <w:hideMark/>
          </w:tcPr>
          <w:p w14:paraId="656F9EC8" w14:textId="77777777" w:rsidR="00BA48F1" w:rsidRPr="0067156B" w:rsidRDefault="00BA48F1" w:rsidP="00BA48F1">
            <w:pPr>
              <w:spacing w:after="0" w:line="240" w:lineRule="auto"/>
              <w:rPr>
                <w:rFonts w:ascii="Arial" w:eastAsia="Times New Roman" w:hAnsi="Arial" w:cs="Arial"/>
                <w:color w:val="000000"/>
                <w:sz w:val="18"/>
                <w:szCs w:val="18"/>
              </w:rPr>
            </w:pPr>
            <w:r w:rsidRPr="0067156B">
              <w:rPr>
                <w:rFonts w:ascii="Arial" w:eastAsia="Times New Roman" w:hAnsi="Arial" w:cs="Arial"/>
                <w:color w:val="000000"/>
                <w:sz w:val="18"/>
                <w:szCs w:val="18"/>
              </w:rPr>
              <w:t>N = number (counts of children)</w:t>
            </w:r>
          </w:p>
        </w:tc>
        <w:tc>
          <w:tcPr>
            <w:tcW w:w="0" w:type="auto"/>
            <w:tcBorders>
              <w:top w:val="nil"/>
              <w:left w:val="nil"/>
              <w:bottom w:val="nil"/>
              <w:right w:val="nil"/>
            </w:tcBorders>
            <w:shd w:val="clear" w:color="auto" w:fill="auto"/>
            <w:noWrap/>
            <w:vAlign w:val="bottom"/>
            <w:hideMark/>
          </w:tcPr>
          <w:p w14:paraId="062B4DB4" w14:textId="77777777" w:rsidR="00BA48F1" w:rsidRPr="0067156B" w:rsidRDefault="00BA48F1" w:rsidP="00BA48F1">
            <w:pPr>
              <w:spacing w:after="0" w:line="240" w:lineRule="auto"/>
              <w:rPr>
                <w:rFonts w:ascii="Arial" w:eastAsia="Times New Roman" w:hAnsi="Arial" w:cs="Arial"/>
                <w:color w:val="000000"/>
                <w:sz w:val="18"/>
                <w:szCs w:val="18"/>
              </w:rPr>
            </w:pPr>
          </w:p>
        </w:tc>
        <w:tc>
          <w:tcPr>
            <w:tcW w:w="0" w:type="auto"/>
            <w:tcBorders>
              <w:top w:val="nil"/>
              <w:left w:val="nil"/>
              <w:bottom w:val="nil"/>
              <w:right w:val="nil"/>
            </w:tcBorders>
            <w:shd w:val="clear" w:color="auto" w:fill="auto"/>
            <w:noWrap/>
            <w:vAlign w:val="bottom"/>
            <w:hideMark/>
          </w:tcPr>
          <w:p w14:paraId="4650AD36" w14:textId="77777777" w:rsidR="00BA48F1" w:rsidRPr="0067156B" w:rsidRDefault="00BA48F1" w:rsidP="00BA48F1">
            <w:pPr>
              <w:spacing w:after="0" w:line="240" w:lineRule="auto"/>
              <w:rPr>
                <w:rFonts w:ascii="Times New Roman" w:eastAsia="Times New Roman" w:hAnsi="Times New Roman" w:cs="Times New Roman"/>
                <w:sz w:val="18"/>
                <w:szCs w:val="18"/>
              </w:rPr>
            </w:pPr>
          </w:p>
        </w:tc>
        <w:tc>
          <w:tcPr>
            <w:tcW w:w="0" w:type="auto"/>
            <w:tcBorders>
              <w:top w:val="nil"/>
              <w:left w:val="nil"/>
              <w:bottom w:val="nil"/>
              <w:right w:val="nil"/>
            </w:tcBorders>
            <w:shd w:val="clear" w:color="auto" w:fill="auto"/>
            <w:noWrap/>
            <w:vAlign w:val="bottom"/>
            <w:hideMark/>
          </w:tcPr>
          <w:p w14:paraId="2011BAA6" w14:textId="77777777" w:rsidR="00BA48F1" w:rsidRPr="0067156B" w:rsidRDefault="00BA48F1" w:rsidP="00BA48F1">
            <w:pPr>
              <w:spacing w:after="0" w:line="240" w:lineRule="auto"/>
              <w:rPr>
                <w:rFonts w:ascii="Times New Roman" w:eastAsia="Times New Roman" w:hAnsi="Times New Roman" w:cs="Times New Roman"/>
                <w:sz w:val="18"/>
                <w:szCs w:val="18"/>
              </w:rPr>
            </w:pPr>
          </w:p>
        </w:tc>
        <w:tc>
          <w:tcPr>
            <w:tcW w:w="0" w:type="auto"/>
            <w:tcBorders>
              <w:top w:val="nil"/>
              <w:left w:val="nil"/>
              <w:bottom w:val="nil"/>
              <w:right w:val="nil"/>
            </w:tcBorders>
            <w:shd w:val="clear" w:color="auto" w:fill="auto"/>
            <w:noWrap/>
            <w:vAlign w:val="bottom"/>
            <w:hideMark/>
          </w:tcPr>
          <w:p w14:paraId="63323776" w14:textId="77777777" w:rsidR="00BA48F1" w:rsidRPr="0067156B" w:rsidRDefault="00BA48F1" w:rsidP="00BA48F1">
            <w:pPr>
              <w:spacing w:after="0" w:line="240" w:lineRule="auto"/>
              <w:rPr>
                <w:rFonts w:ascii="Times New Roman" w:eastAsia="Times New Roman" w:hAnsi="Times New Roman" w:cs="Times New Roman"/>
                <w:sz w:val="18"/>
                <w:szCs w:val="18"/>
              </w:rPr>
            </w:pPr>
          </w:p>
        </w:tc>
        <w:tc>
          <w:tcPr>
            <w:tcW w:w="0" w:type="auto"/>
            <w:tcBorders>
              <w:top w:val="nil"/>
              <w:left w:val="nil"/>
              <w:bottom w:val="nil"/>
              <w:right w:val="nil"/>
            </w:tcBorders>
            <w:shd w:val="clear" w:color="auto" w:fill="auto"/>
            <w:noWrap/>
            <w:vAlign w:val="bottom"/>
            <w:hideMark/>
          </w:tcPr>
          <w:p w14:paraId="18869CCF" w14:textId="77777777" w:rsidR="00BA48F1" w:rsidRPr="0067156B" w:rsidRDefault="00BA48F1" w:rsidP="00BA48F1">
            <w:pPr>
              <w:spacing w:after="0" w:line="240" w:lineRule="auto"/>
              <w:rPr>
                <w:rFonts w:ascii="Times New Roman" w:eastAsia="Times New Roman" w:hAnsi="Times New Roman" w:cs="Times New Roman"/>
                <w:sz w:val="18"/>
                <w:szCs w:val="18"/>
              </w:rPr>
            </w:pPr>
          </w:p>
        </w:tc>
        <w:tc>
          <w:tcPr>
            <w:tcW w:w="0" w:type="auto"/>
            <w:tcBorders>
              <w:top w:val="nil"/>
              <w:left w:val="nil"/>
              <w:bottom w:val="nil"/>
              <w:right w:val="nil"/>
            </w:tcBorders>
            <w:shd w:val="clear" w:color="auto" w:fill="auto"/>
            <w:noWrap/>
            <w:vAlign w:val="bottom"/>
            <w:hideMark/>
          </w:tcPr>
          <w:p w14:paraId="7F3A7D19" w14:textId="77777777" w:rsidR="00BA48F1" w:rsidRPr="0067156B" w:rsidRDefault="00BA48F1" w:rsidP="00BA48F1">
            <w:pPr>
              <w:spacing w:after="0" w:line="240" w:lineRule="auto"/>
              <w:rPr>
                <w:rFonts w:ascii="Times New Roman" w:eastAsia="Times New Roman" w:hAnsi="Times New Roman" w:cs="Times New Roman"/>
                <w:sz w:val="18"/>
                <w:szCs w:val="18"/>
              </w:rPr>
            </w:pPr>
          </w:p>
        </w:tc>
        <w:tc>
          <w:tcPr>
            <w:tcW w:w="0" w:type="auto"/>
            <w:tcBorders>
              <w:top w:val="nil"/>
              <w:left w:val="nil"/>
              <w:bottom w:val="nil"/>
              <w:right w:val="nil"/>
            </w:tcBorders>
            <w:shd w:val="clear" w:color="auto" w:fill="auto"/>
            <w:noWrap/>
            <w:vAlign w:val="bottom"/>
            <w:hideMark/>
          </w:tcPr>
          <w:p w14:paraId="01DE285D" w14:textId="77777777" w:rsidR="00BA48F1" w:rsidRPr="00BA48F1" w:rsidRDefault="00BA48F1" w:rsidP="00BA48F1">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14:paraId="42BF2A10" w14:textId="77777777" w:rsidR="00BA48F1" w:rsidRPr="00BA48F1" w:rsidRDefault="00BA48F1" w:rsidP="00BA48F1">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14:paraId="3ABD7D15" w14:textId="77777777" w:rsidR="00BA48F1" w:rsidRPr="00BA48F1" w:rsidRDefault="00BA48F1" w:rsidP="00BA48F1">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14:paraId="1274743C" w14:textId="77777777" w:rsidR="00BA48F1" w:rsidRPr="00BA48F1" w:rsidRDefault="00BA48F1" w:rsidP="00BA48F1">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14:paraId="189BE0F7" w14:textId="77777777" w:rsidR="00BA48F1" w:rsidRPr="00BA48F1" w:rsidRDefault="00BA48F1" w:rsidP="00BA48F1">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14:paraId="2F121BEE" w14:textId="77777777" w:rsidR="00BA48F1" w:rsidRPr="00BA48F1" w:rsidRDefault="00BA48F1" w:rsidP="00BA48F1">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14:paraId="64C635C7" w14:textId="77777777" w:rsidR="00BA48F1" w:rsidRPr="00BA48F1" w:rsidRDefault="00BA48F1" w:rsidP="00BA48F1">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14:paraId="2309F59A" w14:textId="77777777" w:rsidR="00BA48F1" w:rsidRPr="00BA48F1" w:rsidRDefault="00BA48F1" w:rsidP="00BA48F1">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14:paraId="501FD469" w14:textId="77777777" w:rsidR="00BA48F1" w:rsidRPr="00BA48F1" w:rsidRDefault="00BA48F1" w:rsidP="00BA48F1">
            <w:pPr>
              <w:spacing w:after="0" w:line="240" w:lineRule="auto"/>
              <w:rPr>
                <w:rFonts w:ascii="Times New Roman" w:eastAsia="Times New Roman" w:hAnsi="Times New Roman" w:cs="Times New Roman"/>
                <w:sz w:val="20"/>
                <w:szCs w:val="20"/>
              </w:rPr>
            </w:pPr>
          </w:p>
        </w:tc>
      </w:tr>
      <w:tr w:rsidR="00BA48F1" w:rsidRPr="00BA48F1" w14:paraId="6724D2FA" w14:textId="77777777" w:rsidTr="0067156B">
        <w:trPr>
          <w:trHeight w:val="255"/>
        </w:trPr>
        <w:tc>
          <w:tcPr>
            <w:tcW w:w="0" w:type="auto"/>
            <w:gridSpan w:val="12"/>
            <w:vMerge w:val="restart"/>
            <w:tcBorders>
              <w:top w:val="nil"/>
              <w:left w:val="nil"/>
              <w:bottom w:val="nil"/>
              <w:right w:val="nil"/>
            </w:tcBorders>
            <w:shd w:val="clear" w:color="auto" w:fill="auto"/>
            <w:hideMark/>
          </w:tcPr>
          <w:p w14:paraId="4656D42D" w14:textId="77777777" w:rsidR="00BA48F1" w:rsidRPr="0067156B" w:rsidRDefault="00BA48F1" w:rsidP="00BA48F1">
            <w:pPr>
              <w:spacing w:after="0" w:line="240" w:lineRule="auto"/>
              <w:rPr>
                <w:rFonts w:ascii="Arial" w:eastAsia="Times New Roman" w:hAnsi="Arial" w:cs="Arial"/>
                <w:color w:val="000000"/>
                <w:sz w:val="18"/>
                <w:szCs w:val="18"/>
              </w:rPr>
            </w:pPr>
            <w:r w:rsidRPr="0067156B">
              <w:rPr>
                <w:rFonts w:ascii="Arial" w:eastAsia="Times New Roman" w:hAnsi="Arial" w:cs="Arial"/>
                <w:color w:val="000000"/>
                <w:sz w:val="18"/>
                <w:szCs w:val="18"/>
              </w:rPr>
              <w:t>Number or prevalence is not shown when N is between 1-5 and total screened is less than 1,200. These small numbers are suppressed to protect privacy.</w:t>
            </w:r>
          </w:p>
        </w:tc>
        <w:tc>
          <w:tcPr>
            <w:tcW w:w="0" w:type="auto"/>
            <w:tcBorders>
              <w:top w:val="nil"/>
              <w:left w:val="nil"/>
              <w:bottom w:val="nil"/>
              <w:right w:val="nil"/>
            </w:tcBorders>
            <w:shd w:val="clear" w:color="auto" w:fill="auto"/>
            <w:noWrap/>
            <w:vAlign w:val="bottom"/>
            <w:hideMark/>
          </w:tcPr>
          <w:p w14:paraId="0C16A63B" w14:textId="77777777" w:rsidR="00BA48F1" w:rsidRPr="00BA48F1" w:rsidRDefault="00BA48F1" w:rsidP="00BA48F1">
            <w:pPr>
              <w:spacing w:after="0" w:line="240" w:lineRule="auto"/>
              <w:rPr>
                <w:rFonts w:ascii="Arial" w:eastAsia="Times New Roman" w:hAnsi="Arial" w:cs="Arial"/>
                <w:color w:val="000000"/>
                <w:sz w:val="20"/>
                <w:szCs w:val="20"/>
              </w:rPr>
            </w:pPr>
          </w:p>
        </w:tc>
        <w:tc>
          <w:tcPr>
            <w:tcW w:w="0" w:type="auto"/>
            <w:tcBorders>
              <w:top w:val="nil"/>
              <w:left w:val="nil"/>
              <w:bottom w:val="nil"/>
              <w:right w:val="nil"/>
            </w:tcBorders>
            <w:shd w:val="clear" w:color="auto" w:fill="auto"/>
            <w:noWrap/>
            <w:vAlign w:val="bottom"/>
            <w:hideMark/>
          </w:tcPr>
          <w:p w14:paraId="5BF3DDC7" w14:textId="77777777" w:rsidR="00BA48F1" w:rsidRPr="00BA48F1" w:rsidRDefault="00BA48F1" w:rsidP="00BA48F1">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14:paraId="35900BE9" w14:textId="77777777" w:rsidR="00BA48F1" w:rsidRPr="00BA48F1" w:rsidRDefault="00BA48F1" w:rsidP="00BA48F1">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14:paraId="7225C3B5" w14:textId="77777777" w:rsidR="00BA48F1" w:rsidRPr="00BA48F1" w:rsidRDefault="00BA48F1" w:rsidP="00BA48F1">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14:paraId="2DD1DD55" w14:textId="77777777" w:rsidR="00BA48F1" w:rsidRPr="00BA48F1" w:rsidRDefault="00BA48F1" w:rsidP="00BA48F1">
            <w:pPr>
              <w:spacing w:after="0" w:line="240" w:lineRule="auto"/>
              <w:rPr>
                <w:rFonts w:ascii="Times New Roman" w:eastAsia="Times New Roman" w:hAnsi="Times New Roman" w:cs="Times New Roman"/>
                <w:sz w:val="20"/>
                <w:szCs w:val="20"/>
              </w:rPr>
            </w:pPr>
          </w:p>
        </w:tc>
      </w:tr>
      <w:tr w:rsidR="00BA48F1" w:rsidRPr="00BA48F1" w14:paraId="1ADDE477" w14:textId="77777777" w:rsidTr="0067156B">
        <w:trPr>
          <w:trHeight w:val="255"/>
        </w:trPr>
        <w:tc>
          <w:tcPr>
            <w:tcW w:w="0" w:type="auto"/>
            <w:gridSpan w:val="12"/>
            <w:vMerge/>
            <w:tcBorders>
              <w:top w:val="nil"/>
              <w:left w:val="nil"/>
              <w:bottom w:val="nil"/>
              <w:right w:val="nil"/>
            </w:tcBorders>
            <w:vAlign w:val="center"/>
            <w:hideMark/>
          </w:tcPr>
          <w:p w14:paraId="0ABEBD81" w14:textId="77777777" w:rsidR="00BA48F1" w:rsidRPr="0067156B" w:rsidRDefault="00BA48F1" w:rsidP="00BA48F1">
            <w:pPr>
              <w:spacing w:after="0" w:line="240" w:lineRule="auto"/>
              <w:rPr>
                <w:rFonts w:ascii="Arial" w:eastAsia="Times New Roman" w:hAnsi="Arial" w:cs="Arial"/>
                <w:color w:val="000000"/>
                <w:sz w:val="18"/>
                <w:szCs w:val="18"/>
              </w:rPr>
            </w:pPr>
          </w:p>
        </w:tc>
        <w:tc>
          <w:tcPr>
            <w:tcW w:w="0" w:type="auto"/>
            <w:tcBorders>
              <w:top w:val="nil"/>
              <w:left w:val="nil"/>
              <w:bottom w:val="nil"/>
              <w:right w:val="nil"/>
            </w:tcBorders>
            <w:shd w:val="clear" w:color="auto" w:fill="auto"/>
            <w:noWrap/>
            <w:vAlign w:val="bottom"/>
            <w:hideMark/>
          </w:tcPr>
          <w:p w14:paraId="5278BAEE" w14:textId="77777777" w:rsidR="00BA48F1" w:rsidRPr="00BA48F1" w:rsidRDefault="00BA48F1" w:rsidP="00BA48F1">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14:paraId="7CA817B8" w14:textId="77777777" w:rsidR="00BA48F1" w:rsidRPr="00BA48F1" w:rsidRDefault="00BA48F1" w:rsidP="00BA48F1">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14:paraId="57A2F730" w14:textId="77777777" w:rsidR="00BA48F1" w:rsidRPr="00BA48F1" w:rsidRDefault="00BA48F1" w:rsidP="00BA48F1">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14:paraId="21F1C455" w14:textId="77777777" w:rsidR="00BA48F1" w:rsidRPr="00BA48F1" w:rsidRDefault="00BA48F1" w:rsidP="00BA48F1">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14:paraId="5305A6D4" w14:textId="77777777" w:rsidR="00BA48F1" w:rsidRPr="00BA48F1" w:rsidRDefault="00BA48F1" w:rsidP="00BA48F1">
            <w:pPr>
              <w:spacing w:after="0" w:line="240" w:lineRule="auto"/>
              <w:rPr>
                <w:rFonts w:ascii="Times New Roman" w:eastAsia="Times New Roman" w:hAnsi="Times New Roman" w:cs="Times New Roman"/>
                <w:sz w:val="20"/>
                <w:szCs w:val="20"/>
              </w:rPr>
            </w:pPr>
          </w:p>
        </w:tc>
      </w:tr>
      <w:tr w:rsidR="0067156B" w:rsidRPr="00BA48F1" w14:paraId="09FBBD56" w14:textId="77777777" w:rsidTr="0067156B">
        <w:trPr>
          <w:trHeight w:val="255"/>
        </w:trPr>
        <w:tc>
          <w:tcPr>
            <w:tcW w:w="0" w:type="auto"/>
            <w:tcBorders>
              <w:top w:val="nil"/>
              <w:left w:val="nil"/>
              <w:bottom w:val="nil"/>
              <w:right w:val="nil"/>
            </w:tcBorders>
            <w:shd w:val="clear" w:color="auto" w:fill="auto"/>
            <w:noWrap/>
            <w:vAlign w:val="bottom"/>
            <w:hideMark/>
          </w:tcPr>
          <w:p w14:paraId="63210ED9" w14:textId="2AD90CC9" w:rsidR="00BA48F1" w:rsidRDefault="00BA48F1" w:rsidP="00BA48F1">
            <w:pPr>
              <w:spacing w:after="0" w:line="240" w:lineRule="auto"/>
              <w:rPr>
                <w:rFonts w:ascii="Arial" w:eastAsia="Times New Roman" w:hAnsi="Arial" w:cs="Arial"/>
                <w:color w:val="000000"/>
                <w:sz w:val="18"/>
                <w:szCs w:val="18"/>
              </w:rPr>
            </w:pPr>
            <w:r w:rsidRPr="0067156B">
              <w:rPr>
                <w:rFonts w:ascii="Arial" w:eastAsia="Times New Roman" w:hAnsi="Arial" w:cs="Arial"/>
                <w:color w:val="000000"/>
                <w:sz w:val="18"/>
                <w:szCs w:val="18"/>
              </w:rPr>
              <w:t>Footnotes:</w:t>
            </w:r>
          </w:p>
          <w:p w14:paraId="63CC4B0B" w14:textId="77777777" w:rsidR="0067156B" w:rsidRPr="0067156B" w:rsidRDefault="0067156B" w:rsidP="00BA48F1">
            <w:pPr>
              <w:spacing w:after="0" w:line="240" w:lineRule="auto"/>
              <w:rPr>
                <w:rFonts w:ascii="Arial" w:eastAsia="Times New Roman" w:hAnsi="Arial" w:cs="Arial"/>
                <w:color w:val="000000"/>
                <w:sz w:val="18"/>
                <w:szCs w:val="18"/>
              </w:rPr>
            </w:pPr>
          </w:p>
          <w:p w14:paraId="4D926DB7" w14:textId="77777777" w:rsidR="0067156B" w:rsidRPr="0067156B" w:rsidRDefault="0067156B" w:rsidP="00BA48F1">
            <w:pPr>
              <w:spacing w:after="0" w:line="240" w:lineRule="auto"/>
              <w:rPr>
                <w:rFonts w:ascii="Arial" w:eastAsia="Times New Roman" w:hAnsi="Arial" w:cs="Arial"/>
                <w:color w:val="000000"/>
                <w:sz w:val="18"/>
                <w:szCs w:val="18"/>
              </w:rPr>
            </w:pPr>
          </w:p>
        </w:tc>
        <w:tc>
          <w:tcPr>
            <w:tcW w:w="0" w:type="auto"/>
            <w:tcBorders>
              <w:top w:val="nil"/>
              <w:left w:val="nil"/>
              <w:bottom w:val="nil"/>
              <w:right w:val="nil"/>
            </w:tcBorders>
            <w:shd w:val="clear" w:color="auto" w:fill="auto"/>
            <w:noWrap/>
            <w:vAlign w:val="bottom"/>
            <w:hideMark/>
          </w:tcPr>
          <w:p w14:paraId="0587E013" w14:textId="77777777" w:rsidR="00BA48F1" w:rsidRPr="0067156B" w:rsidRDefault="00BA48F1" w:rsidP="00BA48F1">
            <w:pPr>
              <w:spacing w:after="0" w:line="240" w:lineRule="auto"/>
              <w:rPr>
                <w:rFonts w:ascii="Arial" w:eastAsia="Times New Roman" w:hAnsi="Arial" w:cs="Arial"/>
                <w:color w:val="000000"/>
                <w:sz w:val="18"/>
                <w:szCs w:val="18"/>
              </w:rPr>
            </w:pPr>
          </w:p>
        </w:tc>
        <w:tc>
          <w:tcPr>
            <w:tcW w:w="0" w:type="auto"/>
            <w:tcBorders>
              <w:top w:val="nil"/>
              <w:left w:val="nil"/>
              <w:bottom w:val="nil"/>
              <w:right w:val="nil"/>
            </w:tcBorders>
            <w:shd w:val="clear" w:color="auto" w:fill="auto"/>
            <w:noWrap/>
            <w:vAlign w:val="bottom"/>
            <w:hideMark/>
          </w:tcPr>
          <w:p w14:paraId="48ABDD2B" w14:textId="77777777" w:rsidR="00BA48F1" w:rsidRPr="0067156B" w:rsidRDefault="00BA48F1" w:rsidP="00BA48F1">
            <w:pPr>
              <w:spacing w:after="0" w:line="240" w:lineRule="auto"/>
              <w:rPr>
                <w:rFonts w:ascii="Times New Roman" w:eastAsia="Times New Roman" w:hAnsi="Times New Roman" w:cs="Times New Roman"/>
                <w:sz w:val="18"/>
                <w:szCs w:val="18"/>
              </w:rPr>
            </w:pPr>
          </w:p>
        </w:tc>
        <w:tc>
          <w:tcPr>
            <w:tcW w:w="0" w:type="auto"/>
            <w:tcBorders>
              <w:top w:val="nil"/>
              <w:left w:val="nil"/>
              <w:bottom w:val="nil"/>
              <w:right w:val="nil"/>
            </w:tcBorders>
            <w:shd w:val="clear" w:color="auto" w:fill="auto"/>
            <w:noWrap/>
            <w:vAlign w:val="bottom"/>
            <w:hideMark/>
          </w:tcPr>
          <w:p w14:paraId="0450912B" w14:textId="77777777" w:rsidR="00BA48F1" w:rsidRPr="0067156B" w:rsidRDefault="00BA48F1" w:rsidP="00BA48F1">
            <w:pPr>
              <w:spacing w:after="0" w:line="240" w:lineRule="auto"/>
              <w:rPr>
                <w:rFonts w:ascii="Times New Roman" w:eastAsia="Times New Roman" w:hAnsi="Times New Roman" w:cs="Times New Roman"/>
                <w:sz w:val="18"/>
                <w:szCs w:val="18"/>
              </w:rPr>
            </w:pPr>
          </w:p>
        </w:tc>
        <w:tc>
          <w:tcPr>
            <w:tcW w:w="0" w:type="auto"/>
            <w:tcBorders>
              <w:top w:val="nil"/>
              <w:left w:val="nil"/>
              <w:bottom w:val="nil"/>
              <w:right w:val="nil"/>
            </w:tcBorders>
            <w:shd w:val="clear" w:color="auto" w:fill="auto"/>
            <w:noWrap/>
            <w:vAlign w:val="bottom"/>
            <w:hideMark/>
          </w:tcPr>
          <w:p w14:paraId="21DDCA3B" w14:textId="77777777" w:rsidR="00BA48F1" w:rsidRPr="0067156B" w:rsidRDefault="00BA48F1" w:rsidP="00BA48F1">
            <w:pPr>
              <w:spacing w:after="0" w:line="240" w:lineRule="auto"/>
              <w:rPr>
                <w:rFonts w:ascii="Times New Roman" w:eastAsia="Times New Roman" w:hAnsi="Times New Roman" w:cs="Times New Roman"/>
                <w:sz w:val="18"/>
                <w:szCs w:val="18"/>
              </w:rPr>
            </w:pPr>
          </w:p>
        </w:tc>
        <w:tc>
          <w:tcPr>
            <w:tcW w:w="0" w:type="auto"/>
            <w:tcBorders>
              <w:top w:val="nil"/>
              <w:left w:val="nil"/>
              <w:bottom w:val="nil"/>
              <w:right w:val="nil"/>
            </w:tcBorders>
            <w:shd w:val="clear" w:color="auto" w:fill="auto"/>
            <w:noWrap/>
            <w:vAlign w:val="bottom"/>
            <w:hideMark/>
          </w:tcPr>
          <w:p w14:paraId="54A40855" w14:textId="77777777" w:rsidR="00BA48F1" w:rsidRPr="0067156B" w:rsidRDefault="00BA48F1" w:rsidP="00BA48F1">
            <w:pPr>
              <w:spacing w:after="0" w:line="240" w:lineRule="auto"/>
              <w:rPr>
                <w:rFonts w:ascii="Times New Roman" w:eastAsia="Times New Roman" w:hAnsi="Times New Roman" w:cs="Times New Roman"/>
                <w:sz w:val="18"/>
                <w:szCs w:val="18"/>
              </w:rPr>
            </w:pPr>
          </w:p>
        </w:tc>
        <w:tc>
          <w:tcPr>
            <w:tcW w:w="0" w:type="auto"/>
            <w:tcBorders>
              <w:top w:val="nil"/>
              <w:left w:val="nil"/>
              <w:bottom w:val="nil"/>
              <w:right w:val="nil"/>
            </w:tcBorders>
            <w:shd w:val="clear" w:color="auto" w:fill="auto"/>
            <w:noWrap/>
            <w:vAlign w:val="bottom"/>
            <w:hideMark/>
          </w:tcPr>
          <w:p w14:paraId="33E088FC" w14:textId="77777777" w:rsidR="00BA48F1" w:rsidRPr="0067156B" w:rsidRDefault="00BA48F1" w:rsidP="00BA48F1">
            <w:pPr>
              <w:spacing w:after="0" w:line="240" w:lineRule="auto"/>
              <w:rPr>
                <w:rFonts w:ascii="Times New Roman" w:eastAsia="Times New Roman" w:hAnsi="Times New Roman" w:cs="Times New Roman"/>
                <w:sz w:val="18"/>
                <w:szCs w:val="18"/>
              </w:rPr>
            </w:pPr>
          </w:p>
        </w:tc>
        <w:tc>
          <w:tcPr>
            <w:tcW w:w="0" w:type="auto"/>
            <w:tcBorders>
              <w:top w:val="nil"/>
              <w:left w:val="nil"/>
              <w:bottom w:val="nil"/>
              <w:right w:val="nil"/>
            </w:tcBorders>
            <w:shd w:val="clear" w:color="auto" w:fill="auto"/>
            <w:noWrap/>
            <w:vAlign w:val="bottom"/>
            <w:hideMark/>
          </w:tcPr>
          <w:p w14:paraId="47F3F8CC" w14:textId="77777777" w:rsidR="00BA48F1" w:rsidRPr="0067156B" w:rsidRDefault="00BA48F1" w:rsidP="00BA48F1">
            <w:pPr>
              <w:spacing w:after="0" w:line="240" w:lineRule="auto"/>
              <w:rPr>
                <w:rFonts w:ascii="Times New Roman" w:eastAsia="Times New Roman" w:hAnsi="Times New Roman" w:cs="Times New Roman"/>
                <w:sz w:val="18"/>
                <w:szCs w:val="18"/>
              </w:rPr>
            </w:pPr>
          </w:p>
        </w:tc>
        <w:tc>
          <w:tcPr>
            <w:tcW w:w="0" w:type="auto"/>
            <w:tcBorders>
              <w:top w:val="nil"/>
              <w:left w:val="nil"/>
              <w:bottom w:val="nil"/>
              <w:right w:val="nil"/>
            </w:tcBorders>
            <w:shd w:val="clear" w:color="auto" w:fill="auto"/>
            <w:noWrap/>
            <w:vAlign w:val="bottom"/>
            <w:hideMark/>
          </w:tcPr>
          <w:p w14:paraId="759C8E5C" w14:textId="77777777" w:rsidR="00BA48F1" w:rsidRPr="00BA48F1" w:rsidRDefault="00BA48F1" w:rsidP="00BA48F1">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14:paraId="120E60FA" w14:textId="77777777" w:rsidR="00BA48F1" w:rsidRPr="00BA48F1" w:rsidRDefault="00BA48F1" w:rsidP="00BA48F1">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14:paraId="4CAB0C8B" w14:textId="77777777" w:rsidR="00BA48F1" w:rsidRPr="00BA48F1" w:rsidRDefault="00BA48F1" w:rsidP="00BA48F1">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14:paraId="590D1366" w14:textId="77777777" w:rsidR="00BA48F1" w:rsidRPr="00BA48F1" w:rsidRDefault="00BA48F1" w:rsidP="00BA48F1">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14:paraId="65AE2743" w14:textId="77777777" w:rsidR="00BA48F1" w:rsidRPr="00BA48F1" w:rsidRDefault="00BA48F1" w:rsidP="00BA48F1">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14:paraId="6525352A" w14:textId="77777777" w:rsidR="00BA48F1" w:rsidRPr="00BA48F1" w:rsidRDefault="00BA48F1" w:rsidP="00BA48F1">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14:paraId="5F7587D0" w14:textId="77777777" w:rsidR="00BA48F1" w:rsidRPr="00BA48F1" w:rsidRDefault="00BA48F1" w:rsidP="00BA48F1">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14:paraId="3AE8248F" w14:textId="77777777" w:rsidR="00BA48F1" w:rsidRPr="00BA48F1" w:rsidRDefault="00BA48F1" w:rsidP="00BA48F1">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14:paraId="76CF4E4C" w14:textId="77777777" w:rsidR="00BA48F1" w:rsidRPr="00BA48F1" w:rsidRDefault="00BA48F1" w:rsidP="00BA48F1">
            <w:pPr>
              <w:spacing w:after="0" w:line="240" w:lineRule="auto"/>
              <w:rPr>
                <w:rFonts w:ascii="Times New Roman" w:eastAsia="Times New Roman" w:hAnsi="Times New Roman" w:cs="Times New Roman"/>
                <w:sz w:val="20"/>
                <w:szCs w:val="20"/>
              </w:rPr>
            </w:pPr>
          </w:p>
        </w:tc>
      </w:tr>
      <w:tr w:rsidR="00BA48F1" w:rsidRPr="00BA48F1" w14:paraId="6248F1D2" w14:textId="77777777" w:rsidTr="0067156B">
        <w:trPr>
          <w:trHeight w:val="255"/>
        </w:trPr>
        <w:tc>
          <w:tcPr>
            <w:tcW w:w="0" w:type="auto"/>
            <w:gridSpan w:val="9"/>
            <w:vMerge w:val="restart"/>
            <w:tcBorders>
              <w:top w:val="nil"/>
              <w:left w:val="nil"/>
              <w:bottom w:val="nil"/>
              <w:right w:val="nil"/>
            </w:tcBorders>
            <w:shd w:val="clear" w:color="auto" w:fill="auto"/>
            <w:hideMark/>
          </w:tcPr>
          <w:p w14:paraId="199B4C4F" w14:textId="5A72E96F" w:rsidR="00BA48F1" w:rsidRPr="0067156B" w:rsidRDefault="00BA48F1" w:rsidP="0067156B">
            <w:pPr>
              <w:spacing w:after="0" w:line="240" w:lineRule="auto"/>
              <w:rPr>
                <w:rFonts w:ascii="Arial" w:eastAsia="Times New Roman" w:hAnsi="Arial" w:cs="Arial"/>
                <w:color w:val="000000"/>
                <w:sz w:val="18"/>
                <w:szCs w:val="18"/>
              </w:rPr>
            </w:pPr>
            <w:r w:rsidRPr="0067156B">
              <w:rPr>
                <w:rFonts w:ascii="Arial" w:eastAsia="Times New Roman" w:hAnsi="Arial" w:cs="Arial"/>
                <w:color w:val="000000"/>
                <w:sz w:val="18"/>
                <w:szCs w:val="18"/>
                <w:vertAlign w:val="superscript"/>
              </w:rPr>
              <w:t>1</w:t>
            </w:r>
            <w:r w:rsidRPr="0067156B">
              <w:rPr>
                <w:rFonts w:ascii="Arial" w:eastAsia="Times New Roman" w:hAnsi="Arial" w:cs="Arial"/>
                <w:color w:val="000000"/>
                <w:sz w:val="18"/>
                <w:szCs w:val="18"/>
              </w:rPr>
              <w:t>Thi</w:t>
            </w:r>
            <w:r w:rsidR="00395D55">
              <w:rPr>
                <w:rFonts w:ascii="Arial" w:eastAsia="Times New Roman" w:hAnsi="Arial" w:cs="Arial"/>
                <w:color w:val="000000"/>
                <w:sz w:val="18"/>
                <w:szCs w:val="18"/>
              </w:rPr>
              <w:t>s</w:t>
            </w:r>
            <w:r w:rsidRPr="0067156B">
              <w:rPr>
                <w:rFonts w:ascii="Arial" w:eastAsia="Times New Roman" w:hAnsi="Arial" w:cs="Arial"/>
                <w:color w:val="000000"/>
                <w:sz w:val="18"/>
                <w:szCs w:val="18"/>
              </w:rPr>
              <w:t xml:space="preserve"> report uses 2019 population estimat</w:t>
            </w:r>
            <w:r w:rsidR="00395D55">
              <w:rPr>
                <w:rFonts w:ascii="Arial" w:eastAsia="Times New Roman" w:hAnsi="Arial" w:cs="Arial"/>
                <w:color w:val="000000"/>
                <w:sz w:val="18"/>
                <w:szCs w:val="18"/>
              </w:rPr>
              <w:t>es</w:t>
            </w:r>
            <w:r w:rsidRPr="0067156B">
              <w:rPr>
                <w:rFonts w:ascii="Arial" w:eastAsia="Times New Roman" w:hAnsi="Arial" w:cs="Arial"/>
                <w:color w:val="000000"/>
                <w:sz w:val="18"/>
                <w:szCs w:val="18"/>
              </w:rPr>
              <w:t>.</w:t>
            </w:r>
            <w:r w:rsidR="00395D55">
              <w:rPr>
                <w:rFonts w:ascii="Arial" w:eastAsia="Times New Roman" w:hAnsi="Arial" w:cs="Arial"/>
                <w:color w:val="000000"/>
                <w:sz w:val="18"/>
                <w:szCs w:val="18"/>
              </w:rPr>
              <w:t xml:space="preserve"> </w:t>
            </w:r>
            <w:r w:rsidRPr="0067156B">
              <w:rPr>
                <w:rFonts w:ascii="Arial" w:eastAsia="Times New Roman" w:hAnsi="Arial" w:cs="Arial"/>
                <w:color w:val="000000"/>
                <w:sz w:val="18"/>
                <w:szCs w:val="18"/>
              </w:rPr>
              <w:t>Population count for children 9 to 47 months of age is obtained from U</w:t>
            </w:r>
            <w:r w:rsidR="00B345AA">
              <w:rPr>
                <w:rFonts w:ascii="Arial" w:eastAsia="Times New Roman" w:hAnsi="Arial" w:cs="Arial"/>
                <w:color w:val="000000"/>
                <w:sz w:val="18"/>
                <w:szCs w:val="18"/>
              </w:rPr>
              <w:t>M</w:t>
            </w:r>
            <w:r w:rsidRPr="0067156B">
              <w:rPr>
                <w:rFonts w:ascii="Arial" w:eastAsia="Times New Roman" w:hAnsi="Arial" w:cs="Arial"/>
                <w:color w:val="000000"/>
                <w:sz w:val="18"/>
                <w:szCs w:val="18"/>
              </w:rPr>
              <w:t>ass Donahue Institute population estimates. For more information, see "About our Data" on mass.gov/</w:t>
            </w:r>
            <w:proofErr w:type="spellStart"/>
            <w:r w:rsidRPr="0067156B">
              <w:rPr>
                <w:rFonts w:ascii="Arial" w:eastAsia="Times New Roman" w:hAnsi="Arial" w:cs="Arial"/>
                <w:color w:val="000000"/>
                <w:sz w:val="18"/>
                <w:szCs w:val="18"/>
              </w:rPr>
              <w:t>dph</w:t>
            </w:r>
            <w:proofErr w:type="spellEnd"/>
            <w:r w:rsidRPr="0067156B">
              <w:rPr>
                <w:rFonts w:ascii="Arial" w:eastAsia="Times New Roman" w:hAnsi="Arial" w:cs="Arial"/>
                <w:color w:val="000000"/>
                <w:sz w:val="18"/>
                <w:szCs w:val="18"/>
              </w:rPr>
              <w:t>/</w:t>
            </w:r>
            <w:proofErr w:type="spellStart"/>
            <w:r w:rsidRPr="0067156B">
              <w:rPr>
                <w:rFonts w:ascii="Arial" w:eastAsia="Times New Roman" w:hAnsi="Arial" w:cs="Arial"/>
                <w:color w:val="000000"/>
                <w:sz w:val="18"/>
                <w:szCs w:val="18"/>
              </w:rPr>
              <w:t>matracking</w:t>
            </w:r>
            <w:proofErr w:type="spellEnd"/>
            <w:r w:rsidRPr="0067156B">
              <w:rPr>
                <w:rFonts w:ascii="Arial" w:eastAsia="Times New Roman" w:hAnsi="Arial" w:cs="Arial"/>
                <w:color w:val="000000"/>
                <w:sz w:val="18"/>
                <w:szCs w:val="18"/>
              </w:rPr>
              <w:t>. According to MA state regulations (105 CMR 460.050), children are not required to be screened until 9 months of age.</w:t>
            </w:r>
          </w:p>
        </w:tc>
        <w:tc>
          <w:tcPr>
            <w:tcW w:w="0" w:type="auto"/>
            <w:tcBorders>
              <w:top w:val="nil"/>
              <w:left w:val="nil"/>
              <w:bottom w:val="nil"/>
              <w:right w:val="nil"/>
            </w:tcBorders>
            <w:shd w:val="clear" w:color="auto" w:fill="auto"/>
            <w:noWrap/>
            <w:vAlign w:val="bottom"/>
            <w:hideMark/>
          </w:tcPr>
          <w:p w14:paraId="75CB31C9" w14:textId="77777777" w:rsidR="00BA48F1" w:rsidRPr="00BA48F1" w:rsidRDefault="00BA48F1" w:rsidP="00BA48F1">
            <w:pPr>
              <w:spacing w:after="0" w:line="240" w:lineRule="auto"/>
              <w:rPr>
                <w:rFonts w:ascii="Arial" w:eastAsia="Times New Roman" w:hAnsi="Arial" w:cs="Arial"/>
                <w:color w:val="000000"/>
                <w:sz w:val="20"/>
                <w:szCs w:val="20"/>
              </w:rPr>
            </w:pPr>
          </w:p>
        </w:tc>
        <w:tc>
          <w:tcPr>
            <w:tcW w:w="0" w:type="auto"/>
            <w:tcBorders>
              <w:top w:val="nil"/>
              <w:left w:val="nil"/>
              <w:bottom w:val="nil"/>
              <w:right w:val="nil"/>
            </w:tcBorders>
            <w:shd w:val="clear" w:color="auto" w:fill="auto"/>
            <w:noWrap/>
            <w:vAlign w:val="bottom"/>
            <w:hideMark/>
          </w:tcPr>
          <w:p w14:paraId="0F41E9FA" w14:textId="77777777" w:rsidR="00BA48F1" w:rsidRPr="00BA48F1" w:rsidRDefault="00BA48F1" w:rsidP="00BA48F1">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14:paraId="6EB9DC55" w14:textId="77777777" w:rsidR="00BA48F1" w:rsidRPr="00BA48F1" w:rsidRDefault="00BA48F1" w:rsidP="00BA48F1">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14:paraId="6B4691C7" w14:textId="77777777" w:rsidR="00BA48F1" w:rsidRPr="00BA48F1" w:rsidRDefault="00BA48F1" w:rsidP="00BA48F1">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14:paraId="0D536486" w14:textId="77777777" w:rsidR="00BA48F1" w:rsidRPr="00BA48F1" w:rsidRDefault="00BA48F1" w:rsidP="00BA48F1">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14:paraId="53442B71" w14:textId="77777777" w:rsidR="00BA48F1" w:rsidRPr="00BA48F1" w:rsidRDefault="00BA48F1" w:rsidP="00BA48F1">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14:paraId="794361D1" w14:textId="77777777" w:rsidR="00BA48F1" w:rsidRPr="00BA48F1" w:rsidRDefault="00BA48F1" w:rsidP="00BA48F1">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14:paraId="290C91FA" w14:textId="77777777" w:rsidR="00BA48F1" w:rsidRPr="00BA48F1" w:rsidRDefault="00BA48F1" w:rsidP="00BA48F1">
            <w:pPr>
              <w:spacing w:after="0" w:line="240" w:lineRule="auto"/>
              <w:rPr>
                <w:rFonts w:ascii="Times New Roman" w:eastAsia="Times New Roman" w:hAnsi="Times New Roman" w:cs="Times New Roman"/>
                <w:sz w:val="20"/>
                <w:szCs w:val="20"/>
              </w:rPr>
            </w:pPr>
          </w:p>
        </w:tc>
      </w:tr>
      <w:tr w:rsidR="00BA48F1" w:rsidRPr="00BA48F1" w14:paraId="2F01E843" w14:textId="77777777" w:rsidTr="0067156B">
        <w:trPr>
          <w:trHeight w:val="255"/>
        </w:trPr>
        <w:tc>
          <w:tcPr>
            <w:tcW w:w="0" w:type="auto"/>
            <w:gridSpan w:val="9"/>
            <w:vMerge/>
            <w:tcBorders>
              <w:top w:val="nil"/>
              <w:left w:val="nil"/>
              <w:bottom w:val="nil"/>
              <w:right w:val="nil"/>
            </w:tcBorders>
            <w:vAlign w:val="center"/>
            <w:hideMark/>
          </w:tcPr>
          <w:p w14:paraId="2371E280" w14:textId="77777777" w:rsidR="00BA48F1" w:rsidRPr="0067156B" w:rsidRDefault="00BA48F1" w:rsidP="00BA48F1">
            <w:pPr>
              <w:spacing w:after="0" w:line="240" w:lineRule="auto"/>
              <w:rPr>
                <w:rFonts w:ascii="Arial" w:eastAsia="Times New Roman" w:hAnsi="Arial" w:cs="Arial"/>
                <w:color w:val="000000"/>
                <w:sz w:val="18"/>
                <w:szCs w:val="18"/>
              </w:rPr>
            </w:pPr>
          </w:p>
        </w:tc>
        <w:tc>
          <w:tcPr>
            <w:tcW w:w="0" w:type="auto"/>
            <w:tcBorders>
              <w:top w:val="nil"/>
              <w:left w:val="nil"/>
              <w:bottom w:val="nil"/>
              <w:right w:val="nil"/>
            </w:tcBorders>
            <w:shd w:val="clear" w:color="auto" w:fill="auto"/>
            <w:noWrap/>
            <w:vAlign w:val="bottom"/>
            <w:hideMark/>
          </w:tcPr>
          <w:p w14:paraId="630B20D7" w14:textId="77777777" w:rsidR="00BA48F1" w:rsidRPr="00BA48F1" w:rsidRDefault="00BA48F1" w:rsidP="00BA48F1">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14:paraId="3CF7B7DD" w14:textId="77777777" w:rsidR="00BA48F1" w:rsidRPr="00BA48F1" w:rsidRDefault="00BA48F1" w:rsidP="00BA48F1">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14:paraId="0655785F" w14:textId="77777777" w:rsidR="00BA48F1" w:rsidRPr="00BA48F1" w:rsidRDefault="00BA48F1" w:rsidP="00BA48F1">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14:paraId="17F79B3F" w14:textId="77777777" w:rsidR="00BA48F1" w:rsidRPr="00BA48F1" w:rsidRDefault="00BA48F1" w:rsidP="00BA48F1">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14:paraId="110B8559" w14:textId="77777777" w:rsidR="00BA48F1" w:rsidRPr="00BA48F1" w:rsidRDefault="00BA48F1" w:rsidP="00BA48F1">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14:paraId="0207696C" w14:textId="77777777" w:rsidR="00BA48F1" w:rsidRPr="00BA48F1" w:rsidRDefault="00BA48F1" w:rsidP="00BA48F1">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14:paraId="71640FA6" w14:textId="77777777" w:rsidR="00BA48F1" w:rsidRPr="00BA48F1" w:rsidRDefault="00BA48F1" w:rsidP="00BA48F1">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14:paraId="26B95516" w14:textId="77777777" w:rsidR="00BA48F1" w:rsidRPr="00BA48F1" w:rsidRDefault="00BA48F1" w:rsidP="00BA48F1">
            <w:pPr>
              <w:spacing w:after="0" w:line="240" w:lineRule="auto"/>
              <w:rPr>
                <w:rFonts w:ascii="Times New Roman" w:eastAsia="Times New Roman" w:hAnsi="Times New Roman" w:cs="Times New Roman"/>
                <w:sz w:val="20"/>
                <w:szCs w:val="20"/>
              </w:rPr>
            </w:pPr>
          </w:p>
        </w:tc>
      </w:tr>
      <w:tr w:rsidR="00BA48F1" w:rsidRPr="00BA48F1" w14:paraId="3A46F0FD" w14:textId="77777777" w:rsidTr="0067156B">
        <w:trPr>
          <w:trHeight w:val="450"/>
        </w:trPr>
        <w:tc>
          <w:tcPr>
            <w:tcW w:w="0" w:type="auto"/>
            <w:gridSpan w:val="9"/>
            <w:vMerge/>
            <w:tcBorders>
              <w:top w:val="nil"/>
              <w:left w:val="nil"/>
              <w:bottom w:val="nil"/>
              <w:right w:val="nil"/>
            </w:tcBorders>
            <w:vAlign w:val="center"/>
            <w:hideMark/>
          </w:tcPr>
          <w:p w14:paraId="77381FD0" w14:textId="77777777" w:rsidR="00BA48F1" w:rsidRPr="0067156B" w:rsidRDefault="00BA48F1" w:rsidP="00BA48F1">
            <w:pPr>
              <w:spacing w:after="0" w:line="240" w:lineRule="auto"/>
              <w:rPr>
                <w:rFonts w:ascii="Arial" w:eastAsia="Times New Roman" w:hAnsi="Arial" w:cs="Arial"/>
                <w:color w:val="000000"/>
                <w:sz w:val="18"/>
                <w:szCs w:val="18"/>
              </w:rPr>
            </w:pPr>
          </w:p>
        </w:tc>
        <w:tc>
          <w:tcPr>
            <w:tcW w:w="0" w:type="auto"/>
            <w:tcBorders>
              <w:top w:val="nil"/>
              <w:left w:val="nil"/>
              <w:bottom w:val="nil"/>
              <w:right w:val="nil"/>
            </w:tcBorders>
            <w:shd w:val="clear" w:color="auto" w:fill="auto"/>
            <w:noWrap/>
            <w:vAlign w:val="bottom"/>
            <w:hideMark/>
          </w:tcPr>
          <w:p w14:paraId="3F2967B9" w14:textId="77777777" w:rsidR="00BA48F1" w:rsidRPr="00BA48F1" w:rsidRDefault="00BA48F1" w:rsidP="00BA48F1">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14:paraId="327CF31C" w14:textId="77777777" w:rsidR="00BA48F1" w:rsidRPr="00BA48F1" w:rsidRDefault="00BA48F1" w:rsidP="00BA48F1">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14:paraId="7E8736E9" w14:textId="77777777" w:rsidR="00BA48F1" w:rsidRPr="00BA48F1" w:rsidRDefault="00BA48F1" w:rsidP="00BA48F1">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14:paraId="24527C43" w14:textId="77777777" w:rsidR="00BA48F1" w:rsidRPr="00BA48F1" w:rsidRDefault="00BA48F1" w:rsidP="00BA48F1">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14:paraId="0B75D44F" w14:textId="77777777" w:rsidR="00BA48F1" w:rsidRPr="00BA48F1" w:rsidRDefault="00BA48F1" w:rsidP="00BA48F1">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14:paraId="425E967E" w14:textId="77777777" w:rsidR="00BA48F1" w:rsidRPr="00BA48F1" w:rsidRDefault="00BA48F1" w:rsidP="00BA48F1">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14:paraId="41C037AA" w14:textId="77777777" w:rsidR="00BA48F1" w:rsidRPr="00BA48F1" w:rsidRDefault="00BA48F1" w:rsidP="00BA48F1">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14:paraId="06245113" w14:textId="77777777" w:rsidR="00BA48F1" w:rsidRPr="00BA48F1" w:rsidRDefault="00BA48F1" w:rsidP="00BA48F1">
            <w:pPr>
              <w:spacing w:after="0" w:line="240" w:lineRule="auto"/>
              <w:rPr>
                <w:rFonts w:ascii="Times New Roman" w:eastAsia="Times New Roman" w:hAnsi="Times New Roman" w:cs="Times New Roman"/>
                <w:sz w:val="20"/>
                <w:szCs w:val="20"/>
              </w:rPr>
            </w:pPr>
          </w:p>
        </w:tc>
      </w:tr>
      <w:tr w:rsidR="00BA48F1" w:rsidRPr="00BA48F1" w14:paraId="649A95CD" w14:textId="77777777" w:rsidTr="0067156B">
        <w:trPr>
          <w:trHeight w:val="810"/>
        </w:trPr>
        <w:tc>
          <w:tcPr>
            <w:tcW w:w="0" w:type="auto"/>
            <w:gridSpan w:val="9"/>
            <w:tcBorders>
              <w:top w:val="nil"/>
              <w:left w:val="nil"/>
              <w:bottom w:val="nil"/>
              <w:right w:val="nil"/>
            </w:tcBorders>
            <w:shd w:val="clear" w:color="auto" w:fill="auto"/>
            <w:hideMark/>
          </w:tcPr>
          <w:p w14:paraId="4E97DE65" w14:textId="77777777" w:rsidR="00BA48F1" w:rsidRPr="0067156B" w:rsidRDefault="00BA48F1" w:rsidP="00BA48F1">
            <w:pPr>
              <w:spacing w:after="0" w:line="240" w:lineRule="auto"/>
              <w:rPr>
                <w:rFonts w:ascii="Arial" w:eastAsia="Times New Roman" w:hAnsi="Arial" w:cs="Arial"/>
                <w:color w:val="000000"/>
                <w:sz w:val="18"/>
                <w:szCs w:val="18"/>
              </w:rPr>
            </w:pPr>
            <w:r w:rsidRPr="0067156B">
              <w:rPr>
                <w:rFonts w:ascii="Arial" w:eastAsia="Times New Roman" w:hAnsi="Arial" w:cs="Arial"/>
                <w:color w:val="000000"/>
                <w:sz w:val="18"/>
                <w:szCs w:val="18"/>
                <w:vertAlign w:val="superscript"/>
              </w:rPr>
              <w:t>2</w:t>
            </w:r>
            <w:r w:rsidRPr="0067156B">
              <w:rPr>
                <w:rFonts w:ascii="Arial" w:eastAsia="Times New Roman" w:hAnsi="Arial" w:cs="Arial"/>
                <w:color w:val="000000"/>
                <w:sz w:val="18"/>
                <w:szCs w:val="18"/>
              </w:rPr>
              <w:t>Blood lead levels (BLLs) include both confirmed and unconfirmed blood lead tests. A confirmed test is either a single venous specimen of any value, or two capillary specimens ≥5 µg/dL drawn within 12 weeks of each other. A single capillary blood test of any value is considered unconfirmed.</w:t>
            </w:r>
          </w:p>
        </w:tc>
        <w:tc>
          <w:tcPr>
            <w:tcW w:w="0" w:type="auto"/>
            <w:tcBorders>
              <w:top w:val="nil"/>
              <w:left w:val="nil"/>
              <w:bottom w:val="nil"/>
              <w:right w:val="nil"/>
            </w:tcBorders>
            <w:shd w:val="clear" w:color="auto" w:fill="auto"/>
            <w:noWrap/>
            <w:vAlign w:val="bottom"/>
            <w:hideMark/>
          </w:tcPr>
          <w:p w14:paraId="333BA348" w14:textId="77777777" w:rsidR="00BA48F1" w:rsidRPr="00BA48F1" w:rsidRDefault="00BA48F1" w:rsidP="00BA48F1">
            <w:pPr>
              <w:spacing w:after="0" w:line="240" w:lineRule="auto"/>
              <w:rPr>
                <w:rFonts w:ascii="Arial" w:eastAsia="Times New Roman" w:hAnsi="Arial" w:cs="Arial"/>
                <w:color w:val="000000"/>
                <w:sz w:val="20"/>
                <w:szCs w:val="20"/>
              </w:rPr>
            </w:pPr>
          </w:p>
        </w:tc>
        <w:tc>
          <w:tcPr>
            <w:tcW w:w="0" w:type="auto"/>
            <w:tcBorders>
              <w:top w:val="nil"/>
              <w:left w:val="nil"/>
              <w:bottom w:val="nil"/>
              <w:right w:val="nil"/>
            </w:tcBorders>
            <w:shd w:val="clear" w:color="auto" w:fill="auto"/>
            <w:noWrap/>
            <w:vAlign w:val="bottom"/>
            <w:hideMark/>
          </w:tcPr>
          <w:p w14:paraId="11F3CBCA" w14:textId="77777777" w:rsidR="00BA48F1" w:rsidRPr="00BA48F1" w:rsidRDefault="00BA48F1" w:rsidP="00BA48F1">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14:paraId="50DDB490" w14:textId="77777777" w:rsidR="00BA48F1" w:rsidRPr="00BA48F1" w:rsidRDefault="00BA48F1" w:rsidP="00BA48F1">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14:paraId="6464CA48" w14:textId="77777777" w:rsidR="00BA48F1" w:rsidRPr="00BA48F1" w:rsidRDefault="00BA48F1" w:rsidP="00BA48F1">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14:paraId="09B1216C" w14:textId="77777777" w:rsidR="00BA48F1" w:rsidRPr="00BA48F1" w:rsidRDefault="00BA48F1" w:rsidP="00BA48F1">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14:paraId="6B5BE9F9" w14:textId="77777777" w:rsidR="00BA48F1" w:rsidRPr="00BA48F1" w:rsidRDefault="00BA48F1" w:rsidP="00BA48F1">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14:paraId="402BE912" w14:textId="77777777" w:rsidR="00BA48F1" w:rsidRPr="00BA48F1" w:rsidRDefault="00BA48F1" w:rsidP="00BA48F1">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14:paraId="6F993BDE" w14:textId="77777777" w:rsidR="00BA48F1" w:rsidRPr="00BA48F1" w:rsidRDefault="00BA48F1" w:rsidP="00BA48F1">
            <w:pPr>
              <w:spacing w:after="0" w:line="240" w:lineRule="auto"/>
              <w:rPr>
                <w:rFonts w:ascii="Times New Roman" w:eastAsia="Times New Roman" w:hAnsi="Times New Roman" w:cs="Times New Roman"/>
                <w:sz w:val="20"/>
                <w:szCs w:val="20"/>
              </w:rPr>
            </w:pPr>
          </w:p>
        </w:tc>
      </w:tr>
      <w:tr w:rsidR="00BA48F1" w:rsidRPr="00BA48F1" w14:paraId="7F29021B" w14:textId="77777777" w:rsidTr="0067156B">
        <w:trPr>
          <w:trHeight w:val="1170"/>
        </w:trPr>
        <w:tc>
          <w:tcPr>
            <w:tcW w:w="0" w:type="auto"/>
            <w:gridSpan w:val="9"/>
            <w:tcBorders>
              <w:top w:val="nil"/>
              <w:left w:val="nil"/>
              <w:bottom w:val="nil"/>
              <w:right w:val="nil"/>
            </w:tcBorders>
            <w:shd w:val="clear" w:color="auto" w:fill="auto"/>
            <w:hideMark/>
          </w:tcPr>
          <w:p w14:paraId="1971D7E1" w14:textId="77777777" w:rsidR="00BA48F1" w:rsidRPr="0067156B" w:rsidRDefault="00BA48F1" w:rsidP="00BA48F1">
            <w:pPr>
              <w:spacing w:after="0" w:line="240" w:lineRule="auto"/>
              <w:rPr>
                <w:rFonts w:ascii="Arial" w:eastAsia="Times New Roman" w:hAnsi="Arial" w:cs="Arial"/>
                <w:color w:val="000000"/>
                <w:sz w:val="18"/>
                <w:szCs w:val="18"/>
              </w:rPr>
            </w:pPr>
            <w:r w:rsidRPr="0067156B">
              <w:rPr>
                <w:rFonts w:ascii="Arial" w:eastAsia="Times New Roman" w:hAnsi="Arial" w:cs="Arial"/>
                <w:color w:val="000000"/>
                <w:sz w:val="18"/>
                <w:szCs w:val="18"/>
                <w:vertAlign w:val="superscript"/>
              </w:rPr>
              <w:t>3</w:t>
            </w:r>
            <w:r w:rsidRPr="0067156B">
              <w:rPr>
                <w:rFonts w:ascii="Arial" w:eastAsia="Times New Roman" w:hAnsi="Arial" w:cs="Arial"/>
                <w:color w:val="000000"/>
                <w:sz w:val="18"/>
                <w:szCs w:val="18"/>
              </w:rPr>
              <w:t>The CDC uses a reference value of 5 µg/dL to identify children whose BLLs are higher than 97.5% of all U.S. children's levels, based on the National Health and Nutrition Examination Survey (NHANES). There is no safe blood lead level. The number of children with estimated confirmed ≥5 µg/dL BLLs is calculated as the sum of those with confirmed BLLs ≥5 µg/dL and a proportion of unconfirmed capillary tests estimated to be truly ≥5 µg/dL based on known capillary test reliability. The CDC reference value of 5 µg/dL was in effect from 2012-2021.</w:t>
            </w:r>
          </w:p>
        </w:tc>
        <w:tc>
          <w:tcPr>
            <w:tcW w:w="0" w:type="auto"/>
            <w:tcBorders>
              <w:top w:val="nil"/>
              <w:left w:val="nil"/>
              <w:bottom w:val="nil"/>
              <w:right w:val="nil"/>
            </w:tcBorders>
            <w:shd w:val="clear" w:color="auto" w:fill="auto"/>
            <w:noWrap/>
            <w:vAlign w:val="bottom"/>
            <w:hideMark/>
          </w:tcPr>
          <w:p w14:paraId="3F7396A0" w14:textId="77777777" w:rsidR="00BA48F1" w:rsidRPr="00BA48F1" w:rsidRDefault="00BA48F1" w:rsidP="00BA48F1">
            <w:pPr>
              <w:spacing w:after="0" w:line="240" w:lineRule="auto"/>
              <w:rPr>
                <w:rFonts w:ascii="Arial" w:eastAsia="Times New Roman" w:hAnsi="Arial" w:cs="Arial"/>
                <w:color w:val="000000"/>
                <w:sz w:val="20"/>
                <w:szCs w:val="20"/>
              </w:rPr>
            </w:pPr>
          </w:p>
        </w:tc>
        <w:tc>
          <w:tcPr>
            <w:tcW w:w="0" w:type="auto"/>
            <w:tcBorders>
              <w:top w:val="nil"/>
              <w:left w:val="nil"/>
              <w:bottom w:val="nil"/>
              <w:right w:val="nil"/>
            </w:tcBorders>
            <w:shd w:val="clear" w:color="auto" w:fill="auto"/>
            <w:noWrap/>
            <w:vAlign w:val="bottom"/>
            <w:hideMark/>
          </w:tcPr>
          <w:p w14:paraId="50664154" w14:textId="77777777" w:rsidR="00BA48F1" w:rsidRPr="00BA48F1" w:rsidRDefault="00BA48F1" w:rsidP="00BA48F1">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14:paraId="7DE51F1C" w14:textId="77777777" w:rsidR="00BA48F1" w:rsidRPr="00BA48F1" w:rsidRDefault="00BA48F1" w:rsidP="00BA48F1">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14:paraId="59E76F14" w14:textId="77777777" w:rsidR="00BA48F1" w:rsidRPr="00BA48F1" w:rsidRDefault="00BA48F1" w:rsidP="00BA48F1">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14:paraId="1E9D407D" w14:textId="77777777" w:rsidR="00BA48F1" w:rsidRPr="00BA48F1" w:rsidRDefault="00BA48F1" w:rsidP="00BA48F1">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14:paraId="11BFB64F" w14:textId="77777777" w:rsidR="00BA48F1" w:rsidRPr="00BA48F1" w:rsidRDefault="00BA48F1" w:rsidP="00BA48F1">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14:paraId="02C19F56" w14:textId="77777777" w:rsidR="00BA48F1" w:rsidRPr="00BA48F1" w:rsidRDefault="00BA48F1" w:rsidP="00BA48F1">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14:paraId="590A6747" w14:textId="77777777" w:rsidR="00BA48F1" w:rsidRPr="00BA48F1" w:rsidRDefault="00BA48F1" w:rsidP="00BA48F1">
            <w:pPr>
              <w:spacing w:after="0" w:line="240" w:lineRule="auto"/>
              <w:rPr>
                <w:rFonts w:ascii="Times New Roman" w:eastAsia="Times New Roman" w:hAnsi="Times New Roman" w:cs="Times New Roman"/>
                <w:sz w:val="20"/>
                <w:szCs w:val="20"/>
              </w:rPr>
            </w:pPr>
          </w:p>
        </w:tc>
      </w:tr>
      <w:tr w:rsidR="00BA48F1" w:rsidRPr="00BA48F1" w14:paraId="73DE1D52" w14:textId="77777777" w:rsidTr="0067156B">
        <w:trPr>
          <w:trHeight w:val="360"/>
        </w:trPr>
        <w:tc>
          <w:tcPr>
            <w:tcW w:w="0" w:type="auto"/>
            <w:gridSpan w:val="9"/>
            <w:tcBorders>
              <w:top w:val="nil"/>
              <w:left w:val="nil"/>
              <w:bottom w:val="nil"/>
              <w:right w:val="nil"/>
            </w:tcBorders>
            <w:shd w:val="clear" w:color="auto" w:fill="auto"/>
            <w:hideMark/>
          </w:tcPr>
          <w:p w14:paraId="0F27AE27" w14:textId="77777777" w:rsidR="0067156B" w:rsidRDefault="00BA48F1" w:rsidP="00BA48F1">
            <w:pPr>
              <w:spacing w:after="0" w:line="240" w:lineRule="auto"/>
              <w:rPr>
                <w:rFonts w:ascii="Arial" w:eastAsia="Times New Roman" w:hAnsi="Arial" w:cs="Arial"/>
                <w:color w:val="000000"/>
                <w:sz w:val="18"/>
                <w:szCs w:val="18"/>
              </w:rPr>
            </w:pPr>
            <w:r w:rsidRPr="0067156B">
              <w:rPr>
                <w:rFonts w:ascii="Arial" w:eastAsia="Times New Roman" w:hAnsi="Arial" w:cs="Arial"/>
                <w:color w:val="000000"/>
                <w:sz w:val="18"/>
                <w:szCs w:val="18"/>
                <w:vertAlign w:val="superscript"/>
              </w:rPr>
              <w:t>4</w:t>
            </w:r>
            <w:r w:rsidRPr="0067156B">
              <w:rPr>
                <w:rFonts w:ascii="Arial" w:eastAsia="Times New Roman" w:hAnsi="Arial" w:cs="Arial"/>
                <w:color w:val="000000"/>
                <w:sz w:val="18"/>
                <w:szCs w:val="18"/>
              </w:rPr>
              <w:t>MA CLPPP defines lead poisoning as a confirmed BLL ≥10 µg/dL.</w:t>
            </w:r>
            <w:r w:rsidR="0067156B">
              <w:rPr>
                <w:rFonts w:ascii="Arial" w:eastAsia="Times New Roman" w:hAnsi="Arial" w:cs="Arial"/>
                <w:color w:val="000000"/>
                <w:sz w:val="18"/>
                <w:szCs w:val="18"/>
              </w:rPr>
              <w:t xml:space="preserve"> </w:t>
            </w:r>
          </w:p>
          <w:p w14:paraId="36103DE1" w14:textId="77777777" w:rsidR="0067156B" w:rsidRDefault="0067156B" w:rsidP="00BA48F1">
            <w:pPr>
              <w:spacing w:after="0" w:line="240" w:lineRule="auto"/>
              <w:rPr>
                <w:rFonts w:ascii="Arial" w:eastAsia="Times New Roman" w:hAnsi="Arial" w:cs="Arial"/>
                <w:color w:val="000000"/>
                <w:sz w:val="18"/>
                <w:szCs w:val="18"/>
              </w:rPr>
            </w:pPr>
          </w:p>
          <w:p w14:paraId="6342CB8E" w14:textId="0050C7DE" w:rsidR="00BA48F1" w:rsidRPr="0067156B" w:rsidRDefault="0067156B" w:rsidP="00BA48F1">
            <w:pPr>
              <w:spacing w:after="0" w:line="240" w:lineRule="auto"/>
              <w:rPr>
                <w:rFonts w:ascii="Arial" w:eastAsia="Times New Roman" w:hAnsi="Arial" w:cs="Arial"/>
                <w:color w:val="000000"/>
                <w:sz w:val="18"/>
                <w:szCs w:val="18"/>
              </w:rPr>
            </w:pPr>
            <w:r w:rsidRPr="0067156B">
              <w:rPr>
                <w:rFonts w:ascii="Arial" w:eastAsia="Times New Roman" w:hAnsi="Arial" w:cs="Arial"/>
                <w:color w:val="000000"/>
                <w:sz w:val="18"/>
                <w:szCs w:val="18"/>
                <w:vertAlign w:val="superscript"/>
              </w:rPr>
              <w:t>5</w:t>
            </w:r>
            <w:r w:rsidRPr="0067156B">
              <w:rPr>
                <w:rFonts w:ascii="Arial" w:eastAsia="Times New Roman" w:hAnsi="Arial" w:cs="Arial"/>
                <w:color w:val="000000"/>
                <w:sz w:val="18"/>
                <w:szCs w:val="18"/>
              </w:rPr>
              <w:t>Percentage of housing units built prior to 1978 as defined by the American Community Survey. In 1977 the Consumer Product Safety Commission banned lead-containing paint (16 C.F.R. 1303). Housing units built prior to this date may contain dangerous levels of lead in paint.</w:t>
            </w:r>
          </w:p>
        </w:tc>
        <w:tc>
          <w:tcPr>
            <w:tcW w:w="0" w:type="auto"/>
            <w:tcBorders>
              <w:top w:val="nil"/>
              <w:left w:val="nil"/>
              <w:bottom w:val="nil"/>
              <w:right w:val="nil"/>
            </w:tcBorders>
            <w:shd w:val="clear" w:color="auto" w:fill="auto"/>
            <w:noWrap/>
            <w:vAlign w:val="bottom"/>
            <w:hideMark/>
          </w:tcPr>
          <w:p w14:paraId="1487E945" w14:textId="77777777" w:rsidR="00BA48F1" w:rsidRPr="00BA48F1" w:rsidRDefault="00BA48F1" w:rsidP="00BA48F1">
            <w:pPr>
              <w:spacing w:after="0" w:line="240" w:lineRule="auto"/>
              <w:rPr>
                <w:rFonts w:ascii="Arial" w:eastAsia="Times New Roman" w:hAnsi="Arial" w:cs="Arial"/>
                <w:color w:val="000000"/>
                <w:sz w:val="20"/>
                <w:szCs w:val="20"/>
              </w:rPr>
            </w:pPr>
          </w:p>
        </w:tc>
        <w:tc>
          <w:tcPr>
            <w:tcW w:w="0" w:type="auto"/>
            <w:tcBorders>
              <w:top w:val="nil"/>
              <w:left w:val="nil"/>
              <w:bottom w:val="nil"/>
              <w:right w:val="nil"/>
            </w:tcBorders>
            <w:shd w:val="clear" w:color="auto" w:fill="auto"/>
            <w:noWrap/>
            <w:vAlign w:val="bottom"/>
            <w:hideMark/>
          </w:tcPr>
          <w:p w14:paraId="3D0CB802" w14:textId="77777777" w:rsidR="00BA48F1" w:rsidRPr="00BA48F1" w:rsidRDefault="00BA48F1" w:rsidP="00BA48F1">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14:paraId="2BFC0A8E" w14:textId="77777777" w:rsidR="00BA48F1" w:rsidRPr="00BA48F1" w:rsidRDefault="00BA48F1" w:rsidP="00BA48F1">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14:paraId="7F2DBDA7" w14:textId="77777777" w:rsidR="00BA48F1" w:rsidRPr="00BA48F1" w:rsidRDefault="00BA48F1" w:rsidP="00BA48F1">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14:paraId="18D1A83B" w14:textId="77777777" w:rsidR="00BA48F1" w:rsidRPr="00BA48F1" w:rsidRDefault="00BA48F1" w:rsidP="00BA48F1">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14:paraId="3E2F9CF3" w14:textId="77777777" w:rsidR="00BA48F1" w:rsidRPr="00BA48F1" w:rsidRDefault="00BA48F1" w:rsidP="00BA48F1">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14:paraId="43A4F4FD" w14:textId="77777777" w:rsidR="00BA48F1" w:rsidRPr="00BA48F1" w:rsidRDefault="00BA48F1" w:rsidP="00BA48F1">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14:paraId="2A57582A" w14:textId="77777777" w:rsidR="00BA48F1" w:rsidRPr="00BA48F1" w:rsidRDefault="00BA48F1" w:rsidP="00BA48F1">
            <w:pPr>
              <w:spacing w:after="0" w:line="240" w:lineRule="auto"/>
              <w:rPr>
                <w:rFonts w:ascii="Times New Roman" w:eastAsia="Times New Roman" w:hAnsi="Times New Roman" w:cs="Times New Roman"/>
                <w:sz w:val="20"/>
                <w:szCs w:val="20"/>
              </w:rPr>
            </w:pPr>
          </w:p>
        </w:tc>
      </w:tr>
    </w:tbl>
    <w:p w14:paraId="31857D2B" w14:textId="77777777" w:rsidR="00BA48F1" w:rsidRDefault="00BA48F1" w:rsidP="008468D8">
      <w:pPr>
        <w:rPr>
          <w:rFonts w:ascii="Arial" w:hAnsi="Arial" w:cs="Arial"/>
          <w:b/>
          <w:bCs/>
        </w:rPr>
        <w:sectPr w:rsidR="00BA48F1" w:rsidSect="003A0791">
          <w:pgSz w:w="15840" w:h="12240" w:orient="landscape"/>
          <w:pgMar w:top="720" w:right="720" w:bottom="720" w:left="720" w:header="720" w:footer="720" w:gutter="0"/>
          <w:cols w:space="720"/>
          <w:docGrid w:linePitch="360"/>
        </w:sectPr>
      </w:pPr>
    </w:p>
    <w:p w14:paraId="1C687551" w14:textId="0F092715" w:rsidR="008468D8" w:rsidRDefault="008468D8" w:rsidP="008468D8">
      <w:pPr>
        <w:rPr>
          <w:rFonts w:ascii="Arial" w:hAnsi="Arial" w:cs="Arial"/>
          <w:b/>
          <w:bCs/>
        </w:rPr>
      </w:pPr>
      <w:r w:rsidRPr="005774E0">
        <w:rPr>
          <w:rFonts w:ascii="Arial" w:hAnsi="Arial" w:cs="Arial"/>
          <w:b/>
          <w:bCs/>
        </w:rPr>
        <w:lastRenderedPageBreak/>
        <w:t xml:space="preserve">APPENDIX </w:t>
      </w:r>
      <w:r>
        <w:rPr>
          <w:rFonts w:ascii="Arial" w:hAnsi="Arial" w:cs="Arial"/>
          <w:b/>
          <w:bCs/>
        </w:rPr>
        <w:t>I</w:t>
      </w:r>
      <w:r w:rsidRPr="005774E0">
        <w:rPr>
          <w:rFonts w:ascii="Arial" w:hAnsi="Arial" w:cs="Arial"/>
          <w:b/>
          <w:bCs/>
        </w:rPr>
        <w:t xml:space="preserve">II: </w:t>
      </w:r>
      <w:r>
        <w:rPr>
          <w:rFonts w:ascii="Arial" w:hAnsi="Arial" w:cs="Arial"/>
          <w:b/>
          <w:bCs/>
        </w:rPr>
        <w:t>Monthly Lead Poisoning Cases Data Table</w:t>
      </w:r>
    </w:p>
    <w:tbl>
      <w:tblPr>
        <w:tblW w:w="4340" w:type="dxa"/>
        <w:tblLook w:val="04A0" w:firstRow="1" w:lastRow="0" w:firstColumn="1" w:lastColumn="0" w:noHBand="0" w:noVBand="1"/>
      </w:tblPr>
      <w:tblGrid>
        <w:gridCol w:w="1960"/>
        <w:gridCol w:w="2380"/>
      </w:tblGrid>
      <w:tr w:rsidR="008468D8" w:rsidRPr="008468D8" w14:paraId="38566F67" w14:textId="77777777" w:rsidTr="008468D8">
        <w:trPr>
          <w:trHeight w:val="1200"/>
        </w:trPr>
        <w:tc>
          <w:tcPr>
            <w:tcW w:w="1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A7A879" w14:textId="2DE87A56" w:rsidR="008468D8" w:rsidRPr="008468D8" w:rsidRDefault="008468D8" w:rsidP="008468D8">
            <w:pPr>
              <w:spacing w:after="0" w:line="240" w:lineRule="auto"/>
              <w:rPr>
                <w:rFonts w:ascii="Calibri" w:eastAsia="Times New Roman" w:hAnsi="Calibri" w:cs="Calibri"/>
                <w:color w:val="000000"/>
              </w:rPr>
            </w:pPr>
            <w:r w:rsidRPr="008468D8">
              <w:rPr>
                <w:rFonts w:ascii="Calibri" w:eastAsia="Times New Roman" w:hAnsi="Calibri" w:cs="Calibri"/>
                <w:color w:val="000000"/>
              </w:rPr>
              <w:t>Date Range</w:t>
            </w:r>
          </w:p>
        </w:tc>
        <w:tc>
          <w:tcPr>
            <w:tcW w:w="2380" w:type="dxa"/>
            <w:tcBorders>
              <w:top w:val="single" w:sz="4" w:space="0" w:color="auto"/>
              <w:left w:val="nil"/>
              <w:bottom w:val="single" w:sz="4" w:space="0" w:color="auto"/>
              <w:right w:val="single" w:sz="4" w:space="0" w:color="auto"/>
            </w:tcBorders>
            <w:shd w:val="clear" w:color="auto" w:fill="auto"/>
            <w:vAlign w:val="bottom"/>
            <w:hideMark/>
          </w:tcPr>
          <w:p w14:paraId="78F70A63" w14:textId="157026E0" w:rsidR="008468D8" w:rsidRPr="008468D8" w:rsidRDefault="008468D8" w:rsidP="008468D8">
            <w:pPr>
              <w:spacing w:after="0" w:line="240" w:lineRule="auto"/>
              <w:rPr>
                <w:rFonts w:ascii="Calibri" w:eastAsia="Times New Roman" w:hAnsi="Calibri" w:cs="Calibri"/>
                <w:color w:val="000000"/>
              </w:rPr>
            </w:pPr>
            <w:r w:rsidRPr="008468D8">
              <w:rPr>
                <w:rFonts w:ascii="Calibri" w:eastAsia="Times New Roman" w:hAnsi="Calibri" w:cs="Calibri"/>
                <w:color w:val="000000"/>
              </w:rPr>
              <w:t>Number of Children with Venous Confirmed BLLs ≥10 µg/dL</w:t>
            </w:r>
            <w:r w:rsidRPr="008468D8">
              <w:rPr>
                <w:rFonts w:ascii="Calibri" w:eastAsia="Times New Roman" w:hAnsi="Calibri" w:cs="Calibri"/>
                <w:color w:val="000000"/>
              </w:rPr>
              <w:br/>
              <w:t>(9-47 months)</w:t>
            </w:r>
          </w:p>
        </w:tc>
      </w:tr>
      <w:tr w:rsidR="008468D8" w:rsidRPr="008468D8" w14:paraId="67DC587F" w14:textId="77777777" w:rsidTr="008468D8">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6FC8A92" w14:textId="77777777" w:rsidR="008468D8" w:rsidRPr="008468D8" w:rsidRDefault="008468D8" w:rsidP="008468D8">
            <w:pPr>
              <w:spacing w:after="0" w:line="240" w:lineRule="auto"/>
              <w:rPr>
                <w:rFonts w:ascii="Calibri" w:eastAsia="Times New Roman" w:hAnsi="Calibri" w:cs="Calibri"/>
                <w:color w:val="000000"/>
              </w:rPr>
            </w:pPr>
            <w:r w:rsidRPr="008468D8">
              <w:rPr>
                <w:rFonts w:ascii="Calibri" w:eastAsia="Times New Roman" w:hAnsi="Calibri" w:cs="Calibri"/>
                <w:color w:val="000000"/>
              </w:rPr>
              <w:t>1/1/19 - 1/31/19</w:t>
            </w:r>
          </w:p>
        </w:tc>
        <w:tc>
          <w:tcPr>
            <w:tcW w:w="2380" w:type="dxa"/>
            <w:tcBorders>
              <w:top w:val="nil"/>
              <w:left w:val="nil"/>
              <w:bottom w:val="single" w:sz="4" w:space="0" w:color="auto"/>
              <w:right w:val="single" w:sz="4" w:space="0" w:color="auto"/>
            </w:tcBorders>
            <w:shd w:val="clear" w:color="auto" w:fill="auto"/>
            <w:noWrap/>
            <w:vAlign w:val="bottom"/>
            <w:hideMark/>
          </w:tcPr>
          <w:p w14:paraId="015D002C" w14:textId="51CFB773" w:rsidR="008468D8" w:rsidRPr="008468D8" w:rsidRDefault="008468D8" w:rsidP="008468D8">
            <w:pPr>
              <w:spacing w:after="0" w:line="240" w:lineRule="auto"/>
              <w:jc w:val="right"/>
              <w:rPr>
                <w:rFonts w:ascii="Calibri" w:eastAsia="Times New Roman" w:hAnsi="Calibri" w:cs="Calibri"/>
                <w:color w:val="000000"/>
              </w:rPr>
            </w:pPr>
            <w:r w:rsidRPr="008468D8">
              <w:rPr>
                <w:rFonts w:ascii="Calibri" w:eastAsia="Times New Roman" w:hAnsi="Calibri" w:cs="Calibri"/>
                <w:color w:val="000000"/>
              </w:rPr>
              <w:t>56</w:t>
            </w:r>
          </w:p>
        </w:tc>
      </w:tr>
      <w:tr w:rsidR="008468D8" w:rsidRPr="008468D8" w14:paraId="72473466" w14:textId="77777777" w:rsidTr="008468D8">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B3BE90B" w14:textId="77777777" w:rsidR="008468D8" w:rsidRPr="008468D8" w:rsidRDefault="008468D8" w:rsidP="008468D8">
            <w:pPr>
              <w:spacing w:after="0" w:line="240" w:lineRule="auto"/>
              <w:rPr>
                <w:rFonts w:ascii="Calibri" w:eastAsia="Times New Roman" w:hAnsi="Calibri" w:cs="Calibri"/>
                <w:color w:val="000000"/>
              </w:rPr>
            </w:pPr>
            <w:r w:rsidRPr="008468D8">
              <w:rPr>
                <w:rFonts w:ascii="Calibri" w:eastAsia="Times New Roman" w:hAnsi="Calibri" w:cs="Calibri"/>
                <w:color w:val="000000"/>
              </w:rPr>
              <w:t>2/1/19 - 2/28/19</w:t>
            </w:r>
          </w:p>
        </w:tc>
        <w:tc>
          <w:tcPr>
            <w:tcW w:w="2380" w:type="dxa"/>
            <w:tcBorders>
              <w:top w:val="nil"/>
              <w:left w:val="nil"/>
              <w:bottom w:val="single" w:sz="4" w:space="0" w:color="auto"/>
              <w:right w:val="single" w:sz="4" w:space="0" w:color="auto"/>
            </w:tcBorders>
            <w:shd w:val="clear" w:color="auto" w:fill="auto"/>
            <w:noWrap/>
            <w:vAlign w:val="bottom"/>
            <w:hideMark/>
          </w:tcPr>
          <w:p w14:paraId="1467EEF7" w14:textId="77777777" w:rsidR="008468D8" w:rsidRPr="008468D8" w:rsidRDefault="008468D8" w:rsidP="008468D8">
            <w:pPr>
              <w:spacing w:after="0" w:line="240" w:lineRule="auto"/>
              <w:jc w:val="right"/>
              <w:rPr>
                <w:rFonts w:ascii="Calibri" w:eastAsia="Times New Roman" w:hAnsi="Calibri" w:cs="Calibri"/>
                <w:color w:val="000000"/>
              </w:rPr>
            </w:pPr>
            <w:r w:rsidRPr="008468D8">
              <w:rPr>
                <w:rFonts w:ascii="Calibri" w:eastAsia="Times New Roman" w:hAnsi="Calibri" w:cs="Calibri"/>
                <w:color w:val="000000"/>
              </w:rPr>
              <w:t>60</w:t>
            </w:r>
          </w:p>
        </w:tc>
      </w:tr>
      <w:tr w:rsidR="008468D8" w:rsidRPr="008468D8" w14:paraId="283558D8" w14:textId="77777777" w:rsidTr="008468D8">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0B20F83" w14:textId="77777777" w:rsidR="008468D8" w:rsidRPr="008468D8" w:rsidRDefault="008468D8" w:rsidP="008468D8">
            <w:pPr>
              <w:spacing w:after="0" w:line="240" w:lineRule="auto"/>
              <w:rPr>
                <w:rFonts w:ascii="Calibri" w:eastAsia="Times New Roman" w:hAnsi="Calibri" w:cs="Calibri"/>
                <w:color w:val="000000"/>
              </w:rPr>
            </w:pPr>
            <w:r w:rsidRPr="008468D8">
              <w:rPr>
                <w:rFonts w:ascii="Calibri" w:eastAsia="Times New Roman" w:hAnsi="Calibri" w:cs="Calibri"/>
                <w:color w:val="000000"/>
              </w:rPr>
              <w:t>3/1/19 - 3/31/19</w:t>
            </w:r>
          </w:p>
        </w:tc>
        <w:tc>
          <w:tcPr>
            <w:tcW w:w="2380" w:type="dxa"/>
            <w:tcBorders>
              <w:top w:val="nil"/>
              <w:left w:val="nil"/>
              <w:bottom w:val="single" w:sz="4" w:space="0" w:color="auto"/>
              <w:right w:val="single" w:sz="4" w:space="0" w:color="auto"/>
            </w:tcBorders>
            <w:shd w:val="clear" w:color="auto" w:fill="auto"/>
            <w:noWrap/>
            <w:vAlign w:val="bottom"/>
            <w:hideMark/>
          </w:tcPr>
          <w:p w14:paraId="3A09E224" w14:textId="77777777" w:rsidR="008468D8" w:rsidRPr="008468D8" w:rsidRDefault="008468D8" w:rsidP="008468D8">
            <w:pPr>
              <w:spacing w:after="0" w:line="240" w:lineRule="auto"/>
              <w:jc w:val="right"/>
              <w:rPr>
                <w:rFonts w:ascii="Calibri" w:eastAsia="Times New Roman" w:hAnsi="Calibri" w:cs="Calibri"/>
                <w:color w:val="000000"/>
              </w:rPr>
            </w:pPr>
            <w:r w:rsidRPr="008468D8">
              <w:rPr>
                <w:rFonts w:ascii="Calibri" w:eastAsia="Times New Roman" w:hAnsi="Calibri" w:cs="Calibri"/>
                <w:color w:val="000000"/>
              </w:rPr>
              <w:t>60</w:t>
            </w:r>
          </w:p>
        </w:tc>
      </w:tr>
      <w:tr w:rsidR="008468D8" w:rsidRPr="008468D8" w14:paraId="17143FFD" w14:textId="77777777" w:rsidTr="008468D8">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19E212D" w14:textId="77777777" w:rsidR="008468D8" w:rsidRPr="008468D8" w:rsidRDefault="008468D8" w:rsidP="008468D8">
            <w:pPr>
              <w:spacing w:after="0" w:line="240" w:lineRule="auto"/>
              <w:rPr>
                <w:rFonts w:ascii="Calibri" w:eastAsia="Times New Roman" w:hAnsi="Calibri" w:cs="Calibri"/>
                <w:color w:val="000000"/>
              </w:rPr>
            </w:pPr>
            <w:r w:rsidRPr="008468D8">
              <w:rPr>
                <w:rFonts w:ascii="Calibri" w:eastAsia="Times New Roman" w:hAnsi="Calibri" w:cs="Calibri"/>
                <w:color w:val="000000"/>
              </w:rPr>
              <w:t>4/1/19 - 4/30/19</w:t>
            </w:r>
          </w:p>
        </w:tc>
        <w:tc>
          <w:tcPr>
            <w:tcW w:w="2380" w:type="dxa"/>
            <w:tcBorders>
              <w:top w:val="nil"/>
              <w:left w:val="nil"/>
              <w:bottom w:val="single" w:sz="4" w:space="0" w:color="auto"/>
              <w:right w:val="single" w:sz="4" w:space="0" w:color="auto"/>
            </w:tcBorders>
            <w:shd w:val="clear" w:color="auto" w:fill="auto"/>
            <w:noWrap/>
            <w:vAlign w:val="bottom"/>
            <w:hideMark/>
          </w:tcPr>
          <w:p w14:paraId="4A6B727F" w14:textId="77777777" w:rsidR="008468D8" w:rsidRPr="008468D8" w:rsidRDefault="008468D8" w:rsidP="008468D8">
            <w:pPr>
              <w:spacing w:after="0" w:line="240" w:lineRule="auto"/>
              <w:jc w:val="right"/>
              <w:rPr>
                <w:rFonts w:ascii="Calibri" w:eastAsia="Times New Roman" w:hAnsi="Calibri" w:cs="Calibri"/>
                <w:color w:val="000000"/>
              </w:rPr>
            </w:pPr>
            <w:r w:rsidRPr="008468D8">
              <w:rPr>
                <w:rFonts w:ascii="Calibri" w:eastAsia="Times New Roman" w:hAnsi="Calibri" w:cs="Calibri"/>
                <w:color w:val="000000"/>
              </w:rPr>
              <w:t>69</w:t>
            </w:r>
          </w:p>
        </w:tc>
      </w:tr>
      <w:tr w:rsidR="008468D8" w:rsidRPr="008468D8" w14:paraId="6C49E71D" w14:textId="77777777" w:rsidTr="008468D8">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EE79C2E" w14:textId="77777777" w:rsidR="008468D8" w:rsidRPr="008468D8" w:rsidRDefault="008468D8" w:rsidP="008468D8">
            <w:pPr>
              <w:spacing w:after="0" w:line="240" w:lineRule="auto"/>
              <w:rPr>
                <w:rFonts w:ascii="Calibri" w:eastAsia="Times New Roman" w:hAnsi="Calibri" w:cs="Calibri"/>
                <w:color w:val="000000"/>
              </w:rPr>
            </w:pPr>
            <w:r w:rsidRPr="008468D8">
              <w:rPr>
                <w:rFonts w:ascii="Calibri" w:eastAsia="Times New Roman" w:hAnsi="Calibri" w:cs="Calibri"/>
                <w:color w:val="000000"/>
              </w:rPr>
              <w:t>5/1/19 - 5/31/19</w:t>
            </w:r>
          </w:p>
        </w:tc>
        <w:tc>
          <w:tcPr>
            <w:tcW w:w="2380" w:type="dxa"/>
            <w:tcBorders>
              <w:top w:val="nil"/>
              <w:left w:val="nil"/>
              <w:bottom w:val="single" w:sz="4" w:space="0" w:color="auto"/>
              <w:right w:val="single" w:sz="4" w:space="0" w:color="auto"/>
            </w:tcBorders>
            <w:shd w:val="clear" w:color="auto" w:fill="auto"/>
            <w:noWrap/>
            <w:vAlign w:val="bottom"/>
            <w:hideMark/>
          </w:tcPr>
          <w:p w14:paraId="165F97A9" w14:textId="77777777" w:rsidR="008468D8" w:rsidRPr="008468D8" w:rsidRDefault="008468D8" w:rsidP="008468D8">
            <w:pPr>
              <w:spacing w:after="0" w:line="240" w:lineRule="auto"/>
              <w:jc w:val="right"/>
              <w:rPr>
                <w:rFonts w:ascii="Calibri" w:eastAsia="Times New Roman" w:hAnsi="Calibri" w:cs="Calibri"/>
                <w:color w:val="000000"/>
              </w:rPr>
            </w:pPr>
            <w:r w:rsidRPr="008468D8">
              <w:rPr>
                <w:rFonts w:ascii="Calibri" w:eastAsia="Times New Roman" w:hAnsi="Calibri" w:cs="Calibri"/>
                <w:color w:val="000000"/>
              </w:rPr>
              <w:t>57</w:t>
            </w:r>
          </w:p>
        </w:tc>
      </w:tr>
      <w:tr w:rsidR="008468D8" w:rsidRPr="008468D8" w14:paraId="31BFCB27" w14:textId="77777777" w:rsidTr="008468D8">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A3430A1" w14:textId="77777777" w:rsidR="008468D8" w:rsidRPr="008468D8" w:rsidRDefault="008468D8" w:rsidP="008468D8">
            <w:pPr>
              <w:spacing w:after="0" w:line="240" w:lineRule="auto"/>
              <w:rPr>
                <w:rFonts w:ascii="Calibri" w:eastAsia="Times New Roman" w:hAnsi="Calibri" w:cs="Calibri"/>
                <w:color w:val="000000"/>
              </w:rPr>
            </w:pPr>
            <w:r w:rsidRPr="008468D8">
              <w:rPr>
                <w:rFonts w:ascii="Calibri" w:eastAsia="Times New Roman" w:hAnsi="Calibri" w:cs="Calibri"/>
                <w:color w:val="000000"/>
              </w:rPr>
              <w:t>6/1/19 - 6/30/19</w:t>
            </w:r>
          </w:p>
        </w:tc>
        <w:tc>
          <w:tcPr>
            <w:tcW w:w="2380" w:type="dxa"/>
            <w:tcBorders>
              <w:top w:val="nil"/>
              <w:left w:val="nil"/>
              <w:bottom w:val="single" w:sz="4" w:space="0" w:color="auto"/>
              <w:right w:val="single" w:sz="4" w:space="0" w:color="auto"/>
            </w:tcBorders>
            <w:shd w:val="clear" w:color="auto" w:fill="auto"/>
            <w:noWrap/>
            <w:vAlign w:val="bottom"/>
            <w:hideMark/>
          </w:tcPr>
          <w:p w14:paraId="6F3A7C4F" w14:textId="77777777" w:rsidR="008468D8" w:rsidRPr="008468D8" w:rsidRDefault="008468D8" w:rsidP="008468D8">
            <w:pPr>
              <w:spacing w:after="0" w:line="240" w:lineRule="auto"/>
              <w:jc w:val="right"/>
              <w:rPr>
                <w:rFonts w:ascii="Calibri" w:eastAsia="Times New Roman" w:hAnsi="Calibri" w:cs="Calibri"/>
                <w:color w:val="000000"/>
              </w:rPr>
            </w:pPr>
            <w:r w:rsidRPr="008468D8">
              <w:rPr>
                <w:rFonts w:ascii="Calibri" w:eastAsia="Times New Roman" w:hAnsi="Calibri" w:cs="Calibri"/>
                <w:color w:val="000000"/>
              </w:rPr>
              <w:t>65</w:t>
            </w:r>
          </w:p>
        </w:tc>
      </w:tr>
      <w:tr w:rsidR="008468D8" w:rsidRPr="008468D8" w14:paraId="57A3A59D" w14:textId="77777777" w:rsidTr="008468D8">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5E152BD" w14:textId="77777777" w:rsidR="008468D8" w:rsidRPr="008468D8" w:rsidRDefault="008468D8" w:rsidP="008468D8">
            <w:pPr>
              <w:spacing w:after="0" w:line="240" w:lineRule="auto"/>
              <w:rPr>
                <w:rFonts w:ascii="Calibri" w:eastAsia="Times New Roman" w:hAnsi="Calibri" w:cs="Calibri"/>
                <w:color w:val="000000"/>
              </w:rPr>
            </w:pPr>
            <w:r w:rsidRPr="008468D8">
              <w:rPr>
                <w:rFonts w:ascii="Calibri" w:eastAsia="Times New Roman" w:hAnsi="Calibri" w:cs="Calibri"/>
                <w:color w:val="000000"/>
              </w:rPr>
              <w:t>7/1/19 - 7/31/19</w:t>
            </w:r>
          </w:p>
        </w:tc>
        <w:tc>
          <w:tcPr>
            <w:tcW w:w="2380" w:type="dxa"/>
            <w:tcBorders>
              <w:top w:val="nil"/>
              <w:left w:val="nil"/>
              <w:bottom w:val="single" w:sz="4" w:space="0" w:color="auto"/>
              <w:right w:val="single" w:sz="4" w:space="0" w:color="auto"/>
            </w:tcBorders>
            <w:shd w:val="clear" w:color="auto" w:fill="auto"/>
            <w:noWrap/>
            <w:vAlign w:val="bottom"/>
            <w:hideMark/>
          </w:tcPr>
          <w:p w14:paraId="502FDFA5" w14:textId="77777777" w:rsidR="008468D8" w:rsidRPr="008468D8" w:rsidRDefault="008468D8" w:rsidP="008468D8">
            <w:pPr>
              <w:spacing w:after="0" w:line="240" w:lineRule="auto"/>
              <w:jc w:val="right"/>
              <w:rPr>
                <w:rFonts w:ascii="Calibri" w:eastAsia="Times New Roman" w:hAnsi="Calibri" w:cs="Calibri"/>
                <w:color w:val="000000"/>
              </w:rPr>
            </w:pPr>
            <w:r w:rsidRPr="008468D8">
              <w:rPr>
                <w:rFonts w:ascii="Calibri" w:eastAsia="Times New Roman" w:hAnsi="Calibri" w:cs="Calibri"/>
                <w:color w:val="000000"/>
              </w:rPr>
              <w:t>79</w:t>
            </w:r>
          </w:p>
        </w:tc>
      </w:tr>
      <w:tr w:rsidR="008468D8" w:rsidRPr="008468D8" w14:paraId="0E0975A8" w14:textId="77777777" w:rsidTr="008468D8">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C156EB9" w14:textId="77777777" w:rsidR="008468D8" w:rsidRPr="008468D8" w:rsidRDefault="008468D8" w:rsidP="008468D8">
            <w:pPr>
              <w:spacing w:after="0" w:line="240" w:lineRule="auto"/>
              <w:rPr>
                <w:rFonts w:ascii="Calibri" w:eastAsia="Times New Roman" w:hAnsi="Calibri" w:cs="Calibri"/>
                <w:color w:val="000000"/>
              </w:rPr>
            </w:pPr>
            <w:r w:rsidRPr="008468D8">
              <w:rPr>
                <w:rFonts w:ascii="Calibri" w:eastAsia="Times New Roman" w:hAnsi="Calibri" w:cs="Calibri"/>
                <w:color w:val="000000"/>
              </w:rPr>
              <w:t>8/1/19 - 8/31/19</w:t>
            </w:r>
          </w:p>
        </w:tc>
        <w:tc>
          <w:tcPr>
            <w:tcW w:w="2380" w:type="dxa"/>
            <w:tcBorders>
              <w:top w:val="nil"/>
              <w:left w:val="nil"/>
              <w:bottom w:val="single" w:sz="4" w:space="0" w:color="auto"/>
              <w:right w:val="single" w:sz="4" w:space="0" w:color="auto"/>
            </w:tcBorders>
            <w:shd w:val="clear" w:color="auto" w:fill="auto"/>
            <w:noWrap/>
            <w:vAlign w:val="bottom"/>
            <w:hideMark/>
          </w:tcPr>
          <w:p w14:paraId="1D457E42" w14:textId="77777777" w:rsidR="008468D8" w:rsidRPr="008468D8" w:rsidRDefault="008468D8" w:rsidP="008468D8">
            <w:pPr>
              <w:spacing w:after="0" w:line="240" w:lineRule="auto"/>
              <w:jc w:val="right"/>
              <w:rPr>
                <w:rFonts w:ascii="Calibri" w:eastAsia="Times New Roman" w:hAnsi="Calibri" w:cs="Calibri"/>
                <w:color w:val="000000"/>
              </w:rPr>
            </w:pPr>
            <w:r w:rsidRPr="008468D8">
              <w:rPr>
                <w:rFonts w:ascii="Calibri" w:eastAsia="Times New Roman" w:hAnsi="Calibri" w:cs="Calibri"/>
                <w:color w:val="000000"/>
              </w:rPr>
              <w:t>66</w:t>
            </w:r>
          </w:p>
        </w:tc>
      </w:tr>
      <w:tr w:rsidR="008468D8" w:rsidRPr="008468D8" w14:paraId="0D43E05D" w14:textId="77777777" w:rsidTr="008468D8">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BF3730B" w14:textId="77777777" w:rsidR="008468D8" w:rsidRPr="008468D8" w:rsidRDefault="008468D8" w:rsidP="008468D8">
            <w:pPr>
              <w:spacing w:after="0" w:line="240" w:lineRule="auto"/>
              <w:rPr>
                <w:rFonts w:ascii="Calibri" w:eastAsia="Times New Roman" w:hAnsi="Calibri" w:cs="Calibri"/>
                <w:color w:val="000000"/>
              </w:rPr>
            </w:pPr>
            <w:r w:rsidRPr="008468D8">
              <w:rPr>
                <w:rFonts w:ascii="Calibri" w:eastAsia="Times New Roman" w:hAnsi="Calibri" w:cs="Calibri"/>
                <w:color w:val="000000"/>
              </w:rPr>
              <w:t>9/1/19 - 9/30/19</w:t>
            </w:r>
          </w:p>
        </w:tc>
        <w:tc>
          <w:tcPr>
            <w:tcW w:w="2380" w:type="dxa"/>
            <w:tcBorders>
              <w:top w:val="nil"/>
              <w:left w:val="nil"/>
              <w:bottom w:val="single" w:sz="4" w:space="0" w:color="auto"/>
              <w:right w:val="single" w:sz="4" w:space="0" w:color="auto"/>
            </w:tcBorders>
            <w:shd w:val="clear" w:color="auto" w:fill="auto"/>
            <w:noWrap/>
            <w:vAlign w:val="bottom"/>
            <w:hideMark/>
          </w:tcPr>
          <w:p w14:paraId="65912BA2" w14:textId="77777777" w:rsidR="008468D8" w:rsidRPr="008468D8" w:rsidRDefault="008468D8" w:rsidP="008468D8">
            <w:pPr>
              <w:spacing w:after="0" w:line="240" w:lineRule="auto"/>
              <w:jc w:val="right"/>
              <w:rPr>
                <w:rFonts w:ascii="Calibri" w:eastAsia="Times New Roman" w:hAnsi="Calibri" w:cs="Calibri"/>
                <w:color w:val="000000"/>
              </w:rPr>
            </w:pPr>
            <w:r w:rsidRPr="008468D8">
              <w:rPr>
                <w:rFonts w:ascii="Calibri" w:eastAsia="Times New Roman" w:hAnsi="Calibri" w:cs="Calibri"/>
                <w:color w:val="000000"/>
              </w:rPr>
              <w:t>75</w:t>
            </w:r>
          </w:p>
        </w:tc>
      </w:tr>
      <w:tr w:rsidR="008468D8" w:rsidRPr="008468D8" w14:paraId="6F1DDA76" w14:textId="77777777" w:rsidTr="008468D8">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0030297" w14:textId="77777777" w:rsidR="008468D8" w:rsidRPr="008468D8" w:rsidRDefault="008468D8" w:rsidP="008468D8">
            <w:pPr>
              <w:spacing w:after="0" w:line="240" w:lineRule="auto"/>
              <w:rPr>
                <w:rFonts w:ascii="Calibri" w:eastAsia="Times New Roman" w:hAnsi="Calibri" w:cs="Calibri"/>
                <w:color w:val="000000"/>
              </w:rPr>
            </w:pPr>
            <w:r w:rsidRPr="008468D8">
              <w:rPr>
                <w:rFonts w:ascii="Calibri" w:eastAsia="Times New Roman" w:hAnsi="Calibri" w:cs="Calibri"/>
                <w:color w:val="000000"/>
              </w:rPr>
              <w:t>10/1/19 - 10/31/19</w:t>
            </w:r>
          </w:p>
        </w:tc>
        <w:tc>
          <w:tcPr>
            <w:tcW w:w="2380" w:type="dxa"/>
            <w:tcBorders>
              <w:top w:val="nil"/>
              <w:left w:val="nil"/>
              <w:bottom w:val="single" w:sz="4" w:space="0" w:color="auto"/>
              <w:right w:val="single" w:sz="4" w:space="0" w:color="auto"/>
            </w:tcBorders>
            <w:shd w:val="clear" w:color="auto" w:fill="auto"/>
            <w:noWrap/>
            <w:vAlign w:val="bottom"/>
            <w:hideMark/>
          </w:tcPr>
          <w:p w14:paraId="0E87142E" w14:textId="77777777" w:rsidR="008468D8" w:rsidRPr="008468D8" w:rsidRDefault="008468D8" w:rsidP="008468D8">
            <w:pPr>
              <w:spacing w:after="0" w:line="240" w:lineRule="auto"/>
              <w:jc w:val="right"/>
              <w:rPr>
                <w:rFonts w:ascii="Calibri" w:eastAsia="Times New Roman" w:hAnsi="Calibri" w:cs="Calibri"/>
                <w:color w:val="000000"/>
              </w:rPr>
            </w:pPr>
            <w:r w:rsidRPr="008468D8">
              <w:rPr>
                <w:rFonts w:ascii="Calibri" w:eastAsia="Times New Roman" w:hAnsi="Calibri" w:cs="Calibri"/>
                <w:color w:val="000000"/>
              </w:rPr>
              <w:t>59</w:t>
            </w:r>
          </w:p>
        </w:tc>
      </w:tr>
      <w:tr w:rsidR="008468D8" w:rsidRPr="008468D8" w14:paraId="3F3D94A3" w14:textId="77777777" w:rsidTr="008468D8">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752DFE8" w14:textId="77777777" w:rsidR="008468D8" w:rsidRPr="008468D8" w:rsidRDefault="008468D8" w:rsidP="008468D8">
            <w:pPr>
              <w:spacing w:after="0" w:line="240" w:lineRule="auto"/>
              <w:rPr>
                <w:rFonts w:ascii="Calibri" w:eastAsia="Times New Roman" w:hAnsi="Calibri" w:cs="Calibri"/>
                <w:color w:val="000000"/>
              </w:rPr>
            </w:pPr>
            <w:r w:rsidRPr="008468D8">
              <w:rPr>
                <w:rFonts w:ascii="Calibri" w:eastAsia="Times New Roman" w:hAnsi="Calibri" w:cs="Calibri"/>
                <w:color w:val="000000"/>
              </w:rPr>
              <w:t>11/1/19 - 11/30/19</w:t>
            </w:r>
          </w:p>
        </w:tc>
        <w:tc>
          <w:tcPr>
            <w:tcW w:w="2380" w:type="dxa"/>
            <w:tcBorders>
              <w:top w:val="nil"/>
              <w:left w:val="nil"/>
              <w:bottom w:val="single" w:sz="4" w:space="0" w:color="auto"/>
              <w:right w:val="single" w:sz="4" w:space="0" w:color="auto"/>
            </w:tcBorders>
            <w:shd w:val="clear" w:color="auto" w:fill="auto"/>
            <w:noWrap/>
            <w:vAlign w:val="bottom"/>
            <w:hideMark/>
          </w:tcPr>
          <w:p w14:paraId="7164B340" w14:textId="77777777" w:rsidR="008468D8" w:rsidRPr="008468D8" w:rsidRDefault="008468D8" w:rsidP="008468D8">
            <w:pPr>
              <w:spacing w:after="0" w:line="240" w:lineRule="auto"/>
              <w:jc w:val="right"/>
              <w:rPr>
                <w:rFonts w:ascii="Calibri" w:eastAsia="Times New Roman" w:hAnsi="Calibri" w:cs="Calibri"/>
                <w:color w:val="000000"/>
              </w:rPr>
            </w:pPr>
            <w:r w:rsidRPr="008468D8">
              <w:rPr>
                <w:rFonts w:ascii="Calibri" w:eastAsia="Times New Roman" w:hAnsi="Calibri" w:cs="Calibri"/>
                <w:color w:val="000000"/>
              </w:rPr>
              <w:t>55</w:t>
            </w:r>
          </w:p>
        </w:tc>
      </w:tr>
      <w:tr w:rsidR="008468D8" w:rsidRPr="008468D8" w14:paraId="0FBAE94E" w14:textId="77777777" w:rsidTr="008468D8">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87C0AC1" w14:textId="77777777" w:rsidR="008468D8" w:rsidRPr="008468D8" w:rsidRDefault="008468D8" w:rsidP="008468D8">
            <w:pPr>
              <w:spacing w:after="0" w:line="240" w:lineRule="auto"/>
              <w:rPr>
                <w:rFonts w:ascii="Calibri" w:eastAsia="Times New Roman" w:hAnsi="Calibri" w:cs="Calibri"/>
                <w:color w:val="000000"/>
              </w:rPr>
            </w:pPr>
            <w:r w:rsidRPr="008468D8">
              <w:rPr>
                <w:rFonts w:ascii="Calibri" w:eastAsia="Times New Roman" w:hAnsi="Calibri" w:cs="Calibri"/>
                <w:color w:val="000000"/>
              </w:rPr>
              <w:t>12/1/19 - 12/31/19</w:t>
            </w:r>
          </w:p>
        </w:tc>
        <w:tc>
          <w:tcPr>
            <w:tcW w:w="2380" w:type="dxa"/>
            <w:tcBorders>
              <w:top w:val="nil"/>
              <w:left w:val="nil"/>
              <w:bottom w:val="single" w:sz="4" w:space="0" w:color="auto"/>
              <w:right w:val="single" w:sz="4" w:space="0" w:color="auto"/>
            </w:tcBorders>
            <w:shd w:val="clear" w:color="auto" w:fill="auto"/>
            <w:noWrap/>
            <w:vAlign w:val="bottom"/>
            <w:hideMark/>
          </w:tcPr>
          <w:p w14:paraId="09B56A47" w14:textId="77777777" w:rsidR="008468D8" w:rsidRPr="008468D8" w:rsidRDefault="008468D8" w:rsidP="008468D8">
            <w:pPr>
              <w:spacing w:after="0" w:line="240" w:lineRule="auto"/>
              <w:jc w:val="right"/>
              <w:rPr>
                <w:rFonts w:ascii="Calibri" w:eastAsia="Times New Roman" w:hAnsi="Calibri" w:cs="Calibri"/>
                <w:color w:val="000000"/>
              </w:rPr>
            </w:pPr>
            <w:r w:rsidRPr="008468D8">
              <w:rPr>
                <w:rFonts w:ascii="Calibri" w:eastAsia="Times New Roman" w:hAnsi="Calibri" w:cs="Calibri"/>
                <w:color w:val="000000"/>
              </w:rPr>
              <w:t>53</w:t>
            </w:r>
          </w:p>
        </w:tc>
      </w:tr>
      <w:tr w:rsidR="008468D8" w:rsidRPr="008468D8" w14:paraId="303B6D57" w14:textId="77777777" w:rsidTr="008468D8">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0952211" w14:textId="77777777" w:rsidR="008468D8" w:rsidRPr="008468D8" w:rsidRDefault="008468D8" w:rsidP="008468D8">
            <w:pPr>
              <w:spacing w:after="0" w:line="240" w:lineRule="auto"/>
              <w:rPr>
                <w:rFonts w:ascii="Calibri" w:eastAsia="Times New Roman" w:hAnsi="Calibri" w:cs="Calibri"/>
                <w:color w:val="000000"/>
              </w:rPr>
            </w:pPr>
            <w:r w:rsidRPr="008468D8">
              <w:rPr>
                <w:rFonts w:ascii="Calibri" w:eastAsia="Times New Roman" w:hAnsi="Calibri" w:cs="Calibri"/>
                <w:color w:val="000000"/>
              </w:rPr>
              <w:t>1/1/20 - 1/31/20</w:t>
            </w:r>
          </w:p>
        </w:tc>
        <w:tc>
          <w:tcPr>
            <w:tcW w:w="2380" w:type="dxa"/>
            <w:tcBorders>
              <w:top w:val="nil"/>
              <w:left w:val="nil"/>
              <w:bottom w:val="single" w:sz="4" w:space="0" w:color="auto"/>
              <w:right w:val="single" w:sz="4" w:space="0" w:color="auto"/>
            </w:tcBorders>
            <w:shd w:val="clear" w:color="auto" w:fill="auto"/>
            <w:noWrap/>
            <w:vAlign w:val="bottom"/>
            <w:hideMark/>
          </w:tcPr>
          <w:p w14:paraId="444899A7" w14:textId="77777777" w:rsidR="008468D8" w:rsidRPr="008468D8" w:rsidRDefault="008468D8" w:rsidP="008468D8">
            <w:pPr>
              <w:spacing w:after="0" w:line="240" w:lineRule="auto"/>
              <w:jc w:val="right"/>
              <w:rPr>
                <w:rFonts w:ascii="Calibri" w:eastAsia="Times New Roman" w:hAnsi="Calibri" w:cs="Calibri"/>
                <w:color w:val="000000"/>
              </w:rPr>
            </w:pPr>
            <w:r w:rsidRPr="008468D8">
              <w:rPr>
                <w:rFonts w:ascii="Calibri" w:eastAsia="Times New Roman" w:hAnsi="Calibri" w:cs="Calibri"/>
                <w:color w:val="000000"/>
              </w:rPr>
              <w:t>54</w:t>
            </w:r>
          </w:p>
        </w:tc>
      </w:tr>
      <w:tr w:rsidR="008468D8" w:rsidRPr="008468D8" w14:paraId="45CBF10A" w14:textId="77777777" w:rsidTr="008468D8">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2DE7BFE" w14:textId="77777777" w:rsidR="008468D8" w:rsidRPr="008468D8" w:rsidRDefault="008468D8" w:rsidP="008468D8">
            <w:pPr>
              <w:spacing w:after="0" w:line="240" w:lineRule="auto"/>
              <w:rPr>
                <w:rFonts w:ascii="Calibri" w:eastAsia="Times New Roman" w:hAnsi="Calibri" w:cs="Calibri"/>
                <w:color w:val="000000"/>
              </w:rPr>
            </w:pPr>
            <w:r w:rsidRPr="008468D8">
              <w:rPr>
                <w:rFonts w:ascii="Calibri" w:eastAsia="Times New Roman" w:hAnsi="Calibri" w:cs="Calibri"/>
                <w:color w:val="000000"/>
              </w:rPr>
              <w:t>2/1/20 - 2/29/20</w:t>
            </w:r>
          </w:p>
        </w:tc>
        <w:tc>
          <w:tcPr>
            <w:tcW w:w="2380" w:type="dxa"/>
            <w:tcBorders>
              <w:top w:val="nil"/>
              <w:left w:val="nil"/>
              <w:bottom w:val="single" w:sz="4" w:space="0" w:color="auto"/>
              <w:right w:val="single" w:sz="4" w:space="0" w:color="auto"/>
            </w:tcBorders>
            <w:shd w:val="clear" w:color="auto" w:fill="auto"/>
            <w:noWrap/>
            <w:vAlign w:val="bottom"/>
            <w:hideMark/>
          </w:tcPr>
          <w:p w14:paraId="5C47B3DC" w14:textId="77777777" w:rsidR="008468D8" w:rsidRPr="008468D8" w:rsidRDefault="008468D8" w:rsidP="008468D8">
            <w:pPr>
              <w:spacing w:after="0" w:line="240" w:lineRule="auto"/>
              <w:jc w:val="right"/>
              <w:rPr>
                <w:rFonts w:ascii="Calibri" w:eastAsia="Times New Roman" w:hAnsi="Calibri" w:cs="Calibri"/>
                <w:color w:val="000000"/>
              </w:rPr>
            </w:pPr>
            <w:r w:rsidRPr="008468D8">
              <w:rPr>
                <w:rFonts w:ascii="Calibri" w:eastAsia="Times New Roman" w:hAnsi="Calibri" w:cs="Calibri"/>
                <w:color w:val="000000"/>
              </w:rPr>
              <w:t>41</w:t>
            </w:r>
          </w:p>
        </w:tc>
      </w:tr>
      <w:tr w:rsidR="008468D8" w:rsidRPr="008468D8" w14:paraId="6DCF511A" w14:textId="77777777" w:rsidTr="008468D8">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BEAD89C" w14:textId="77777777" w:rsidR="008468D8" w:rsidRPr="008468D8" w:rsidRDefault="008468D8" w:rsidP="008468D8">
            <w:pPr>
              <w:spacing w:after="0" w:line="240" w:lineRule="auto"/>
              <w:rPr>
                <w:rFonts w:ascii="Calibri" w:eastAsia="Times New Roman" w:hAnsi="Calibri" w:cs="Calibri"/>
                <w:color w:val="000000"/>
              </w:rPr>
            </w:pPr>
            <w:r w:rsidRPr="008468D8">
              <w:rPr>
                <w:rFonts w:ascii="Calibri" w:eastAsia="Times New Roman" w:hAnsi="Calibri" w:cs="Calibri"/>
                <w:color w:val="000000"/>
              </w:rPr>
              <w:t>3/1/20 - 3/31/20</w:t>
            </w:r>
          </w:p>
        </w:tc>
        <w:tc>
          <w:tcPr>
            <w:tcW w:w="2380" w:type="dxa"/>
            <w:tcBorders>
              <w:top w:val="nil"/>
              <w:left w:val="nil"/>
              <w:bottom w:val="single" w:sz="4" w:space="0" w:color="auto"/>
              <w:right w:val="single" w:sz="4" w:space="0" w:color="auto"/>
            </w:tcBorders>
            <w:shd w:val="clear" w:color="auto" w:fill="auto"/>
            <w:noWrap/>
            <w:vAlign w:val="bottom"/>
            <w:hideMark/>
          </w:tcPr>
          <w:p w14:paraId="3B84B98E" w14:textId="77777777" w:rsidR="008468D8" w:rsidRPr="008468D8" w:rsidRDefault="008468D8" w:rsidP="008468D8">
            <w:pPr>
              <w:spacing w:after="0" w:line="240" w:lineRule="auto"/>
              <w:jc w:val="right"/>
              <w:rPr>
                <w:rFonts w:ascii="Calibri" w:eastAsia="Times New Roman" w:hAnsi="Calibri" w:cs="Calibri"/>
                <w:color w:val="000000"/>
              </w:rPr>
            </w:pPr>
            <w:r w:rsidRPr="008468D8">
              <w:rPr>
                <w:rFonts w:ascii="Calibri" w:eastAsia="Times New Roman" w:hAnsi="Calibri" w:cs="Calibri"/>
                <w:color w:val="000000"/>
              </w:rPr>
              <w:t>28</w:t>
            </w:r>
          </w:p>
        </w:tc>
      </w:tr>
      <w:tr w:rsidR="008468D8" w:rsidRPr="008468D8" w14:paraId="646EB534" w14:textId="77777777" w:rsidTr="008468D8">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5674E74" w14:textId="77777777" w:rsidR="008468D8" w:rsidRPr="008468D8" w:rsidRDefault="008468D8" w:rsidP="008468D8">
            <w:pPr>
              <w:spacing w:after="0" w:line="240" w:lineRule="auto"/>
              <w:rPr>
                <w:rFonts w:ascii="Calibri" w:eastAsia="Times New Roman" w:hAnsi="Calibri" w:cs="Calibri"/>
                <w:color w:val="000000"/>
              </w:rPr>
            </w:pPr>
            <w:r w:rsidRPr="008468D8">
              <w:rPr>
                <w:rFonts w:ascii="Calibri" w:eastAsia="Times New Roman" w:hAnsi="Calibri" w:cs="Calibri"/>
                <w:color w:val="000000"/>
              </w:rPr>
              <w:t>4/1/20 - 4/30/20</w:t>
            </w:r>
          </w:p>
        </w:tc>
        <w:tc>
          <w:tcPr>
            <w:tcW w:w="2380" w:type="dxa"/>
            <w:tcBorders>
              <w:top w:val="nil"/>
              <w:left w:val="nil"/>
              <w:bottom w:val="single" w:sz="4" w:space="0" w:color="auto"/>
              <w:right w:val="single" w:sz="4" w:space="0" w:color="auto"/>
            </w:tcBorders>
            <w:shd w:val="clear" w:color="auto" w:fill="auto"/>
            <w:noWrap/>
            <w:vAlign w:val="bottom"/>
            <w:hideMark/>
          </w:tcPr>
          <w:p w14:paraId="2739834C" w14:textId="77777777" w:rsidR="008468D8" w:rsidRPr="008468D8" w:rsidRDefault="008468D8" w:rsidP="008468D8">
            <w:pPr>
              <w:spacing w:after="0" w:line="240" w:lineRule="auto"/>
              <w:jc w:val="right"/>
              <w:rPr>
                <w:rFonts w:ascii="Calibri" w:eastAsia="Times New Roman" w:hAnsi="Calibri" w:cs="Calibri"/>
                <w:color w:val="000000"/>
              </w:rPr>
            </w:pPr>
            <w:r w:rsidRPr="008468D8">
              <w:rPr>
                <w:rFonts w:ascii="Calibri" w:eastAsia="Times New Roman" w:hAnsi="Calibri" w:cs="Calibri"/>
                <w:color w:val="000000"/>
              </w:rPr>
              <w:t>14</w:t>
            </w:r>
          </w:p>
        </w:tc>
      </w:tr>
      <w:tr w:rsidR="008468D8" w:rsidRPr="008468D8" w14:paraId="01CB954C" w14:textId="77777777" w:rsidTr="008468D8">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62A6762" w14:textId="77777777" w:rsidR="008468D8" w:rsidRPr="008468D8" w:rsidRDefault="008468D8" w:rsidP="008468D8">
            <w:pPr>
              <w:spacing w:after="0" w:line="240" w:lineRule="auto"/>
              <w:rPr>
                <w:rFonts w:ascii="Calibri" w:eastAsia="Times New Roman" w:hAnsi="Calibri" w:cs="Calibri"/>
                <w:color w:val="000000"/>
              </w:rPr>
            </w:pPr>
            <w:r w:rsidRPr="008468D8">
              <w:rPr>
                <w:rFonts w:ascii="Calibri" w:eastAsia="Times New Roman" w:hAnsi="Calibri" w:cs="Calibri"/>
                <w:color w:val="000000"/>
              </w:rPr>
              <w:t>5/1/20 - 5/31/20</w:t>
            </w:r>
          </w:p>
        </w:tc>
        <w:tc>
          <w:tcPr>
            <w:tcW w:w="2380" w:type="dxa"/>
            <w:tcBorders>
              <w:top w:val="nil"/>
              <w:left w:val="nil"/>
              <w:bottom w:val="single" w:sz="4" w:space="0" w:color="auto"/>
              <w:right w:val="single" w:sz="4" w:space="0" w:color="auto"/>
            </w:tcBorders>
            <w:shd w:val="clear" w:color="auto" w:fill="auto"/>
            <w:noWrap/>
            <w:vAlign w:val="bottom"/>
            <w:hideMark/>
          </w:tcPr>
          <w:p w14:paraId="23CCC5C3" w14:textId="77777777" w:rsidR="008468D8" w:rsidRPr="008468D8" w:rsidRDefault="008468D8" w:rsidP="008468D8">
            <w:pPr>
              <w:spacing w:after="0" w:line="240" w:lineRule="auto"/>
              <w:jc w:val="right"/>
              <w:rPr>
                <w:rFonts w:ascii="Calibri" w:eastAsia="Times New Roman" w:hAnsi="Calibri" w:cs="Calibri"/>
                <w:color w:val="000000"/>
              </w:rPr>
            </w:pPr>
            <w:r w:rsidRPr="008468D8">
              <w:rPr>
                <w:rFonts w:ascii="Calibri" w:eastAsia="Times New Roman" w:hAnsi="Calibri" w:cs="Calibri"/>
                <w:color w:val="000000"/>
              </w:rPr>
              <w:t>42</w:t>
            </w:r>
          </w:p>
        </w:tc>
      </w:tr>
      <w:tr w:rsidR="008468D8" w:rsidRPr="008468D8" w14:paraId="0E354E13" w14:textId="77777777" w:rsidTr="008468D8">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A2B34B6" w14:textId="77777777" w:rsidR="008468D8" w:rsidRPr="008468D8" w:rsidRDefault="008468D8" w:rsidP="008468D8">
            <w:pPr>
              <w:spacing w:after="0" w:line="240" w:lineRule="auto"/>
              <w:rPr>
                <w:rFonts w:ascii="Calibri" w:eastAsia="Times New Roman" w:hAnsi="Calibri" w:cs="Calibri"/>
                <w:color w:val="000000"/>
              </w:rPr>
            </w:pPr>
            <w:r w:rsidRPr="008468D8">
              <w:rPr>
                <w:rFonts w:ascii="Calibri" w:eastAsia="Times New Roman" w:hAnsi="Calibri" w:cs="Calibri"/>
                <w:color w:val="000000"/>
              </w:rPr>
              <w:t>6/1/20 - 6/30/20</w:t>
            </w:r>
          </w:p>
        </w:tc>
        <w:tc>
          <w:tcPr>
            <w:tcW w:w="2380" w:type="dxa"/>
            <w:tcBorders>
              <w:top w:val="nil"/>
              <w:left w:val="nil"/>
              <w:bottom w:val="single" w:sz="4" w:space="0" w:color="auto"/>
              <w:right w:val="single" w:sz="4" w:space="0" w:color="auto"/>
            </w:tcBorders>
            <w:shd w:val="clear" w:color="auto" w:fill="auto"/>
            <w:noWrap/>
            <w:vAlign w:val="bottom"/>
            <w:hideMark/>
          </w:tcPr>
          <w:p w14:paraId="66921B7C" w14:textId="77777777" w:rsidR="008468D8" w:rsidRPr="008468D8" w:rsidRDefault="008468D8" w:rsidP="008468D8">
            <w:pPr>
              <w:spacing w:after="0" w:line="240" w:lineRule="auto"/>
              <w:jc w:val="right"/>
              <w:rPr>
                <w:rFonts w:ascii="Calibri" w:eastAsia="Times New Roman" w:hAnsi="Calibri" w:cs="Calibri"/>
                <w:color w:val="000000"/>
              </w:rPr>
            </w:pPr>
            <w:r w:rsidRPr="008468D8">
              <w:rPr>
                <w:rFonts w:ascii="Calibri" w:eastAsia="Times New Roman" w:hAnsi="Calibri" w:cs="Calibri"/>
                <w:color w:val="000000"/>
              </w:rPr>
              <w:t>51</w:t>
            </w:r>
          </w:p>
        </w:tc>
      </w:tr>
      <w:tr w:rsidR="008468D8" w:rsidRPr="008468D8" w14:paraId="240D74D5" w14:textId="77777777" w:rsidTr="008468D8">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E00E334" w14:textId="77777777" w:rsidR="008468D8" w:rsidRPr="008468D8" w:rsidRDefault="008468D8" w:rsidP="008468D8">
            <w:pPr>
              <w:spacing w:after="0" w:line="240" w:lineRule="auto"/>
              <w:rPr>
                <w:rFonts w:ascii="Calibri" w:eastAsia="Times New Roman" w:hAnsi="Calibri" w:cs="Calibri"/>
                <w:color w:val="000000"/>
              </w:rPr>
            </w:pPr>
            <w:r w:rsidRPr="008468D8">
              <w:rPr>
                <w:rFonts w:ascii="Calibri" w:eastAsia="Times New Roman" w:hAnsi="Calibri" w:cs="Calibri"/>
                <w:color w:val="000000"/>
              </w:rPr>
              <w:t>7/1/20 - 7/31/20</w:t>
            </w:r>
          </w:p>
        </w:tc>
        <w:tc>
          <w:tcPr>
            <w:tcW w:w="2380" w:type="dxa"/>
            <w:tcBorders>
              <w:top w:val="nil"/>
              <w:left w:val="nil"/>
              <w:bottom w:val="single" w:sz="4" w:space="0" w:color="auto"/>
              <w:right w:val="single" w:sz="4" w:space="0" w:color="auto"/>
            </w:tcBorders>
            <w:shd w:val="clear" w:color="auto" w:fill="auto"/>
            <w:noWrap/>
            <w:vAlign w:val="bottom"/>
            <w:hideMark/>
          </w:tcPr>
          <w:p w14:paraId="7319137C" w14:textId="77777777" w:rsidR="008468D8" w:rsidRPr="008468D8" w:rsidRDefault="008468D8" w:rsidP="008468D8">
            <w:pPr>
              <w:spacing w:after="0" w:line="240" w:lineRule="auto"/>
              <w:jc w:val="right"/>
              <w:rPr>
                <w:rFonts w:ascii="Calibri" w:eastAsia="Times New Roman" w:hAnsi="Calibri" w:cs="Calibri"/>
                <w:color w:val="000000"/>
              </w:rPr>
            </w:pPr>
            <w:r w:rsidRPr="008468D8">
              <w:rPr>
                <w:rFonts w:ascii="Calibri" w:eastAsia="Times New Roman" w:hAnsi="Calibri" w:cs="Calibri"/>
                <w:color w:val="000000"/>
              </w:rPr>
              <w:t>84</w:t>
            </w:r>
          </w:p>
        </w:tc>
      </w:tr>
      <w:tr w:rsidR="008468D8" w:rsidRPr="008468D8" w14:paraId="35BFA4C7" w14:textId="77777777" w:rsidTr="008468D8">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347E1BA" w14:textId="77777777" w:rsidR="008468D8" w:rsidRPr="008468D8" w:rsidRDefault="008468D8" w:rsidP="008468D8">
            <w:pPr>
              <w:spacing w:after="0" w:line="240" w:lineRule="auto"/>
              <w:rPr>
                <w:rFonts w:ascii="Calibri" w:eastAsia="Times New Roman" w:hAnsi="Calibri" w:cs="Calibri"/>
                <w:color w:val="000000"/>
              </w:rPr>
            </w:pPr>
            <w:r w:rsidRPr="008468D8">
              <w:rPr>
                <w:rFonts w:ascii="Calibri" w:eastAsia="Times New Roman" w:hAnsi="Calibri" w:cs="Calibri"/>
                <w:color w:val="000000"/>
              </w:rPr>
              <w:t>8/1/20 - 8/31/20</w:t>
            </w:r>
          </w:p>
        </w:tc>
        <w:tc>
          <w:tcPr>
            <w:tcW w:w="2380" w:type="dxa"/>
            <w:tcBorders>
              <w:top w:val="nil"/>
              <w:left w:val="nil"/>
              <w:bottom w:val="single" w:sz="4" w:space="0" w:color="auto"/>
              <w:right w:val="single" w:sz="4" w:space="0" w:color="auto"/>
            </w:tcBorders>
            <w:shd w:val="clear" w:color="auto" w:fill="auto"/>
            <w:noWrap/>
            <w:vAlign w:val="bottom"/>
            <w:hideMark/>
          </w:tcPr>
          <w:p w14:paraId="67AB67F2" w14:textId="77777777" w:rsidR="008468D8" w:rsidRPr="008468D8" w:rsidRDefault="008468D8" w:rsidP="008468D8">
            <w:pPr>
              <w:spacing w:after="0" w:line="240" w:lineRule="auto"/>
              <w:jc w:val="right"/>
              <w:rPr>
                <w:rFonts w:ascii="Calibri" w:eastAsia="Times New Roman" w:hAnsi="Calibri" w:cs="Calibri"/>
                <w:color w:val="000000"/>
              </w:rPr>
            </w:pPr>
            <w:r w:rsidRPr="008468D8">
              <w:rPr>
                <w:rFonts w:ascii="Calibri" w:eastAsia="Times New Roman" w:hAnsi="Calibri" w:cs="Calibri"/>
                <w:color w:val="000000"/>
              </w:rPr>
              <w:t>68</w:t>
            </w:r>
          </w:p>
        </w:tc>
      </w:tr>
      <w:tr w:rsidR="008468D8" w:rsidRPr="008468D8" w14:paraId="1A51DB35" w14:textId="77777777" w:rsidTr="008468D8">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421356C" w14:textId="77777777" w:rsidR="008468D8" w:rsidRPr="008468D8" w:rsidRDefault="008468D8" w:rsidP="008468D8">
            <w:pPr>
              <w:spacing w:after="0" w:line="240" w:lineRule="auto"/>
              <w:rPr>
                <w:rFonts w:ascii="Calibri" w:eastAsia="Times New Roman" w:hAnsi="Calibri" w:cs="Calibri"/>
                <w:color w:val="000000"/>
              </w:rPr>
            </w:pPr>
            <w:r w:rsidRPr="008468D8">
              <w:rPr>
                <w:rFonts w:ascii="Calibri" w:eastAsia="Times New Roman" w:hAnsi="Calibri" w:cs="Calibri"/>
                <w:color w:val="000000"/>
              </w:rPr>
              <w:t>9/1/20 - 9/30/20</w:t>
            </w:r>
          </w:p>
        </w:tc>
        <w:tc>
          <w:tcPr>
            <w:tcW w:w="2380" w:type="dxa"/>
            <w:tcBorders>
              <w:top w:val="nil"/>
              <w:left w:val="nil"/>
              <w:bottom w:val="single" w:sz="4" w:space="0" w:color="auto"/>
              <w:right w:val="single" w:sz="4" w:space="0" w:color="auto"/>
            </w:tcBorders>
            <w:shd w:val="clear" w:color="auto" w:fill="auto"/>
            <w:noWrap/>
            <w:vAlign w:val="bottom"/>
            <w:hideMark/>
          </w:tcPr>
          <w:p w14:paraId="590B1C84" w14:textId="77777777" w:rsidR="008468D8" w:rsidRPr="008468D8" w:rsidRDefault="008468D8" w:rsidP="008468D8">
            <w:pPr>
              <w:spacing w:after="0" w:line="240" w:lineRule="auto"/>
              <w:jc w:val="right"/>
              <w:rPr>
                <w:rFonts w:ascii="Calibri" w:eastAsia="Times New Roman" w:hAnsi="Calibri" w:cs="Calibri"/>
                <w:color w:val="000000"/>
              </w:rPr>
            </w:pPr>
            <w:r w:rsidRPr="008468D8">
              <w:rPr>
                <w:rFonts w:ascii="Calibri" w:eastAsia="Times New Roman" w:hAnsi="Calibri" w:cs="Calibri"/>
                <w:color w:val="000000"/>
              </w:rPr>
              <w:t>84</w:t>
            </w:r>
          </w:p>
        </w:tc>
      </w:tr>
      <w:tr w:rsidR="008468D8" w:rsidRPr="008468D8" w14:paraId="3339ECDC" w14:textId="77777777" w:rsidTr="008468D8">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1533F45" w14:textId="77777777" w:rsidR="008468D8" w:rsidRPr="008468D8" w:rsidRDefault="008468D8" w:rsidP="008468D8">
            <w:pPr>
              <w:spacing w:after="0" w:line="240" w:lineRule="auto"/>
              <w:rPr>
                <w:rFonts w:ascii="Calibri" w:eastAsia="Times New Roman" w:hAnsi="Calibri" w:cs="Calibri"/>
                <w:color w:val="000000"/>
              </w:rPr>
            </w:pPr>
            <w:r w:rsidRPr="008468D8">
              <w:rPr>
                <w:rFonts w:ascii="Calibri" w:eastAsia="Times New Roman" w:hAnsi="Calibri" w:cs="Calibri"/>
                <w:color w:val="000000"/>
              </w:rPr>
              <w:t>10/1/20 - 10/31/20</w:t>
            </w:r>
          </w:p>
        </w:tc>
        <w:tc>
          <w:tcPr>
            <w:tcW w:w="2380" w:type="dxa"/>
            <w:tcBorders>
              <w:top w:val="nil"/>
              <w:left w:val="nil"/>
              <w:bottom w:val="single" w:sz="4" w:space="0" w:color="auto"/>
              <w:right w:val="single" w:sz="4" w:space="0" w:color="auto"/>
            </w:tcBorders>
            <w:shd w:val="clear" w:color="auto" w:fill="auto"/>
            <w:noWrap/>
            <w:vAlign w:val="bottom"/>
            <w:hideMark/>
          </w:tcPr>
          <w:p w14:paraId="01AF0AB2" w14:textId="77777777" w:rsidR="008468D8" w:rsidRPr="008468D8" w:rsidRDefault="008468D8" w:rsidP="008468D8">
            <w:pPr>
              <w:spacing w:after="0" w:line="240" w:lineRule="auto"/>
              <w:jc w:val="right"/>
              <w:rPr>
                <w:rFonts w:ascii="Calibri" w:eastAsia="Times New Roman" w:hAnsi="Calibri" w:cs="Calibri"/>
                <w:color w:val="000000"/>
              </w:rPr>
            </w:pPr>
            <w:r w:rsidRPr="008468D8">
              <w:rPr>
                <w:rFonts w:ascii="Calibri" w:eastAsia="Times New Roman" w:hAnsi="Calibri" w:cs="Calibri"/>
                <w:color w:val="000000"/>
              </w:rPr>
              <w:t>101</w:t>
            </w:r>
          </w:p>
        </w:tc>
      </w:tr>
      <w:tr w:rsidR="008468D8" w:rsidRPr="008468D8" w14:paraId="7670E503" w14:textId="77777777" w:rsidTr="008468D8">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040957B" w14:textId="77777777" w:rsidR="008468D8" w:rsidRPr="008468D8" w:rsidRDefault="008468D8" w:rsidP="008468D8">
            <w:pPr>
              <w:spacing w:after="0" w:line="240" w:lineRule="auto"/>
              <w:rPr>
                <w:rFonts w:ascii="Calibri" w:eastAsia="Times New Roman" w:hAnsi="Calibri" w:cs="Calibri"/>
                <w:color w:val="000000"/>
              </w:rPr>
            </w:pPr>
            <w:r w:rsidRPr="008468D8">
              <w:rPr>
                <w:rFonts w:ascii="Calibri" w:eastAsia="Times New Roman" w:hAnsi="Calibri" w:cs="Calibri"/>
                <w:color w:val="000000"/>
              </w:rPr>
              <w:t>11/1/20 - 11/30/20</w:t>
            </w:r>
          </w:p>
        </w:tc>
        <w:tc>
          <w:tcPr>
            <w:tcW w:w="2380" w:type="dxa"/>
            <w:tcBorders>
              <w:top w:val="nil"/>
              <w:left w:val="nil"/>
              <w:bottom w:val="single" w:sz="4" w:space="0" w:color="auto"/>
              <w:right w:val="single" w:sz="4" w:space="0" w:color="auto"/>
            </w:tcBorders>
            <w:shd w:val="clear" w:color="auto" w:fill="auto"/>
            <w:noWrap/>
            <w:vAlign w:val="bottom"/>
            <w:hideMark/>
          </w:tcPr>
          <w:p w14:paraId="58B36D31" w14:textId="77777777" w:rsidR="008468D8" w:rsidRPr="008468D8" w:rsidRDefault="008468D8" w:rsidP="008468D8">
            <w:pPr>
              <w:spacing w:after="0" w:line="240" w:lineRule="auto"/>
              <w:jc w:val="right"/>
              <w:rPr>
                <w:rFonts w:ascii="Calibri" w:eastAsia="Times New Roman" w:hAnsi="Calibri" w:cs="Calibri"/>
                <w:color w:val="000000"/>
              </w:rPr>
            </w:pPr>
            <w:r w:rsidRPr="008468D8">
              <w:rPr>
                <w:rFonts w:ascii="Calibri" w:eastAsia="Times New Roman" w:hAnsi="Calibri" w:cs="Calibri"/>
                <w:color w:val="000000"/>
              </w:rPr>
              <w:t>69</w:t>
            </w:r>
          </w:p>
        </w:tc>
      </w:tr>
      <w:tr w:rsidR="008468D8" w:rsidRPr="008468D8" w14:paraId="02D157EC" w14:textId="77777777" w:rsidTr="008468D8">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40E99BA" w14:textId="77777777" w:rsidR="008468D8" w:rsidRPr="008468D8" w:rsidRDefault="008468D8" w:rsidP="008468D8">
            <w:pPr>
              <w:spacing w:after="0" w:line="240" w:lineRule="auto"/>
              <w:rPr>
                <w:rFonts w:ascii="Calibri" w:eastAsia="Times New Roman" w:hAnsi="Calibri" w:cs="Calibri"/>
                <w:color w:val="000000"/>
              </w:rPr>
            </w:pPr>
            <w:r w:rsidRPr="008468D8">
              <w:rPr>
                <w:rFonts w:ascii="Calibri" w:eastAsia="Times New Roman" w:hAnsi="Calibri" w:cs="Calibri"/>
                <w:color w:val="000000"/>
              </w:rPr>
              <w:t>12/1/20 - 12/31/20</w:t>
            </w:r>
          </w:p>
        </w:tc>
        <w:tc>
          <w:tcPr>
            <w:tcW w:w="2380" w:type="dxa"/>
            <w:tcBorders>
              <w:top w:val="nil"/>
              <w:left w:val="nil"/>
              <w:bottom w:val="single" w:sz="4" w:space="0" w:color="auto"/>
              <w:right w:val="single" w:sz="4" w:space="0" w:color="auto"/>
            </w:tcBorders>
            <w:shd w:val="clear" w:color="auto" w:fill="auto"/>
            <w:noWrap/>
            <w:vAlign w:val="bottom"/>
            <w:hideMark/>
          </w:tcPr>
          <w:p w14:paraId="1F2C554E" w14:textId="77777777" w:rsidR="008468D8" w:rsidRPr="008468D8" w:rsidRDefault="008468D8" w:rsidP="008468D8">
            <w:pPr>
              <w:spacing w:after="0" w:line="240" w:lineRule="auto"/>
              <w:jc w:val="right"/>
              <w:rPr>
                <w:rFonts w:ascii="Calibri" w:eastAsia="Times New Roman" w:hAnsi="Calibri" w:cs="Calibri"/>
                <w:color w:val="000000"/>
              </w:rPr>
            </w:pPr>
            <w:r w:rsidRPr="008468D8">
              <w:rPr>
                <w:rFonts w:ascii="Calibri" w:eastAsia="Times New Roman" w:hAnsi="Calibri" w:cs="Calibri"/>
                <w:color w:val="000000"/>
              </w:rPr>
              <w:t>63</w:t>
            </w:r>
          </w:p>
        </w:tc>
      </w:tr>
    </w:tbl>
    <w:p w14:paraId="7E6FA70C" w14:textId="70372FA9" w:rsidR="008468D8" w:rsidRDefault="00E61887">
      <w:pPr>
        <w:rPr>
          <w:rFonts w:ascii="Arial" w:hAnsi="Arial" w:cs="Arial"/>
          <w:b/>
          <w:bCs/>
        </w:rPr>
      </w:pPr>
      <w:r w:rsidRPr="008468D8">
        <w:rPr>
          <w:rFonts w:ascii="Arial" w:hAnsi="Arial" w:cs="Arial"/>
          <w:b/>
          <w:bCs/>
          <w:noProof/>
        </w:rPr>
        <mc:AlternateContent>
          <mc:Choice Requires="wps">
            <w:drawing>
              <wp:anchor distT="45720" distB="45720" distL="114300" distR="114300" simplePos="0" relativeHeight="251756544" behindDoc="1" locked="0" layoutInCell="1" allowOverlap="1" wp14:anchorId="17C49FB9" wp14:editId="201659FE">
                <wp:simplePos x="0" y="0"/>
                <wp:positionH relativeFrom="margin">
                  <wp:posOffset>-83820</wp:posOffset>
                </wp:positionH>
                <wp:positionV relativeFrom="page">
                  <wp:posOffset>6344920</wp:posOffset>
                </wp:positionV>
                <wp:extent cx="5248275" cy="527685"/>
                <wp:effectExtent l="0" t="0" r="0" b="5715"/>
                <wp:wrapTight wrapText="bothSides">
                  <wp:wrapPolygon edited="0">
                    <wp:start x="235" y="0"/>
                    <wp:lineTo x="235" y="21054"/>
                    <wp:lineTo x="21326" y="21054"/>
                    <wp:lineTo x="21326" y="0"/>
                    <wp:lineTo x="235" y="0"/>
                  </wp:wrapPolygon>
                </wp:wrapTight>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8275" cy="527685"/>
                        </a:xfrm>
                        <a:prstGeom prst="rect">
                          <a:avLst/>
                        </a:prstGeom>
                        <a:noFill/>
                        <a:ln w="9525">
                          <a:noFill/>
                          <a:miter lim="800000"/>
                          <a:headEnd/>
                          <a:tailEnd/>
                        </a:ln>
                      </wps:spPr>
                      <wps:txbx>
                        <w:txbxContent>
                          <w:p w14:paraId="1990953A" w14:textId="03E170AA" w:rsidR="005E6FB1" w:rsidRPr="008468D8" w:rsidRDefault="005E6FB1">
                            <w:pPr>
                              <w:rPr>
                                <w:sz w:val="18"/>
                                <w:szCs w:val="18"/>
                              </w:rPr>
                            </w:pPr>
                            <w:r>
                              <w:rPr>
                                <w:sz w:val="18"/>
                                <w:szCs w:val="18"/>
                              </w:rPr>
                              <w:t>Due to the frequency of follow-up testing for lead poisoned children, the same child may have had multiple poisoned lead results across multiple months. For this reason, monthly case counts should not be summed to obtain annual case counts because this may lead to an overestimate.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shape w14:anchorId="17C49FB9" id="_x0000_s1037" type="#_x0000_t202" style="position:absolute;margin-left:-6.6pt;margin-top:499.6pt;width:413.25pt;height:41.55pt;z-index:-2515599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" filled="f" stroked="f">
                <v:textbox>
                  <w:txbxContent>
                    <w:p w14:paraId="1990953A" w14:textId="03E170AA" w:rsidR="005E6FB1" w:rsidRPr="008468D8" w:rsidRDefault="005E6FB1">
                      <w:pPr>
                        <w:rPr>
                          <w:sz w:val="18"/>
                          <w:szCs w:val="18"/>
                        </w:rPr>
                      </w:pPr>
                      <w:r>
                        <w:rPr>
                          <w:sz w:val="18"/>
                          <w:szCs w:val="18"/>
                        </w:rPr>
                        <w:t>Due to the frequency of follow-up testing for lead poisoned children, the same child may have had multiple poisoned lead results across multiple months. For this reason, monthly case counts should not be summed to obtain annual case counts because this may lead to an overestimate.</w:t>
                      </w:r>
                    </w:p>
                  </w:txbxContent>
                </v:textbox>
                <w10:wrap type="tight" anchorx="margin" anchory="page"/>
              </v:shape>
            </w:pict>
          </mc:Fallback>
        </mc:AlternateContent>
      </w:r>
    </w:p>
    <w:p w14:paraId="32A7917B" w14:textId="14872723" w:rsidR="00711E0E" w:rsidRDefault="00711E0E">
      <w:pPr>
        <w:rPr>
          <w:rFonts w:ascii="Arial" w:hAnsi="Arial" w:cs="Arial"/>
          <w:b/>
          <w:bCs/>
        </w:rPr>
      </w:pPr>
    </w:p>
    <w:p w14:paraId="1FF53698" w14:textId="1D3C26A2" w:rsidR="00186BED" w:rsidRDefault="00186BED">
      <w:pPr>
        <w:rPr>
          <w:rFonts w:ascii="Arial" w:hAnsi="Arial" w:cs="Arial"/>
          <w:b/>
          <w:bCs/>
        </w:rPr>
      </w:pPr>
    </w:p>
    <w:p w14:paraId="27A2DE48" w14:textId="2E364A4C" w:rsidR="00186BED" w:rsidRDefault="00186BED">
      <w:pPr>
        <w:rPr>
          <w:rFonts w:ascii="Arial" w:hAnsi="Arial" w:cs="Arial"/>
          <w:b/>
          <w:bCs/>
        </w:rPr>
      </w:pPr>
    </w:p>
    <w:p w14:paraId="73CD0CCA" w14:textId="1C7090A7" w:rsidR="00186BED" w:rsidRDefault="00186BED">
      <w:pPr>
        <w:rPr>
          <w:rFonts w:ascii="Arial" w:hAnsi="Arial" w:cs="Arial"/>
          <w:b/>
          <w:bCs/>
        </w:rPr>
      </w:pPr>
    </w:p>
    <w:p w14:paraId="256A2678" w14:textId="74528E3A" w:rsidR="00186BED" w:rsidRDefault="00186BED">
      <w:pPr>
        <w:rPr>
          <w:rFonts w:ascii="Arial" w:hAnsi="Arial" w:cs="Arial"/>
          <w:b/>
          <w:bCs/>
        </w:rPr>
      </w:pPr>
    </w:p>
    <w:p w14:paraId="1E272F99" w14:textId="6059C30B" w:rsidR="00186BED" w:rsidRDefault="00186BED">
      <w:pPr>
        <w:rPr>
          <w:rFonts w:ascii="Arial" w:hAnsi="Arial" w:cs="Arial"/>
          <w:b/>
          <w:bCs/>
        </w:rPr>
      </w:pPr>
    </w:p>
    <w:p w14:paraId="6E9C5B41" w14:textId="7F65B9C8" w:rsidR="00186BED" w:rsidRDefault="00186BED">
      <w:pPr>
        <w:rPr>
          <w:rFonts w:ascii="Arial" w:hAnsi="Arial" w:cs="Arial"/>
          <w:b/>
          <w:bCs/>
        </w:rPr>
      </w:pPr>
    </w:p>
    <w:p w14:paraId="7C952085" w14:textId="77777777" w:rsidR="00186BED" w:rsidRDefault="00186BED">
      <w:pPr>
        <w:rPr>
          <w:rFonts w:ascii="Arial" w:hAnsi="Arial" w:cs="Arial"/>
          <w:b/>
          <w:bCs/>
        </w:rPr>
      </w:pPr>
    </w:p>
    <w:p w14:paraId="42E05D77" w14:textId="77777777" w:rsidR="00711E0E" w:rsidRDefault="00711E0E">
      <w:pPr>
        <w:rPr>
          <w:rFonts w:ascii="Arial" w:hAnsi="Arial" w:cs="Arial"/>
          <w:b/>
          <w:bCs/>
        </w:rPr>
      </w:pPr>
    </w:p>
    <w:p w14:paraId="0F0F248C" w14:textId="77777777" w:rsidR="00711E0E" w:rsidRDefault="00711E0E">
      <w:pPr>
        <w:rPr>
          <w:rFonts w:ascii="Arial" w:hAnsi="Arial" w:cs="Arial"/>
          <w:b/>
          <w:bCs/>
        </w:rPr>
      </w:pPr>
    </w:p>
    <w:p w14:paraId="0F62B594" w14:textId="77777777" w:rsidR="00F0787E" w:rsidRDefault="00F0787E">
      <w:pPr>
        <w:rPr>
          <w:rFonts w:ascii="Arial" w:hAnsi="Arial" w:cs="Arial"/>
          <w:b/>
          <w:bCs/>
        </w:rPr>
      </w:pPr>
    </w:p>
    <w:p w14:paraId="2242CDD1" w14:textId="38D2F08A" w:rsidR="009D1C0D" w:rsidRDefault="009D1C0D">
      <w:pPr>
        <w:rPr>
          <w:rFonts w:ascii="Arial" w:hAnsi="Arial" w:cs="Arial"/>
          <w:b/>
          <w:bCs/>
        </w:rPr>
      </w:pPr>
      <w:r w:rsidRPr="005774E0">
        <w:rPr>
          <w:rFonts w:ascii="Arial" w:hAnsi="Arial" w:cs="Arial"/>
          <w:b/>
          <w:bCs/>
        </w:rPr>
        <w:t>APPENDIX I</w:t>
      </w:r>
      <w:r w:rsidR="008468D8">
        <w:rPr>
          <w:rFonts w:ascii="Arial" w:hAnsi="Arial" w:cs="Arial"/>
          <w:b/>
          <w:bCs/>
        </w:rPr>
        <w:t>V</w:t>
      </w:r>
      <w:r w:rsidRPr="005774E0">
        <w:rPr>
          <w:rFonts w:ascii="Arial" w:hAnsi="Arial" w:cs="Arial"/>
          <w:b/>
          <w:bCs/>
        </w:rPr>
        <w:t xml:space="preserve">: </w:t>
      </w:r>
      <w:r w:rsidR="007A12EE">
        <w:rPr>
          <w:rFonts w:ascii="Arial" w:hAnsi="Arial" w:cs="Arial"/>
          <w:b/>
          <w:bCs/>
        </w:rPr>
        <w:t>Technical Notes</w:t>
      </w:r>
    </w:p>
    <w:p w14:paraId="133786C3" w14:textId="41A46CF0" w:rsidR="00EF36CD" w:rsidRDefault="00EF36CD">
      <w:pPr>
        <w:rPr>
          <w:rFonts w:ascii="Arial" w:hAnsi="Arial" w:cs="Arial"/>
          <w:i/>
          <w:iCs/>
        </w:rPr>
      </w:pPr>
      <w:r>
        <w:rPr>
          <w:rFonts w:ascii="Arial" w:hAnsi="Arial" w:cs="Arial"/>
          <w:i/>
          <w:iCs/>
        </w:rPr>
        <w:t>High-Risk Community Report:</w:t>
      </w:r>
    </w:p>
    <w:p w14:paraId="5C1F4ABB" w14:textId="2504190F" w:rsidR="00FC6ECE" w:rsidRDefault="00CE0BD5" w:rsidP="00CE0BD5">
      <w:pPr>
        <w:pStyle w:val="ListParagraph"/>
        <w:numPr>
          <w:ilvl w:val="0"/>
          <w:numId w:val="7"/>
        </w:numPr>
        <w:rPr>
          <w:rFonts w:ascii="Arial" w:hAnsi="Arial" w:cs="Arial"/>
        </w:rPr>
      </w:pPr>
      <w:r w:rsidRPr="00CE0BD5">
        <w:rPr>
          <w:rFonts w:ascii="Arial" w:hAnsi="Arial" w:cs="Arial"/>
          <w:b/>
          <w:bCs/>
        </w:rPr>
        <w:t>High-Risk Communities</w:t>
      </w:r>
      <w:r>
        <w:rPr>
          <w:rFonts w:ascii="Arial" w:hAnsi="Arial" w:cs="Arial"/>
        </w:rPr>
        <w:t xml:space="preserve">: </w:t>
      </w:r>
      <w:r w:rsidRPr="00CE0BD5">
        <w:rPr>
          <w:rFonts w:ascii="Arial" w:hAnsi="Arial" w:cs="Arial"/>
        </w:rPr>
        <w:t xml:space="preserve">Communities with a 5-year incidence of confirmed ≥ 10 µg/dL cases </w:t>
      </w:r>
      <w:r w:rsidR="00237C41">
        <w:rPr>
          <w:rFonts w:ascii="Arial" w:hAnsi="Arial" w:cs="Arial"/>
        </w:rPr>
        <w:t xml:space="preserve">of at least 15 and with a 5-year incidence rate that is </w:t>
      </w:r>
      <w:r w:rsidRPr="00CE0BD5">
        <w:rPr>
          <w:rFonts w:ascii="Arial" w:hAnsi="Arial" w:cs="Arial"/>
        </w:rPr>
        <w:t xml:space="preserve">above the state rate after adjusting for low to moderate income and old housing stock (built pre-1978). The combination of these factors places certain communities at greater risk of childhood lead poisoning. It is important for these communities to extend annual childhood blood lead screening through the age of 4. To help alleviate the burden of childhood lead exposure, an amendment to the Massachusetts Lead Law in 1988 established a </w:t>
      </w:r>
      <w:r w:rsidRPr="003F4C8A">
        <w:rPr>
          <w:rFonts w:ascii="Arial" w:hAnsi="Arial" w:cs="Arial"/>
          <w:i/>
          <w:iCs/>
        </w:rPr>
        <w:t>Get the Lead Out</w:t>
      </w:r>
      <w:r w:rsidRPr="00CE0BD5">
        <w:rPr>
          <w:rFonts w:ascii="Arial" w:hAnsi="Arial" w:cs="Arial"/>
        </w:rPr>
        <w:t xml:space="preserve"> program, which provides loans and grants to help pay for lead paint abatement. The law requires that 50% of the funding be used in high-risk communities. </w:t>
      </w:r>
      <w:r>
        <w:rPr>
          <w:rFonts w:ascii="Arial" w:hAnsi="Arial" w:cs="Arial"/>
        </w:rPr>
        <w:t>M</w:t>
      </w:r>
      <w:r w:rsidRPr="00CE0BD5">
        <w:rPr>
          <w:rFonts w:ascii="Arial" w:hAnsi="Arial" w:cs="Arial"/>
        </w:rPr>
        <w:t xml:space="preserve">ore information about the </w:t>
      </w:r>
      <w:r w:rsidRPr="003F4C8A">
        <w:rPr>
          <w:rFonts w:ascii="Arial" w:hAnsi="Arial" w:cs="Arial"/>
          <w:i/>
          <w:iCs/>
        </w:rPr>
        <w:t>Get the Lead Out</w:t>
      </w:r>
      <w:r w:rsidRPr="00CE0BD5">
        <w:rPr>
          <w:rFonts w:ascii="Arial" w:hAnsi="Arial" w:cs="Arial"/>
        </w:rPr>
        <w:t xml:space="preserve"> </w:t>
      </w:r>
      <w:r>
        <w:rPr>
          <w:rFonts w:ascii="Arial" w:hAnsi="Arial" w:cs="Arial"/>
        </w:rPr>
        <w:t xml:space="preserve">program can be found </w:t>
      </w:r>
      <w:hyperlink r:id="rId29" w:history="1">
        <w:r w:rsidRPr="0037213A">
          <w:rPr>
            <w:rStyle w:val="Hyperlink"/>
            <w:rFonts w:ascii="Arial" w:hAnsi="Arial" w:cs="Arial"/>
          </w:rPr>
          <w:t>her</w:t>
        </w:r>
        <w:r w:rsidR="0037213A" w:rsidRPr="0037213A">
          <w:rPr>
            <w:rStyle w:val="Hyperlink"/>
            <w:rFonts w:ascii="Arial" w:hAnsi="Arial" w:cs="Arial"/>
          </w:rPr>
          <w:t>e</w:t>
        </w:r>
      </w:hyperlink>
      <w:r w:rsidR="0037213A">
        <w:rPr>
          <w:rFonts w:ascii="Arial" w:hAnsi="Arial" w:cs="Arial"/>
        </w:rPr>
        <w:t>.</w:t>
      </w:r>
    </w:p>
    <w:p w14:paraId="6A143B1A" w14:textId="5616D37D" w:rsidR="00FC6ECE" w:rsidRPr="00FC6ECE" w:rsidRDefault="00FC6ECE" w:rsidP="00FC6ECE">
      <w:pPr>
        <w:pStyle w:val="ListParagraph"/>
        <w:numPr>
          <w:ilvl w:val="0"/>
          <w:numId w:val="7"/>
        </w:numPr>
        <w:rPr>
          <w:rFonts w:ascii="Arial" w:hAnsi="Arial" w:cs="Arial"/>
        </w:rPr>
      </w:pPr>
      <w:r w:rsidRPr="00FC6ECE">
        <w:rPr>
          <w:rFonts w:ascii="Arial" w:hAnsi="Arial" w:cs="Arial"/>
          <w:b/>
          <w:bCs/>
        </w:rPr>
        <w:t>Incidence Rate per 1,000</w:t>
      </w:r>
      <w:r w:rsidRPr="00FC6ECE">
        <w:rPr>
          <w:rFonts w:ascii="Arial" w:hAnsi="Arial" w:cs="Arial"/>
        </w:rPr>
        <w:t xml:space="preserve">: The number of children (9 to 47 months of age per 1,000 children) identified for the first time with a confirmed blood lead level ≥ 10 µg/dL within the 5-year period. Confirmed cases are defined as either a single venous blood lead test or </w:t>
      </w:r>
      <w:r>
        <w:rPr>
          <w:rFonts w:ascii="Arial" w:hAnsi="Arial" w:cs="Arial"/>
        </w:rPr>
        <w:t>two</w:t>
      </w:r>
      <w:r w:rsidRPr="00FC6ECE">
        <w:rPr>
          <w:rFonts w:ascii="Arial" w:hAnsi="Arial" w:cs="Arial"/>
        </w:rPr>
        <w:t xml:space="preserve"> capillary blood lead tests drawn within 12 weeks of each other. Incidence is calculated by dividing the number of first-time cases by the total number of children screened in the geographic area and multiplied by 1,000. This determines the rate per 1,000 children. An incident case is only counted once over the course of the 5-year time-period</w:t>
      </w:r>
      <w:r w:rsidR="00237C41">
        <w:rPr>
          <w:rFonts w:ascii="Arial" w:hAnsi="Arial" w:cs="Arial"/>
        </w:rPr>
        <w:t>. To determine the blood lead level of a child with multiple tests within the period of evaluation</w:t>
      </w:r>
      <w:r w:rsidRPr="00FC6ECE">
        <w:rPr>
          <w:rFonts w:ascii="Arial" w:hAnsi="Arial" w:cs="Arial"/>
        </w:rPr>
        <w:t>, venous specimens tak</w:t>
      </w:r>
      <w:r w:rsidR="00237C41">
        <w:rPr>
          <w:rFonts w:ascii="Arial" w:hAnsi="Arial" w:cs="Arial"/>
        </w:rPr>
        <w:t xml:space="preserve">e </w:t>
      </w:r>
      <w:r w:rsidRPr="00FC6ECE">
        <w:rPr>
          <w:rFonts w:ascii="Arial" w:hAnsi="Arial" w:cs="Arial"/>
        </w:rPr>
        <w:t>priority followed by confirmed capillary specimens. Single unconfirmed capillary specimens are not included in the incidence rate.</w:t>
      </w:r>
    </w:p>
    <w:p w14:paraId="5BF41BB6" w14:textId="33633844" w:rsidR="00CE0BD5" w:rsidRDefault="00FC6ECE" w:rsidP="00CE0BD5">
      <w:pPr>
        <w:pStyle w:val="ListParagraph"/>
        <w:numPr>
          <w:ilvl w:val="0"/>
          <w:numId w:val="7"/>
        </w:numPr>
        <w:rPr>
          <w:rFonts w:ascii="Arial" w:hAnsi="Arial" w:cs="Arial"/>
        </w:rPr>
      </w:pPr>
      <w:r w:rsidRPr="00FC6ECE">
        <w:rPr>
          <w:rFonts w:ascii="Arial" w:hAnsi="Arial" w:cs="Arial"/>
          <w:b/>
          <w:bCs/>
        </w:rPr>
        <w:t>% PIR Below 2</w:t>
      </w:r>
      <w:r w:rsidRPr="00FC6ECE">
        <w:rPr>
          <w:rFonts w:ascii="Arial" w:hAnsi="Arial" w:cs="Arial"/>
        </w:rPr>
        <w:t>: The poverty to income ratio (PIR), provided by the US Census Bureau, represents the ratio of a family’s income to their appropriate poverty threshold, which depends on the number and ages of individuals in the family. A PIR below 1.00 indicates that the income for the respective family is below the official definition of poverty, while a PIR greater than 1.00 indicates income above the poverty level. In identifying high-risk communities, we are interested in families with low to moderate income and have chosen a PIR of 2.00 to define this income cut off. A PIR of 2.00 translates to an income that is 200% of the poverty level. For a family of four (two adults, two children), a PIR of 2.00 equates to an annual income of approximately $45,000</w:t>
      </w:r>
      <w:r>
        <w:rPr>
          <w:rFonts w:ascii="Arial" w:hAnsi="Arial" w:cs="Arial"/>
        </w:rPr>
        <w:t>.</w:t>
      </w:r>
    </w:p>
    <w:p w14:paraId="00726492" w14:textId="5318571E" w:rsidR="00085D40" w:rsidRPr="00CE0BD5" w:rsidRDefault="00085D40" w:rsidP="00CE0BD5">
      <w:pPr>
        <w:pStyle w:val="ListParagraph"/>
        <w:numPr>
          <w:ilvl w:val="0"/>
          <w:numId w:val="7"/>
        </w:numPr>
        <w:rPr>
          <w:rFonts w:ascii="Arial" w:hAnsi="Arial" w:cs="Arial"/>
        </w:rPr>
      </w:pPr>
      <w:r>
        <w:rPr>
          <w:rFonts w:ascii="Arial" w:hAnsi="Arial" w:cs="Arial"/>
          <w:b/>
          <w:bCs/>
        </w:rPr>
        <w:t>High</w:t>
      </w:r>
      <w:r w:rsidRPr="00085D40">
        <w:rPr>
          <w:rFonts w:ascii="Arial" w:hAnsi="Arial" w:cs="Arial"/>
          <w:b/>
          <w:bCs/>
        </w:rPr>
        <w:t>-Risk Score</w:t>
      </w:r>
      <w:r>
        <w:rPr>
          <w:rFonts w:ascii="Arial" w:hAnsi="Arial" w:cs="Arial"/>
        </w:rPr>
        <w:t xml:space="preserve">: </w:t>
      </w:r>
      <w:r w:rsidRPr="00085D40">
        <w:rPr>
          <w:rFonts w:ascii="Arial" w:hAnsi="Arial" w:cs="Arial"/>
        </w:rPr>
        <w:t>This score is used to determine which communities are at highest risk for childhood lead poisoning. The high-risk score incorporates the 5-year incidence rate of blood lead levels ≥ 10 µg/dL, the percentage of families living below 200% of their poverty threshold, and the percentage of housing built before 1978. The score for each community in Massachusetts with at least 15 cases is compared to the state high-risk score. When the community high-risk score exceeds the state high-risk score by a statistically significant margin, that community is at high-risk for childhood lead poisoning.</w:t>
      </w:r>
    </w:p>
    <w:p w14:paraId="328DF9A2" w14:textId="6D227CEE" w:rsidR="00EF36CD" w:rsidRDefault="00EF36CD">
      <w:pPr>
        <w:rPr>
          <w:rFonts w:ascii="Arial" w:hAnsi="Arial" w:cs="Arial"/>
          <w:i/>
          <w:iCs/>
        </w:rPr>
      </w:pPr>
      <w:r>
        <w:rPr>
          <w:rFonts w:ascii="Arial" w:hAnsi="Arial" w:cs="Arial"/>
          <w:i/>
          <w:iCs/>
        </w:rPr>
        <w:t>Annual Screening and Prevalence Report:</w:t>
      </w:r>
    </w:p>
    <w:p w14:paraId="5F1FA115" w14:textId="237004BD" w:rsidR="00EF36CD" w:rsidRDefault="00EF36CD" w:rsidP="00EF36CD">
      <w:pPr>
        <w:pStyle w:val="ListParagraph"/>
        <w:numPr>
          <w:ilvl w:val="0"/>
          <w:numId w:val="6"/>
        </w:numPr>
        <w:rPr>
          <w:rFonts w:ascii="Arial" w:hAnsi="Arial" w:cs="Arial"/>
        </w:rPr>
      </w:pPr>
      <w:r w:rsidRPr="00EF36CD">
        <w:rPr>
          <w:rFonts w:ascii="Arial" w:hAnsi="Arial" w:cs="Arial"/>
          <w:b/>
          <w:bCs/>
        </w:rPr>
        <w:t>Total Screened</w:t>
      </w:r>
      <w:r>
        <w:rPr>
          <w:rFonts w:ascii="Arial" w:hAnsi="Arial" w:cs="Arial"/>
        </w:rPr>
        <w:t xml:space="preserve">: </w:t>
      </w:r>
      <w:r w:rsidR="00085D40">
        <w:rPr>
          <w:rFonts w:ascii="Arial" w:hAnsi="Arial" w:cs="Arial"/>
        </w:rPr>
        <w:t>T</w:t>
      </w:r>
      <w:r>
        <w:rPr>
          <w:rFonts w:ascii="Arial" w:hAnsi="Arial" w:cs="Arial"/>
        </w:rPr>
        <w:t>he total number of children 9 to 47 months of age screened for lead poisoning in the given calendar year.</w:t>
      </w:r>
    </w:p>
    <w:p w14:paraId="17C99B2E" w14:textId="22EE2884" w:rsidR="00EF36CD" w:rsidRDefault="00EF36CD" w:rsidP="00EF36CD">
      <w:pPr>
        <w:pStyle w:val="ListParagraph"/>
        <w:numPr>
          <w:ilvl w:val="0"/>
          <w:numId w:val="6"/>
        </w:numPr>
        <w:rPr>
          <w:rFonts w:ascii="Arial" w:hAnsi="Arial" w:cs="Arial"/>
        </w:rPr>
      </w:pPr>
      <w:r w:rsidRPr="00EF36CD">
        <w:rPr>
          <w:rFonts w:ascii="Arial" w:hAnsi="Arial" w:cs="Arial"/>
          <w:b/>
          <w:bCs/>
        </w:rPr>
        <w:t>Percent Screened</w:t>
      </w:r>
      <w:r>
        <w:rPr>
          <w:rFonts w:ascii="Arial" w:hAnsi="Arial" w:cs="Arial"/>
        </w:rPr>
        <w:t xml:space="preserve">: </w:t>
      </w:r>
      <w:r w:rsidR="00085D40">
        <w:rPr>
          <w:rFonts w:ascii="Arial" w:hAnsi="Arial" w:cs="Arial"/>
        </w:rPr>
        <w:t>T</w:t>
      </w:r>
      <w:r w:rsidRPr="00EF36CD">
        <w:rPr>
          <w:rFonts w:ascii="Arial" w:hAnsi="Arial" w:cs="Arial"/>
        </w:rPr>
        <w:t>he percentage of children 9 to 47 months of age who were screened for lead poisoning in the given calendar year. This is calculated by dividing the total number of children screened by the underlying population in the geographic area based on the population estimate for the given calendar year.</w:t>
      </w:r>
      <w:r w:rsidR="0027162E">
        <w:rPr>
          <w:rFonts w:ascii="Arial" w:hAnsi="Arial" w:cs="Arial"/>
        </w:rPr>
        <w:t xml:space="preserve"> </w:t>
      </w:r>
      <w:r w:rsidR="0027162E" w:rsidRPr="0027162E">
        <w:rPr>
          <w:rFonts w:ascii="Arial" w:hAnsi="Arial" w:cs="Arial"/>
        </w:rPr>
        <w:t xml:space="preserve">The 2020 report uses 2019 population estimates to calculate percent screened because the 2020 decennial census population estimates were not available at the time of publication. As such, screening rate data in this report may differ from other publications that follow or are updated more frequently, such as </w:t>
      </w:r>
      <w:hyperlink r:id="rId30" w:history="1">
        <w:r w:rsidR="0027162E" w:rsidRPr="0027162E">
          <w:rPr>
            <w:rStyle w:val="Hyperlink"/>
            <w:rFonts w:ascii="Arial" w:hAnsi="Arial" w:cs="Arial"/>
          </w:rPr>
          <w:t>Environmental Public Health Tracking</w:t>
        </w:r>
      </w:hyperlink>
      <w:r w:rsidR="0027162E" w:rsidRPr="0027162E">
        <w:rPr>
          <w:rFonts w:ascii="Arial" w:hAnsi="Arial" w:cs="Arial"/>
        </w:rPr>
        <w:t xml:space="preserve"> (EPHT) data. In considering which data source to use, screening rate estimates in this report are most useful when comparing community-level screening rate trends across time up to 2020. Screening rate data on EPHT, on the other hand, may </w:t>
      </w:r>
      <w:proofErr w:type="gramStart"/>
      <w:r w:rsidR="0027162E" w:rsidRPr="0027162E">
        <w:rPr>
          <w:rFonts w:ascii="Arial" w:hAnsi="Arial" w:cs="Arial"/>
        </w:rPr>
        <w:t xml:space="preserve">be </w:t>
      </w:r>
      <w:r w:rsidR="0027162E" w:rsidRPr="0027162E">
        <w:rPr>
          <w:rFonts w:ascii="Arial" w:hAnsi="Arial" w:cs="Arial"/>
        </w:rPr>
        <w:lastRenderedPageBreak/>
        <w:t>considered to be</w:t>
      </w:r>
      <w:proofErr w:type="gramEnd"/>
      <w:r w:rsidR="0027162E" w:rsidRPr="0027162E">
        <w:rPr>
          <w:rFonts w:ascii="Arial" w:hAnsi="Arial" w:cs="Arial"/>
        </w:rPr>
        <w:t xml:space="preserve"> the most accurate for 2020 and beyond due to significant updates to population estimates with the 2020 U.S. Census.</w:t>
      </w:r>
    </w:p>
    <w:p w14:paraId="3C1F3F50" w14:textId="598E8130" w:rsidR="00EF36CD" w:rsidRDefault="00EF36CD" w:rsidP="00EF36CD">
      <w:pPr>
        <w:pStyle w:val="ListParagraph"/>
        <w:numPr>
          <w:ilvl w:val="0"/>
          <w:numId w:val="6"/>
        </w:numPr>
        <w:rPr>
          <w:rFonts w:ascii="Arial" w:hAnsi="Arial" w:cs="Arial"/>
        </w:rPr>
      </w:pPr>
      <w:r w:rsidRPr="00EF36CD">
        <w:rPr>
          <w:rFonts w:ascii="Arial" w:hAnsi="Arial" w:cs="Arial"/>
          <w:b/>
          <w:bCs/>
        </w:rPr>
        <w:t>µg/dL</w:t>
      </w:r>
      <w:r w:rsidRPr="00EF36CD">
        <w:rPr>
          <w:rFonts w:ascii="Arial" w:hAnsi="Arial" w:cs="Arial"/>
        </w:rPr>
        <w:t>: micrograms per deciliter, the unit of measurement for blood lead specimens.</w:t>
      </w:r>
    </w:p>
    <w:p w14:paraId="4AFEE355" w14:textId="2B35FFAD" w:rsidR="00EF36CD" w:rsidRDefault="00EF36CD" w:rsidP="00EF36CD">
      <w:pPr>
        <w:pStyle w:val="ListParagraph"/>
        <w:numPr>
          <w:ilvl w:val="0"/>
          <w:numId w:val="6"/>
        </w:numPr>
        <w:rPr>
          <w:rFonts w:ascii="Arial" w:hAnsi="Arial" w:cs="Arial"/>
        </w:rPr>
      </w:pPr>
      <w:r w:rsidRPr="00EF36CD">
        <w:rPr>
          <w:rFonts w:ascii="Arial" w:hAnsi="Arial" w:cs="Arial"/>
          <w:b/>
          <w:bCs/>
        </w:rPr>
        <w:t>Blood lead levels</w:t>
      </w:r>
      <w:r w:rsidRPr="00EF36CD">
        <w:rPr>
          <w:rFonts w:ascii="Arial" w:hAnsi="Arial" w:cs="Arial"/>
        </w:rPr>
        <w:t xml:space="preserve">: </w:t>
      </w:r>
      <w:r w:rsidR="00085D40">
        <w:rPr>
          <w:rFonts w:ascii="Arial" w:hAnsi="Arial" w:cs="Arial"/>
        </w:rPr>
        <w:t>T</w:t>
      </w:r>
      <w:r>
        <w:rPr>
          <w:rFonts w:ascii="Arial" w:hAnsi="Arial" w:cs="Arial"/>
        </w:rPr>
        <w:t>he n</w:t>
      </w:r>
      <w:r w:rsidRPr="00EF36CD">
        <w:rPr>
          <w:rFonts w:ascii="Arial" w:hAnsi="Arial" w:cs="Arial"/>
        </w:rPr>
        <w:t>umber and percentage of children within each blood lead level category, out of all children screened 9 to 47 months of age. Only one blood lead specimen is counted per child. If a child has had more than one blood lead specimen within the designated time</w:t>
      </w:r>
      <w:r>
        <w:rPr>
          <w:rFonts w:ascii="Arial" w:hAnsi="Arial" w:cs="Arial"/>
        </w:rPr>
        <w:t>-</w:t>
      </w:r>
      <w:r w:rsidRPr="00EF36CD">
        <w:rPr>
          <w:rFonts w:ascii="Arial" w:hAnsi="Arial" w:cs="Arial"/>
        </w:rPr>
        <w:t>period, then the highest specimen is counted, with venous specimens taking priority, followed by confirmed capillary specimens and, finally, unconfirmed capillary specimens when no confirmed specimens are available.</w:t>
      </w:r>
      <w:r>
        <w:rPr>
          <w:rFonts w:ascii="Arial" w:hAnsi="Arial" w:cs="Arial"/>
        </w:rPr>
        <w:t xml:space="preserve"> </w:t>
      </w:r>
      <w:r w:rsidRPr="00EF36CD">
        <w:rPr>
          <w:rFonts w:ascii="Arial" w:hAnsi="Arial" w:cs="Arial"/>
        </w:rPr>
        <w:t xml:space="preserve">On December 1, 2017, the </w:t>
      </w:r>
      <w:r w:rsidR="00D30F38">
        <w:rPr>
          <w:rFonts w:ascii="Arial" w:hAnsi="Arial" w:cs="Arial"/>
        </w:rPr>
        <w:t>MA CLPPP</w:t>
      </w:r>
      <w:r w:rsidRPr="00EF36CD">
        <w:rPr>
          <w:rFonts w:ascii="Arial" w:hAnsi="Arial" w:cs="Arial"/>
        </w:rPr>
        <w:t xml:space="preserve"> began requiring venous confirmation of capillary blood lead specimens ≥5 µg/dL. Prior to that date, capillary blood lead specimens between 5 and 9 µg/dL were frequently unconfirmed. Unconfirmed capillary blood lead specimens ≥10 µg/dL are less common but may exist due to a failure to re-test according to guidelines.</w:t>
      </w:r>
      <w:r w:rsidR="00237367">
        <w:rPr>
          <w:rFonts w:ascii="Arial" w:hAnsi="Arial" w:cs="Arial"/>
        </w:rPr>
        <w:t xml:space="preserve"> </w:t>
      </w:r>
      <w:r w:rsidR="00237367" w:rsidRPr="00237367">
        <w:rPr>
          <w:rFonts w:ascii="Arial" w:hAnsi="Arial" w:cs="Arial"/>
        </w:rPr>
        <w:t xml:space="preserve">In December 2017, the MA CLPPP </w:t>
      </w:r>
      <w:r w:rsidR="00237367">
        <w:rPr>
          <w:rFonts w:ascii="Arial" w:hAnsi="Arial" w:cs="Arial"/>
        </w:rPr>
        <w:t xml:space="preserve">also </w:t>
      </w:r>
      <w:r w:rsidR="00237367" w:rsidRPr="00237367">
        <w:rPr>
          <w:rFonts w:ascii="Arial" w:hAnsi="Arial" w:cs="Arial"/>
        </w:rPr>
        <w:t>revised its regulations to define childhood lead poisoning as a venous blood lead level ≥10 µg/dL and to define a blood lead level of concern as one between 5 and 9 µg/dL. The CDC reference level for blood lead in children</w:t>
      </w:r>
      <w:r w:rsidR="00AB7B26">
        <w:rPr>
          <w:rFonts w:ascii="Arial" w:hAnsi="Arial" w:cs="Arial"/>
        </w:rPr>
        <w:t>, in effect from 2012-2021,</w:t>
      </w:r>
      <w:r w:rsidR="00237367" w:rsidRPr="00237367">
        <w:rPr>
          <w:rFonts w:ascii="Arial" w:hAnsi="Arial" w:cs="Arial"/>
        </w:rPr>
        <w:t xml:space="preserve"> is 5 µg/dL.</w:t>
      </w:r>
      <w:r w:rsidR="00A55D3D">
        <w:rPr>
          <w:rFonts w:ascii="Arial" w:hAnsi="Arial" w:cs="Arial"/>
        </w:rPr>
        <w:t xml:space="preserve"> </w:t>
      </w:r>
      <w:r w:rsidR="00A55D3D" w:rsidRPr="00A55D3D">
        <w:rPr>
          <w:rFonts w:ascii="Arial" w:hAnsi="Arial" w:cs="Arial"/>
        </w:rPr>
        <w:t xml:space="preserve">For more information regarding the CDC reference level, please visit the CDC’s information page on blood lead levels </w:t>
      </w:r>
      <w:hyperlink r:id="rId31" w:history="1">
        <w:r w:rsidR="00A55D3D" w:rsidRPr="00A55D3D">
          <w:rPr>
            <w:rStyle w:val="Hyperlink"/>
            <w:rFonts w:ascii="Arial" w:hAnsi="Arial" w:cs="Arial"/>
          </w:rPr>
          <w:t>here</w:t>
        </w:r>
      </w:hyperlink>
      <w:r w:rsidR="00A55D3D" w:rsidRPr="00A55D3D">
        <w:rPr>
          <w:rFonts w:ascii="Arial" w:hAnsi="Arial" w:cs="Arial"/>
        </w:rPr>
        <w:t>.</w:t>
      </w:r>
    </w:p>
    <w:p w14:paraId="65E1DF48" w14:textId="349F4C81" w:rsidR="00237367" w:rsidRPr="00EF36CD" w:rsidRDefault="00237367" w:rsidP="00EF36CD">
      <w:pPr>
        <w:pStyle w:val="ListParagraph"/>
        <w:numPr>
          <w:ilvl w:val="0"/>
          <w:numId w:val="6"/>
        </w:numPr>
        <w:rPr>
          <w:rFonts w:ascii="Arial" w:hAnsi="Arial" w:cs="Arial"/>
        </w:rPr>
      </w:pPr>
      <w:r>
        <w:rPr>
          <w:rFonts w:ascii="Arial" w:hAnsi="Arial" w:cs="Arial"/>
          <w:b/>
          <w:bCs/>
        </w:rPr>
        <w:t xml:space="preserve">Estimated </w:t>
      </w:r>
      <w:r w:rsidRPr="00237367">
        <w:rPr>
          <w:rFonts w:ascii="Arial" w:hAnsi="Arial" w:cs="Arial"/>
          <w:b/>
          <w:bCs/>
        </w:rPr>
        <w:t>confirmed ≥5</w:t>
      </w:r>
      <w:r>
        <w:rPr>
          <w:rFonts w:ascii="Arial" w:hAnsi="Arial" w:cs="Arial"/>
        </w:rPr>
        <w:t xml:space="preserve">: </w:t>
      </w:r>
      <w:r w:rsidRPr="00237367">
        <w:rPr>
          <w:rFonts w:ascii="Arial" w:hAnsi="Arial" w:cs="Arial"/>
        </w:rPr>
        <w:t>Capillary blood tests can be a useful tool for preliminary lead screening because they are easier to conduct than venous tests, especially on children. However, a single capillary test does not provide adequate precision or reliability to be considered confirmatory of an elevated blood lead level. Only about 1/3 of capillary results in the 5-9 µg/dL range are found to be truly ≥5 µg/dL upon retest. Until confirmatory testing of preliminary capillary results 5-9 µg/dL becomes standard practice in Massachusetts, as required by MA CLPPP as of December 1, 2017, a calculation is employed to estimate the true number of children with blood lead levels ≥5 µg/dL.</w:t>
      </w:r>
      <w:r w:rsidR="00871D30">
        <w:rPr>
          <w:rFonts w:ascii="Arial" w:hAnsi="Arial" w:cs="Arial"/>
        </w:rPr>
        <w:t xml:space="preserve"> </w:t>
      </w:r>
      <w:r w:rsidR="00871D30" w:rsidRPr="00871D30">
        <w:rPr>
          <w:rFonts w:ascii="Arial" w:hAnsi="Arial" w:cs="Arial"/>
        </w:rPr>
        <w:t>The number of children with estimated confirmed ≥5 µg/dL blood lead levels is calculated as the sum of those with confirmed blood lead levels ≥5 µg/dL and a proportion of those having unconfirmed blood lead levels ≥5 µg/dL. The proportion of unconfirmed blood lead levels ≥5 µg/dL estimated to be truly elevated is based on the annual statewide proportion of capillary results in the 5-9 µg/dL range found to be truly ≥5 µg/dL upon retest (positive predictive value).</w:t>
      </w:r>
    </w:p>
    <w:p w14:paraId="4650856F" w14:textId="68F8599E" w:rsidR="00EF36CD" w:rsidRDefault="00EF36CD">
      <w:pPr>
        <w:rPr>
          <w:rFonts w:ascii="Arial" w:hAnsi="Arial" w:cs="Arial"/>
          <w:i/>
          <w:iCs/>
        </w:rPr>
      </w:pPr>
      <w:r>
        <w:rPr>
          <w:rFonts w:ascii="Arial" w:hAnsi="Arial" w:cs="Arial"/>
          <w:i/>
          <w:iCs/>
        </w:rPr>
        <w:t>Other:</w:t>
      </w:r>
    </w:p>
    <w:p w14:paraId="591C325E" w14:textId="36837BAC" w:rsidR="00A87BB7" w:rsidRDefault="00014094" w:rsidP="00A87BB7">
      <w:pPr>
        <w:pStyle w:val="ListParagraph"/>
        <w:numPr>
          <w:ilvl w:val="0"/>
          <w:numId w:val="8"/>
        </w:numPr>
        <w:rPr>
          <w:rFonts w:ascii="Arial" w:hAnsi="Arial" w:cs="Arial"/>
        </w:rPr>
      </w:pPr>
      <w:r w:rsidRPr="00E11678">
        <w:rPr>
          <w:rFonts w:ascii="Arial" w:hAnsi="Arial" w:cs="Arial"/>
          <w:b/>
          <w:bCs/>
        </w:rPr>
        <w:t>Rural cluster definitions</w:t>
      </w:r>
      <w:r>
        <w:rPr>
          <w:rFonts w:ascii="Arial" w:hAnsi="Arial" w:cs="Arial"/>
        </w:rPr>
        <w:t xml:space="preserve">: </w:t>
      </w:r>
      <w:r w:rsidR="00E7724F" w:rsidRPr="00E7724F">
        <w:rPr>
          <w:rFonts w:ascii="Arial" w:hAnsi="Arial" w:cs="Arial"/>
        </w:rPr>
        <w:t xml:space="preserve">Rural levels and clusters are defined by the MA Office of Rural Health. </w:t>
      </w:r>
      <w:r w:rsidR="00E7724F">
        <w:rPr>
          <w:rFonts w:ascii="Arial" w:hAnsi="Arial" w:cs="Arial"/>
        </w:rPr>
        <w:t xml:space="preserve">More detail can be found </w:t>
      </w:r>
      <w:hyperlink r:id="rId32" w:history="1">
        <w:r w:rsidR="00E7724F" w:rsidRPr="00E7724F">
          <w:rPr>
            <w:rStyle w:val="Hyperlink"/>
            <w:rFonts w:ascii="Arial" w:hAnsi="Arial" w:cs="Arial"/>
          </w:rPr>
          <w:t>here</w:t>
        </w:r>
      </w:hyperlink>
      <w:r w:rsidR="00E7724F">
        <w:rPr>
          <w:rFonts w:ascii="Arial" w:hAnsi="Arial" w:cs="Arial"/>
        </w:rPr>
        <w:t>.</w:t>
      </w:r>
    </w:p>
    <w:p w14:paraId="7724298B" w14:textId="77777777" w:rsidR="00711E0E" w:rsidRDefault="00711E0E">
      <w:pPr>
        <w:rPr>
          <w:rFonts w:ascii="Arial" w:hAnsi="Arial" w:cs="Arial"/>
          <w:b/>
          <w:bCs/>
        </w:rPr>
      </w:pPr>
    </w:p>
    <w:p w14:paraId="514231CF" w14:textId="77777777" w:rsidR="00711E0E" w:rsidRDefault="00711E0E">
      <w:pPr>
        <w:rPr>
          <w:rFonts w:ascii="Arial" w:hAnsi="Arial" w:cs="Arial"/>
          <w:b/>
          <w:bCs/>
        </w:rPr>
      </w:pPr>
    </w:p>
    <w:p w14:paraId="39BED077" w14:textId="77777777" w:rsidR="00711E0E" w:rsidRDefault="00711E0E">
      <w:pPr>
        <w:rPr>
          <w:rFonts w:ascii="Arial" w:hAnsi="Arial" w:cs="Arial"/>
          <w:b/>
          <w:bCs/>
        </w:rPr>
      </w:pPr>
    </w:p>
    <w:p w14:paraId="69C424E1" w14:textId="77777777" w:rsidR="00711E0E" w:rsidRDefault="00711E0E">
      <w:pPr>
        <w:rPr>
          <w:rFonts w:ascii="Arial" w:hAnsi="Arial" w:cs="Arial"/>
          <w:b/>
          <w:bCs/>
        </w:rPr>
      </w:pPr>
    </w:p>
    <w:p w14:paraId="20382A9B" w14:textId="77777777" w:rsidR="00711E0E" w:rsidRDefault="00711E0E">
      <w:pPr>
        <w:rPr>
          <w:rFonts w:ascii="Arial" w:hAnsi="Arial" w:cs="Arial"/>
          <w:b/>
          <w:bCs/>
        </w:rPr>
      </w:pPr>
    </w:p>
    <w:p w14:paraId="656444FC" w14:textId="77777777" w:rsidR="00711E0E" w:rsidRDefault="00711E0E">
      <w:pPr>
        <w:rPr>
          <w:rFonts w:ascii="Arial" w:hAnsi="Arial" w:cs="Arial"/>
          <w:b/>
          <w:bCs/>
        </w:rPr>
      </w:pPr>
    </w:p>
    <w:p w14:paraId="5E16107F" w14:textId="77777777" w:rsidR="00711E0E" w:rsidRDefault="00711E0E">
      <w:pPr>
        <w:rPr>
          <w:rFonts w:ascii="Arial" w:hAnsi="Arial" w:cs="Arial"/>
          <w:b/>
          <w:bCs/>
        </w:rPr>
      </w:pPr>
    </w:p>
    <w:p w14:paraId="4D7A3106" w14:textId="77777777" w:rsidR="00711E0E" w:rsidRDefault="00711E0E">
      <w:pPr>
        <w:rPr>
          <w:rFonts w:ascii="Arial" w:hAnsi="Arial" w:cs="Arial"/>
          <w:b/>
          <w:bCs/>
        </w:rPr>
      </w:pPr>
    </w:p>
    <w:p w14:paraId="11E95EAB" w14:textId="77777777" w:rsidR="00711E0E" w:rsidRDefault="00711E0E">
      <w:pPr>
        <w:rPr>
          <w:rFonts w:ascii="Arial" w:hAnsi="Arial" w:cs="Arial"/>
          <w:b/>
          <w:bCs/>
        </w:rPr>
      </w:pPr>
    </w:p>
    <w:p w14:paraId="238D0511" w14:textId="77777777" w:rsidR="00711E0E" w:rsidRDefault="00711E0E">
      <w:pPr>
        <w:rPr>
          <w:rFonts w:ascii="Arial" w:hAnsi="Arial" w:cs="Arial"/>
          <w:b/>
          <w:bCs/>
        </w:rPr>
      </w:pPr>
    </w:p>
    <w:p w14:paraId="6A520160" w14:textId="77777777" w:rsidR="0027162E" w:rsidRDefault="0027162E">
      <w:pPr>
        <w:rPr>
          <w:rFonts w:ascii="Arial" w:hAnsi="Arial" w:cs="Arial"/>
          <w:b/>
          <w:bCs/>
        </w:rPr>
      </w:pPr>
    </w:p>
    <w:p w14:paraId="23139FC1" w14:textId="6B59AD15" w:rsidR="00E6714F" w:rsidRDefault="00E6714F">
      <w:pPr>
        <w:rPr>
          <w:rFonts w:ascii="Arial" w:hAnsi="Arial" w:cs="Arial"/>
          <w:b/>
          <w:bCs/>
        </w:rPr>
      </w:pPr>
      <w:r>
        <w:rPr>
          <w:rFonts w:ascii="Arial" w:hAnsi="Arial" w:cs="Arial"/>
          <w:b/>
          <w:bCs/>
        </w:rPr>
        <w:lastRenderedPageBreak/>
        <w:t xml:space="preserve">APPENDIX V: </w:t>
      </w:r>
      <w:r w:rsidR="007A12EE">
        <w:rPr>
          <w:rFonts w:ascii="Arial" w:hAnsi="Arial" w:cs="Arial"/>
          <w:b/>
          <w:bCs/>
        </w:rPr>
        <w:t>References</w:t>
      </w:r>
    </w:p>
    <w:p w14:paraId="31056C1B" w14:textId="4A61456A" w:rsidR="005774E0" w:rsidRPr="005774E0" w:rsidRDefault="001D4E50">
      <w:pPr>
        <w:rPr>
          <w:rFonts w:ascii="Arial" w:hAnsi="Arial" w:cs="Arial"/>
          <w:sz w:val="18"/>
          <w:szCs w:val="18"/>
        </w:rPr>
      </w:pPr>
      <w:r>
        <w:rPr>
          <w:rFonts w:ascii="Arial" w:hAnsi="Arial" w:cs="Arial"/>
          <w:sz w:val="18"/>
          <w:szCs w:val="18"/>
        </w:rPr>
        <w:t>1.</w:t>
      </w:r>
      <w:r w:rsidR="005774E0" w:rsidRPr="005774E0">
        <w:rPr>
          <w:rFonts w:ascii="Arial" w:hAnsi="Arial" w:cs="Arial"/>
          <w:sz w:val="18"/>
          <w:szCs w:val="18"/>
        </w:rPr>
        <w:t xml:space="preserve"> Advisory Committee on Childhood Lead Poisoning Prevention for the Centers for Disease Control and Prevention. Low Level Lead Exposure Harms Children: A Renewed Call for Primary Prevention. January 2012: </w:t>
      </w:r>
      <w:hyperlink r:id="rId33" w:history="1">
        <w:r w:rsidR="005774E0" w:rsidRPr="005774E0">
          <w:rPr>
            <w:rStyle w:val="Hyperlink"/>
            <w:rFonts w:ascii="Arial" w:hAnsi="Arial" w:cs="Arial"/>
            <w:sz w:val="18"/>
            <w:szCs w:val="18"/>
          </w:rPr>
          <w:t>http://www.cdc.gov/nceh/lead/acclpp/final_document_030712.pdf</w:t>
        </w:r>
      </w:hyperlink>
      <w:r w:rsidR="005774E0" w:rsidRPr="005774E0">
        <w:rPr>
          <w:rFonts w:ascii="Arial" w:hAnsi="Arial" w:cs="Arial"/>
          <w:sz w:val="18"/>
          <w:szCs w:val="18"/>
        </w:rPr>
        <w:t xml:space="preserve"> </w:t>
      </w:r>
    </w:p>
    <w:p w14:paraId="5999FCE4" w14:textId="5771B681" w:rsidR="005774E0" w:rsidRPr="005774E0" w:rsidRDefault="001D4E50">
      <w:pPr>
        <w:rPr>
          <w:rFonts w:ascii="Arial" w:hAnsi="Arial" w:cs="Arial"/>
          <w:sz w:val="18"/>
          <w:szCs w:val="18"/>
        </w:rPr>
      </w:pPr>
      <w:r>
        <w:rPr>
          <w:rFonts w:ascii="Arial" w:hAnsi="Arial" w:cs="Arial"/>
          <w:sz w:val="18"/>
          <w:szCs w:val="18"/>
        </w:rPr>
        <w:t xml:space="preserve">2. </w:t>
      </w:r>
      <w:proofErr w:type="spellStart"/>
      <w:r w:rsidR="005774E0" w:rsidRPr="005774E0">
        <w:rPr>
          <w:rFonts w:ascii="Arial" w:hAnsi="Arial" w:cs="Arial"/>
          <w:sz w:val="18"/>
          <w:szCs w:val="18"/>
        </w:rPr>
        <w:t>Lanphear</w:t>
      </w:r>
      <w:proofErr w:type="spellEnd"/>
      <w:r w:rsidR="005774E0" w:rsidRPr="005774E0">
        <w:rPr>
          <w:rFonts w:ascii="Arial" w:hAnsi="Arial" w:cs="Arial"/>
          <w:sz w:val="18"/>
          <w:szCs w:val="18"/>
        </w:rPr>
        <w:t xml:space="preserve"> BP</w:t>
      </w:r>
      <w:r w:rsidR="008D392D">
        <w:rPr>
          <w:rFonts w:ascii="Arial" w:hAnsi="Arial" w:cs="Arial"/>
          <w:sz w:val="18"/>
          <w:szCs w:val="18"/>
        </w:rPr>
        <w:t>.</w:t>
      </w:r>
      <w:r w:rsidR="005774E0" w:rsidRPr="005774E0">
        <w:rPr>
          <w:rFonts w:ascii="Arial" w:hAnsi="Arial" w:cs="Arial"/>
          <w:sz w:val="18"/>
          <w:szCs w:val="18"/>
        </w:rPr>
        <w:t xml:space="preserve"> “The Conquest of Lead Poisoning: A Pyrrhic Victory</w:t>
      </w:r>
      <w:r w:rsidR="008D392D">
        <w:rPr>
          <w:rFonts w:ascii="Arial" w:hAnsi="Arial" w:cs="Arial"/>
          <w:sz w:val="18"/>
          <w:szCs w:val="18"/>
        </w:rPr>
        <w:t>.</w:t>
      </w:r>
      <w:r w:rsidR="005774E0" w:rsidRPr="005774E0">
        <w:rPr>
          <w:rFonts w:ascii="Arial" w:hAnsi="Arial" w:cs="Arial"/>
          <w:sz w:val="18"/>
          <w:szCs w:val="18"/>
        </w:rPr>
        <w:t>” Environmental Health Perspectives</w:t>
      </w:r>
      <w:r w:rsidR="008D392D">
        <w:rPr>
          <w:rFonts w:ascii="Arial" w:hAnsi="Arial" w:cs="Arial"/>
          <w:sz w:val="18"/>
          <w:szCs w:val="18"/>
        </w:rPr>
        <w:t>,</w:t>
      </w:r>
      <w:r w:rsidR="005774E0" w:rsidRPr="005774E0">
        <w:rPr>
          <w:rFonts w:ascii="Arial" w:hAnsi="Arial" w:cs="Arial"/>
          <w:sz w:val="18"/>
          <w:szCs w:val="18"/>
        </w:rPr>
        <w:t xml:space="preserve"> 2007, </w:t>
      </w:r>
      <w:r w:rsidR="008D392D">
        <w:rPr>
          <w:rFonts w:ascii="Arial" w:hAnsi="Arial" w:cs="Arial"/>
          <w:sz w:val="18"/>
          <w:szCs w:val="18"/>
        </w:rPr>
        <w:t>115(10</w:t>
      </w:r>
      <w:proofErr w:type="gramStart"/>
      <w:r w:rsidR="008D392D">
        <w:rPr>
          <w:rFonts w:ascii="Arial" w:hAnsi="Arial" w:cs="Arial"/>
          <w:sz w:val="18"/>
          <w:szCs w:val="18"/>
        </w:rPr>
        <w:t>):</w:t>
      </w:r>
      <w:r w:rsidR="005774E0" w:rsidRPr="005774E0">
        <w:rPr>
          <w:rFonts w:ascii="Arial" w:hAnsi="Arial" w:cs="Arial"/>
          <w:sz w:val="18"/>
          <w:szCs w:val="18"/>
        </w:rPr>
        <w:t>A</w:t>
      </w:r>
      <w:proofErr w:type="gramEnd"/>
      <w:r w:rsidR="005774E0" w:rsidRPr="005774E0">
        <w:rPr>
          <w:rFonts w:ascii="Arial" w:hAnsi="Arial" w:cs="Arial"/>
          <w:sz w:val="18"/>
          <w:szCs w:val="18"/>
        </w:rPr>
        <w:t xml:space="preserve">484–A485. </w:t>
      </w:r>
    </w:p>
    <w:p w14:paraId="091232A8" w14:textId="2133393E" w:rsidR="008D392D" w:rsidRDefault="001D4E50">
      <w:pPr>
        <w:rPr>
          <w:rFonts w:ascii="Arial" w:hAnsi="Arial" w:cs="Arial"/>
          <w:sz w:val="18"/>
          <w:szCs w:val="18"/>
        </w:rPr>
      </w:pPr>
      <w:r>
        <w:rPr>
          <w:rFonts w:ascii="Arial" w:hAnsi="Arial" w:cs="Arial"/>
          <w:sz w:val="18"/>
          <w:szCs w:val="18"/>
        </w:rPr>
        <w:t xml:space="preserve">3. </w:t>
      </w:r>
      <w:r w:rsidR="005774E0" w:rsidRPr="005774E0">
        <w:rPr>
          <w:rFonts w:ascii="Arial" w:hAnsi="Arial" w:cs="Arial"/>
          <w:sz w:val="18"/>
          <w:szCs w:val="18"/>
        </w:rPr>
        <w:t>Brown</w:t>
      </w:r>
      <w:r w:rsidR="008D392D">
        <w:rPr>
          <w:rFonts w:ascii="Arial" w:hAnsi="Arial" w:cs="Arial"/>
          <w:sz w:val="18"/>
          <w:szCs w:val="18"/>
        </w:rPr>
        <w:t xml:space="preserve"> </w:t>
      </w:r>
      <w:r w:rsidR="005774E0" w:rsidRPr="005774E0">
        <w:rPr>
          <w:rFonts w:ascii="Arial" w:hAnsi="Arial" w:cs="Arial"/>
          <w:sz w:val="18"/>
          <w:szCs w:val="18"/>
        </w:rPr>
        <w:t>MJ. “Costs and Benefits of Enforcing Housing Policies to Prevent Childhood Lead Poisoning.” Medical Decision Making, 2002, 22:482-492</w:t>
      </w:r>
      <w:r w:rsidR="008D392D">
        <w:rPr>
          <w:rFonts w:ascii="Arial" w:hAnsi="Arial" w:cs="Arial"/>
          <w:sz w:val="18"/>
          <w:szCs w:val="18"/>
        </w:rPr>
        <w:t>.</w:t>
      </w:r>
    </w:p>
    <w:p w14:paraId="1F285E36" w14:textId="35E98234" w:rsidR="008D392D" w:rsidRDefault="008D392D">
      <w:pPr>
        <w:rPr>
          <w:rFonts w:ascii="Arial" w:hAnsi="Arial" w:cs="Arial"/>
          <w:sz w:val="18"/>
          <w:szCs w:val="18"/>
        </w:rPr>
      </w:pPr>
      <w:r>
        <w:rPr>
          <w:rFonts w:ascii="Arial" w:hAnsi="Arial" w:cs="Arial"/>
          <w:sz w:val="18"/>
          <w:szCs w:val="18"/>
        </w:rPr>
        <w:t xml:space="preserve">4. </w:t>
      </w:r>
      <w:r w:rsidR="005774E0" w:rsidRPr="005774E0">
        <w:rPr>
          <w:rFonts w:ascii="Arial" w:hAnsi="Arial" w:cs="Arial"/>
          <w:sz w:val="18"/>
          <w:szCs w:val="18"/>
        </w:rPr>
        <w:t>Gould</w:t>
      </w:r>
      <w:r>
        <w:rPr>
          <w:rFonts w:ascii="Arial" w:hAnsi="Arial" w:cs="Arial"/>
          <w:sz w:val="18"/>
          <w:szCs w:val="18"/>
        </w:rPr>
        <w:t xml:space="preserve"> </w:t>
      </w:r>
      <w:r w:rsidR="005774E0" w:rsidRPr="005774E0">
        <w:rPr>
          <w:rFonts w:ascii="Arial" w:hAnsi="Arial" w:cs="Arial"/>
          <w:sz w:val="18"/>
          <w:szCs w:val="18"/>
        </w:rPr>
        <w:t xml:space="preserve">E. “Childhood Lead Poisoning: Conservative Estimates of the Social and Economic Benefits of Lead Hazard Control.” Environmental Health Perspectives, </w:t>
      </w:r>
      <w:r>
        <w:rPr>
          <w:rFonts w:ascii="Arial" w:hAnsi="Arial" w:cs="Arial"/>
          <w:sz w:val="18"/>
          <w:szCs w:val="18"/>
        </w:rPr>
        <w:t xml:space="preserve">2009, </w:t>
      </w:r>
      <w:r w:rsidR="005774E0" w:rsidRPr="005774E0">
        <w:rPr>
          <w:rFonts w:ascii="Arial" w:hAnsi="Arial" w:cs="Arial"/>
          <w:sz w:val="18"/>
          <w:szCs w:val="18"/>
        </w:rPr>
        <w:t>117(7):1162-1167</w:t>
      </w:r>
      <w:r>
        <w:rPr>
          <w:rFonts w:ascii="Arial" w:hAnsi="Arial" w:cs="Arial"/>
          <w:sz w:val="18"/>
          <w:szCs w:val="18"/>
        </w:rPr>
        <w:t>.</w:t>
      </w:r>
    </w:p>
    <w:p w14:paraId="3945B41A" w14:textId="26E66F9B" w:rsidR="00C60C9C" w:rsidRDefault="008D392D">
      <w:pPr>
        <w:rPr>
          <w:rFonts w:ascii="Arial" w:hAnsi="Arial" w:cs="Arial"/>
          <w:sz w:val="18"/>
          <w:szCs w:val="18"/>
        </w:rPr>
      </w:pPr>
      <w:r>
        <w:rPr>
          <w:rFonts w:ascii="Arial" w:hAnsi="Arial" w:cs="Arial"/>
          <w:sz w:val="18"/>
          <w:szCs w:val="18"/>
        </w:rPr>
        <w:t xml:space="preserve">5. </w:t>
      </w:r>
      <w:r w:rsidR="005774E0" w:rsidRPr="005774E0">
        <w:rPr>
          <w:rFonts w:ascii="Arial" w:hAnsi="Arial" w:cs="Arial"/>
          <w:sz w:val="18"/>
          <w:szCs w:val="18"/>
        </w:rPr>
        <w:t>Reyes</w:t>
      </w:r>
      <w:r>
        <w:rPr>
          <w:rFonts w:ascii="Arial" w:hAnsi="Arial" w:cs="Arial"/>
          <w:sz w:val="18"/>
          <w:szCs w:val="18"/>
        </w:rPr>
        <w:t xml:space="preserve"> </w:t>
      </w:r>
      <w:r w:rsidR="005774E0" w:rsidRPr="005774E0">
        <w:rPr>
          <w:rFonts w:ascii="Arial" w:hAnsi="Arial" w:cs="Arial"/>
          <w:sz w:val="18"/>
          <w:szCs w:val="18"/>
        </w:rPr>
        <w:t>J</w:t>
      </w:r>
      <w:r>
        <w:rPr>
          <w:rFonts w:ascii="Arial" w:hAnsi="Arial" w:cs="Arial"/>
          <w:sz w:val="18"/>
          <w:szCs w:val="18"/>
        </w:rPr>
        <w:t>.</w:t>
      </w:r>
      <w:r w:rsidR="005774E0" w:rsidRPr="005774E0">
        <w:rPr>
          <w:rFonts w:ascii="Arial" w:hAnsi="Arial" w:cs="Arial"/>
          <w:sz w:val="18"/>
          <w:szCs w:val="18"/>
        </w:rPr>
        <w:t xml:space="preserve"> “Environmental Policy as Social Policy? The Impact of Childhood Lead Exposure on Crime.” National Bureau of Economic Research, </w:t>
      </w:r>
      <w:r w:rsidR="00C75C0C">
        <w:rPr>
          <w:rFonts w:ascii="Arial" w:hAnsi="Arial" w:cs="Arial"/>
          <w:sz w:val="18"/>
          <w:szCs w:val="18"/>
        </w:rPr>
        <w:t xml:space="preserve">May </w:t>
      </w:r>
      <w:r w:rsidR="005774E0" w:rsidRPr="005774E0">
        <w:rPr>
          <w:rFonts w:ascii="Arial" w:hAnsi="Arial" w:cs="Arial"/>
          <w:sz w:val="18"/>
          <w:szCs w:val="18"/>
        </w:rPr>
        <w:t xml:space="preserve">2007. Available at </w:t>
      </w:r>
      <w:hyperlink r:id="rId34" w:history="1">
        <w:r w:rsidR="00FD7D1C" w:rsidRPr="000D75D4">
          <w:rPr>
            <w:rStyle w:val="Hyperlink"/>
            <w:rFonts w:ascii="Arial" w:hAnsi="Arial" w:cs="Arial"/>
            <w:sz w:val="18"/>
            <w:szCs w:val="18"/>
          </w:rPr>
          <w:t>http://www.nber.org/papers/w13097</w:t>
        </w:r>
      </w:hyperlink>
      <w:r w:rsidR="005774E0" w:rsidRPr="005774E0">
        <w:rPr>
          <w:rFonts w:ascii="Arial" w:hAnsi="Arial" w:cs="Arial"/>
          <w:sz w:val="18"/>
          <w:szCs w:val="18"/>
        </w:rPr>
        <w:t>.</w:t>
      </w:r>
    </w:p>
    <w:p w14:paraId="7A8CB8A2" w14:textId="64734834" w:rsidR="008D392D" w:rsidRDefault="00C27014">
      <w:pPr>
        <w:rPr>
          <w:rFonts w:ascii="Arial" w:hAnsi="Arial" w:cs="Arial"/>
          <w:sz w:val="18"/>
          <w:szCs w:val="18"/>
        </w:rPr>
      </w:pPr>
      <w:r>
        <w:rPr>
          <w:rFonts w:ascii="Arial" w:hAnsi="Arial" w:cs="Arial"/>
          <w:sz w:val="18"/>
          <w:szCs w:val="18"/>
        </w:rPr>
        <w:t>6</w:t>
      </w:r>
      <w:r w:rsidR="001D4E50">
        <w:rPr>
          <w:rFonts w:ascii="Arial" w:hAnsi="Arial" w:cs="Arial"/>
          <w:sz w:val="18"/>
          <w:szCs w:val="18"/>
        </w:rPr>
        <w:t xml:space="preserve">. </w:t>
      </w:r>
      <w:r w:rsidR="005F737D" w:rsidRPr="006D347D">
        <w:rPr>
          <w:rFonts w:ascii="Arial" w:hAnsi="Arial" w:cs="Arial"/>
          <w:sz w:val="18"/>
          <w:szCs w:val="18"/>
        </w:rPr>
        <w:t>Sampson RJ</w:t>
      </w:r>
      <w:r w:rsidR="00C75C0C">
        <w:rPr>
          <w:rFonts w:ascii="Arial" w:hAnsi="Arial" w:cs="Arial"/>
          <w:sz w:val="18"/>
          <w:szCs w:val="18"/>
        </w:rPr>
        <w:t xml:space="preserve"> and Winter AS</w:t>
      </w:r>
      <w:r w:rsidR="005F737D" w:rsidRPr="006D347D">
        <w:rPr>
          <w:rFonts w:ascii="Arial" w:hAnsi="Arial" w:cs="Arial"/>
          <w:sz w:val="18"/>
          <w:szCs w:val="18"/>
        </w:rPr>
        <w:t>. “The Racial Ecology of Lead Poisoning: Toxic Inequality in Chicago Neighborhoods, 1995-2013</w:t>
      </w:r>
      <w:r w:rsidR="008D392D">
        <w:rPr>
          <w:rFonts w:ascii="Arial" w:hAnsi="Arial" w:cs="Arial"/>
          <w:sz w:val="18"/>
          <w:szCs w:val="18"/>
        </w:rPr>
        <w:t>.</w:t>
      </w:r>
      <w:r w:rsidR="005F737D" w:rsidRPr="006D347D">
        <w:rPr>
          <w:rFonts w:ascii="Arial" w:hAnsi="Arial" w:cs="Arial"/>
          <w:sz w:val="18"/>
          <w:szCs w:val="18"/>
        </w:rPr>
        <w:t>” Du</w:t>
      </w:r>
      <w:r w:rsidR="00C75C0C">
        <w:rPr>
          <w:rFonts w:ascii="Arial" w:hAnsi="Arial" w:cs="Arial"/>
          <w:sz w:val="18"/>
          <w:szCs w:val="18"/>
        </w:rPr>
        <w:t xml:space="preserve"> </w:t>
      </w:r>
      <w:proofErr w:type="spellStart"/>
      <w:r w:rsidR="005F737D" w:rsidRPr="006D347D">
        <w:rPr>
          <w:rFonts w:ascii="Arial" w:hAnsi="Arial" w:cs="Arial"/>
          <w:sz w:val="18"/>
          <w:szCs w:val="18"/>
        </w:rPr>
        <w:t>Bois</w:t>
      </w:r>
      <w:proofErr w:type="spellEnd"/>
      <w:r w:rsidR="005F737D" w:rsidRPr="006D347D">
        <w:rPr>
          <w:rFonts w:ascii="Arial" w:hAnsi="Arial" w:cs="Arial"/>
          <w:sz w:val="18"/>
          <w:szCs w:val="18"/>
        </w:rPr>
        <w:t xml:space="preserve"> Review:</w:t>
      </w:r>
      <w:r w:rsidR="00C75C0C">
        <w:rPr>
          <w:rFonts w:ascii="Arial" w:hAnsi="Arial" w:cs="Arial"/>
          <w:sz w:val="18"/>
          <w:szCs w:val="18"/>
        </w:rPr>
        <w:t xml:space="preserve"> </w:t>
      </w:r>
      <w:r w:rsidR="005F737D" w:rsidRPr="006D347D">
        <w:rPr>
          <w:rFonts w:ascii="Arial" w:hAnsi="Arial" w:cs="Arial"/>
          <w:sz w:val="18"/>
          <w:szCs w:val="18"/>
        </w:rPr>
        <w:t>Social Science Research on Race</w:t>
      </w:r>
      <w:r w:rsidR="00C75C0C">
        <w:rPr>
          <w:rFonts w:ascii="Arial" w:hAnsi="Arial" w:cs="Arial"/>
          <w:sz w:val="18"/>
          <w:szCs w:val="18"/>
        </w:rPr>
        <w:t>,</w:t>
      </w:r>
      <w:r w:rsidR="008D392D">
        <w:rPr>
          <w:rFonts w:ascii="Arial" w:hAnsi="Arial" w:cs="Arial"/>
          <w:sz w:val="18"/>
          <w:szCs w:val="18"/>
        </w:rPr>
        <w:t xml:space="preserve"> </w:t>
      </w:r>
      <w:r w:rsidR="005F737D" w:rsidRPr="006D347D">
        <w:rPr>
          <w:rFonts w:ascii="Arial" w:hAnsi="Arial" w:cs="Arial"/>
          <w:sz w:val="18"/>
          <w:szCs w:val="18"/>
        </w:rPr>
        <w:t>2016</w:t>
      </w:r>
      <w:r w:rsidR="00C75C0C">
        <w:rPr>
          <w:rFonts w:ascii="Arial" w:hAnsi="Arial" w:cs="Arial"/>
          <w:sz w:val="18"/>
          <w:szCs w:val="18"/>
        </w:rPr>
        <w:t>, 13(2):261-283</w:t>
      </w:r>
      <w:r w:rsidR="008D392D">
        <w:rPr>
          <w:rFonts w:ascii="Arial" w:hAnsi="Arial" w:cs="Arial"/>
          <w:sz w:val="18"/>
          <w:szCs w:val="18"/>
        </w:rPr>
        <w:t>.</w:t>
      </w:r>
    </w:p>
    <w:p w14:paraId="41910B62" w14:textId="7832EDB2" w:rsidR="00C60C9C" w:rsidRDefault="00C27014">
      <w:pPr>
        <w:rPr>
          <w:rFonts w:ascii="Arial" w:hAnsi="Arial" w:cs="Arial"/>
          <w:sz w:val="18"/>
          <w:szCs w:val="18"/>
        </w:rPr>
      </w:pPr>
      <w:r>
        <w:rPr>
          <w:rFonts w:ascii="Arial" w:hAnsi="Arial" w:cs="Arial"/>
          <w:sz w:val="18"/>
          <w:szCs w:val="18"/>
        </w:rPr>
        <w:t>7</w:t>
      </w:r>
      <w:r w:rsidR="008D392D">
        <w:rPr>
          <w:rFonts w:ascii="Arial" w:hAnsi="Arial" w:cs="Arial"/>
          <w:sz w:val="18"/>
          <w:szCs w:val="18"/>
        </w:rPr>
        <w:t xml:space="preserve">. </w:t>
      </w:r>
      <w:r w:rsidR="005F737D" w:rsidRPr="006D347D">
        <w:rPr>
          <w:rFonts w:ascii="Arial" w:hAnsi="Arial" w:cs="Arial"/>
          <w:sz w:val="18"/>
          <w:szCs w:val="18"/>
        </w:rPr>
        <w:t>Moody H</w:t>
      </w:r>
      <w:r w:rsidR="008D392D">
        <w:rPr>
          <w:rFonts w:ascii="Arial" w:hAnsi="Arial" w:cs="Arial"/>
          <w:sz w:val="18"/>
          <w:szCs w:val="18"/>
        </w:rPr>
        <w:t>A</w:t>
      </w:r>
      <w:r w:rsidR="005F737D" w:rsidRPr="006D347D">
        <w:rPr>
          <w:rFonts w:ascii="Arial" w:hAnsi="Arial" w:cs="Arial"/>
          <w:sz w:val="18"/>
          <w:szCs w:val="18"/>
        </w:rPr>
        <w:t>, Darden J</w:t>
      </w:r>
      <w:r w:rsidR="008D392D">
        <w:rPr>
          <w:rFonts w:ascii="Arial" w:hAnsi="Arial" w:cs="Arial"/>
          <w:sz w:val="18"/>
          <w:szCs w:val="18"/>
        </w:rPr>
        <w:t>T,</w:t>
      </w:r>
      <w:r w:rsidR="005F737D" w:rsidRPr="006D347D">
        <w:rPr>
          <w:rFonts w:ascii="Arial" w:hAnsi="Arial" w:cs="Arial"/>
          <w:sz w:val="18"/>
          <w:szCs w:val="18"/>
        </w:rPr>
        <w:t xml:space="preserve"> and </w:t>
      </w:r>
      <w:proofErr w:type="spellStart"/>
      <w:r w:rsidR="005F737D" w:rsidRPr="006D347D">
        <w:rPr>
          <w:rFonts w:ascii="Arial" w:hAnsi="Arial" w:cs="Arial"/>
          <w:sz w:val="18"/>
          <w:szCs w:val="18"/>
        </w:rPr>
        <w:t>Pigozzi</w:t>
      </w:r>
      <w:proofErr w:type="spellEnd"/>
      <w:r w:rsidR="005F737D" w:rsidRPr="006D347D">
        <w:rPr>
          <w:rFonts w:ascii="Arial" w:hAnsi="Arial" w:cs="Arial"/>
          <w:sz w:val="18"/>
          <w:szCs w:val="18"/>
        </w:rPr>
        <w:t xml:space="preserve"> B</w:t>
      </w:r>
      <w:r w:rsidR="008D392D">
        <w:rPr>
          <w:rFonts w:ascii="Arial" w:hAnsi="Arial" w:cs="Arial"/>
          <w:sz w:val="18"/>
          <w:szCs w:val="18"/>
        </w:rPr>
        <w:t>W</w:t>
      </w:r>
      <w:r w:rsidR="005F737D" w:rsidRPr="006D347D">
        <w:rPr>
          <w:rFonts w:ascii="Arial" w:hAnsi="Arial" w:cs="Arial"/>
          <w:sz w:val="18"/>
          <w:szCs w:val="18"/>
        </w:rPr>
        <w:t>. “The Relationship of Neighborhood Socioeconomic Differences and Racial Residential Segregation to Childhood Blood Lead Levels in Metropolitan Detroit</w:t>
      </w:r>
      <w:r w:rsidR="008D392D">
        <w:rPr>
          <w:rFonts w:ascii="Arial" w:hAnsi="Arial" w:cs="Arial"/>
          <w:sz w:val="18"/>
          <w:szCs w:val="18"/>
        </w:rPr>
        <w:t>.</w:t>
      </w:r>
      <w:r w:rsidR="005F737D" w:rsidRPr="006D347D">
        <w:rPr>
          <w:rFonts w:ascii="Arial" w:hAnsi="Arial" w:cs="Arial"/>
          <w:sz w:val="18"/>
          <w:szCs w:val="18"/>
        </w:rPr>
        <w:t xml:space="preserve">” Journal of Urban Health, </w:t>
      </w:r>
      <w:r w:rsidR="008D392D">
        <w:rPr>
          <w:rFonts w:ascii="Arial" w:hAnsi="Arial" w:cs="Arial"/>
          <w:sz w:val="18"/>
          <w:szCs w:val="18"/>
        </w:rPr>
        <w:t>2016, 93(5):</w:t>
      </w:r>
      <w:r w:rsidR="005F737D" w:rsidRPr="006D347D">
        <w:rPr>
          <w:rFonts w:ascii="Arial" w:hAnsi="Arial" w:cs="Arial"/>
          <w:sz w:val="18"/>
          <w:szCs w:val="18"/>
        </w:rPr>
        <w:t>820-839</w:t>
      </w:r>
      <w:r w:rsidR="008D392D">
        <w:rPr>
          <w:rFonts w:ascii="Arial" w:hAnsi="Arial" w:cs="Arial"/>
          <w:sz w:val="18"/>
          <w:szCs w:val="18"/>
        </w:rPr>
        <w:t>.</w:t>
      </w:r>
    </w:p>
    <w:p w14:paraId="54D5B47B" w14:textId="2579C567" w:rsidR="005A67CA" w:rsidRDefault="005A67CA">
      <w:pPr>
        <w:rPr>
          <w:rFonts w:ascii="Arial" w:hAnsi="Arial" w:cs="Arial"/>
          <w:sz w:val="18"/>
          <w:szCs w:val="18"/>
        </w:rPr>
      </w:pPr>
    </w:p>
    <w:p w14:paraId="4B96B76A" w14:textId="700743C8" w:rsidR="005A67CA" w:rsidRDefault="005A67CA">
      <w:pPr>
        <w:rPr>
          <w:rFonts w:ascii="Arial" w:hAnsi="Arial" w:cs="Arial"/>
          <w:sz w:val="18"/>
          <w:szCs w:val="18"/>
        </w:rPr>
      </w:pPr>
    </w:p>
    <w:p w14:paraId="61C04D89" w14:textId="296B609B" w:rsidR="005A67CA" w:rsidRDefault="005A67CA">
      <w:pPr>
        <w:rPr>
          <w:rFonts w:ascii="Arial" w:hAnsi="Arial" w:cs="Arial"/>
          <w:sz w:val="18"/>
          <w:szCs w:val="18"/>
        </w:rPr>
      </w:pPr>
    </w:p>
    <w:p w14:paraId="1765DA00" w14:textId="3968F49D" w:rsidR="005A67CA" w:rsidRDefault="005A67CA">
      <w:pPr>
        <w:rPr>
          <w:rFonts w:ascii="Arial" w:hAnsi="Arial" w:cs="Arial"/>
          <w:sz w:val="18"/>
          <w:szCs w:val="18"/>
        </w:rPr>
      </w:pPr>
    </w:p>
    <w:p w14:paraId="0A7CF0DF" w14:textId="76315993" w:rsidR="005A67CA" w:rsidRDefault="005A67CA">
      <w:pPr>
        <w:rPr>
          <w:rFonts w:ascii="Arial" w:hAnsi="Arial" w:cs="Arial"/>
          <w:sz w:val="18"/>
          <w:szCs w:val="18"/>
        </w:rPr>
      </w:pPr>
    </w:p>
    <w:p w14:paraId="5E464FF1" w14:textId="4A75ADFC" w:rsidR="005A67CA" w:rsidRDefault="005A67CA">
      <w:pPr>
        <w:rPr>
          <w:rFonts w:ascii="Arial" w:hAnsi="Arial" w:cs="Arial"/>
          <w:sz w:val="18"/>
          <w:szCs w:val="18"/>
        </w:rPr>
      </w:pPr>
    </w:p>
    <w:p w14:paraId="1FA089CB" w14:textId="6CD30424" w:rsidR="005A67CA" w:rsidRDefault="005A67CA">
      <w:pPr>
        <w:rPr>
          <w:rFonts w:ascii="Arial" w:hAnsi="Arial" w:cs="Arial"/>
          <w:sz w:val="18"/>
          <w:szCs w:val="18"/>
        </w:rPr>
      </w:pPr>
    </w:p>
    <w:p w14:paraId="7652B948" w14:textId="5E9B080C" w:rsidR="005A67CA" w:rsidRDefault="005A67CA">
      <w:pPr>
        <w:rPr>
          <w:rFonts w:ascii="Arial" w:hAnsi="Arial" w:cs="Arial"/>
          <w:sz w:val="18"/>
          <w:szCs w:val="18"/>
        </w:rPr>
      </w:pPr>
    </w:p>
    <w:p w14:paraId="7C90AF2A" w14:textId="559CD34B" w:rsidR="005A67CA" w:rsidRDefault="005A67CA">
      <w:pPr>
        <w:rPr>
          <w:rFonts w:ascii="Arial" w:hAnsi="Arial" w:cs="Arial"/>
          <w:sz w:val="18"/>
          <w:szCs w:val="18"/>
        </w:rPr>
      </w:pPr>
    </w:p>
    <w:p w14:paraId="7C62D9F4" w14:textId="7750738D" w:rsidR="005A67CA" w:rsidRDefault="005A67CA">
      <w:pPr>
        <w:rPr>
          <w:rFonts w:ascii="Arial" w:hAnsi="Arial" w:cs="Arial"/>
          <w:sz w:val="18"/>
          <w:szCs w:val="18"/>
        </w:rPr>
      </w:pPr>
    </w:p>
    <w:p w14:paraId="646DE99F" w14:textId="67A86D46" w:rsidR="005A67CA" w:rsidRDefault="005A67CA">
      <w:pPr>
        <w:rPr>
          <w:rFonts w:ascii="Arial" w:hAnsi="Arial" w:cs="Arial"/>
          <w:sz w:val="18"/>
          <w:szCs w:val="18"/>
        </w:rPr>
      </w:pPr>
    </w:p>
    <w:p w14:paraId="43750194" w14:textId="7ACA5ADC" w:rsidR="005A67CA" w:rsidRDefault="005A67CA">
      <w:pPr>
        <w:rPr>
          <w:rFonts w:ascii="Arial" w:hAnsi="Arial" w:cs="Arial"/>
          <w:sz w:val="18"/>
          <w:szCs w:val="18"/>
        </w:rPr>
      </w:pPr>
    </w:p>
    <w:p w14:paraId="400CB0CB" w14:textId="41E733C9" w:rsidR="005A67CA" w:rsidRDefault="005A67CA">
      <w:pPr>
        <w:rPr>
          <w:rFonts w:ascii="Arial" w:hAnsi="Arial" w:cs="Arial"/>
          <w:sz w:val="18"/>
          <w:szCs w:val="18"/>
        </w:rPr>
      </w:pPr>
    </w:p>
    <w:p w14:paraId="5DBA9044" w14:textId="593D7045" w:rsidR="005A67CA" w:rsidRDefault="005A67CA">
      <w:pPr>
        <w:rPr>
          <w:rFonts w:ascii="Arial" w:hAnsi="Arial" w:cs="Arial"/>
          <w:sz w:val="18"/>
          <w:szCs w:val="18"/>
        </w:rPr>
      </w:pPr>
    </w:p>
    <w:p w14:paraId="6420731E" w14:textId="4BED2030" w:rsidR="005A67CA" w:rsidRDefault="005A67CA">
      <w:pPr>
        <w:rPr>
          <w:rFonts w:ascii="Arial" w:hAnsi="Arial" w:cs="Arial"/>
          <w:sz w:val="18"/>
          <w:szCs w:val="18"/>
        </w:rPr>
      </w:pPr>
    </w:p>
    <w:p w14:paraId="62F8A68E" w14:textId="77777777" w:rsidR="005A67CA" w:rsidRDefault="005A67CA">
      <w:pPr>
        <w:rPr>
          <w:rFonts w:ascii="Arial" w:hAnsi="Arial" w:cs="Arial"/>
          <w:sz w:val="18"/>
          <w:szCs w:val="18"/>
        </w:rPr>
      </w:pPr>
    </w:p>
    <w:p w14:paraId="73205A89" w14:textId="56DFBE82" w:rsidR="00FD7D1C" w:rsidRPr="00A84127" w:rsidRDefault="00FD7D1C" w:rsidP="00FD7D1C">
      <w:pPr>
        <w:rPr>
          <w:rFonts w:ascii="Arial" w:hAnsi="Arial" w:cs="Arial"/>
          <w:sz w:val="18"/>
          <w:szCs w:val="18"/>
        </w:rPr>
      </w:pPr>
      <w:r>
        <w:rPr>
          <w:noProof/>
        </w:rPr>
        <mc:AlternateContent>
          <mc:Choice Requires="wps">
            <w:drawing>
              <wp:anchor distT="0" distB="0" distL="114300" distR="114300" simplePos="0" relativeHeight="251673600" behindDoc="0" locked="0" layoutInCell="1" allowOverlap="1" wp14:anchorId="2B3BAD1A" wp14:editId="37C89510">
                <wp:simplePos x="0" y="0"/>
                <wp:positionH relativeFrom="page">
                  <wp:align>left</wp:align>
                </wp:positionH>
                <wp:positionV relativeFrom="paragraph">
                  <wp:posOffset>14605</wp:posOffset>
                </wp:positionV>
                <wp:extent cx="7815376" cy="86264"/>
                <wp:effectExtent l="0" t="0" r="14605" b="28575"/>
                <wp:wrapNone/>
                <wp:docPr id="5" name="Rectangle 5"/>
                <wp:cNvGraphicFramePr/>
                <a:graphic xmlns:a="http://schemas.openxmlformats.org/drawingml/2006/main">
                  <a:graphicData uri="http://schemas.microsoft.com/office/word/2010/wordprocessingShape">
                    <wps:wsp>
                      <wps:cNvSpPr/>
                      <wps:spPr>
                        <a:xfrm>
                          <a:off x="0" y="0"/>
                          <a:ext cx="7815376" cy="86264"/>
                        </a:xfrm>
                        <a:prstGeom prst="rect">
                          <a:avLst/>
                        </a:prstGeom>
                        <a:solidFill>
                          <a:srgbClr val="27415F"/>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rect w14:anchorId="45908969" id="Rectangle 5" o:spid="_x0000_s1026" style="position:absolute;margin-left:0;margin-top:1.15pt;width:615.4pt;height:6.8pt;z-index:25167360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" fillcolor="#27415f" strokecolor="#1f3763 [1604]" strokeweight="1pt">
                <w10:wrap anchorx="page"/>
              </v:rect>
            </w:pict>
          </mc:Fallback>
        </mc:AlternateContent>
      </w:r>
    </w:p>
    <w:p w14:paraId="44533D0F" w14:textId="14D1B2FC" w:rsidR="00FD7D1C" w:rsidRPr="00C53D2B" w:rsidRDefault="00493BD0" w:rsidP="00FD7D1C">
      <w:pPr>
        <w:rPr>
          <w:rFonts w:ascii="Arial" w:hAnsi="Arial" w:cs="Arial"/>
          <w:b/>
          <w:bCs/>
          <w:sz w:val="20"/>
          <w:szCs w:val="20"/>
        </w:rPr>
      </w:pPr>
      <w:r>
        <w:rPr>
          <w:noProof/>
        </w:rPr>
        <w:drawing>
          <wp:anchor distT="0" distB="0" distL="114300" distR="114300" simplePos="0" relativeHeight="251697152" behindDoc="0" locked="0" layoutInCell="1" allowOverlap="1" wp14:anchorId="757453B2" wp14:editId="250B61C7">
            <wp:simplePos x="0" y="0"/>
            <wp:positionH relativeFrom="column">
              <wp:posOffset>5822950</wp:posOffset>
            </wp:positionH>
            <wp:positionV relativeFrom="paragraph">
              <wp:posOffset>10795</wp:posOffset>
            </wp:positionV>
            <wp:extent cx="901700" cy="914400"/>
            <wp:effectExtent l="0" t="0" r="0" b="0"/>
            <wp:wrapThrough wrapText="bothSides">
              <wp:wrapPolygon edited="0">
                <wp:start x="6845" y="0"/>
                <wp:lineTo x="4107" y="1350"/>
                <wp:lineTo x="0" y="5400"/>
                <wp:lineTo x="0" y="16200"/>
                <wp:lineTo x="5932" y="21150"/>
                <wp:lineTo x="8214" y="21150"/>
                <wp:lineTo x="12777" y="21150"/>
                <wp:lineTo x="15059" y="21150"/>
                <wp:lineTo x="20992" y="16200"/>
                <wp:lineTo x="20992" y="5400"/>
                <wp:lineTo x="15972" y="450"/>
                <wp:lineTo x="13690" y="0"/>
                <wp:lineTo x="6845" y="0"/>
              </wp:wrapPolygon>
            </wp:wrapThrough>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PHLogo_K.eps"/>
                    <pic:cNvPicPr/>
                  </pic:nvPicPr>
                  <pic:blipFill>
                    <a:blip r:embed="rId8">
                      <a:extLst>
                        <a:ext uri="{28A0092B-C50C-407E-A947-70E740481C1C}">
                          <a14:useLocalDpi xmlns:a14="http://schemas.microsoft.com/office/drawing/2010/main" val="0"/>
                        </a:ext>
                      </a:extLst>
                    </a:blip>
                    <a:stretch>
                      <a:fillRect/>
                    </a:stretch>
                  </pic:blipFill>
                  <pic:spPr>
                    <a:xfrm>
                      <a:off x="0" y="0"/>
                      <a:ext cx="901700" cy="914400"/>
                    </a:xfrm>
                    <a:prstGeom prst="rect">
                      <a:avLst/>
                    </a:prstGeom>
                  </pic:spPr>
                </pic:pic>
              </a:graphicData>
            </a:graphic>
            <wp14:sizeRelH relativeFrom="page">
              <wp14:pctWidth>0</wp14:pctWidth>
            </wp14:sizeRelH>
            <wp14:sizeRelV relativeFrom="page">
              <wp14:pctHeight>0</wp14:pctHeight>
            </wp14:sizeRelV>
          </wp:anchor>
        </w:drawing>
      </w:r>
      <w:r w:rsidR="00FD7D1C" w:rsidRPr="00C53D2B">
        <w:rPr>
          <w:rFonts w:ascii="Arial" w:hAnsi="Arial" w:cs="Arial"/>
          <w:b/>
          <w:bCs/>
          <w:sz w:val="20"/>
          <w:szCs w:val="20"/>
        </w:rPr>
        <w:t xml:space="preserve">For More Information </w:t>
      </w:r>
    </w:p>
    <w:p w14:paraId="485A4104" w14:textId="5FD54C01" w:rsidR="00FD7D1C" w:rsidRPr="00C53D2B" w:rsidRDefault="00FD7D1C" w:rsidP="00FD7D1C">
      <w:pPr>
        <w:rPr>
          <w:rFonts w:ascii="Arial" w:hAnsi="Arial" w:cs="Arial"/>
          <w:sz w:val="20"/>
          <w:szCs w:val="20"/>
        </w:rPr>
      </w:pPr>
      <w:r w:rsidRPr="00C53D2B">
        <w:rPr>
          <w:rFonts w:ascii="Arial" w:hAnsi="Arial" w:cs="Arial"/>
          <w:sz w:val="20"/>
          <w:szCs w:val="20"/>
        </w:rPr>
        <w:t xml:space="preserve">For more information about the Childhood Lead Poisoning Prevention Program in Massachusetts please contact: </w:t>
      </w:r>
    </w:p>
    <w:p w14:paraId="0149E1D0" w14:textId="2B0B3CE7" w:rsidR="00A51C5A" w:rsidRDefault="00A51C5A" w:rsidP="00FD7D1C">
      <w:pPr>
        <w:spacing w:after="0"/>
        <w:rPr>
          <w:rFonts w:ascii="Arial" w:hAnsi="Arial" w:cs="Arial"/>
          <w:b/>
          <w:bCs/>
          <w:color w:val="27415F"/>
          <w:sz w:val="20"/>
          <w:szCs w:val="20"/>
        </w:rPr>
      </w:pPr>
      <w:r>
        <w:rPr>
          <w:rFonts w:ascii="Arial" w:hAnsi="Arial" w:cs="Arial"/>
          <w:b/>
          <w:bCs/>
          <w:color w:val="27415F"/>
          <w:sz w:val="20"/>
          <w:szCs w:val="20"/>
        </w:rPr>
        <w:t>Massachusetts Department of Public Health</w:t>
      </w:r>
    </w:p>
    <w:p w14:paraId="497D04C1" w14:textId="35F48973" w:rsidR="00FD7D1C" w:rsidRPr="00C53D2B" w:rsidRDefault="00FD7D1C" w:rsidP="00FD7D1C">
      <w:pPr>
        <w:spacing w:after="0"/>
        <w:rPr>
          <w:rFonts w:ascii="Arial" w:hAnsi="Arial" w:cs="Arial"/>
          <w:b/>
          <w:bCs/>
          <w:color w:val="27415F"/>
          <w:sz w:val="20"/>
          <w:szCs w:val="20"/>
        </w:rPr>
      </w:pPr>
      <w:r w:rsidRPr="00C53D2B">
        <w:rPr>
          <w:rFonts w:ascii="Arial" w:hAnsi="Arial" w:cs="Arial"/>
          <w:b/>
          <w:bCs/>
          <w:color w:val="27415F"/>
          <w:sz w:val="20"/>
          <w:szCs w:val="20"/>
        </w:rPr>
        <w:t>Childhood Lead Poisoning Prevention Program</w:t>
      </w:r>
    </w:p>
    <w:p w14:paraId="5C2C32D5" w14:textId="23D34C09" w:rsidR="00FD7D1C" w:rsidRPr="00C53D2B" w:rsidRDefault="003F4C8A" w:rsidP="00FD7D1C">
      <w:pPr>
        <w:spacing w:after="0"/>
        <w:rPr>
          <w:rFonts w:ascii="Arial" w:hAnsi="Arial" w:cs="Arial"/>
          <w:b/>
          <w:bCs/>
          <w:color w:val="27415F"/>
          <w:sz w:val="20"/>
          <w:szCs w:val="20"/>
        </w:rPr>
      </w:pPr>
      <w:r w:rsidRPr="00C53D2B">
        <w:rPr>
          <w:rFonts w:eastAsia="Times New Roman" w:cs="Times New Roman"/>
          <w:noProof/>
          <w:sz w:val="20"/>
          <w:szCs w:val="20"/>
        </w:rPr>
        <mc:AlternateContent>
          <mc:Choice Requires="wps">
            <w:drawing>
              <wp:anchor distT="0" distB="0" distL="114300" distR="114300" simplePos="0" relativeHeight="251676672" behindDoc="0" locked="0" layoutInCell="1" allowOverlap="1" wp14:anchorId="45EE5EEE" wp14:editId="17A0CFD0">
                <wp:simplePos x="0" y="0"/>
                <wp:positionH relativeFrom="column">
                  <wp:posOffset>5561937</wp:posOffset>
                </wp:positionH>
                <wp:positionV relativeFrom="paragraph">
                  <wp:posOffset>15627</wp:posOffset>
                </wp:positionV>
                <wp:extent cx="1590261" cy="336550"/>
                <wp:effectExtent l="0" t="0" r="0" b="6350"/>
                <wp:wrapNone/>
                <wp:docPr id="201" name="Text Box 2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90261" cy="336550"/>
                        </a:xfrm>
                        <a:prstGeom prst="rect">
                          <a:avLst/>
                        </a:prstGeom>
                        <a:solidFill>
                          <a:sysClr val="window" lastClr="FFFFFF"/>
                        </a:solidFill>
                        <a:ln w="6350">
                          <a:noFill/>
                        </a:ln>
                        <a:effectLst/>
                      </wps:spPr>
                      <wps:txbx>
                        <w:txbxContent>
                          <w:p w14:paraId="7492EB04" w14:textId="13BA7A20" w:rsidR="005E6FB1" w:rsidRPr="005A0595" w:rsidRDefault="005E6FB1" w:rsidP="002C35E7">
                            <w:pPr>
                              <w:rPr>
                                <w:rFonts w:ascii="Arial" w:hAnsi="Arial" w:cs="Arial"/>
                                <w:b/>
                                <w:bCs/>
                                <w:sz w:val="18"/>
                                <w:szCs w:val="24"/>
                              </w:rPr>
                            </w:pPr>
                            <w:r w:rsidRPr="005A0595">
                              <w:rPr>
                                <w:b/>
                                <w:sz w:val="18"/>
                                <w:szCs w:val="18"/>
                              </w:rPr>
                              <w:t>Updated Dec</w:t>
                            </w:r>
                            <w:r>
                              <w:rPr>
                                <w:b/>
                                <w:sz w:val="18"/>
                                <w:szCs w:val="18"/>
                              </w:rPr>
                              <w:t>ember</w:t>
                            </w:r>
                            <w:r w:rsidRPr="005A0595">
                              <w:rPr>
                                <w:b/>
                                <w:sz w:val="18"/>
                                <w:szCs w:val="18"/>
                              </w:rPr>
                              <w:t xml:space="preserve"> 10, 2021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shape w14:anchorId="45EE5EEE" id="Text Box 201" o:spid="_x0000_s1038" type="#_x0000_t202" style="position:absolute;margin-left:437.95pt;margin-top:1.25pt;width:125.2pt;height:26.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" fillcolor="window" stroked="f" strokeweight=".5pt">
                <v:textbox>
                  <w:txbxContent>
                    <w:p w14:paraId="7492EB04" w14:textId="13BA7A20" w:rsidR="005E6FB1" w:rsidRPr="005A0595" w:rsidRDefault="005E6FB1" w:rsidP="002C35E7">
                      <w:pPr>
                        <w:rPr>
                          <w:rFonts w:ascii="Arial" w:hAnsi="Arial" w:cs="Arial"/>
                          <w:b/>
                          <w:bCs/>
                          <w:sz w:val="18"/>
                          <w:szCs w:val="24"/>
                        </w:rPr>
                      </w:pPr>
                      <w:r w:rsidRPr="005A0595">
                        <w:rPr>
                          <w:b/>
                          <w:sz w:val="18"/>
                          <w:szCs w:val="18"/>
                        </w:rPr>
                        <w:t>Updated Dec</w:t>
                      </w:r>
                      <w:r>
                        <w:rPr>
                          <w:b/>
                          <w:sz w:val="18"/>
                          <w:szCs w:val="18"/>
                        </w:rPr>
                        <w:t>ember</w:t>
                      </w:r>
                      <w:r w:rsidRPr="005A0595">
                        <w:rPr>
                          <w:b/>
                          <w:sz w:val="18"/>
                          <w:szCs w:val="18"/>
                        </w:rPr>
                        <w:t xml:space="preserve"> 10, 2021</w:t>
                      </w:r>
                    </w:p>
                  </w:txbxContent>
                </v:textbox>
              </v:shape>
            </w:pict>
          </mc:Fallback>
        </mc:AlternateContent>
      </w:r>
      <w:r w:rsidR="00FD7D1C" w:rsidRPr="00C53D2B">
        <w:rPr>
          <w:rFonts w:ascii="Arial" w:hAnsi="Arial" w:cs="Arial"/>
          <w:b/>
          <w:bCs/>
          <w:color w:val="27415F"/>
          <w:sz w:val="20"/>
          <w:szCs w:val="20"/>
        </w:rPr>
        <w:t xml:space="preserve">Bureau of Environmental Health </w:t>
      </w:r>
    </w:p>
    <w:p w14:paraId="26A7039A" w14:textId="2CE33775" w:rsidR="00FD7D1C" w:rsidRPr="00C53D2B" w:rsidRDefault="00FD7D1C" w:rsidP="00FD7D1C">
      <w:pPr>
        <w:spacing w:after="0" w:line="240" w:lineRule="auto"/>
        <w:rPr>
          <w:rFonts w:ascii="Arial" w:hAnsi="Arial" w:cs="Arial"/>
          <w:sz w:val="20"/>
          <w:szCs w:val="20"/>
        </w:rPr>
      </w:pPr>
      <w:r w:rsidRPr="00C53D2B">
        <w:rPr>
          <w:rFonts w:ascii="Arial" w:hAnsi="Arial" w:cs="Arial"/>
          <w:sz w:val="20"/>
          <w:szCs w:val="20"/>
        </w:rPr>
        <w:t xml:space="preserve">250 Washington Street, Boston, MA 02108 </w:t>
      </w:r>
    </w:p>
    <w:p w14:paraId="2B1B3A1B" w14:textId="3433E536" w:rsidR="00FD7D1C" w:rsidRPr="00C53D2B" w:rsidRDefault="004C62FB" w:rsidP="00FD7D1C">
      <w:pPr>
        <w:spacing w:after="0" w:line="240" w:lineRule="auto"/>
        <w:rPr>
          <w:rFonts w:ascii="Arial" w:hAnsi="Arial" w:cs="Arial"/>
          <w:sz w:val="20"/>
          <w:szCs w:val="20"/>
        </w:rPr>
      </w:pPr>
      <w:r>
        <w:rPr>
          <w:rFonts w:ascii="Arial" w:hAnsi="Arial" w:cs="Arial"/>
          <w:sz w:val="20"/>
          <w:szCs w:val="20"/>
        </w:rPr>
        <w:t>BEH Phone</w:t>
      </w:r>
      <w:r w:rsidR="00FD7D1C" w:rsidRPr="00C53D2B">
        <w:rPr>
          <w:rFonts w:ascii="Arial" w:hAnsi="Arial" w:cs="Arial"/>
          <w:sz w:val="20"/>
          <w:szCs w:val="20"/>
        </w:rPr>
        <w:t xml:space="preserve">: 617-624-5757 | </w:t>
      </w:r>
      <w:r>
        <w:rPr>
          <w:rFonts w:ascii="Arial" w:hAnsi="Arial" w:cs="Arial"/>
          <w:sz w:val="20"/>
          <w:szCs w:val="20"/>
        </w:rPr>
        <w:t xml:space="preserve">Lead Line: 800-532-9571 | </w:t>
      </w:r>
      <w:r w:rsidR="00FD7D1C" w:rsidRPr="00C53D2B">
        <w:rPr>
          <w:rFonts w:ascii="Arial" w:hAnsi="Arial" w:cs="Arial"/>
          <w:sz w:val="20"/>
          <w:szCs w:val="20"/>
        </w:rPr>
        <w:t>Fax: 617-624-577</w:t>
      </w:r>
      <w:r>
        <w:rPr>
          <w:rFonts w:ascii="Arial" w:hAnsi="Arial" w:cs="Arial"/>
          <w:sz w:val="20"/>
          <w:szCs w:val="20"/>
        </w:rPr>
        <w:t>7</w:t>
      </w:r>
      <w:r w:rsidR="00FD7D1C" w:rsidRPr="00C53D2B">
        <w:rPr>
          <w:rFonts w:ascii="Arial" w:hAnsi="Arial" w:cs="Arial"/>
          <w:sz w:val="20"/>
          <w:szCs w:val="20"/>
        </w:rPr>
        <w:t xml:space="preserve"> | TTY: 617-624-5286 </w:t>
      </w:r>
    </w:p>
    <w:p w14:paraId="6874A7F9" w14:textId="67034B53" w:rsidR="00FD7D1C" w:rsidRPr="00C53D2B" w:rsidRDefault="00FD7D1C" w:rsidP="00BF2AF8">
      <w:pPr>
        <w:spacing w:after="0" w:line="240" w:lineRule="auto"/>
        <w:rPr>
          <w:sz w:val="20"/>
          <w:szCs w:val="20"/>
        </w:rPr>
      </w:pPr>
      <w:r w:rsidRPr="00C53D2B">
        <w:rPr>
          <w:rFonts w:ascii="Arial" w:hAnsi="Arial" w:cs="Arial"/>
          <w:sz w:val="20"/>
          <w:szCs w:val="20"/>
        </w:rPr>
        <w:t>www.mass.gov/</w:t>
      </w:r>
      <w:r w:rsidR="00A00423">
        <w:rPr>
          <w:rFonts w:ascii="Arial" w:hAnsi="Arial" w:cs="Arial"/>
          <w:sz w:val="20"/>
          <w:szCs w:val="20"/>
        </w:rPr>
        <w:t>dph/clppp</w:t>
      </w:r>
    </w:p>
    <w:sectPr w:rsidR="00FD7D1C" w:rsidRPr="00C53D2B" w:rsidSect="00BA48F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13BA49" w14:textId="77777777" w:rsidR="00A346CA" w:rsidRDefault="00A346CA" w:rsidP="005774E0">
      <w:pPr>
        <w:spacing w:after="0" w:line="240" w:lineRule="auto"/>
      </w:pPr>
      <w:r>
        <w:separator/>
      </w:r>
    </w:p>
  </w:endnote>
  <w:endnote w:type="continuationSeparator" w:id="0">
    <w:p w14:paraId="55A60DDA" w14:textId="77777777" w:rsidR="00A346CA" w:rsidRDefault="00A346CA" w:rsidP="005774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92493579"/>
      <w:docPartObj>
        <w:docPartGallery w:val="Page Numbers (Bottom of Page)"/>
        <w:docPartUnique/>
      </w:docPartObj>
    </w:sdtPr>
    <w:sdtEndPr>
      <w:rPr>
        <w:noProof/>
      </w:rPr>
    </w:sdtEndPr>
    <w:sdtContent>
      <w:p w14:paraId="012F5697" w14:textId="3F9C9DBA" w:rsidR="005E6FB1" w:rsidRDefault="005E6FB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54603F3" w14:textId="485259D1" w:rsidR="005E6FB1" w:rsidRDefault="005E6F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19316542"/>
      <w:docPartObj>
        <w:docPartGallery w:val="Page Numbers (Bottom of Page)"/>
        <w:docPartUnique/>
      </w:docPartObj>
    </w:sdtPr>
    <w:sdtEndPr>
      <w:rPr>
        <w:noProof/>
      </w:rPr>
    </w:sdtEndPr>
    <w:sdtContent>
      <w:p w14:paraId="593D6C5B" w14:textId="77777777" w:rsidR="005E6FB1" w:rsidRDefault="005E6FB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472C0B1" w14:textId="77777777" w:rsidR="005E6FB1" w:rsidRDefault="005E6FB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25675151"/>
      <w:docPartObj>
        <w:docPartGallery w:val="Page Numbers (Bottom of Page)"/>
        <w:docPartUnique/>
      </w:docPartObj>
    </w:sdtPr>
    <w:sdtEndPr>
      <w:rPr>
        <w:noProof/>
      </w:rPr>
    </w:sdtEndPr>
    <w:sdtContent>
      <w:p w14:paraId="492E06C5" w14:textId="77777777" w:rsidR="005E6FB1" w:rsidRDefault="005E6FB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5C69248" w14:textId="77777777" w:rsidR="005E6FB1" w:rsidRDefault="005E6F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C1AD45" w14:textId="77777777" w:rsidR="00A346CA" w:rsidRDefault="00A346CA" w:rsidP="005774E0">
      <w:pPr>
        <w:spacing w:after="0" w:line="240" w:lineRule="auto"/>
      </w:pPr>
      <w:r>
        <w:separator/>
      </w:r>
    </w:p>
  </w:footnote>
  <w:footnote w:type="continuationSeparator" w:id="0">
    <w:p w14:paraId="11CA5579" w14:textId="77777777" w:rsidR="00A346CA" w:rsidRDefault="00A346CA" w:rsidP="005774E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4A320A"/>
    <w:multiLevelType w:val="multilevel"/>
    <w:tmpl w:val="EF1EEC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CB5ADD"/>
    <w:multiLevelType w:val="hybridMultilevel"/>
    <w:tmpl w:val="4DAEA5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A636F6"/>
    <w:multiLevelType w:val="hybridMultilevel"/>
    <w:tmpl w:val="985435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04956A8"/>
    <w:multiLevelType w:val="hybridMultilevel"/>
    <w:tmpl w:val="C592FF9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8157833"/>
    <w:multiLevelType w:val="hybridMultilevel"/>
    <w:tmpl w:val="0158F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A07E81"/>
    <w:multiLevelType w:val="hybridMultilevel"/>
    <w:tmpl w:val="DC2045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FFA46BF"/>
    <w:multiLevelType w:val="hybridMultilevel"/>
    <w:tmpl w:val="71B8114C"/>
    <w:lvl w:ilvl="0" w:tplc="DD9A032A">
      <w:start w:val="1"/>
      <w:numFmt w:val="decimal"/>
      <w:pStyle w:val="Heading1"/>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7631BC8"/>
    <w:multiLevelType w:val="hybridMultilevel"/>
    <w:tmpl w:val="95427B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7FE434D"/>
    <w:multiLevelType w:val="hybridMultilevel"/>
    <w:tmpl w:val="28B2B4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80307CB"/>
    <w:multiLevelType w:val="hybridMultilevel"/>
    <w:tmpl w:val="B91CFDC0"/>
    <w:lvl w:ilvl="0" w:tplc="E71497A2">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ED77F32"/>
    <w:multiLevelType w:val="hybridMultilevel"/>
    <w:tmpl w:val="C6A086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F681258"/>
    <w:multiLevelType w:val="hybridMultilevel"/>
    <w:tmpl w:val="CF404B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5B727B37"/>
    <w:multiLevelType w:val="hybridMultilevel"/>
    <w:tmpl w:val="6E146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19D0828"/>
    <w:multiLevelType w:val="hybridMultilevel"/>
    <w:tmpl w:val="4C2812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6CC76F57"/>
    <w:multiLevelType w:val="hybridMultilevel"/>
    <w:tmpl w:val="62F6E9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73B651D2"/>
    <w:multiLevelType w:val="hybridMultilevel"/>
    <w:tmpl w:val="5EBA7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46232B6"/>
    <w:multiLevelType w:val="hybridMultilevel"/>
    <w:tmpl w:val="95AC7FA0"/>
    <w:lvl w:ilvl="0" w:tplc="88EC35A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706607F"/>
    <w:multiLevelType w:val="hybridMultilevel"/>
    <w:tmpl w:val="4F04D6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17"/>
  </w:num>
  <w:num w:numId="4">
    <w:abstractNumId w:val="0"/>
  </w:num>
  <w:num w:numId="5">
    <w:abstractNumId w:val="11"/>
  </w:num>
  <w:num w:numId="6">
    <w:abstractNumId w:val="12"/>
  </w:num>
  <w:num w:numId="7">
    <w:abstractNumId w:val="10"/>
  </w:num>
  <w:num w:numId="8">
    <w:abstractNumId w:val="15"/>
  </w:num>
  <w:num w:numId="9">
    <w:abstractNumId w:val="6"/>
  </w:num>
  <w:num w:numId="10">
    <w:abstractNumId w:val="13"/>
  </w:num>
  <w:num w:numId="11">
    <w:abstractNumId w:val="2"/>
  </w:num>
  <w:num w:numId="12">
    <w:abstractNumId w:val="5"/>
  </w:num>
  <w:num w:numId="13">
    <w:abstractNumId w:val="7"/>
  </w:num>
  <w:num w:numId="14">
    <w:abstractNumId w:val="16"/>
  </w:num>
  <w:num w:numId="15">
    <w:abstractNumId w:val="9"/>
  </w:num>
  <w:num w:numId="16">
    <w:abstractNumId w:val="14"/>
  </w:num>
  <w:num w:numId="17">
    <w:abstractNumId w:val="3"/>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4147"/>
    <w:rsid w:val="00003D7C"/>
    <w:rsid w:val="000062E4"/>
    <w:rsid w:val="0001052C"/>
    <w:rsid w:val="00014094"/>
    <w:rsid w:val="00021DE9"/>
    <w:rsid w:val="00031412"/>
    <w:rsid w:val="00031DED"/>
    <w:rsid w:val="00033123"/>
    <w:rsid w:val="00047FBB"/>
    <w:rsid w:val="000507D1"/>
    <w:rsid w:val="000544DB"/>
    <w:rsid w:val="00055A56"/>
    <w:rsid w:val="000567A0"/>
    <w:rsid w:val="0006120B"/>
    <w:rsid w:val="00063287"/>
    <w:rsid w:val="0007257E"/>
    <w:rsid w:val="00080B55"/>
    <w:rsid w:val="00080C78"/>
    <w:rsid w:val="00085D40"/>
    <w:rsid w:val="00087E4E"/>
    <w:rsid w:val="00093110"/>
    <w:rsid w:val="00096629"/>
    <w:rsid w:val="000A6FA3"/>
    <w:rsid w:val="000A772D"/>
    <w:rsid w:val="000B1DAF"/>
    <w:rsid w:val="000B4778"/>
    <w:rsid w:val="000B5121"/>
    <w:rsid w:val="000C22BB"/>
    <w:rsid w:val="000C267E"/>
    <w:rsid w:val="000C672C"/>
    <w:rsid w:val="000E0349"/>
    <w:rsid w:val="000E18E6"/>
    <w:rsid w:val="000E617D"/>
    <w:rsid w:val="000E6493"/>
    <w:rsid w:val="000E69A6"/>
    <w:rsid w:val="000E72BB"/>
    <w:rsid w:val="000E73B3"/>
    <w:rsid w:val="000E7C31"/>
    <w:rsid w:val="000F794F"/>
    <w:rsid w:val="001005E5"/>
    <w:rsid w:val="0010310F"/>
    <w:rsid w:val="001073B7"/>
    <w:rsid w:val="00116CB4"/>
    <w:rsid w:val="00116E16"/>
    <w:rsid w:val="001171EA"/>
    <w:rsid w:val="00117CBB"/>
    <w:rsid w:val="001265F4"/>
    <w:rsid w:val="00131388"/>
    <w:rsid w:val="001313C6"/>
    <w:rsid w:val="00131670"/>
    <w:rsid w:val="001328BD"/>
    <w:rsid w:val="001360C8"/>
    <w:rsid w:val="00143CE4"/>
    <w:rsid w:val="001457D2"/>
    <w:rsid w:val="00145A43"/>
    <w:rsid w:val="00146188"/>
    <w:rsid w:val="0015468D"/>
    <w:rsid w:val="001635BE"/>
    <w:rsid w:val="00164F2C"/>
    <w:rsid w:val="001664B8"/>
    <w:rsid w:val="001675FA"/>
    <w:rsid w:val="0017099E"/>
    <w:rsid w:val="00171432"/>
    <w:rsid w:val="00174827"/>
    <w:rsid w:val="0017729C"/>
    <w:rsid w:val="00177300"/>
    <w:rsid w:val="0017759E"/>
    <w:rsid w:val="0018087E"/>
    <w:rsid w:val="00181975"/>
    <w:rsid w:val="001820F6"/>
    <w:rsid w:val="00184C3D"/>
    <w:rsid w:val="00185F13"/>
    <w:rsid w:val="00186BED"/>
    <w:rsid w:val="00187BDD"/>
    <w:rsid w:val="00187D8C"/>
    <w:rsid w:val="00195EC1"/>
    <w:rsid w:val="001A2BC8"/>
    <w:rsid w:val="001A4FA0"/>
    <w:rsid w:val="001A6EC4"/>
    <w:rsid w:val="001B361F"/>
    <w:rsid w:val="001B5E8C"/>
    <w:rsid w:val="001B61F9"/>
    <w:rsid w:val="001C1CD8"/>
    <w:rsid w:val="001C1FA0"/>
    <w:rsid w:val="001C26C7"/>
    <w:rsid w:val="001C281F"/>
    <w:rsid w:val="001D3715"/>
    <w:rsid w:val="001D4200"/>
    <w:rsid w:val="001D4E50"/>
    <w:rsid w:val="001D6DF0"/>
    <w:rsid w:val="001D7272"/>
    <w:rsid w:val="001E1124"/>
    <w:rsid w:val="001E150E"/>
    <w:rsid w:val="001E57F8"/>
    <w:rsid w:val="001E5964"/>
    <w:rsid w:val="001E6F1E"/>
    <w:rsid w:val="001F0632"/>
    <w:rsid w:val="001F2B95"/>
    <w:rsid w:val="001F33E0"/>
    <w:rsid w:val="001F5CF8"/>
    <w:rsid w:val="001F6868"/>
    <w:rsid w:val="001F76D3"/>
    <w:rsid w:val="001F7C3C"/>
    <w:rsid w:val="00202992"/>
    <w:rsid w:val="00203D43"/>
    <w:rsid w:val="00206A8F"/>
    <w:rsid w:val="00206DD0"/>
    <w:rsid w:val="002117A9"/>
    <w:rsid w:val="002121DC"/>
    <w:rsid w:val="002316E6"/>
    <w:rsid w:val="002343EC"/>
    <w:rsid w:val="00234405"/>
    <w:rsid w:val="00237367"/>
    <w:rsid w:val="00237C41"/>
    <w:rsid w:val="00243A5A"/>
    <w:rsid w:val="00252CFA"/>
    <w:rsid w:val="00254147"/>
    <w:rsid w:val="00261E94"/>
    <w:rsid w:val="00264E2A"/>
    <w:rsid w:val="00267C23"/>
    <w:rsid w:val="0027162E"/>
    <w:rsid w:val="00272B6D"/>
    <w:rsid w:val="00272E37"/>
    <w:rsid w:val="00273A67"/>
    <w:rsid w:val="00273D6B"/>
    <w:rsid w:val="00275544"/>
    <w:rsid w:val="0027621B"/>
    <w:rsid w:val="002801A9"/>
    <w:rsid w:val="00281BE6"/>
    <w:rsid w:val="00282293"/>
    <w:rsid w:val="00282EF0"/>
    <w:rsid w:val="002843E8"/>
    <w:rsid w:val="00287012"/>
    <w:rsid w:val="002926B6"/>
    <w:rsid w:val="00296755"/>
    <w:rsid w:val="00296CEC"/>
    <w:rsid w:val="00297347"/>
    <w:rsid w:val="002A1365"/>
    <w:rsid w:val="002A2064"/>
    <w:rsid w:val="002A5045"/>
    <w:rsid w:val="002A5235"/>
    <w:rsid w:val="002B2AE2"/>
    <w:rsid w:val="002B44A5"/>
    <w:rsid w:val="002B6345"/>
    <w:rsid w:val="002B6C43"/>
    <w:rsid w:val="002B7B95"/>
    <w:rsid w:val="002B7D1E"/>
    <w:rsid w:val="002C0C66"/>
    <w:rsid w:val="002C35E7"/>
    <w:rsid w:val="002C61BF"/>
    <w:rsid w:val="002C7CA9"/>
    <w:rsid w:val="002D2985"/>
    <w:rsid w:val="002D7A9D"/>
    <w:rsid w:val="002E1062"/>
    <w:rsid w:val="002E3C81"/>
    <w:rsid w:val="002E4851"/>
    <w:rsid w:val="002E6050"/>
    <w:rsid w:val="002E78E0"/>
    <w:rsid w:val="002F5E8A"/>
    <w:rsid w:val="00300DB3"/>
    <w:rsid w:val="00300F45"/>
    <w:rsid w:val="0030542E"/>
    <w:rsid w:val="00306BBD"/>
    <w:rsid w:val="0031038B"/>
    <w:rsid w:val="00312530"/>
    <w:rsid w:val="003223FD"/>
    <w:rsid w:val="0032667A"/>
    <w:rsid w:val="003301C9"/>
    <w:rsid w:val="0033362C"/>
    <w:rsid w:val="00335F23"/>
    <w:rsid w:val="0033615A"/>
    <w:rsid w:val="00337CC8"/>
    <w:rsid w:val="003449C0"/>
    <w:rsid w:val="00346A2D"/>
    <w:rsid w:val="00350445"/>
    <w:rsid w:val="00350F30"/>
    <w:rsid w:val="00354A4B"/>
    <w:rsid w:val="003554BB"/>
    <w:rsid w:val="00356998"/>
    <w:rsid w:val="0036076F"/>
    <w:rsid w:val="0036167F"/>
    <w:rsid w:val="00362B71"/>
    <w:rsid w:val="0036388E"/>
    <w:rsid w:val="00365A63"/>
    <w:rsid w:val="003706D3"/>
    <w:rsid w:val="0037213A"/>
    <w:rsid w:val="0037628E"/>
    <w:rsid w:val="00377E1E"/>
    <w:rsid w:val="00381661"/>
    <w:rsid w:val="003836AE"/>
    <w:rsid w:val="00383782"/>
    <w:rsid w:val="003841F5"/>
    <w:rsid w:val="00390A0A"/>
    <w:rsid w:val="00394031"/>
    <w:rsid w:val="00395D55"/>
    <w:rsid w:val="003A0791"/>
    <w:rsid w:val="003B036A"/>
    <w:rsid w:val="003B1C0F"/>
    <w:rsid w:val="003B55FE"/>
    <w:rsid w:val="003C072C"/>
    <w:rsid w:val="003C2826"/>
    <w:rsid w:val="003C443E"/>
    <w:rsid w:val="003C5AC5"/>
    <w:rsid w:val="003C5DE3"/>
    <w:rsid w:val="003D1A1F"/>
    <w:rsid w:val="003D1BAA"/>
    <w:rsid w:val="003E04CB"/>
    <w:rsid w:val="003E2D56"/>
    <w:rsid w:val="003E35D7"/>
    <w:rsid w:val="003E4D1A"/>
    <w:rsid w:val="003F4C8A"/>
    <w:rsid w:val="004033F9"/>
    <w:rsid w:val="00404C09"/>
    <w:rsid w:val="004121D6"/>
    <w:rsid w:val="00413CF2"/>
    <w:rsid w:val="00421B44"/>
    <w:rsid w:val="004267AD"/>
    <w:rsid w:val="00430CC4"/>
    <w:rsid w:val="00434ABF"/>
    <w:rsid w:val="0043574E"/>
    <w:rsid w:val="00435A0E"/>
    <w:rsid w:val="004377AC"/>
    <w:rsid w:val="004427EC"/>
    <w:rsid w:val="004429D1"/>
    <w:rsid w:val="00443B32"/>
    <w:rsid w:val="00445CAF"/>
    <w:rsid w:val="00450B1D"/>
    <w:rsid w:val="00452D2F"/>
    <w:rsid w:val="00453514"/>
    <w:rsid w:val="004554B1"/>
    <w:rsid w:val="00455E4B"/>
    <w:rsid w:val="00456790"/>
    <w:rsid w:val="00456EF0"/>
    <w:rsid w:val="00460861"/>
    <w:rsid w:val="004621B9"/>
    <w:rsid w:val="00464E50"/>
    <w:rsid w:val="00465335"/>
    <w:rsid w:val="004758DD"/>
    <w:rsid w:val="004806B1"/>
    <w:rsid w:val="004851E4"/>
    <w:rsid w:val="004870A8"/>
    <w:rsid w:val="004870F4"/>
    <w:rsid w:val="004925E7"/>
    <w:rsid w:val="00493BD0"/>
    <w:rsid w:val="004A1317"/>
    <w:rsid w:val="004A1EB7"/>
    <w:rsid w:val="004A6F51"/>
    <w:rsid w:val="004B5AB3"/>
    <w:rsid w:val="004B7E66"/>
    <w:rsid w:val="004C62FB"/>
    <w:rsid w:val="004D4C05"/>
    <w:rsid w:val="004E03DA"/>
    <w:rsid w:val="004E09F2"/>
    <w:rsid w:val="004E3879"/>
    <w:rsid w:val="004F2D92"/>
    <w:rsid w:val="004F3E16"/>
    <w:rsid w:val="004F504A"/>
    <w:rsid w:val="004F57EB"/>
    <w:rsid w:val="005005D9"/>
    <w:rsid w:val="00501045"/>
    <w:rsid w:val="00502E70"/>
    <w:rsid w:val="005046C2"/>
    <w:rsid w:val="0050717A"/>
    <w:rsid w:val="0051215F"/>
    <w:rsid w:val="00512EDA"/>
    <w:rsid w:val="0051437A"/>
    <w:rsid w:val="0051798A"/>
    <w:rsid w:val="005204B7"/>
    <w:rsid w:val="00522124"/>
    <w:rsid w:val="005221BC"/>
    <w:rsid w:val="005249B4"/>
    <w:rsid w:val="00525707"/>
    <w:rsid w:val="00525848"/>
    <w:rsid w:val="00526D3E"/>
    <w:rsid w:val="00530CDA"/>
    <w:rsid w:val="005324B8"/>
    <w:rsid w:val="005375B5"/>
    <w:rsid w:val="00547C5A"/>
    <w:rsid w:val="00553CF4"/>
    <w:rsid w:val="0055770D"/>
    <w:rsid w:val="00564FBE"/>
    <w:rsid w:val="00570C26"/>
    <w:rsid w:val="005720BF"/>
    <w:rsid w:val="005739A2"/>
    <w:rsid w:val="00575D02"/>
    <w:rsid w:val="00577461"/>
    <w:rsid w:val="005774E0"/>
    <w:rsid w:val="00593899"/>
    <w:rsid w:val="00596871"/>
    <w:rsid w:val="005A0595"/>
    <w:rsid w:val="005A4052"/>
    <w:rsid w:val="005A67CA"/>
    <w:rsid w:val="005A7708"/>
    <w:rsid w:val="005B3966"/>
    <w:rsid w:val="005B4327"/>
    <w:rsid w:val="005B4623"/>
    <w:rsid w:val="005B4ABC"/>
    <w:rsid w:val="005B660D"/>
    <w:rsid w:val="005B711A"/>
    <w:rsid w:val="005C1318"/>
    <w:rsid w:val="005C3AF6"/>
    <w:rsid w:val="005C41F9"/>
    <w:rsid w:val="005C6672"/>
    <w:rsid w:val="005C6A9C"/>
    <w:rsid w:val="005D2A03"/>
    <w:rsid w:val="005D3F40"/>
    <w:rsid w:val="005D7EA3"/>
    <w:rsid w:val="005E12FF"/>
    <w:rsid w:val="005E14F9"/>
    <w:rsid w:val="005E1F05"/>
    <w:rsid w:val="005E3089"/>
    <w:rsid w:val="005E4CF8"/>
    <w:rsid w:val="005E6534"/>
    <w:rsid w:val="005E6629"/>
    <w:rsid w:val="005E6FB1"/>
    <w:rsid w:val="005F0635"/>
    <w:rsid w:val="005F0C4E"/>
    <w:rsid w:val="005F287D"/>
    <w:rsid w:val="005F737D"/>
    <w:rsid w:val="00601150"/>
    <w:rsid w:val="0060193A"/>
    <w:rsid w:val="0060545D"/>
    <w:rsid w:val="00606C7A"/>
    <w:rsid w:val="00611083"/>
    <w:rsid w:val="00612373"/>
    <w:rsid w:val="006135C9"/>
    <w:rsid w:val="0061615C"/>
    <w:rsid w:val="006218C1"/>
    <w:rsid w:val="00622C2A"/>
    <w:rsid w:val="00622F2E"/>
    <w:rsid w:val="006250F6"/>
    <w:rsid w:val="0062544E"/>
    <w:rsid w:val="00626D7B"/>
    <w:rsid w:val="006338FF"/>
    <w:rsid w:val="00633C23"/>
    <w:rsid w:val="0063548D"/>
    <w:rsid w:val="006355E1"/>
    <w:rsid w:val="006362FC"/>
    <w:rsid w:val="0063636A"/>
    <w:rsid w:val="00640EE4"/>
    <w:rsid w:val="00643855"/>
    <w:rsid w:val="00643BAA"/>
    <w:rsid w:val="00646F2E"/>
    <w:rsid w:val="0065223B"/>
    <w:rsid w:val="00655938"/>
    <w:rsid w:val="00656499"/>
    <w:rsid w:val="00656A79"/>
    <w:rsid w:val="00657B98"/>
    <w:rsid w:val="00662109"/>
    <w:rsid w:val="00662E81"/>
    <w:rsid w:val="00670918"/>
    <w:rsid w:val="0067156B"/>
    <w:rsid w:val="006717C9"/>
    <w:rsid w:val="006735B5"/>
    <w:rsid w:val="00681DBC"/>
    <w:rsid w:val="00682FB1"/>
    <w:rsid w:val="006848DE"/>
    <w:rsid w:val="006920A2"/>
    <w:rsid w:val="00695C0C"/>
    <w:rsid w:val="00697BE3"/>
    <w:rsid w:val="006A26BF"/>
    <w:rsid w:val="006A7AC7"/>
    <w:rsid w:val="006B350D"/>
    <w:rsid w:val="006B3F64"/>
    <w:rsid w:val="006B4169"/>
    <w:rsid w:val="006B6EA3"/>
    <w:rsid w:val="006D241A"/>
    <w:rsid w:val="006D41C5"/>
    <w:rsid w:val="006D4223"/>
    <w:rsid w:val="006D4B7B"/>
    <w:rsid w:val="006E0EC2"/>
    <w:rsid w:val="006E1C4F"/>
    <w:rsid w:val="006E2173"/>
    <w:rsid w:val="006E5FDA"/>
    <w:rsid w:val="006E6BC1"/>
    <w:rsid w:val="006F11D9"/>
    <w:rsid w:val="006F5079"/>
    <w:rsid w:val="006F6067"/>
    <w:rsid w:val="00711E0E"/>
    <w:rsid w:val="00711EDF"/>
    <w:rsid w:val="00717AA6"/>
    <w:rsid w:val="0072201A"/>
    <w:rsid w:val="00730D1F"/>
    <w:rsid w:val="007313D0"/>
    <w:rsid w:val="00731532"/>
    <w:rsid w:val="0073594D"/>
    <w:rsid w:val="007374DF"/>
    <w:rsid w:val="0073792C"/>
    <w:rsid w:val="007402C0"/>
    <w:rsid w:val="00744137"/>
    <w:rsid w:val="00754794"/>
    <w:rsid w:val="00756522"/>
    <w:rsid w:val="00762770"/>
    <w:rsid w:val="007641BD"/>
    <w:rsid w:val="007660CD"/>
    <w:rsid w:val="00767129"/>
    <w:rsid w:val="00772406"/>
    <w:rsid w:val="00772B33"/>
    <w:rsid w:val="00775B4A"/>
    <w:rsid w:val="007843EB"/>
    <w:rsid w:val="00785DD1"/>
    <w:rsid w:val="0079050F"/>
    <w:rsid w:val="00792653"/>
    <w:rsid w:val="0079289D"/>
    <w:rsid w:val="007A0BFD"/>
    <w:rsid w:val="007A12EE"/>
    <w:rsid w:val="007A1A92"/>
    <w:rsid w:val="007A5F0B"/>
    <w:rsid w:val="007A684A"/>
    <w:rsid w:val="007A72EF"/>
    <w:rsid w:val="007C092F"/>
    <w:rsid w:val="007C169E"/>
    <w:rsid w:val="007C4FA6"/>
    <w:rsid w:val="007C7790"/>
    <w:rsid w:val="007D167B"/>
    <w:rsid w:val="007D2825"/>
    <w:rsid w:val="007D4B85"/>
    <w:rsid w:val="007D6BA2"/>
    <w:rsid w:val="007E0961"/>
    <w:rsid w:val="007E2168"/>
    <w:rsid w:val="007F0400"/>
    <w:rsid w:val="007F23A8"/>
    <w:rsid w:val="007F38C3"/>
    <w:rsid w:val="007F3F7C"/>
    <w:rsid w:val="007F43C5"/>
    <w:rsid w:val="007F45FF"/>
    <w:rsid w:val="007F58D0"/>
    <w:rsid w:val="007F6743"/>
    <w:rsid w:val="00804BB0"/>
    <w:rsid w:val="00810EBA"/>
    <w:rsid w:val="00811F9D"/>
    <w:rsid w:val="00814415"/>
    <w:rsid w:val="008147FC"/>
    <w:rsid w:val="00820E02"/>
    <w:rsid w:val="00821EF2"/>
    <w:rsid w:val="00824D59"/>
    <w:rsid w:val="00825E33"/>
    <w:rsid w:val="008262C2"/>
    <w:rsid w:val="0082663D"/>
    <w:rsid w:val="00831C0C"/>
    <w:rsid w:val="00832D11"/>
    <w:rsid w:val="00833A3D"/>
    <w:rsid w:val="00834781"/>
    <w:rsid w:val="00834AF6"/>
    <w:rsid w:val="00836306"/>
    <w:rsid w:val="008368E6"/>
    <w:rsid w:val="00836A8F"/>
    <w:rsid w:val="00841586"/>
    <w:rsid w:val="008468D8"/>
    <w:rsid w:val="0085775B"/>
    <w:rsid w:val="00861F9F"/>
    <w:rsid w:val="00863734"/>
    <w:rsid w:val="008662CE"/>
    <w:rsid w:val="00871D30"/>
    <w:rsid w:val="008737BD"/>
    <w:rsid w:val="008754F8"/>
    <w:rsid w:val="00877311"/>
    <w:rsid w:val="00877328"/>
    <w:rsid w:val="00881767"/>
    <w:rsid w:val="008826F5"/>
    <w:rsid w:val="00882F78"/>
    <w:rsid w:val="00890505"/>
    <w:rsid w:val="008910AB"/>
    <w:rsid w:val="00894AF5"/>
    <w:rsid w:val="00894D0B"/>
    <w:rsid w:val="00894D36"/>
    <w:rsid w:val="0089559F"/>
    <w:rsid w:val="008A11AB"/>
    <w:rsid w:val="008A1746"/>
    <w:rsid w:val="008A17C6"/>
    <w:rsid w:val="008A36F5"/>
    <w:rsid w:val="008A70CA"/>
    <w:rsid w:val="008B3602"/>
    <w:rsid w:val="008C49DA"/>
    <w:rsid w:val="008C5FED"/>
    <w:rsid w:val="008C7E99"/>
    <w:rsid w:val="008D1546"/>
    <w:rsid w:val="008D3728"/>
    <w:rsid w:val="008D392D"/>
    <w:rsid w:val="008D406E"/>
    <w:rsid w:val="008D4DBC"/>
    <w:rsid w:val="008D63BB"/>
    <w:rsid w:val="008D731C"/>
    <w:rsid w:val="008E0F89"/>
    <w:rsid w:val="008E1D0A"/>
    <w:rsid w:val="008E380F"/>
    <w:rsid w:val="008E3DD4"/>
    <w:rsid w:val="008E44CD"/>
    <w:rsid w:val="008E4835"/>
    <w:rsid w:val="008E4D95"/>
    <w:rsid w:val="008E539C"/>
    <w:rsid w:val="008F39A7"/>
    <w:rsid w:val="009023CA"/>
    <w:rsid w:val="009036B3"/>
    <w:rsid w:val="009057B2"/>
    <w:rsid w:val="009110E7"/>
    <w:rsid w:val="009160B6"/>
    <w:rsid w:val="00920C5B"/>
    <w:rsid w:val="00926210"/>
    <w:rsid w:val="00930BD5"/>
    <w:rsid w:val="00937374"/>
    <w:rsid w:val="009402FA"/>
    <w:rsid w:val="0094069A"/>
    <w:rsid w:val="00955529"/>
    <w:rsid w:val="0095560E"/>
    <w:rsid w:val="00955BB1"/>
    <w:rsid w:val="00956EE1"/>
    <w:rsid w:val="00963AB9"/>
    <w:rsid w:val="00971386"/>
    <w:rsid w:val="0097394B"/>
    <w:rsid w:val="00973F25"/>
    <w:rsid w:val="00987BD3"/>
    <w:rsid w:val="00990301"/>
    <w:rsid w:val="009A1C61"/>
    <w:rsid w:val="009A2BC7"/>
    <w:rsid w:val="009A369B"/>
    <w:rsid w:val="009A6FAB"/>
    <w:rsid w:val="009A766D"/>
    <w:rsid w:val="009B00E5"/>
    <w:rsid w:val="009B420E"/>
    <w:rsid w:val="009B5E04"/>
    <w:rsid w:val="009B7BF6"/>
    <w:rsid w:val="009C0DBE"/>
    <w:rsid w:val="009C5B6B"/>
    <w:rsid w:val="009D1C0D"/>
    <w:rsid w:val="009D2217"/>
    <w:rsid w:val="009D462A"/>
    <w:rsid w:val="009D4B2E"/>
    <w:rsid w:val="009D5813"/>
    <w:rsid w:val="009E1B80"/>
    <w:rsid w:val="009F21FA"/>
    <w:rsid w:val="009F23D7"/>
    <w:rsid w:val="009F3303"/>
    <w:rsid w:val="009F5333"/>
    <w:rsid w:val="009F56AA"/>
    <w:rsid w:val="009F5B57"/>
    <w:rsid w:val="00A00423"/>
    <w:rsid w:val="00A0092B"/>
    <w:rsid w:val="00A012DE"/>
    <w:rsid w:val="00A03AD8"/>
    <w:rsid w:val="00A04945"/>
    <w:rsid w:val="00A04CC6"/>
    <w:rsid w:val="00A0617F"/>
    <w:rsid w:val="00A22B07"/>
    <w:rsid w:val="00A25AF5"/>
    <w:rsid w:val="00A25BD7"/>
    <w:rsid w:val="00A25E18"/>
    <w:rsid w:val="00A262CA"/>
    <w:rsid w:val="00A26B93"/>
    <w:rsid w:val="00A3124C"/>
    <w:rsid w:val="00A346CA"/>
    <w:rsid w:val="00A35D8F"/>
    <w:rsid w:val="00A418E1"/>
    <w:rsid w:val="00A42DCB"/>
    <w:rsid w:val="00A453D8"/>
    <w:rsid w:val="00A456FB"/>
    <w:rsid w:val="00A51C5A"/>
    <w:rsid w:val="00A5239C"/>
    <w:rsid w:val="00A52DB1"/>
    <w:rsid w:val="00A53029"/>
    <w:rsid w:val="00A53413"/>
    <w:rsid w:val="00A55D3D"/>
    <w:rsid w:val="00A55FC2"/>
    <w:rsid w:val="00A629D1"/>
    <w:rsid w:val="00A778CD"/>
    <w:rsid w:val="00A81B73"/>
    <w:rsid w:val="00A82B12"/>
    <w:rsid w:val="00A84112"/>
    <w:rsid w:val="00A84127"/>
    <w:rsid w:val="00A866FC"/>
    <w:rsid w:val="00A8671A"/>
    <w:rsid w:val="00A87BB7"/>
    <w:rsid w:val="00A87CA5"/>
    <w:rsid w:val="00A920BA"/>
    <w:rsid w:val="00A932CA"/>
    <w:rsid w:val="00A94591"/>
    <w:rsid w:val="00A976E1"/>
    <w:rsid w:val="00AA1223"/>
    <w:rsid w:val="00AA548B"/>
    <w:rsid w:val="00AB2A72"/>
    <w:rsid w:val="00AB7B26"/>
    <w:rsid w:val="00AC0109"/>
    <w:rsid w:val="00AC109C"/>
    <w:rsid w:val="00AC6610"/>
    <w:rsid w:val="00AE156D"/>
    <w:rsid w:val="00AF2896"/>
    <w:rsid w:val="00B03FBF"/>
    <w:rsid w:val="00B04917"/>
    <w:rsid w:val="00B0550A"/>
    <w:rsid w:val="00B13AF5"/>
    <w:rsid w:val="00B1706F"/>
    <w:rsid w:val="00B22850"/>
    <w:rsid w:val="00B25106"/>
    <w:rsid w:val="00B301D3"/>
    <w:rsid w:val="00B31DAD"/>
    <w:rsid w:val="00B327E2"/>
    <w:rsid w:val="00B345AA"/>
    <w:rsid w:val="00B34957"/>
    <w:rsid w:val="00B363E2"/>
    <w:rsid w:val="00B40EAC"/>
    <w:rsid w:val="00B44492"/>
    <w:rsid w:val="00B44DF4"/>
    <w:rsid w:val="00B501DE"/>
    <w:rsid w:val="00B505C1"/>
    <w:rsid w:val="00B505DB"/>
    <w:rsid w:val="00B5096B"/>
    <w:rsid w:val="00B52F01"/>
    <w:rsid w:val="00B53CAC"/>
    <w:rsid w:val="00B53CB7"/>
    <w:rsid w:val="00B548BB"/>
    <w:rsid w:val="00B606A3"/>
    <w:rsid w:val="00B6120B"/>
    <w:rsid w:val="00B61A2F"/>
    <w:rsid w:val="00B649B5"/>
    <w:rsid w:val="00B675B1"/>
    <w:rsid w:val="00B71F63"/>
    <w:rsid w:val="00B73AE4"/>
    <w:rsid w:val="00B741F4"/>
    <w:rsid w:val="00B76035"/>
    <w:rsid w:val="00B81C23"/>
    <w:rsid w:val="00B824AB"/>
    <w:rsid w:val="00B84F42"/>
    <w:rsid w:val="00B8639F"/>
    <w:rsid w:val="00B866EA"/>
    <w:rsid w:val="00B87B8F"/>
    <w:rsid w:val="00B9471C"/>
    <w:rsid w:val="00B94DAC"/>
    <w:rsid w:val="00B95AF3"/>
    <w:rsid w:val="00B96C70"/>
    <w:rsid w:val="00B97E44"/>
    <w:rsid w:val="00BA48F1"/>
    <w:rsid w:val="00BA49DD"/>
    <w:rsid w:val="00BA5B96"/>
    <w:rsid w:val="00BA5F68"/>
    <w:rsid w:val="00BA7564"/>
    <w:rsid w:val="00BB56DE"/>
    <w:rsid w:val="00BC0F2D"/>
    <w:rsid w:val="00BC11DE"/>
    <w:rsid w:val="00BC1B6B"/>
    <w:rsid w:val="00BC61D1"/>
    <w:rsid w:val="00BC63CC"/>
    <w:rsid w:val="00BC7C9A"/>
    <w:rsid w:val="00BD0CE5"/>
    <w:rsid w:val="00BD1374"/>
    <w:rsid w:val="00BD1C75"/>
    <w:rsid w:val="00BD6347"/>
    <w:rsid w:val="00BD6870"/>
    <w:rsid w:val="00BE5EF1"/>
    <w:rsid w:val="00BE6893"/>
    <w:rsid w:val="00BE7A13"/>
    <w:rsid w:val="00BF0B5A"/>
    <w:rsid w:val="00BF2AF8"/>
    <w:rsid w:val="00C0165B"/>
    <w:rsid w:val="00C02A6E"/>
    <w:rsid w:val="00C039E3"/>
    <w:rsid w:val="00C11773"/>
    <w:rsid w:val="00C11E0F"/>
    <w:rsid w:val="00C123B9"/>
    <w:rsid w:val="00C12CDC"/>
    <w:rsid w:val="00C147E5"/>
    <w:rsid w:val="00C16EBC"/>
    <w:rsid w:val="00C2085C"/>
    <w:rsid w:val="00C27014"/>
    <w:rsid w:val="00C27FAA"/>
    <w:rsid w:val="00C30194"/>
    <w:rsid w:val="00C30D83"/>
    <w:rsid w:val="00C311D5"/>
    <w:rsid w:val="00C332AC"/>
    <w:rsid w:val="00C36D9C"/>
    <w:rsid w:val="00C37920"/>
    <w:rsid w:val="00C47A40"/>
    <w:rsid w:val="00C50357"/>
    <w:rsid w:val="00C51B1C"/>
    <w:rsid w:val="00C52768"/>
    <w:rsid w:val="00C53D2B"/>
    <w:rsid w:val="00C5497A"/>
    <w:rsid w:val="00C54C00"/>
    <w:rsid w:val="00C60889"/>
    <w:rsid w:val="00C60C9C"/>
    <w:rsid w:val="00C63C5D"/>
    <w:rsid w:val="00C64F89"/>
    <w:rsid w:val="00C725C9"/>
    <w:rsid w:val="00C75C0C"/>
    <w:rsid w:val="00C839F5"/>
    <w:rsid w:val="00C8686F"/>
    <w:rsid w:val="00C874DD"/>
    <w:rsid w:val="00C94EBC"/>
    <w:rsid w:val="00C95107"/>
    <w:rsid w:val="00C96AC8"/>
    <w:rsid w:val="00C97220"/>
    <w:rsid w:val="00C974D2"/>
    <w:rsid w:val="00CA13C3"/>
    <w:rsid w:val="00CA28E9"/>
    <w:rsid w:val="00CA6099"/>
    <w:rsid w:val="00CA68DA"/>
    <w:rsid w:val="00CB5EA8"/>
    <w:rsid w:val="00CC215B"/>
    <w:rsid w:val="00CC6EDD"/>
    <w:rsid w:val="00CD2FFF"/>
    <w:rsid w:val="00CD5485"/>
    <w:rsid w:val="00CD6E77"/>
    <w:rsid w:val="00CE0BD5"/>
    <w:rsid w:val="00CE3621"/>
    <w:rsid w:val="00CE44E3"/>
    <w:rsid w:val="00CE4D32"/>
    <w:rsid w:val="00CE50A8"/>
    <w:rsid w:val="00CE5C81"/>
    <w:rsid w:val="00CE7321"/>
    <w:rsid w:val="00CF0618"/>
    <w:rsid w:val="00CF3507"/>
    <w:rsid w:val="00CF3729"/>
    <w:rsid w:val="00CF3D24"/>
    <w:rsid w:val="00CF77B8"/>
    <w:rsid w:val="00D00DFA"/>
    <w:rsid w:val="00D013A9"/>
    <w:rsid w:val="00D02E0B"/>
    <w:rsid w:val="00D06FCA"/>
    <w:rsid w:val="00D1043D"/>
    <w:rsid w:val="00D13C89"/>
    <w:rsid w:val="00D1494F"/>
    <w:rsid w:val="00D14F41"/>
    <w:rsid w:val="00D24022"/>
    <w:rsid w:val="00D243A3"/>
    <w:rsid w:val="00D27DC6"/>
    <w:rsid w:val="00D30AC6"/>
    <w:rsid w:val="00D30F38"/>
    <w:rsid w:val="00D33643"/>
    <w:rsid w:val="00D33A86"/>
    <w:rsid w:val="00D430AD"/>
    <w:rsid w:val="00D43104"/>
    <w:rsid w:val="00D46071"/>
    <w:rsid w:val="00D50853"/>
    <w:rsid w:val="00D54379"/>
    <w:rsid w:val="00D555D0"/>
    <w:rsid w:val="00D55E1E"/>
    <w:rsid w:val="00D56A4E"/>
    <w:rsid w:val="00D574A2"/>
    <w:rsid w:val="00D60A67"/>
    <w:rsid w:val="00D60E6C"/>
    <w:rsid w:val="00D75626"/>
    <w:rsid w:val="00D80514"/>
    <w:rsid w:val="00D8197E"/>
    <w:rsid w:val="00D83823"/>
    <w:rsid w:val="00D87A9D"/>
    <w:rsid w:val="00D900D4"/>
    <w:rsid w:val="00D96BF1"/>
    <w:rsid w:val="00D97F23"/>
    <w:rsid w:val="00DA210C"/>
    <w:rsid w:val="00DA7258"/>
    <w:rsid w:val="00DB1B06"/>
    <w:rsid w:val="00DB48DD"/>
    <w:rsid w:val="00DB4DF6"/>
    <w:rsid w:val="00DB5481"/>
    <w:rsid w:val="00DB6CDE"/>
    <w:rsid w:val="00DC0239"/>
    <w:rsid w:val="00DC1078"/>
    <w:rsid w:val="00DC1F71"/>
    <w:rsid w:val="00DC36F3"/>
    <w:rsid w:val="00DD7FCE"/>
    <w:rsid w:val="00DE161F"/>
    <w:rsid w:val="00DE1ACE"/>
    <w:rsid w:val="00DE371C"/>
    <w:rsid w:val="00DE5B93"/>
    <w:rsid w:val="00DE7D6B"/>
    <w:rsid w:val="00DF46FF"/>
    <w:rsid w:val="00DF636D"/>
    <w:rsid w:val="00E02280"/>
    <w:rsid w:val="00E02AB9"/>
    <w:rsid w:val="00E03803"/>
    <w:rsid w:val="00E104FC"/>
    <w:rsid w:val="00E11678"/>
    <w:rsid w:val="00E13278"/>
    <w:rsid w:val="00E24789"/>
    <w:rsid w:val="00E24817"/>
    <w:rsid w:val="00E25F14"/>
    <w:rsid w:val="00E267EB"/>
    <w:rsid w:val="00E40B56"/>
    <w:rsid w:val="00E42C87"/>
    <w:rsid w:val="00E44746"/>
    <w:rsid w:val="00E46CD5"/>
    <w:rsid w:val="00E478F8"/>
    <w:rsid w:val="00E50F55"/>
    <w:rsid w:val="00E53214"/>
    <w:rsid w:val="00E53682"/>
    <w:rsid w:val="00E54565"/>
    <w:rsid w:val="00E565E6"/>
    <w:rsid w:val="00E61887"/>
    <w:rsid w:val="00E632BC"/>
    <w:rsid w:val="00E6714F"/>
    <w:rsid w:val="00E7101E"/>
    <w:rsid w:val="00E761B7"/>
    <w:rsid w:val="00E7724F"/>
    <w:rsid w:val="00E7725C"/>
    <w:rsid w:val="00E77B15"/>
    <w:rsid w:val="00E8360B"/>
    <w:rsid w:val="00E9165B"/>
    <w:rsid w:val="00E96DA0"/>
    <w:rsid w:val="00EA0282"/>
    <w:rsid w:val="00EA0437"/>
    <w:rsid w:val="00EA09B5"/>
    <w:rsid w:val="00EB08BD"/>
    <w:rsid w:val="00EB1AF2"/>
    <w:rsid w:val="00EB5D16"/>
    <w:rsid w:val="00EB5E65"/>
    <w:rsid w:val="00EB65E2"/>
    <w:rsid w:val="00EC1443"/>
    <w:rsid w:val="00ED0D31"/>
    <w:rsid w:val="00ED3E99"/>
    <w:rsid w:val="00ED5FB9"/>
    <w:rsid w:val="00EE123D"/>
    <w:rsid w:val="00EE1F00"/>
    <w:rsid w:val="00EE4141"/>
    <w:rsid w:val="00EE432E"/>
    <w:rsid w:val="00EE6202"/>
    <w:rsid w:val="00EF1514"/>
    <w:rsid w:val="00EF36CD"/>
    <w:rsid w:val="00F01E9A"/>
    <w:rsid w:val="00F07449"/>
    <w:rsid w:val="00F0787E"/>
    <w:rsid w:val="00F07E99"/>
    <w:rsid w:val="00F25328"/>
    <w:rsid w:val="00F315BA"/>
    <w:rsid w:val="00F32507"/>
    <w:rsid w:val="00F343D1"/>
    <w:rsid w:val="00F346AF"/>
    <w:rsid w:val="00F34EAF"/>
    <w:rsid w:val="00F36344"/>
    <w:rsid w:val="00F364AE"/>
    <w:rsid w:val="00F37A28"/>
    <w:rsid w:val="00F412BD"/>
    <w:rsid w:val="00F41388"/>
    <w:rsid w:val="00F46C05"/>
    <w:rsid w:val="00F46E59"/>
    <w:rsid w:val="00F47F6E"/>
    <w:rsid w:val="00F52003"/>
    <w:rsid w:val="00F525A9"/>
    <w:rsid w:val="00F543A2"/>
    <w:rsid w:val="00F547D5"/>
    <w:rsid w:val="00F626B3"/>
    <w:rsid w:val="00F63E38"/>
    <w:rsid w:val="00F65507"/>
    <w:rsid w:val="00F6737D"/>
    <w:rsid w:val="00F674EC"/>
    <w:rsid w:val="00F817CC"/>
    <w:rsid w:val="00F830B1"/>
    <w:rsid w:val="00F85ADC"/>
    <w:rsid w:val="00F860EF"/>
    <w:rsid w:val="00F90193"/>
    <w:rsid w:val="00F948CE"/>
    <w:rsid w:val="00F95D3B"/>
    <w:rsid w:val="00F96151"/>
    <w:rsid w:val="00F97305"/>
    <w:rsid w:val="00F9754E"/>
    <w:rsid w:val="00FA09BF"/>
    <w:rsid w:val="00FA0F2A"/>
    <w:rsid w:val="00FA18BF"/>
    <w:rsid w:val="00FA25FB"/>
    <w:rsid w:val="00FA29ED"/>
    <w:rsid w:val="00FA4109"/>
    <w:rsid w:val="00FA7424"/>
    <w:rsid w:val="00FB02DB"/>
    <w:rsid w:val="00FB109D"/>
    <w:rsid w:val="00FB1BF3"/>
    <w:rsid w:val="00FB1C7C"/>
    <w:rsid w:val="00FB4335"/>
    <w:rsid w:val="00FB575E"/>
    <w:rsid w:val="00FB6313"/>
    <w:rsid w:val="00FB6357"/>
    <w:rsid w:val="00FB7B18"/>
    <w:rsid w:val="00FC24FC"/>
    <w:rsid w:val="00FC43C9"/>
    <w:rsid w:val="00FC4AD7"/>
    <w:rsid w:val="00FC50DE"/>
    <w:rsid w:val="00FC6ECE"/>
    <w:rsid w:val="00FD0C1A"/>
    <w:rsid w:val="00FD132C"/>
    <w:rsid w:val="00FD18ED"/>
    <w:rsid w:val="00FD22D7"/>
    <w:rsid w:val="00FD23D9"/>
    <w:rsid w:val="00FD49D4"/>
    <w:rsid w:val="00FD7D1C"/>
    <w:rsid w:val="00FE7E70"/>
    <w:rsid w:val="00FF03FE"/>
    <w:rsid w:val="00FF2ED0"/>
    <w:rsid w:val="00FF3C4E"/>
    <w:rsid w:val="00FF50C5"/>
    <w:rsid w:val="00FF5573"/>
    <w:rsid w:val="00FF5AA8"/>
    <w:rsid w:val="00FF5F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F6D14FF"/>
  <w15:docId w15:val="{C11C4E24-463A-4586-BD43-74B711268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ListParagraph"/>
    <w:next w:val="Normal"/>
    <w:link w:val="Heading1Char"/>
    <w:uiPriority w:val="9"/>
    <w:qFormat/>
    <w:rsid w:val="00A52DB1"/>
    <w:pPr>
      <w:numPr>
        <w:numId w:val="9"/>
      </w:numPr>
      <w:jc w:val="both"/>
      <w:outlineLvl w:val="0"/>
    </w:pPr>
    <w:rPr>
      <w:rFonts w:ascii="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11773"/>
    <w:pPr>
      <w:ind w:left="720"/>
      <w:contextualSpacing/>
    </w:pPr>
  </w:style>
  <w:style w:type="character" w:customStyle="1" w:styleId="Heading1Char">
    <w:name w:val="Heading 1 Char"/>
    <w:basedOn w:val="DefaultParagraphFont"/>
    <w:link w:val="Heading1"/>
    <w:uiPriority w:val="9"/>
    <w:rsid w:val="00A52DB1"/>
    <w:rPr>
      <w:rFonts w:ascii="Arial" w:hAnsi="Arial" w:cs="Arial"/>
      <w:b/>
      <w:bCs/>
      <w:sz w:val="24"/>
      <w:szCs w:val="24"/>
    </w:rPr>
  </w:style>
  <w:style w:type="paragraph" w:styleId="BalloonText">
    <w:name w:val="Balloon Text"/>
    <w:basedOn w:val="Normal"/>
    <w:link w:val="BalloonTextChar"/>
    <w:uiPriority w:val="99"/>
    <w:semiHidden/>
    <w:unhideWhenUsed/>
    <w:rsid w:val="003940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4031"/>
    <w:rPr>
      <w:rFonts w:ascii="Segoe UI" w:hAnsi="Segoe UI" w:cs="Segoe UI"/>
      <w:sz w:val="18"/>
      <w:szCs w:val="18"/>
    </w:rPr>
  </w:style>
  <w:style w:type="paragraph" w:styleId="BodyText">
    <w:name w:val="Body Text"/>
    <w:basedOn w:val="Normal"/>
    <w:link w:val="BodyTextChar"/>
    <w:rsid w:val="009D1C0D"/>
    <w:pPr>
      <w:tabs>
        <w:tab w:val="left" w:pos="-720"/>
      </w:tabs>
      <w:suppressAutoHyphens/>
      <w:spacing w:after="0" w:line="240" w:lineRule="auto"/>
    </w:pPr>
    <w:rPr>
      <w:rFonts w:ascii="Arial" w:eastAsia="Times New Roman" w:hAnsi="Arial" w:cs="Arial"/>
      <w:sz w:val="24"/>
      <w:szCs w:val="20"/>
    </w:rPr>
  </w:style>
  <w:style w:type="character" w:customStyle="1" w:styleId="BodyTextChar">
    <w:name w:val="Body Text Char"/>
    <w:basedOn w:val="DefaultParagraphFont"/>
    <w:link w:val="BodyText"/>
    <w:rsid w:val="009D1C0D"/>
    <w:rPr>
      <w:rFonts w:ascii="Arial" w:eastAsia="Times New Roman" w:hAnsi="Arial" w:cs="Arial"/>
      <w:sz w:val="24"/>
      <w:szCs w:val="20"/>
    </w:rPr>
  </w:style>
  <w:style w:type="paragraph" w:styleId="NoSpacing">
    <w:name w:val="No Spacing"/>
    <w:link w:val="NoSpacingChar"/>
    <w:uiPriority w:val="1"/>
    <w:qFormat/>
    <w:rsid w:val="005774E0"/>
    <w:pPr>
      <w:spacing w:after="0" w:line="240" w:lineRule="auto"/>
    </w:pPr>
    <w:rPr>
      <w:rFonts w:eastAsiaTheme="minorEastAsia"/>
    </w:rPr>
  </w:style>
  <w:style w:type="character" w:customStyle="1" w:styleId="NoSpacingChar">
    <w:name w:val="No Spacing Char"/>
    <w:basedOn w:val="DefaultParagraphFont"/>
    <w:link w:val="NoSpacing"/>
    <w:uiPriority w:val="1"/>
    <w:rsid w:val="005774E0"/>
    <w:rPr>
      <w:rFonts w:eastAsiaTheme="minorEastAsia"/>
    </w:rPr>
  </w:style>
  <w:style w:type="character" w:styleId="Hyperlink">
    <w:name w:val="Hyperlink"/>
    <w:basedOn w:val="DefaultParagraphFont"/>
    <w:uiPriority w:val="99"/>
    <w:unhideWhenUsed/>
    <w:rsid w:val="005774E0"/>
    <w:rPr>
      <w:color w:val="0563C1" w:themeColor="hyperlink"/>
      <w:u w:val="single"/>
    </w:rPr>
  </w:style>
  <w:style w:type="character" w:customStyle="1" w:styleId="UnresolvedMention1">
    <w:name w:val="Unresolved Mention1"/>
    <w:basedOn w:val="DefaultParagraphFont"/>
    <w:uiPriority w:val="99"/>
    <w:semiHidden/>
    <w:unhideWhenUsed/>
    <w:rsid w:val="005774E0"/>
    <w:rPr>
      <w:color w:val="605E5C"/>
      <w:shd w:val="clear" w:color="auto" w:fill="E1DFDD"/>
    </w:rPr>
  </w:style>
  <w:style w:type="paragraph" w:styleId="Header">
    <w:name w:val="header"/>
    <w:basedOn w:val="Normal"/>
    <w:link w:val="HeaderChar"/>
    <w:uiPriority w:val="99"/>
    <w:unhideWhenUsed/>
    <w:rsid w:val="005774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74E0"/>
  </w:style>
  <w:style w:type="paragraph" w:styleId="Footer">
    <w:name w:val="footer"/>
    <w:basedOn w:val="Normal"/>
    <w:link w:val="FooterChar"/>
    <w:uiPriority w:val="99"/>
    <w:unhideWhenUsed/>
    <w:rsid w:val="005774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74E0"/>
  </w:style>
  <w:style w:type="character" w:styleId="CommentReference">
    <w:name w:val="annotation reference"/>
    <w:basedOn w:val="DefaultParagraphFont"/>
    <w:uiPriority w:val="99"/>
    <w:semiHidden/>
    <w:unhideWhenUsed/>
    <w:rsid w:val="00DB1B06"/>
    <w:rPr>
      <w:sz w:val="16"/>
      <w:szCs w:val="16"/>
    </w:rPr>
  </w:style>
  <w:style w:type="paragraph" w:styleId="CommentText">
    <w:name w:val="annotation text"/>
    <w:basedOn w:val="Normal"/>
    <w:link w:val="CommentTextChar"/>
    <w:uiPriority w:val="99"/>
    <w:unhideWhenUsed/>
    <w:rsid w:val="00DB1B06"/>
    <w:pPr>
      <w:spacing w:line="240" w:lineRule="auto"/>
    </w:pPr>
    <w:rPr>
      <w:sz w:val="20"/>
      <w:szCs w:val="20"/>
    </w:rPr>
  </w:style>
  <w:style w:type="character" w:customStyle="1" w:styleId="CommentTextChar">
    <w:name w:val="Comment Text Char"/>
    <w:basedOn w:val="DefaultParagraphFont"/>
    <w:link w:val="CommentText"/>
    <w:uiPriority w:val="99"/>
    <w:rsid w:val="00DB1B06"/>
    <w:rPr>
      <w:sz w:val="20"/>
      <w:szCs w:val="20"/>
    </w:rPr>
  </w:style>
  <w:style w:type="paragraph" w:styleId="CommentSubject">
    <w:name w:val="annotation subject"/>
    <w:basedOn w:val="CommentText"/>
    <w:next w:val="CommentText"/>
    <w:link w:val="CommentSubjectChar"/>
    <w:uiPriority w:val="99"/>
    <w:semiHidden/>
    <w:unhideWhenUsed/>
    <w:rsid w:val="00DB1B06"/>
    <w:rPr>
      <w:b/>
      <w:bCs/>
    </w:rPr>
  </w:style>
  <w:style w:type="character" w:customStyle="1" w:styleId="CommentSubjectChar">
    <w:name w:val="Comment Subject Char"/>
    <w:basedOn w:val="CommentTextChar"/>
    <w:link w:val="CommentSubject"/>
    <w:uiPriority w:val="99"/>
    <w:semiHidden/>
    <w:rsid w:val="00DB1B06"/>
    <w:rPr>
      <w:b/>
      <w:bCs/>
      <w:sz w:val="20"/>
      <w:szCs w:val="20"/>
    </w:rPr>
  </w:style>
  <w:style w:type="paragraph" w:styleId="EndnoteText">
    <w:name w:val="endnote text"/>
    <w:basedOn w:val="Normal"/>
    <w:link w:val="EndnoteTextChar"/>
    <w:uiPriority w:val="99"/>
    <w:semiHidden/>
    <w:unhideWhenUsed/>
    <w:rsid w:val="00117CBB"/>
    <w:pPr>
      <w:spacing w:after="0" w:line="240" w:lineRule="auto"/>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uiPriority w:val="99"/>
    <w:semiHidden/>
    <w:rsid w:val="00117CBB"/>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117CBB"/>
    <w:rPr>
      <w:vertAlign w:val="superscript"/>
    </w:rPr>
  </w:style>
  <w:style w:type="paragraph" w:customStyle="1" w:styleId="Body1">
    <w:name w:val="Body1"/>
    <w:basedOn w:val="NoSpacing"/>
    <w:link w:val="Body1Char"/>
    <w:qFormat/>
    <w:rsid w:val="00272B6D"/>
    <w:pPr>
      <w:spacing w:after="240"/>
      <w:jc w:val="both"/>
    </w:pPr>
  </w:style>
  <w:style w:type="character" w:customStyle="1" w:styleId="Body1Char">
    <w:name w:val="Body1 Char"/>
    <w:basedOn w:val="NoSpacingChar"/>
    <w:link w:val="Body1"/>
    <w:rsid w:val="00272B6D"/>
    <w:rPr>
      <w:rFonts w:eastAsiaTheme="minorEastAsia"/>
    </w:rPr>
  </w:style>
  <w:style w:type="table" w:customStyle="1" w:styleId="TableGrid1">
    <w:name w:val="Table Grid1"/>
    <w:basedOn w:val="TableNormal"/>
    <w:next w:val="TableGrid"/>
    <w:uiPriority w:val="59"/>
    <w:rsid w:val="00272B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272B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C60C9C"/>
    <w:rPr>
      <w:color w:val="605E5C"/>
      <w:shd w:val="clear" w:color="auto" w:fill="E1DFDD"/>
    </w:rPr>
  </w:style>
  <w:style w:type="character" w:styleId="PlaceholderText">
    <w:name w:val="Placeholder Text"/>
    <w:basedOn w:val="DefaultParagraphFont"/>
    <w:uiPriority w:val="99"/>
    <w:semiHidden/>
    <w:rsid w:val="00273D6B"/>
    <w:rPr>
      <w:color w:val="808080"/>
    </w:rPr>
  </w:style>
  <w:style w:type="paragraph" w:customStyle="1" w:styleId="gmail-m-973616447969133984msolistparagraph">
    <w:name w:val="gmail-m_-973616447969133984msolistparagraph"/>
    <w:basedOn w:val="Normal"/>
    <w:rsid w:val="00297347"/>
    <w:pPr>
      <w:spacing w:before="100" w:beforeAutospacing="1" w:after="100" w:afterAutospacing="1" w:line="240" w:lineRule="auto"/>
    </w:pPr>
    <w:rPr>
      <w:rFonts w:ascii="Calibri" w:hAnsi="Calibri" w:cs="Calibri"/>
    </w:rPr>
  </w:style>
  <w:style w:type="character" w:styleId="UnresolvedMention">
    <w:name w:val="Unresolved Mention"/>
    <w:basedOn w:val="DefaultParagraphFont"/>
    <w:uiPriority w:val="99"/>
    <w:semiHidden/>
    <w:unhideWhenUsed/>
    <w:rsid w:val="00A55D3D"/>
    <w:rPr>
      <w:color w:val="605E5C"/>
      <w:shd w:val="clear" w:color="auto" w:fill="E1DFDD"/>
    </w:rPr>
  </w:style>
  <w:style w:type="paragraph" w:styleId="NormalWeb">
    <w:name w:val="Normal (Web)"/>
    <w:basedOn w:val="Normal"/>
    <w:uiPriority w:val="99"/>
    <w:semiHidden/>
    <w:unhideWhenUsed/>
    <w:rsid w:val="00F01E9A"/>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A52DB1"/>
    <w:pPr>
      <w:spacing w:after="0" w:line="240" w:lineRule="auto"/>
    </w:pPr>
  </w:style>
  <w:style w:type="character" w:styleId="FollowedHyperlink">
    <w:name w:val="FollowedHyperlink"/>
    <w:basedOn w:val="DefaultParagraphFont"/>
    <w:uiPriority w:val="99"/>
    <w:semiHidden/>
    <w:unhideWhenUsed/>
    <w:rsid w:val="00EE123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1090492">
      <w:bodyDiv w:val="1"/>
      <w:marLeft w:val="0"/>
      <w:marRight w:val="0"/>
      <w:marTop w:val="0"/>
      <w:marBottom w:val="0"/>
      <w:divBdr>
        <w:top w:val="none" w:sz="0" w:space="0" w:color="auto"/>
        <w:left w:val="none" w:sz="0" w:space="0" w:color="auto"/>
        <w:bottom w:val="none" w:sz="0" w:space="0" w:color="auto"/>
        <w:right w:val="none" w:sz="0" w:space="0" w:color="auto"/>
      </w:divBdr>
    </w:div>
    <w:div w:id="208929482">
      <w:bodyDiv w:val="1"/>
      <w:marLeft w:val="0"/>
      <w:marRight w:val="0"/>
      <w:marTop w:val="0"/>
      <w:marBottom w:val="0"/>
      <w:divBdr>
        <w:top w:val="none" w:sz="0" w:space="0" w:color="auto"/>
        <w:left w:val="none" w:sz="0" w:space="0" w:color="auto"/>
        <w:bottom w:val="none" w:sz="0" w:space="0" w:color="auto"/>
        <w:right w:val="none" w:sz="0" w:space="0" w:color="auto"/>
      </w:divBdr>
    </w:div>
    <w:div w:id="306280612">
      <w:bodyDiv w:val="1"/>
      <w:marLeft w:val="0"/>
      <w:marRight w:val="0"/>
      <w:marTop w:val="0"/>
      <w:marBottom w:val="0"/>
      <w:divBdr>
        <w:top w:val="none" w:sz="0" w:space="0" w:color="auto"/>
        <w:left w:val="none" w:sz="0" w:space="0" w:color="auto"/>
        <w:bottom w:val="none" w:sz="0" w:space="0" w:color="auto"/>
        <w:right w:val="none" w:sz="0" w:space="0" w:color="auto"/>
      </w:divBdr>
    </w:div>
    <w:div w:id="338627207">
      <w:bodyDiv w:val="1"/>
      <w:marLeft w:val="0"/>
      <w:marRight w:val="0"/>
      <w:marTop w:val="0"/>
      <w:marBottom w:val="0"/>
      <w:divBdr>
        <w:top w:val="none" w:sz="0" w:space="0" w:color="auto"/>
        <w:left w:val="none" w:sz="0" w:space="0" w:color="auto"/>
        <w:bottom w:val="none" w:sz="0" w:space="0" w:color="auto"/>
        <w:right w:val="none" w:sz="0" w:space="0" w:color="auto"/>
      </w:divBdr>
    </w:div>
    <w:div w:id="778640565">
      <w:bodyDiv w:val="1"/>
      <w:marLeft w:val="0"/>
      <w:marRight w:val="0"/>
      <w:marTop w:val="0"/>
      <w:marBottom w:val="0"/>
      <w:divBdr>
        <w:top w:val="none" w:sz="0" w:space="0" w:color="auto"/>
        <w:left w:val="none" w:sz="0" w:space="0" w:color="auto"/>
        <w:bottom w:val="none" w:sz="0" w:space="0" w:color="auto"/>
        <w:right w:val="none" w:sz="0" w:space="0" w:color="auto"/>
      </w:divBdr>
    </w:div>
    <w:div w:id="914239897">
      <w:bodyDiv w:val="1"/>
      <w:marLeft w:val="0"/>
      <w:marRight w:val="0"/>
      <w:marTop w:val="0"/>
      <w:marBottom w:val="0"/>
      <w:divBdr>
        <w:top w:val="none" w:sz="0" w:space="0" w:color="auto"/>
        <w:left w:val="none" w:sz="0" w:space="0" w:color="auto"/>
        <w:bottom w:val="none" w:sz="0" w:space="0" w:color="auto"/>
        <w:right w:val="none" w:sz="0" w:space="0" w:color="auto"/>
      </w:divBdr>
    </w:div>
    <w:div w:id="967122097">
      <w:bodyDiv w:val="1"/>
      <w:marLeft w:val="0"/>
      <w:marRight w:val="0"/>
      <w:marTop w:val="0"/>
      <w:marBottom w:val="0"/>
      <w:divBdr>
        <w:top w:val="none" w:sz="0" w:space="0" w:color="auto"/>
        <w:left w:val="none" w:sz="0" w:space="0" w:color="auto"/>
        <w:bottom w:val="none" w:sz="0" w:space="0" w:color="auto"/>
        <w:right w:val="none" w:sz="0" w:space="0" w:color="auto"/>
      </w:divBdr>
    </w:div>
    <w:div w:id="1305619806">
      <w:bodyDiv w:val="1"/>
      <w:marLeft w:val="0"/>
      <w:marRight w:val="0"/>
      <w:marTop w:val="0"/>
      <w:marBottom w:val="0"/>
      <w:divBdr>
        <w:top w:val="none" w:sz="0" w:space="0" w:color="auto"/>
        <w:left w:val="none" w:sz="0" w:space="0" w:color="auto"/>
        <w:bottom w:val="none" w:sz="0" w:space="0" w:color="auto"/>
        <w:right w:val="none" w:sz="0" w:space="0" w:color="auto"/>
      </w:divBdr>
    </w:div>
    <w:div w:id="1533836678">
      <w:bodyDiv w:val="1"/>
      <w:marLeft w:val="0"/>
      <w:marRight w:val="0"/>
      <w:marTop w:val="0"/>
      <w:marBottom w:val="0"/>
      <w:divBdr>
        <w:top w:val="none" w:sz="0" w:space="0" w:color="auto"/>
        <w:left w:val="none" w:sz="0" w:space="0" w:color="auto"/>
        <w:bottom w:val="none" w:sz="0" w:space="0" w:color="auto"/>
        <w:right w:val="none" w:sz="0" w:space="0" w:color="auto"/>
      </w:divBdr>
    </w:div>
    <w:div w:id="1731732958">
      <w:bodyDiv w:val="1"/>
      <w:marLeft w:val="0"/>
      <w:marRight w:val="0"/>
      <w:marTop w:val="0"/>
      <w:marBottom w:val="0"/>
      <w:divBdr>
        <w:top w:val="none" w:sz="0" w:space="0" w:color="auto"/>
        <w:left w:val="none" w:sz="0" w:space="0" w:color="auto"/>
        <w:bottom w:val="none" w:sz="0" w:space="0" w:color="auto"/>
        <w:right w:val="none" w:sz="0" w:space="0" w:color="auto"/>
      </w:divBdr>
    </w:div>
    <w:div w:id="1942684089">
      <w:bodyDiv w:val="1"/>
      <w:marLeft w:val="0"/>
      <w:marRight w:val="0"/>
      <w:marTop w:val="0"/>
      <w:marBottom w:val="0"/>
      <w:divBdr>
        <w:top w:val="none" w:sz="0" w:space="0" w:color="auto"/>
        <w:left w:val="none" w:sz="0" w:space="0" w:color="auto"/>
        <w:bottom w:val="none" w:sz="0" w:space="0" w:color="auto"/>
        <w:right w:val="none" w:sz="0" w:space="0" w:color="auto"/>
      </w:divBdr>
    </w:div>
    <w:div w:id="2037850484">
      <w:bodyDiv w:val="1"/>
      <w:marLeft w:val="0"/>
      <w:marRight w:val="0"/>
      <w:marTop w:val="0"/>
      <w:marBottom w:val="0"/>
      <w:divBdr>
        <w:top w:val="none" w:sz="0" w:space="0" w:color="auto"/>
        <w:left w:val="none" w:sz="0" w:space="0" w:color="auto"/>
        <w:bottom w:val="none" w:sz="0" w:space="0" w:color="auto"/>
        <w:right w:val="none" w:sz="0" w:space="0" w:color="auto"/>
      </w:divBdr>
    </w:div>
    <w:div w:id="2055345307">
      <w:bodyDiv w:val="1"/>
      <w:marLeft w:val="0"/>
      <w:marRight w:val="0"/>
      <w:marTop w:val="0"/>
      <w:marBottom w:val="0"/>
      <w:divBdr>
        <w:top w:val="none" w:sz="0" w:space="0" w:color="auto"/>
        <w:left w:val="none" w:sz="0" w:space="0" w:color="auto"/>
        <w:bottom w:val="none" w:sz="0" w:space="0" w:color="auto"/>
        <w:right w:val="none" w:sz="0" w:space="0" w:color="auto"/>
      </w:divBdr>
    </w:div>
    <w:div w:id="2120098313">
      <w:bodyDiv w:val="1"/>
      <w:marLeft w:val="0"/>
      <w:marRight w:val="0"/>
      <w:marTop w:val="0"/>
      <w:marBottom w:val="0"/>
      <w:divBdr>
        <w:top w:val="none" w:sz="0" w:space="0" w:color="auto"/>
        <w:left w:val="none" w:sz="0" w:space="0" w:color="auto"/>
        <w:bottom w:val="none" w:sz="0" w:space="0" w:color="auto"/>
        <w:right w:val="none" w:sz="0" w:space="0" w:color="auto"/>
      </w:divBdr>
    </w:div>
    <w:div w:id="21248391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diagramColors" Target="diagrams/colors1.xml"/><Relationship Id="rId18" Type="http://schemas.openxmlformats.org/officeDocument/2006/relationships/diagramColors" Target="diagrams/colors2.xml"/><Relationship Id="rId26" Type="http://schemas.openxmlformats.org/officeDocument/2006/relationships/chart" Target="charts/chart5.xml"/><Relationship Id="rId3" Type="http://schemas.openxmlformats.org/officeDocument/2006/relationships/styles" Target="styles.xml"/><Relationship Id="rId21" Type="http://schemas.openxmlformats.org/officeDocument/2006/relationships/chart" Target="charts/chart2.xml"/><Relationship Id="rId34" Type="http://schemas.openxmlformats.org/officeDocument/2006/relationships/hyperlink" Target="http://www.nber.org/papers/w13097" TargetMode="External"/><Relationship Id="rId7" Type="http://schemas.openxmlformats.org/officeDocument/2006/relationships/endnotes" Target="endnotes.xml"/><Relationship Id="rId12" Type="http://schemas.openxmlformats.org/officeDocument/2006/relationships/diagramQuickStyle" Target="diagrams/quickStyle1.xml"/><Relationship Id="rId17" Type="http://schemas.openxmlformats.org/officeDocument/2006/relationships/diagramQuickStyle" Target="diagrams/quickStyle2.xml"/><Relationship Id="rId25" Type="http://schemas.openxmlformats.org/officeDocument/2006/relationships/image" Target="media/image2.jpeg"/><Relationship Id="rId33" Type="http://schemas.openxmlformats.org/officeDocument/2006/relationships/hyperlink" Target="http://www.cdc.gov/nceh/lead/acclpp/final_document_030712.pdf" TargetMode="External"/><Relationship Id="rId2" Type="http://schemas.openxmlformats.org/officeDocument/2006/relationships/numbering" Target="numbering.xml"/><Relationship Id="rId16" Type="http://schemas.openxmlformats.org/officeDocument/2006/relationships/diagramLayout" Target="diagrams/layout2.xml"/><Relationship Id="rId20" Type="http://schemas.openxmlformats.org/officeDocument/2006/relationships/chart" Target="charts/chart1.xml"/><Relationship Id="rId29" Type="http://schemas.openxmlformats.org/officeDocument/2006/relationships/hyperlink" Target="https://www.masshousing.com/home-ownership/homeowner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Layout" Target="diagrams/layout1.xml"/><Relationship Id="rId24" Type="http://schemas.openxmlformats.org/officeDocument/2006/relationships/chart" Target="charts/chart4.xml"/><Relationship Id="rId32" Type="http://schemas.openxmlformats.org/officeDocument/2006/relationships/hyperlink" Target="https://www.mass.gov/service-details/state-office-of-rural-health-rural-definition" TargetMode="External"/><Relationship Id="rId5" Type="http://schemas.openxmlformats.org/officeDocument/2006/relationships/webSettings" Target="webSettings.xml"/><Relationship Id="rId15" Type="http://schemas.openxmlformats.org/officeDocument/2006/relationships/diagramData" Target="diagrams/data2.xml"/><Relationship Id="rId23" Type="http://schemas.openxmlformats.org/officeDocument/2006/relationships/footer" Target="footer2.xml"/><Relationship Id="rId28" Type="http://schemas.openxmlformats.org/officeDocument/2006/relationships/footer" Target="footer3.xml"/><Relationship Id="rId36" Type="http://schemas.openxmlformats.org/officeDocument/2006/relationships/theme" Target="theme/theme1.xml"/><Relationship Id="rId10" Type="http://schemas.openxmlformats.org/officeDocument/2006/relationships/diagramData" Target="diagrams/data1.xml"/><Relationship Id="rId19" Type="http://schemas.microsoft.com/office/2007/relationships/diagramDrawing" Target="diagrams/drawing2.xml"/><Relationship Id="rId31" Type="http://schemas.openxmlformats.org/officeDocument/2006/relationships/hyperlink" Target="https://www.cdc.gov/nceh/lead/data/blood-lead-reference-value.htm?CDC_AA_refVal=https%3A%2F%2Fwww.cdc.gov%2Fnceh%2Flead%2Facclpp%2Fblood_lead_levels.htm" TargetMode="External"/><Relationship Id="rId4" Type="http://schemas.openxmlformats.org/officeDocument/2006/relationships/settings" Target="settings.xml"/><Relationship Id="rId9" Type="http://schemas.openxmlformats.org/officeDocument/2006/relationships/footer" Target="footer1.xml"/><Relationship Id="rId14" Type="http://schemas.microsoft.com/office/2007/relationships/diagramDrawing" Target="diagrams/drawing1.xml"/><Relationship Id="rId22" Type="http://schemas.openxmlformats.org/officeDocument/2006/relationships/chart" Target="charts/chart3.xml"/><Relationship Id="rId27" Type="http://schemas.openxmlformats.org/officeDocument/2006/relationships/chart" Target="charts/chart6.xml"/><Relationship Id="rId30" Type="http://schemas.openxmlformats.org/officeDocument/2006/relationships/hyperlink" Target="https://matracking.ehs.state.ma.us/Health-Data/Childhood_Blood_Lead_Levels.html" TargetMode="External"/><Relationship Id="rId35" Type="http://schemas.openxmlformats.org/officeDocument/2006/relationships/fontTable" Target="fontTable.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DPH-FP-CO-121\dph3\Center%20for%20Environmental%20Health\Bureau%20for%20Environmental%20Health\Programs\Epidemiology\CLPPP_Projects\Annual_Report\AnnualReport_CY2020\Graphs%20of%20Prev%20and%20Inc%20BLLs_2003_2020%20Statewide.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PH-FP-CO-121\dph3\Center%20for%20Environmental%20Health\Bureau%20for%20Environmental%20Health\Programs\Epidemiology\CLPPP_Projects\Pandemic%20Monthly%20Screening%20Data\2019%20vs.%202020%20Monthly%20Screening%20&amp;%20Rate%20Data_Updated.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PH-FP-CO-121\dph3\Center%20for%20Environmental%20Health\Bureau%20for%20Environmental%20Health\Programs\Epidemiology\CLPPP_Projects\Pandemic%20Monthly%20Screening%20Data\2019%20vs.%202020%20Monthly%20Screening%20&amp;%20Rate%20Data_Updated.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DPH-FP-CO-121\dph3\Center%20for%20Environmental%20Health\Bureau%20for%20Environmental%20Health\Programs\Epidemiology\CLPPP_Projects\Lead%20Data%20Brief\2017%20Data\Graphs.xlsx" TargetMode="External"/></Relationships>
</file>

<file path=word/charts/_rels/chart5.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DPH-FP-CO-121.ehs.govt.state.ma.us\DPH3\Center%20for%20Environmental%20Health\Bureau%20for%20Environmental%20Health\Programs\Epidemiology\CLPPP_Projects\Annual_Report\AnnualReport_CY2020\PIR%20Income%20by%20Elevated%20BLLs.xlsx" TargetMode="External"/></Relationships>
</file>

<file path=word/charts/_rels/chart6.xml.rels><?xml version="1.0" encoding="UTF-8" standalone="yes"?>
<Relationships xmlns="http://schemas.openxmlformats.org/package/2006/relationships"><Relationship Id="rId3" Type="http://schemas.openxmlformats.org/officeDocument/2006/relationships/chartUserShapes" Target="../drawings/drawing3.xml"/><Relationship Id="rId2" Type="http://schemas.openxmlformats.org/officeDocument/2006/relationships/oleObject" Target="file:///C:\Users\LFogarty\Documents\WFH\Vitals%20Linkage\Data%20Analysis%20Plan.xlsx"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100" b="1" i="0" baseline="0">
                <a:effectLst/>
              </a:rPr>
              <a:t>Figure 1. Percent of Estimated Confirmed Elevated</a:t>
            </a:r>
            <a:r>
              <a:rPr lang="en-US" sz="1100" b="1" i="0" u="none" strike="noStrike" baseline="30000">
                <a:effectLst/>
              </a:rPr>
              <a:t>1</a:t>
            </a:r>
            <a:r>
              <a:rPr lang="en-US" sz="1100" b="1" i="0" baseline="0">
                <a:effectLst/>
              </a:rPr>
              <a:t> Blood Lead Levels (≥5 µg/dL) in Massachusetts by Calendar Year, Children 9-47 Months of Age</a:t>
            </a:r>
            <a:endParaRPr lang="en-US" sz="1100">
              <a:effectLst/>
            </a:endParaRPr>
          </a:p>
        </c:rich>
      </c:tx>
      <c:overlay val="0"/>
    </c:title>
    <c:autoTitleDeleted val="0"/>
    <c:plotArea>
      <c:layout>
        <c:manualLayout>
          <c:layoutTarget val="inner"/>
          <c:xMode val="edge"/>
          <c:yMode val="edge"/>
          <c:x val="0.12292995498467719"/>
          <c:y val="0.14791575329253109"/>
          <c:w val="0.86783295942755756"/>
          <c:h val="0.72453599550056247"/>
        </c:manualLayout>
      </c:layout>
      <c:barChart>
        <c:barDir val="col"/>
        <c:grouping val="clustered"/>
        <c:varyColors val="0"/>
        <c:ser>
          <c:idx val="0"/>
          <c:order val="0"/>
          <c:tx>
            <c:strRef>
              <c:f>'Prev Rate BLLs 5+'!$B$1</c:f>
              <c:strCache>
                <c:ptCount val="1"/>
                <c:pt idx="0">
                  <c:v>Rate (%) of Estimated Confirmed BLLs ≥5</c:v>
                </c:pt>
              </c:strCache>
            </c:strRef>
          </c:tx>
          <c:spPr>
            <a:solidFill>
              <a:schemeClr val="accent6">
                <a:lumMod val="75000"/>
              </a:schemeClr>
            </a:solidFill>
            <a:ln w="28575">
              <a:noFill/>
            </a:ln>
          </c:spPr>
          <c:invertIfNegative val="0"/>
          <c:dLbls>
            <c:dLbl>
              <c:idx val="3"/>
              <c:layout>
                <c:manualLayout>
                  <c:x val="1.7921146953405675E-3"/>
                  <c:y val="-1.846356550765043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9C9E-4C42-88F6-76A5CFD56B61}"/>
                </c:ext>
              </c:extLst>
            </c:dLbl>
            <c:spPr>
              <a:noFill/>
              <a:ln>
                <a:noFill/>
              </a:ln>
              <a:effectLst/>
            </c:spPr>
            <c:txPr>
              <a:bodyPr/>
              <a:lstStyle/>
              <a:p>
                <a:pPr>
                  <a:defRPr b="1"/>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'Prev Rate BLLs 5+'!$A$2:$A$10</c:f>
              <c:numCache>
                <c:formatCode>General</c:formatCode>
                <c:ptCount val="9"/>
                <c:pt idx="0">
                  <c:v>2012</c:v>
                </c:pt>
                <c:pt idx="1">
                  <c:v>2013</c:v>
                </c:pt>
                <c:pt idx="2">
                  <c:v>2014</c:v>
                </c:pt>
                <c:pt idx="3">
                  <c:v>2015</c:v>
                </c:pt>
                <c:pt idx="4">
                  <c:v>2016</c:v>
                </c:pt>
                <c:pt idx="5">
                  <c:v>2017</c:v>
                </c:pt>
                <c:pt idx="6">
                  <c:v>2018</c:v>
                </c:pt>
                <c:pt idx="7">
                  <c:v>2019</c:v>
                </c:pt>
                <c:pt idx="8">
                  <c:v>2020</c:v>
                </c:pt>
              </c:numCache>
            </c:numRef>
          </c:cat>
          <c:val>
            <c:numRef>
              <c:f>'Prev Rate BLLs 5+'!$B$2:$B$10</c:f>
              <c:numCache>
                <c:formatCode>0.0</c:formatCode>
                <c:ptCount val="9"/>
                <c:pt idx="0">
                  <c:v>2.6</c:v>
                </c:pt>
                <c:pt idx="1">
                  <c:v>2.1</c:v>
                </c:pt>
                <c:pt idx="2">
                  <c:v>2.1</c:v>
                </c:pt>
                <c:pt idx="3">
                  <c:v>1.9</c:v>
                </c:pt>
                <c:pt idx="4">
                  <c:v>2</c:v>
                </c:pt>
                <c:pt idx="5">
                  <c:v>1.6</c:v>
                </c:pt>
                <c:pt idx="6">
                  <c:v>1.3</c:v>
                </c:pt>
                <c:pt idx="7">
                  <c:v>1.1000000000000001</c:v>
                </c:pt>
                <c:pt idx="8">
                  <c:v>1.3</c:v>
                </c:pt>
              </c:numCache>
            </c:numRef>
          </c:val>
          <c:extLst>
            <c:ext xmlns:c16="http://schemas.microsoft.com/office/drawing/2014/chart" uri="{C3380CC4-5D6E-409C-BE32-E72D297353CC}">
              <c16:uniqueId val="{00000001-9C9E-4C42-88F6-76A5CFD56B61}"/>
            </c:ext>
          </c:extLst>
        </c:ser>
        <c:dLbls>
          <c:showLegendKey val="0"/>
          <c:showVal val="0"/>
          <c:showCatName val="0"/>
          <c:showSerName val="0"/>
          <c:showPercent val="0"/>
          <c:showBubbleSize val="0"/>
        </c:dLbls>
        <c:gapWidth val="150"/>
        <c:axId val="55797248"/>
        <c:axId val="55798784"/>
      </c:barChart>
      <c:catAx>
        <c:axId val="55797248"/>
        <c:scaling>
          <c:orientation val="minMax"/>
        </c:scaling>
        <c:delete val="0"/>
        <c:axPos val="b"/>
        <c:numFmt formatCode="General" sourceLinked="1"/>
        <c:majorTickMark val="out"/>
        <c:minorTickMark val="none"/>
        <c:tickLblPos val="nextTo"/>
        <c:txPr>
          <a:bodyPr/>
          <a:lstStyle/>
          <a:p>
            <a:pPr>
              <a:defRPr sz="1100"/>
            </a:pPr>
            <a:endParaRPr lang="en-US"/>
          </a:p>
        </c:txPr>
        <c:crossAx val="55798784"/>
        <c:crosses val="autoZero"/>
        <c:auto val="1"/>
        <c:lblAlgn val="ctr"/>
        <c:lblOffset val="100"/>
        <c:noMultiLvlLbl val="0"/>
      </c:catAx>
      <c:valAx>
        <c:axId val="55798784"/>
        <c:scaling>
          <c:orientation val="minMax"/>
        </c:scaling>
        <c:delete val="0"/>
        <c:axPos val="l"/>
        <c:majorGridlines/>
        <c:title>
          <c:tx>
            <c:rich>
              <a:bodyPr rot="-5400000" vert="horz"/>
              <a:lstStyle/>
              <a:p>
                <a:pPr>
                  <a:defRPr sz="1100"/>
                </a:pPr>
                <a:r>
                  <a:rPr lang="en-US" sz="1100" b="0" i="0" baseline="0">
                    <a:effectLst/>
                  </a:rPr>
                  <a:t>Percent (%) of Children with Estimated Confirmed BLLs ≥5</a:t>
                </a:r>
                <a:endParaRPr lang="en-US" sz="1100">
                  <a:effectLst/>
                </a:endParaRPr>
              </a:p>
            </c:rich>
          </c:tx>
          <c:layout>
            <c:manualLayout>
              <c:xMode val="edge"/>
              <c:yMode val="edge"/>
              <c:x val="1.2798196463686554E-2"/>
              <c:y val="0.11628145417992963"/>
            </c:manualLayout>
          </c:layout>
          <c:overlay val="0"/>
        </c:title>
        <c:numFmt formatCode="0.0" sourceLinked="1"/>
        <c:majorTickMark val="out"/>
        <c:minorTickMark val="none"/>
        <c:tickLblPos val="nextTo"/>
        <c:txPr>
          <a:bodyPr/>
          <a:lstStyle/>
          <a:p>
            <a:pPr>
              <a:defRPr sz="1100"/>
            </a:pPr>
            <a:endParaRPr lang="en-US"/>
          </a:p>
        </c:txPr>
        <c:crossAx val="55797248"/>
        <c:crosses val="autoZero"/>
        <c:crossBetween val="between"/>
      </c:valAx>
    </c:plotArea>
    <c:plotVisOnly val="1"/>
    <c:dispBlanksAs val="gap"/>
    <c:showDLblsOverMax val="0"/>
  </c:chart>
  <c:spPr>
    <a:ln>
      <a:solidFill>
        <a:schemeClr val="tx1"/>
      </a:solidFill>
    </a:ln>
  </c:spPr>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100" b="1" i="0" u="none" strike="noStrike" baseline="0">
                <a:effectLst/>
              </a:rPr>
              <a:t>Figure 2. Percent Change in Lead Screening by Month, 2020 vs. 2019</a:t>
            </a:r>
          </a:p>
        </c:rich>
      </c:tx>
      <c:layout>
        <c:manualLayout>
          <c:xMode val="edge"/>
          <c:yMode val="edge"/>
          <c:x val="0.12627138889019004"/>
          <c:y val="1.6949152542372881E-2"/>
        </c:manualLayout>
      </c:layout>
      <c:overlay val="0"/>
    </c:title>
    <c:autoTitleDeleted val="0"/>
    <c:plotArea>
      <c:layout>
        <c:manualLayout>
          <c:layoutTarget val="inner"/>
          <c:xMode val="edge"/>
          <c:yMode val="edge"/>
          <c:x val="0.16193515204538828"/>
          <c:y val="0.18335762176776074"/>
          <c:w val="0.7572567671465309"/>
          <c:h val="0.75405835560241408"/>
        </c:manualLayout>
      </c:layout>
      <c:lineChart>
        <c:grouping val="standard"/>
        <c:varyColors val="0"/>
        <c:ser>
          <c:idx val="0"/>
          <c:order val="0"/>
          <c:tx>
            <c:strRef>
              <c:f>'[2019 vs. 2020 Monthly Screening &amp; Rate Data_Updated.xlsx]% Change in Scr Graph'!$B$2</c:f>
              <c:strCache>
                <c:ptCount val="1"/>
                <c:pt idx="0">
                  <c:v>Percent Change</c:v>
                </c:pt>
              </c:strCache>
            </c:strRef>
          </c:tx>
          <c:spPr>
            <a:ln>
              <a:solidFill>
                <a:schemeClr val="accent6">
                  <a:lumMod val="75000"/>
                </a:schemeClr>
              </a:solidFill>
            </a:ln>
          </c:spPr>
          <c:marker>
            <c:symbol val="circle"/>
            <c:size val="5"/>
            <c:spPr>
              <a:solidFill>
                <a:schemeClr val="accent6">
                  <a:lumMod val="75000"/>
                </a:schemeClr>
              </a:solidFill>
              <a:ln>
                <a:solidFill>
                  <a:schemeClr val="accent6">
                    <a:lumMod val="75000"/>
                  </a:schemeClr>
                </a:solidFill>
              </a:ln>
            </c:spPr>
          </c:marker>
          <c:dLbls>
            <c:dLbl>
              <c:idx val="0"/>
              <c:delete val="1"/>
              <c:extLst>
                <c:ext xmlns:c15="http://schemas.microsoft.com/office/drawing/2012/chart" uri="{CE6537A1-D6FC-4f65-9D91-7224C49458BB}"/>
                <c:ext xmlns:c16="http://schemas.microsoft.com/office/drawing/2014/chart" uri="{C3380CC4-5D6E-409C-BE32-E72D297353CC}">
                  <c16:uniqueId val="{00000000-F78C-42D8-8D64-72126A6DE782}"/>
                </c:ext>
              </c:extLst>
            </c:dLbl>
            <c:dLbl>
              <c:idx val="1"/>
              <c:delete val="1"/>
              <c:extLst>
                <c:ext xmlns:c15="http://schemas.microsoft.com/office/drawing/2012/chart" uri="{CE6537A1-D6FC-4f65-9D91-7224C49458BB}"/>
                <c:ext xmlns:c16="http://schemas.microsoft.com/office/drawing/2014/chart" uri="{C3380CC4-5D6E-409C-BE32-E72D297353CC}">
                  <c16:uniqueId val="{00000001-F78C-42D8-8D64-72126A6DE782}"/>
                </c:ext>
              </c:extLst>
            </c:dLbl>
            <c:dLbl>
              <c:idx val="2"/>
              <c:layout>
                <c:manualLayout>
                  <c:x val="-8.3312970494072797E-2"/>
                  <c:y val="1.640022269943516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F78C-42D8-8D64-72126A6DE782}"/>
                </c:ext>
              </c:extLst>
            </c:dLbl>
            <c:dLbl>
              <c:idx val="3"/>
              <c:layout>
                <c:manualLayout>
                  <c:x val="-5.8608058608058608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F78C-42D8-8D64-72126A6DE782}"/>
                </c:ext>
              </c:extLst>
            </c:dLbl>
            <c:dLbl>
              <c:idx val="4"/>
              <c:layout>
                <c:manualLayout>
                  <c:x val="-1.1416342187995731E-2"/>
                  <c:y val="6.5601863778406199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F78C-42D8-8D64-72126A6DE782}"/>
                </c:ext>
              </c:extLst>
            </c:dLbl>
            <c:dLbl>
              <c:idx val="5"/>
              <c:delete val="1"/>
              <c:extLst>
                <c:ext xmlns:c15="http://schemas.microsoft.com/office/drawing/2012/chart" uri="{CE6537A1-D6FC-4f65-9D91-7224C49458BB}"/>
                <c:ext xmlns:c16="http://schemas.microsoft.com/office/drawing/2014/chart" uri="{C3380CC4-5D6E-409C-BE32-E72D297353CC}">
                  <c16:uniqueId val="{00000004-F78C-42D8-8D64-72126A6DE782}"/>
                </c:ext>
              </c:extLst>
            </c:dLbl>
            <c:dLbl>
              <c:idx val="6"/>
              <c:delete val="1"/>
              <c:extLst>
                <c:ext xmlns:c15="http://schemas.microsoft.com/office/drawing/2012/chart" uri="{CE6537A1-D6FC-4f65-9D91-7224C49458BB}"/>
                <c:ext xmlns:c16="http://schemas.microsoft.com/office/drawing/2014/chart" uri="{C3380CC4-5D6E-409C-BE32-E72D297353CC}">
                  <c16:uniqueId val="{00000005-F78C-42D8-8D64-72126A6DE782}"/>
                </c:ext>
              </c:extLst>
            </c:dLbl>
            <c:dLbl>
              <c:idx val="7"/>
              <c:delete val="1"/>
              <c:extLst>
                <c:ext xmlns:c15="http://schemas.microsoft.com/office/drawing/2012/chart" uri="{CE6537A1-D6FC-4f65-9D91-7224C49458BB}"/>
                <c:ext xmlns:c16="http://schemas.microsoft.com/office/drawing/2014/chart" uri="{C3380CC4-5D6E-409C-BE32-E72D297353CC}">
                  <c16:uniqueId val="{00000006-F78C-42D8-8D64-72126A6DE782}"/>
                </c:ext>
              </c:extLst>
            </c:dLbl>
            <c:dLbl>
              <c:idx val="8"/>
              <c:delete val="1"/>
              <c:extLst>
                <c:ext xmlns:c15="http://schemas.microsoft.com/office/drawing/2012/chart" uri="{CE6537A1-D6FC-4f65-9D91-7224C49458BB}"/>
                <c:ext xmlns:c16="http://schemas.microsoft.com/office/drawing/2014/chart" uri="{C3380CC4-5D6E-409C-BE32-E72D297353CC}">
                  <c16:uniqueId val="{00000007-F78C-42D8-8D64-72126A6DE782}"/>
                </c:ext>
              </c:extLst>
            </c:dLbl>
            <c:dLbl>
              <c:idx val="9"/>
              <c:delete val="1"/>
              <c:extLst>
                <c:ext xmlns:c15="http://schemas.microsoft.com/office/drawing/2012/chart" uri="{CE6537A1-D6FC-4f65-9D91-7224C49458BB}"/>
                <c:ext xmlns:c16="http://schemas.microsoft.com/office/drawing/2014/chart" uri="{C3380CC4-5D6E-409C-BE32-E72D297353CC}">
                  <c16:uniqueId val="{00000008-F78C-42D8-8D64-72126A6DE782}"/>
                </c:ext>
              </c:extLst>
            </c:dLbl>
            <c:dLbl>
              <c:idx val="10"/>
              <c:delete val="1"/>
              <c:extLst>
                <c:ext xmlns:c15="http://schemas.microsoft.com/office/drawing/2012/chart" uri="{CE6537A1-D6FC-4f65-9D91-7224C49458BB}"/>
                <c:ext xmlns:c16="http://schemas.microsoft.com/office/drawing/2014/chart" uri="{C3380CC4-5D6E-409C-BE32-E72D297353CC}">
                  <c16:uniqueId val="{00000009-F78C-42D8-8D64-72126A6DE782}"/>
                </c:ext>
              </c:extLst>
            </c:dLbl>
            <c:dLbl>
              <c:idx val="11"/>
              <c:delete val="1"/>
              <c:extLst>
                <c:ext xmlns:c15="http://schemas.microsoft.com/office/drawing/2012/chart" uri="{CE6537A1-D6FC-4f65-9D91-7224C49458BB}"/>
                <c:ext xmlns:c16="http://schemas.microsoft.com/office/drawing/2014/chart" uri="{C3380CC4-5D6E-409C-BE32-E72D297353CC}">
                  <c16:uniqueId val="{0000000A-F78C-42D8-8D64-72126A6DE782}"/>
                </c:ext>
              </c:extLst>
            </c:dLbl>
            <c:spPr>
              <a:noFill/>
              <a:ln>
                <a:noFill/>
              </a:ln>
              <a:effectLst/>
            </c:spPr>
            <c:txPr>
              <a:bodyPr/>
              <a:lstStyle/>
              <a:p>
                <a:pPr>
                  <a:defRPr sz="1100" b="1"/>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'[2019 vs. 2020 Monthly Screening &amp; Rate Data_Updated.xlsx]% Change in Scr Graph'!$C$1:$N$1</c:f>
              <c:strCache>
                <c:ptCount val="12"/>
                <c:pt idx="0">
                  <c:v>Jan</c:v>
                </c:pt>
                <c:pt idx="1">
                  <c:v>Feb</c:v>
                </c:pt>
                <c:pt idx="2">
                  <c:v>Mar</c:v>
                </c:pt>
                <c:pt idx="3">
                  <c:v>Apr</c:v>
                </c:pt>
                <c:pt idx="4">
                  <c:v>May</c:v>
                </c:pt>
                <c:pt idx="5">
                  <c:v>Jun</c:v>
                </c:pt>
                <c:pt idx="6">
                  <c:v>Jul</c:v>
                </c:pt>
                <c:pt idx="7">
                  <c:v>Aug</c:v>
                </c:pt>
                <c:pt idx="8">
                  <c:v>Sept</c:v>
                </c:pt>
                <c:pt idx="9">
                  <c:v>Oct</c:v>
                </c:pt>
                <c:pt idx="10">
                  <c:v>Nov</c:v>
                </c:pt>
                <c:pt idx="11">
                  <c:v>Dec</c:v>
                </c:pt>
              </c:strCache>
            </c:strRef>
          </c:cat>
          <c:val>
            <c:numRef>
              <c:f>'[2019 vs. 2020 Monthly Screening &amp; Rate Data_Updated.xlsx]% Change in Scr Graph'!$C$2:$N$2</c:f>
              <c:numCache>
                <c:formatCode>General</c:formatCode>
                <c:ptCount val="12"/>
                <c:pt idx="0">
                  <c:v>1</c:v>
                </c:pt>
                <c:pt idx="1">
                  <c:v>-3</c:v>
                </c:pt>
                <c:pt idx="2">
                  <c:v>-45</c:v>
                </c:pt>
                <c:pt idx="3">
                  <c:v>-67</c:v>
                </c:pt>
                <c:pt idx="4">
                  <c:v>-46</c:v>
                </c:pt>
                <c:pt idx="5">
                  <c:v>1</c:v>
                </c:pt>
                <c:pt idx="6">
                  <c:v>4</c:v>
                </c:pt>
                <c:pt idx="7">
                  <c:v>-4</c:v>
                </c:pt>
                <c:pt idx="8">
                  <c:v>3</c:v>
                </c:pt>
                <c:pt idx="9">
                  <c:v>1</c:v>
                </c:pt>
                <c:pt idx="10">
                  <c:v>4</c:v>
                </c:pt>
                <c:pt idx="11">
                  <c:v>2</c:v>
                </c:pt>
              </c:numCache>
            </c:numRef>
          </c:val>
          <c:smooth val="0"/>
          <c:extLst>
            <c:ext xmlns:c16="http://schemas.microsoft.com/office/drawing/2014/chart" uri="{C3380CC4-5D6E-409C-BE32-E72D297353CC}">
              <c16:uniqueId val="{0000000B-F78C-42D8-8D64-72126A6DE782}"/>
            </c:ext>
          </c:extLst>
        </c:ser>
        <c:dLbls>
          <c:showLegendKey val="0"/>
          <c:showVal val="0"/>
          <c:showCatName val="0"/>
          <c:showSerName val="0"/>
          <c:showPercent val="0"/>
          <c:showBubbleSize val="0"/>
        </c:dLbls>
        <c:marker val="1"/>
        <c:smooth val="0"/>
        <c:axId val="33659904"/>
        <c:axId val="33661696"/>
      </c:lineChart>
      <c:catAx>
        <c:axId val="33659904"/>
        <c:scaling>
          <c:orientation val="minMax"/>
        </c:scaling>
        <c:delete val="0"/>
        <c:axPos val="b"/>
        <c:numFmt formatCode="General" sourceLinked="0"/>
        <c:majorTickMark val="out"/>
        <c:minorTickMark val="none"/>
        <c:tickLblPos val="nextTo"/>
        <c:txPr>
          <a:bodyPr rot="-5400000" vert="horz"/>
          <a:lstStyle/>
          <a:p>
            <a:pPr>
              <a:defRPr sz="1100" b="0"/>
            </a:pPr>
            <a:endParaRPr lang="en-US"/>
          </a:p>
        </c:txPr>
        <c:crossAx val="33661696"/>
        <c:crosses val="autoZero"/>
        <c:auto val="0"/>
        <c:lblAlgn val="ctr"/>
        <c:lblOffset val="100"/>
        <c:noMultiLvlLbl val="0"/>
      </c:catAx>
      <c:valAx>
        <c:axId val="33661696"/>
        <c:scaling>
          <c:orientation val="minMax"/>
          <c:max val="10"/>
          <c:min val="-70"/>
        </c:scaling>
        <c:delete val="0"/>
        <c:axPos val="l"/>
        <c:majorGridlines/>
        <c:title>
          <c:tx>
            <c:rich>
              <a:bodyPr rot="-5400000" vert="horz"/>
              <a:lstStyle/>
              <a:p>
                <a:pPr>
                  <a:defRPr sz="1100">
                    <a:solidFill>
                      <a:sysClr val="windowText" lastClr="000000"/>
                    </a:solidFill>
                  </a:defRPr>
                </a:pPr>
                <a:r>
                  <a:rPr lang="en-US" sz="1100" b="0">
                    <a:solidFill>
                      <a:sysClr val="windowText" lastClr="000000"/>
                    </a:solidFill>
                  </a:rPr>
                  <a:t>Percent Change (2020 vs. 2019)</a:t>
                </a:r>
              </a:p>
            </c:rich>
          </c:tx>
          <c:layout>
            <c:manualLayout>
              <c:xMode val="edge"/>
              <c:yMode val="edge"/>
              <c:x val="4.0599463528597383E-2"/>
              <c:y val="0.23864211188477474"/>
            </c:manualLayout>
          </c:layout>
          <c:overlay val="0"/>
        </c:title>
        <c:numFmt formatCode="General" sourceLinked="1"/>
        <c:majorTickMark val="out"/>
        <c:minorTickMark val="none"/>
        <c:tickLblPos val="nextTo"/>
        <c:txPr>
          <a:bodyPr/>
          <a:lstStyle/>
          <a:p>
            <a:pPr>
              <a:defRPr sz="1000"/>
            </a:pPr>
            <a:endParaRPr lang="en-US"/>
          </a:p>
        </c:txPr>
        <c:crossAx val="33659904"/>
        <c:crosses val="autoZero"/>
        <c:crossBetween val="between"/>
        <c:majorUnit val="5"/>
      </c:valAx>
    </c:plotArea>
    <c:plotVisOnly val="1"/>
    <c:dispBlanksAs val="gap"/>
    <c:showDLblsOverMax val="0"/>
  </c:chart>
  <c:spPr>
    <a:ln>
      <a:solidFill>
        <a:schemeClr val="bg1">
          <a:lumMod val="50000"/>
        </a:schemeClr>
      </a:solidFill>
    </a:ln>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100"/>
            </a:pPr>
            <a:r>
              <a:rPr lang="en-US" sz="1100" b="1" i="0" baseline="0">
                <a:effectLst/>
                <a:latin typeface="+mn-lt"/>
              </a:rPr>
              <a:t>Figure 3. Percent Change in Lead Poisoning Prevalence (BLLs ≥10 µg/dL) by Month, 2020 vs. 2019</a:t>
            </a:r>
            <a:endParaRPr lang="en-US" sz="1100">
              <a:effectLst/>
              <a:latin typeface="+mn-lt"/>
            </a:endParaRPr>
          </a:p>
        </c:rich>
      </c:tx>
      <c:overlay val="0"/>
    </c:title>
    <c:autoTitleDeleted val="0"/>
    <c:plotArea>
      <c:layout/>
      <c:barChart>
        <c:barDir val="col"/>
        <c:grouping val="clustered"/>
        <c:varyColors val="0"/>
        <c:ser>
          <c:idx val="0"/>
          <c:order val="0"/>
          <c:tx>
            <c:strRef>
              <c:f>'[2019 vs. 2020 Monthly Screening &amp; Rate Data_Updated.xlsx]% Change in BLL10+ Graph'!$A$2</c:f>
              <c:strCache>
                <c:ptCount val="1"/>
                <c:pt idx="0">
                  <c:v>Percent Change</c:v>
                </c:pt>
              </c:strCache>
            </c:strRef>
          </c:tx>
          <c:invertIfNegative val="0"/>
          <c:dPt>
            <c:idx val="0"/>
            <c:invertIfNegative val="0"/>
            <c:bubble3D val="0"/>
            <c:spPr>
              <a:solidFill>
                <a:schemeClr val="accent5">
                  <a:lumMod val="75000"/>
                </a:schemeClr>
              </a:solidFill>
            </c:spPr>
            <c:extLst>
              <c:ext xmlns:c16="http://schemas.microsoft.com/office/drawing/2014/chart" uri="{C3380CC4-5D6E-409C-BE32-E72D297353CC}">
                <c16:uniqueId val="{00000001-EC63-4C65-84E6-E84DB651A100}"/>
              </c:ext>
            </c:extLst>
          </c:dPt>
          <c:dPt>
            <c:idx val="1"/>
            <c:invertIfNegative val="0"/>
            <c:bubble3D val="0"/>
            <c:spPr>
              <a:solidFill>
                <a:schemeClr val="accent5">
                  <a:lumMod val="75000"/>
                </a:schemeClr>
              </a:solidFill>
            </c:spPr>
            <c:extLst>
              <c:ext xmlns:c16="http://schemas.microsoft.com/office/drawing/2014/chart" uri="{C3380CC4-5D6E-409C-BE32-E72D297353CC}">
                <c16:uniqueId val="{00000003-EC63-4C65-84E6-E84DB651A100}"/>
              </c:ext>
            </c:extLst>
          </c:dPt>
          <c:dPt>
            <c:idx val="2"/>
            <c:invertIfNegative val="0"/>
            <c:bubble3D val="0"/>
            <c:spPr>
              <a:solidFill>
                <a:schemeClr val="accent5">
                  <a:lumMod val="75000"/>
                </a:schemeClr>
              </a:solidFill>
            </c:spPr>
            <c:extLst>
              <c:ext xmlns:c16="http://schemas.microsoft.com/office/drawing/2014/chart" uri="{C3380CC4-5D6E-409C-BE32-E72D297353CC}">
                <c16:uniqueId val="{00000005-EC63-4C65-84E6-E84DB651A100}"/>
              </c:ext>
            </c:extLst>
          </c:dPt>
          <c:dPt>
            <c:idx val="3"/>
            <c:invertIfNegative val="0"/>
            <c:bubble3D val="0"/>
            <c:spPr>
              <a:solidFill>
                <a:schemeClr val="accent5">
                  <a:lumMod val="75000"/>
                </a:schemeClr>
              </a:solidFill>
            </c:spPr>
            <c:extLst>
              <c:ext xmlns:c16="http://schemas.microsoft.com/office/drawing/2014/chart" uri="{C3380CC4-5D6E-409C-BE32-E72D297353CC}">
                <c16:uniqueId val="{00000007-EC63-4C65-84E6-E84DB651A100}"/>
              </c:ext>
            </c:extLst>
          </c:dPt>
          <c:dPt>
            <c:idx val="4"/>
            <c:invertIfNegative val="0"/>
            <c:bubble3D val="0"/>
            <c:spPr>
              <a:solidFill>
                <a:schemeClr val="accent2">
                  <a:lumMod val="75000"/>
                </a:schemeClr>
              </a:solidFill>
            </c:spPr>
            <c:extLst>
              <c:ext xmlns:c16="http://schemas.microsoft.com/office/drawing/2014/chart" uri="{C3380CC4-5D6E-409C-BE32-E72D297353CC}">
                <c16:uniqueId val="{00000009-EC63-4C65-84E6-E84DB651A100}"/>
              </c:ext>
            </c:extLst>
          </c:dPt>
          <c:dPt>
            <c:idx val="5"/>
            <c:invertIfNegative val="0"/>
            <c:bubble3D val="0"/>
            <c:spPr>
              <a:solidFill>
                <a:schemeClr val="accent5">
                  <a:lumMod val="75000"/>
                </a:schemeClr>
              </a:solidFill>
            </c:spPr>
            <c:extLst>
              <c:ext xmlns:c16="http://schemas.microsoft.com/office/drawing/2014/chart" uri="{C3380CC4-5D6E-409C-BE32-E72D297353CC}">
                <c16:uniqueId val="{0000000B-EC63-4C65-84E6-E84DB651A100}"/>
              </c:ext>
            </c:extLst>
          </c:dPt>
          <c:dPt>
            <c:idx val="6"/>
            <c:invertIfNegative val="0"/>
            <c:bubble3D val="0"/>
            <c:spPr>
              <a:solidFill>
                <a:schemeClr val="accent2">
                  <a:lumMod val="75000"/>
                </a:schemeClr>
              </a:solidFill>
            </c:spPr>
            <c:extLst>
              <c:ext xmlns:c16="http://schemas.microsoft.com/office/drawing/2014/chart" uri="{C3380CC4-5D6E-409C-BE32-E72D297353CC}">
                <c16:uniqueId val="{0000000D-EC63-4C65-84E6-E84DB651A100}"/>
              </c:ext>
            </c:extLst>
          </c:dPt>
          <c:dPt>
            <c:idx val="7"/>
            <c:invertIfNegative val="0"/>
            <c:bubble3D val="0"/>
            <c:spPr>
              <a:solidFill>
                <a:schemeClr val="accent2">
                  <a:lumMod val="75000"/>
                </a:schemeClr>
              </a:solidFill>
            </c:spPr>
            <c:extLst>
              <c:ext xmlns:c16="http://schemas.microsoft.com/office/drawing/2014/chart" uri="{C3380CC4-5D6E-409C-BE32-E72D297353CC}">
                <c16:uniqueId val="{0000000F-EC63-4C65-84E6-E84DB651A100}"/>
              </c:ext>
            </c:extLst>
          </c:dPt>
          <c:dPt>
            <c:idx val="8"/>
            <c:invertIfNegative val="0"/>
            <c:bubble3D val="0"/>
            <c:spPr>
              <a:solidFill>
                <a:schemeClr val="accent2">
                  <a:lumMod val="75000"/>
                </a:schemeClr>
              </a:solidFill>
            </c:spPr>
            <c:extLst>
              <c:ext xmlns:c16="http://schemas.microsoft.com/office/drawing/2014/chart" uri="{C3380CC4-5D6E-409C-BE32-E72D297353CC}">
                <c16:uniqueId val="{00000011-EC63-4C65-84E6-E84DB651A100}"/>
              </c:ext>
            </c:extLst>
          </c:dPt>
          <c:dPt>
            <c:idx val="9"/>
            <c:invertIfNegative val="0"/>
            <c:bubble3D val="0"/>
            <c:spPr>
              <a:solidFill>
                <a:schemeClr val="accent2">
                  <a:lumMod val="75000"/>
                </a:schemeClr>
              </a:solidFill>
            </c:spPr>
            <c:extLst>
              <c:ext xmlns:c16="http://schemas.microsoft.com/office/drawing/2014/chart" uri="{C3380CC4-5D6E-409C-BE32-E72D297353CC}">
                <c16:uniqueId val="{00000013-EC63-4C65-84E6-E84DB651A100}"/>
              </c:ext>
            </c:extLst>
          </c:dPt>
          <c:dPt>
            <c:idx val="10"/>
            <c:invertIfNegative val="0"/>
            <c:bubble3D val="0"/>
            <c:spPr>
              <a:solidFill>
                <a:schemeClr val="accent2">
                  <a:lumMod val="75000"/>
                </a:schemeClr>
              </a:solidFill>
            </c:spPr>
            <c:extLst>
              <c:ext xmlns:c16="http://schemas.microsoft.com/office/drawing/2014/chart" uri="{C3380CC4-5D6E-409C-BE32-E72D297353CC}">
                <c16:uniqueId val="{00000015-EC63-4C65-84E6-E84DB651A100}"/>
              </c:ext>
            </c:extLst>
          </c:dPt>
          <c:dPt>
            <c:idx val="11"/>
            <c:invertIfNegative val="0"/>
            <c:bubble3D val="0"/>
            <c:spPr>
              <a:solidFill>
                <a:schemeClr val="accent2">
                  <a:lumMod val="75000"/>
                </a:schemeClr>
              </a:solidFill>
            </c:spPr>
            <c:extLst>
              <c:ext xmlns:c16="http://schemas.microsoft.com/office/drawing/2014/chart" uri="{C3380CC4-5D6E-409C-BE32-E72D297353CC}">
                <c16:uniqueId val="{00000017-EC63-4C65-84E6-E84DB651A100}"/>
              </c:ext>
            </c:extLst>
          </c:dPt>
          <c:cat>
            <c:strRef>
              <c:f>'[2019 vs. 2020 Monthly Screening &amp; Rate Data_Updated.xlsx]% Change in BLL10+ Graph'!$B$1:$M$1</c:f>
              <c:strCache>
                <c:ptCount val="12"/>
                <c:pt idx="0">
                  <c:v>Jan</c:v>
                </c:pt>
                <c:pt idx="1">
                  <c:v>Feb</c:v>
                </c:pt>
                <c:pt idx="2">
                  <c:v>Mar</c:v>
                </c:pt>
                <c:pt idx="3">
                  <c:v>Apr</c:v>
                </c:pt>
                <c:pt idx="4">
                  <c:v>May</c:v>
                </c:pt>
                <c:pt idx="5">
                  <c:v>Jun</c:v>
                </c:pt>
                <c:pt idx="6">
                  <c:v>Jul</c:v>
                </c:pt>
                <c:pt idx="7">
                  <c:v>Aug</c:v>
                </c:pt>
                <c:pt idx="8">
                  <c:v>Sept</c:v>
                </c:pt>
                <c:pt idx="9">
                  <c:v>Oct</c:v>
                </c:pt>
                <c:pt idx="10">
                  <c:v>Nov</c:v>
                </c:pt>
                <c:pt idx="11">
                  <c:v>Dec</c:v>
                </c:pt>
              </c:strCache>
            </c:strRef>
          </c:cat>
          <c:val>
            <c:numRef>
              <c:f>'[2019 vs. 2020 Monthly Screening &amp; Rate Data_Updated.xlsx]% Change in BLL10+ Graph'!$B$2:$M$2</c:f>
              <c:numCache>
                <c:formatCode>General</c:formatCode>
                <c:ptCount val="12"/>
                <c:pt idx="0">
                  <c:v>-6</c:v>
                </c:pt>
                <c:pt idx="1">
                  <c:v>-30</c:v>
                </c:pt>
                <c:pt idx="2">
                  <c:v>-15</c:v>
                </c:pt>
                <c:pt idx="3">
                  <c:v>-38</c:v>
                </c:pt>
                <c:pt idx="4">
                  <c:v>37</c:v>
                </c:pt>
                <c:pt idx="5">
                  <c:v>-20</c:v>
                </c:pt>
                <c:pt idx="6">
                  <c:v>2</c:v>
                </c:pt>
                <c:pt idx="7">
                  <c:v>7</c:v>
                </c:pt>
                <c:pt idx="8">
                  <c:v>9</c:v>
                </c:pt>
                <c:pt idx="9">
                  <c:v>70</c:v>
                </c:pt>
                <c:pt idx="10">
                  <c:v>21</c:v>
                </c:pt>
                <c:pt idx="11">
                  <c:v>16</c:v>
                </c:pt>
              </c:numCache>
            </c:numRef>
          </c:val>
          <c:extLst>
            <c:ext xmlns:c16="http://schemas.microsoft.com/office/drawing/2014/chart" uri="{C3380CC4-5D6E-409C-BE32-E72D297353CC}">
              <c16:uniqueId val="{00000018-EC63-4C65-84E6-E84DB651A100}"/>
            </c:ext>
          </c:extLst>
        </c:ser>
        <c:dLbls>
          <c:showLegendKey val="0"/>
          <c:showVal val="0"/>
          <c:showCatName val="0"/>
          <c:showSerName val="0"/>
          <c:showPercent val="0"/>
          <c:showBubbleSize val="0"/>
        </c:dLbls>
        <c:gapWidth val="150"/>
        <c:axId val="88763392"/>
        <c:axId val="88769280"/>
      </c:barChart>
      <c:catAx>
        <c:axId val="88763392"/>
        <c:scaling>
          <c:orientation val="minMax"/>
        </c:scaling>
        <c:delete val="0"/>
        <c:axPos val="b"/>
        <c:numFmt formatCode="General" sourceLinked="0"/>
        <c:majorTickMark val="out"/>
        <c:minorTickMark val="none"/>
        <c:tickLblPos val="nextTo"/>
        <c:txPr>
          <a:bodyPr rot="-5400000" vert="horz"/>
          <a:lstStyle/>
          <a:p>
            <a:pPr>
              <a:defRPr sz="1100" b="0"/>
            </a:pPr>
            <a:endParaRPr lang="en-US"/>
          </a:p>
        </c:txPr>
        <c:crossAx val="88769280"/>
        <c:crosses val="autoZero"/>
        <c:auto val="1"/>
        <c:lblAlgn val="ctr"/>
        <c:lblOffset val="100"/>
        <c:noMultiLvlLbl val="0"/>
      </c:catAx>
      <c:valAx>
        <c:axId val="88769280"/>
        <c:scaling>
          <c:orientation val="minMax"/>
        </c:scaling>
        <c:delete val="0"/>
        <c:axPos val="l"/>
        <c:majorGridlines/>
        <c:title>
          <c:tx>
            <c:rich>
              <a:bodyPr/>
              <a:lstStyle/>
              <a:p>
                <a:pPr>
                  <a:defRPr sz="1100"/>
                </a:pPr>
                <a:r>
                  <a:rPr lang="en-US" sz="1100" b="0" i="0" u="none" strike="noStrike" baseline="0">
                    <a:effectLst/>
                  </a:rPr>
                  <a:t>Percent Change (2020 vs. 2019)</a:t>
                </a:r>
                <a:endParaRPr lang="en-US" sz="1100" b="0"/>
              </a:p>
            </c:rich>
          </c:tx>
          <c:overlay val="0"/>
        </c:title>
        <c:numFmt formatCode="General" sourceLinked="1"/>
        <c:majorTickMark val="out"/>
        <c:minorTickMark val="none"/>
        <c:tickLblPos val="nextTo"/>
        <c:txPr>
          <a:bodyPr/>
          <a:lstStyle/>
          <a:p>
            <a:pPr>
              <a:defRPr sz="1000"/>
            </a:pPr>
            <a:endParaRPr lang="en-US"/>
          </a:p>
        </c:txPr>
        <c:crossAx val="88763392"/>
        <c:crosses val="autoZero"/>
        <c:crossBetween val="between"/>
      </c:valAx>
    </c:plotArea>
    <c:plotVisOnly val="1"/>
    <c:dispBlanksAs val="gap"/>
    <c:showDLblsOverMax val="0"/>
  </c:chart>
  <c:spPr>
    <a:noFill/>
    <a:ln>
      <a:solidFill>
        <a:schemeClr val="tx1"/>
      </a:solidFill>
    </a:ln>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200" b="1" i="0" baseline="0">
                <a:effectLst/>
              </a:rPr>
              <a:t>Figure 4. Comparison of High-Risk Communities vs All Other Communities: </a:t>
            </a:r>
          </a:p>
          <a:p>
            <a:pPr>
              <a:defRPr/>
            </a:pPr>
            <a:r>
              <a:rPr lang="en-US" sz="1200" b="1" i="0" baseline="0">
                <a:effectLst/>
              </a:rPr>
              <a:t>Prevalence of Blood Lead Levels ≥10 µg/dL</a:t>
            </a:r>
            <a:r>
              <a:rPr lang="en-US" sz="1200" b="1" i="0" baseline="30000">
                <a:effectLst/>
              </a:rPr>
              <a:t>1</a:t>
            </a:r>
            <a:r>
              <a:rPr lang="en-US" sz="1200" b="1" i="0" baseline="0">
                <a:effectLst/>
              </a:rPr>
              <a:t>, 2010-2020</a:t>
            </a:r>
            <a:endParaRPr lang="en-US" sz="1000">
              <a:effectLst/>
            </a:endParaRPr>
          </a:p>
        </c:rich>
      </c:tx>
      <c:overlay val="0"/>
    </c:title>
    <c:autoTitleDeleted val="0"/>
    <c:plotArea>
      <c:layout/>
      <c:lineChart>
        <c:grouping val="standard"/>
        <c:varyColors val="0"/>
        <c:ser>
          <c:idx val="0"/>
          <c:order val="0"/>
          <c:tx>
            <c:strRef>
              <c:f>'Prev Conf 10+ HR vs. MA'!$J$77</c:f>
              <c:strCache>
                <c:ptCount val="1"/>
                <c:pt idx="0">
                  <c:v>High-Risk</c:v>
                </c:pt>
              </c:strCache>
            </c:strRef>
          </c:tx>
          <c:marker>
            <c:symbol val="circle"/>
            <c:size val="5"/>
          </c:marker>
          <c:dLbls>
            <c:dLbl>
              <c:idx val="0"/>
              <c:layout>
                <c:manualLayout>
                  <c:x val="-1.0767158640093734E-2"/>
                  <c:y val="-1.700318240665989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FFF1-4959-B88F-0CF2D94B083A}"/>
                </c:ext>
              </c:extLst>
            </c:dLbl>
            <c:dLbl>
              <c:idx val="1"/>
              <c:layout>
                <c:manualLayout>
                  <c:x val="-1.7945264400156223E-2"/>
                  <c:y val="-3.11725010788764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FFF1-4959-B88F-0CF2D94B083A}"/>
                </c:ext>
              </c:extLst>
            </c:dLbl>
            <c:dLbl>
              <c:idx val="2"/>
              <c:layout>
                <c:manualLayout>
                  <c:x val="-2.1534317280187468E-2"/>
                  <c:y val="-2.550477360998983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FFF1-4959-B88F-0CF2D94B083A}"/>
                </c:ext>
              </c:extLst>
            </c:dLbl>
            <c:dLbl>
              <c:idx val="3"/>
              <c:layout>
                <c:manualLayout>
                  <c:x val="-2.332884372020309E-2"/>
                  <c:y val="2.550477360998983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FFF1-4959-B88F-0CF2D94B083A}"/>
                </c:ext>
              </c:extLst>
            </c:dLbl>
            <c:dLbl>
              <c:idx val="4"/>
              <c:layout>
                <c:manualLayout>
                  <c:x val="-2.5123370160218712E-2"/>
                  <c:y val="-2.550477360998983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FFF1-4959-B88F-0CF2D94B083A}"/>
                </c:ext>
              </c:extLst>
            </c:dLbl>
            <c:dLbl>
              <c:idx val="5"/>
              <c:layout>
                <c:manualLayout>
                  <c:x val="-2.6917896600234335E-2"/>
                  <c:y val="-2.550477360998983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FFF1-4959-B88F-0CF2D94B083A}"/>
                </c:ext>
              </c:extLst>
            </c:dLbl>
            <c:dLbl>
              <c:idx val="6"/>
              <c:layout>
                <c:manualLayout>
                  <c:x val="-2.6917896600234335E-2"/>
                  <c:y val="-2.267090987554652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FFF1-4959-B88F-0CF2D94B083A}"/>
                </c:ext>
              </c:extLst>
            </c:dLbl>
            <c:dLbl>
              <c:idx val="7"/>
              <c:layout>
                <c:manualLayout>
                  <c:x val="-1.2561685080109356E-2"/>
                  <c:y val="-2.550477360998983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FFF1-4959-B88F-0CF2D94B083A}"/>
                </c:ext>
              </c:extLst>
            </c:dLbl>
            <c:dLbl>
              <c:idx val="8"/>
              <c:layout>
                <c:manualLayout>
                  <c:x val="-5.3835793200468669E-3"/>
                  <c:y val="-1.983704614110320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FFF1-4959-B88F-0CF2D94B083A}"/>
                </c:ext>
              </c:extLst>
            </c:dLbl>
            <c:dLbl>
              <c:idx val="9"/>
              <c:layout>
                <c:manualLayout>
                  <c:x val="-1.9739790840171845E-2"/>
                  <c:y val="3.11725010788764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FFF1-4959-B88F-0CF2D94B083A}"/>
                </c:ext>
              </c:extLst>
            </c:dLbl>
            <c:dLbl>
              <c:idx val="10"/>
              <c:layout>
                <c:manualLayout>
                  <c:x val="-1.6150737960140469E-2"/>
                  <c:y val="-2.550477360998983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FFF1-4959-B88F-0CF2D94B083A}"/>
                </c:ext>
              </c:extLst>
            </c:dLbl>
            <c:spPr>
              <a:noFill/>
              <a:ln>
                <a:noFill/>
              </a:ln>
              <a:effectLst/>
            </c:spPr>
            <c:txPr>
              <a:bodyPr/>
              <a:lstStyle/>
              <a:p>
                <a:pPr>
                  <a:defRPr b="0"/>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'Prev Conf 10+ HR vs. MA'!$I$78:$I$88</c:f>
              <c:numCache>
                <c:formatCode>General</c:formatCode>
                <c:ptCount val="11"/>
                <c:pt idx="0">
                  <c:v>2010</c:v>
                </c:pt>
                <c:pt idx="1">
                  <c:v>2011</c:v>
                </c:pt>
                <c:pt idx="2">
                  <c:v>2012</c:v>
                </c:pt>
                <c:pt idx="3">
                  <c:v>2013</c:v>
                </c:pt>
                <c:pt idx="4">
                  <c:v>2014</c:v>
                </c:pt>
                <c:pt idx="5">
                  <c:v>2015</c:v>
                </c:pt>
                <c:pt idx="6">
                  <c:v>2016</c:v>
                </c:pt>
                <c:pt idx="7">
                  <c:v>2017</c:v>
                </c:pt>
                <c:pt idx="8">
                  <c:v>2018</c:v>
                </c:pt>
                <c:pt idx="9">
                  <c:v>2019</c:v>
                </c:pt>
                <c:pt idx="10">
                  <c:v>2020</c:v>
                </c:pt>
              </c:numCache>
            </c:numRef>
          </c:cat>
          <c:val>
            <c:numRef>
              <c:f>'Prev Conf 10+ HR vs. MA'!$J$78:$J$88</c:f>
              <c:numCache>
                <c:formatCode>0.0</c:formatCode>
                <c:ptCount val="11"/>
                <c:pt idx="0">
                  <c:v>7.5</c:v>
                </c:pt>
                <c:pt idx="1">
                  <c:v>6</c:v>
                </c:pt>
                <c:pt idx="2">
                  <c:v>6</c:v>
                </c:pt>
                <c:pt idx="3">
                  <c:v>5.6</c:v>
                </c:pt>
                <c:pt idx="4">
                  <c:v>6.1</c:v>
                </c:pt>
                <c:pt idx="5">
                  <c:v>5.3</c:v>
                </c:pt>
                <c:pt idx="6">
                  <c:v>6.1</c:v>
                </c:pt>
                <c:pt idx="7">
                  <c:v>5</c:v>
                </c:pt>
                <c:pt idx="8">
                  <c:v>4.5</c:v>
                </c:pt>
                <c:pt idx="9" formatCode="General">
                  <c:v>4</c:v>
                </c:pt>
                <c:pt idx="10" formatCode="General">
                  <c:v>5.2</c:v>
                </c:pt>
              </c:numCache>
            </c:numRef>
          </c:val>
          <c:smooth val="1"/>
          <c:extLst>
            <c:ext xmlns:c16="http://schemas.microsoft.com/office/drawing/2014/chart" uri="{C3380CC4-5D6E-409C-BE32-E72D297353CC}">
              <c16:uniqueId val="{0000000B-FFF1-4959-B88F-0CF2D94B083A}"/>
            </c:ext>
          </c:extLst>
        </c:ser>
        <c:ser>
          <c:idx val="1"/>
          <c:order val="1"/>
          <c:tx>
            <c:strRef>
              <c:f>'Prev Conf 10+ HR vs. MA'!$K$77</c:f>
              <c:strCache>
                <c:ptCount val="1"/>
                <c:pt idx="0">
                  <c:v>All Other Communities</c:v>
                </c:pt>
              </c:strCache>
            </c:strRef>
          </c:tx>
          <c:spPr>
            <a:ln>
              <a:solidFill>
                <a:schemeClr val="accent6">
                  <a:lumMod val="75000"/>
                </a:schemeClr>
              </a:solidFill>
            </a:ln>
          </c:spPr>
          <c:marker>
            <c:symbol val="circle"/>
            <c:size val="5"/>
            <c:spPr>
              <a:solidFill>
                <a:schemeClr val="accent6">
                  <a:lumMod val="75000"/>
                </a:schemeClr>
              </a:solidFill>
              <a:ln>
                <a:solidFill>
                  <a:schemeClr val="accent6">
                    <a:lumMod val="75000"/>
                  </a:schemeClr>
                </a:solidFill>
              </a:ln>
            </c:spPr>
          </c:marker>
          <c:dLbls>
            <c:dLbl>
              <c:idx val="0"/>
              <c:layout>
                <c:manualLayout>
                  <c:x val="-2.5123370160218712E-2"/>
                  <c:y val="-1.983704614110320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FFF1-4959-B88F-0CF2D94B083A}"/>
                </c:ext>
              </c:extLst>
            </c:dLbl>
            <c:dLbl>
              <c:idx val="1"/>
              <c:layout>
                <c:manualLayout>
                  <c:x val="-2.1534317280187468E-2"/>
                  <c:y val="-2.550477360998983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FFF1-4959-B88F-0CF2D94B083A}"/>
                </c:ext>
              </c:extLst>
            </c:dLbl>
            <c:dLbl>
              <c:idx val="2"/>
              <c:layout>
                <c:manualLayout>
                  <c:x val="-2.5123370160218712E-2"/>
                  <c:y val="-2.550477360998983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FFF1-4959-B88F-0CF2D94B083A}"/>
                </c:ext>
              </c:extLst>
            </c:dLbl>
            <c:dLbl>
              <c:idx val="3"/>
              <c:layout>
                <c:manualLayout>
                  <c:x val="-2.5123370160218712E-2"/>
                  <c:y val="-2.550477360998983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FFF1-4959-B88F-0CF2D94B083A}"/>
                </c:ext>
              </c:extLst>
            </c:dLbl>
            <c:dLbl>
              <c:idx val="4"/>
              <c:layout>
                <c:manualLayout>
                  <c:x val="-2.6917896600234335E-2"/>
                  <c:y val="-2.550477360998983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FFF1-4959-B88F-0CF2D94B083A}"/>
                </c:ext>
              </c:extLst>
            </c:dLbl>
            <c:dLbl>
              <c:idx val="5"/>
              <c:layout>
                <c:manualLayout>
                  <c:x val="-2.5123370160218712E-2"/>
                  <c:y val="-2.550477360998983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FFF1-4959-B88F-0CF2D94B083A}"/>
                </c:ext>
              </c:extLst>
            </c:dLbl>
            <c:dLbl>
              <c:idx val="6"/>
              <c:layout>
                <c:manualLayout>
                  <c:x val="-2.6917896600234335E-2"/>
                  <c:y val="-1.983704614110320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FFF1-4959-B88F-0CF2D94B083A}"/>
                </c:ext>
              </c:extLst>
            </c:dLbl>
            <c:dLbl>
              <c:idx val="7"/>
              <c:layout>
                <c:manualLayout>
                  <c:x val="-2.1534317280187468E-2"/>
                  <c:y val="-2.833863734443315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FFF1-4959-B88F-0CF2D94B083A}"/>
                </c:ext>
              </c:extLst>
            </c:dLbl>
            <c:dLbl>
              <c:idx val="8"/>
              <c:layout>
                <c:manualLayout>
                  <c:x val="-2.1534317280187468E-2"/>
                  <c:y val="-2.833863734443315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FFF1-4959-B88F-0CF2D94B083A}"/>
                </c:ext>
              </c:extLst>
            </c:dLbl>
            <c:dLbl>
              <c:idx val="9"/>
              <c:layout>
                <c:manualLayout>
                  <c:x val="-1.7945264400156223E-2"/>
                  <c:y val="-2.833863734443315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FFF1-4959-B88F-0CF2D94B083A}"/>
                </c:ext>
              </c:extLst>
            </c:dLbl>
            <c:dLbl>
              <c:idx val="10"/>
              <c:layout>
                <c:manualLayout>
                  <c:x val="-5.3835793200467351E-3"/>
                  <c:y val="1.700318240665989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6-FFF1-4959-B88F-0CF2D94B083A}"/>
                </c:ext>
              </c:extLst>
            </c:dLbl>
            <c:spPr>
              <a:noFill/>
              <a:ln>
                <a:noFill/>
              </a:ln>
              <a:effectLst/>
            </c:spPr>
            <c:txPr>
              <a:bodyPr/>
              <a:lstStyle/>
              <a:p>
                <a:pPr>
                  <a:defRPr b="0"/>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'Prev Conf 10+ HR vs. MA'!$I$78:$I$88</c:f>
              <c:numCache>
                <c:formatCode>General</c:formatCode>
                <c:ptCount val="11"/>
                <c:pt idx="0">
                  <c:v>2010</c:v>
                </c:pt>
                <c:pt idx="1">
                  <c:v>2011</c:v>
                </c:pt>
                <c:pt idx="2">
                  <c:v>2012</c:v>
                </c:pt>
                <c:pt idx="3">
                  <c:v>2013</c:v>
                </c:pt>
                <c:pt idx="4">
                  <c:v>2014</c:v>
                </c:pt>
                <c:pt idx="5">
                  <c:v>2015</c:v>
                </c:pt>
                <c:pt idx="6">
                  <c:v>2016</c:v>
                </c:pt>
                <c:pt idx="7">
                  <c:v>2017</c:v>
                </c:pt>
                <c:pt idx="8">
                  <c:v>2018</c:v>
                </c:pt>
                <c:pt idx="9">
                  <c:v>2019</c:v>
                </c:pt>
                <c:pt idx="10">
                  <c:v>2020</c:v>
                </c:pt>
              </c:numCache>
            </c:numRef>
          </c:cat>
          <c:val>
            <c:numRef>
              <c:f>'Prev Conf 10+ HR vs. MA'!$K$78:$K$88</c:f>
              <c:numCache>
                <c:formatCode>General</c:formatCode>
                <c:ptCount val="11"/>
                <c:pt idx="0">
                  <c:v>2.5</c:v>
                </c:pt>
                <c:pt idx="1">
                  <c:v>2.1</c:v>
                </c:pt>
                <c:pt idx="2">
                  <c:v>2.4</c:v>
                </c:pt>
                <c:pt idx="3">
                  <c:v>2.1</c:v>
                </c:pt>
                <c:pt idx="4">
                  <c:v>2.4</c:v>
                </c:pt>
                <c:pt idx="5">
                  <c:v>2.2000000000000002</c:v>
                </c:pt>
                <c:pt idx="6">
                  <c:v>2.5</c:v>
                </c:pt>
                <c:pt idx="7">
                  <c:v>2.2000000000000002</c:v>
                </c:pt>
                <c:pt idx="8">
                  <c:v>2</c:v>
                </c:pt>
                <c:pt idx="9">
                  <c:v>2</c:v>
                </c:pt>
                <c:pt idx="10">
                  <c:v>1.8</c:v>
                </c:pt>
              </c:numCache>
            </c:numRef>
          </c:val>
          <c:smooth val="1"/>
          <c:extLst>
            <c:ext xmlns:c16="http://schemas.microsoft.com/office/drawing/2014/chart" uri="{C3380CC4-5D6E-409C-BE32-E72D297353CC}">
              <c16:uniqueId val="{00000017-FFF1-4959-B88F-0CF2D94B083A}"/>
            </c:ext>
          </c:extLst>
        </c:ser>
        <c:dLbls>
          <c:showLegendKey val="0"/>
          <c:showVal val="0"/>
          <c:showCatName val="0"/>
          <c:showSerName val="0"/>
          <c:showPercent val="0"/>
          <c:showBubbleSize val="0"/>
        </c:dLbls>
        <c:marker val="1"/>
        <c:smooth val="0"/>
        <c:axId val="158874240"/>
        <c:axId val="158906240"/>
      </c:lineChart>
      <c:catAx>
        <c:axId val="158874240"/>
        <c:scaling>
          <c:orientation val="minMax"/>
        </c:scaling>
        <c:delete val="0"/>
        <c:axPos val="b"/>
        <c:numFmt formatCode="General" sourceLinked="1"/>
        <c:majorTickMark val="out"/>
        <c:minorTickMark val="none"/>
        <c:tickLblPos val="nextTo"/>
        <c:txPr>
          <a:bodyPr/>
          <a:lstStyle/>
          <a:p>
            <a:pPr>
              <a:defRPr sz="1100" b="0"/>
            </a:pPr>
            <a:endParaRPr lang="en-US"/>
          </a:p>
        </c:txPr>
        <c:crossAx val="158906240"/>
        <c:crosses val="autoZero"/>
        <c:auto val="1"/>
        <c:lblAlgn val="ctr"/>
        <c:lblOffset val="100"/>
        <c:noMultiLvlLbl val="0"/>
      </c:catAx>
      <c:valAx>
        <c:axId val="158906240"/>
        <c:scaling>
          <c:orientation val="minMax"/>
        </c:scaling>
        <c:delete val="0"/>
        <c:axPos val="l"/>
        <c:majorGridlines/>
        <c:title>
          <c:tx>
            <c:rich>
              <a:bodyPr rot="-5400000" vert="horz"/>
              <a:lstStyle/>
              <a:p>
                <a:pPr>
                  <a:defRPr sz="1100"/>
                </a:pPr>
                <a:r>
                  <a:rPr lang="en-US" sz="1100" b="0" i="0" baseline="0">
                    <a:effectLst/>
                  </a:rPr>
                  <a:t>Prevalence per 1,000 children screened</a:t>
                </a:r>
                <a:endParaRPr lang="en-US" sz="1100">
                  <a:effectLst/>
                </a:endParaRPr>
              </a:p>
            </c:rich>
          </c:tx>
          <c:layout>
            <c:manualLayout>
              <c:xMode val="edge"/>
              <c:yMode val="edge"/>
              <c:x val="1.2561685080109356E-2"/>
              <c:y val="0.21640231403940721"/>
            </c:manualLayout>
          </c:layout>
          <c:overlay val="0"/>
        </c:title>
        <c:numFmt formatCode="0.0" sourceLinked="1"/>
        <c:majorTickMark val="out"/>
        <c:minorTickMark val="none"/>
        <c:tickLblPos val="nextTo"/>
        <c:txPr>
          <a:bodyPr/>
          <a:lstStyle/>
          <a:p>
            <a:pPr>
              <a:defRPr sz="1100" b="0"/>
            </a:pPr>
            <a:endParaRPr lang="en-US"/>
          </a:p>
        </c:txPr>
        <c:crossAx val="158874240"/>
        <c:crosses val="autoZero"/>
        <c:crossBetween val="between"/>
      </c:valAx>
    </c:plotArea>
    <c:legend>
      <c:legendPos val="b"/>
      <c:overlay val="0"/>
      <c:txPr>
        <a:bodyPr/>
        <a:lstStyle/>
        <a:p>
          <a:pPr>
            <a:defRPr sz="1000" b="0"/>
          </a:pPr>
          <a:endParaRPr lang="en-US"/>
        </a:p>
      </c:txPr>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100" b="1" i="0" baseline="0">
                <a:effectLst/>
                <a:latin typeface="+mn-lt"/>
              </a:rPr>
              <a:t>Figure 5. Prevalence of Children with Elevated Blood Lead Levels</a:t>
            </a:r>
            <a:r>
              <a:rPr lang="en-US" sz="1100" b="1" i="0" baseline="30000">
                <a:effectLst/>
                <a:latin typeface="+mn-lt"/>
              </a:rPr>
              <a:t>1</a:t>
            </a:r>
            <a:r>
              <a:rPr lang="en-US" sz="1100" b="1" i="0" baseline="0">
                <a:effectLst/>
                <a:latin typeface="+mn-lt"/>
              </a:rPr>
              <a:t> by Community Income</a:t>
            </a:r>
            <a:r>
              <a:rPr lang="en-US" sz="1100" b="1" i="0" baseline="30000">
                <a:effectLst/>
                <a:latin typeface="+mn-lt"/>
              </a:rPr>
              <a:t>2 </a:t>
            </a:r>
            <a:r>
              <a:rPr lang="en-US" sz="1100" b="1" i="0" baseline="0">
                <a:effectLst/>
                <a:latin typeface="+mn-lt"/>
              </a:rPr>
              <a:t>(2020)</a:t>
            </a:r>
            <a:endParaRPr lang="en-US" sz="1100">
              <a:effectLst/>
              <a:latin typeface="+mn-lt"/>
            </a:endParaRPr>
          </a:p>
        </c:rich>
      </c:tx>
      <c:overlay val="0"/>
    </c:title>
    <c:autoTitleDeleted val="0"/>
    <c:plotArea>
      <c:layout>
        <c:manualLayout>
          <c:layoutTarget val="inner"/>
          <c:xMode val="edge"/>
          <c:yMode val="edge"/>
          <c:x val="0.15665660951259597"/>
          <c:y val="0.13865216173067882"/>
          <c:w val="0.80907547771481836"/>
          <c:h val="0.73669879868255328"/>
        </c:manualLayout>
      </c:layout>
      <c:barChart>
        <c:barDir val="col"/>
        <c:grouping val="clustered"/>
        <c:varyColors val="0"/>
        <c:ser>
          <c:idx val="0"/>
          <c:order val="0"/>
          <c:invertIfNegative val="0"/>
          <c:dLbls>
            <c:dLbl>
              <c:idx val="0"/>
              <c:layout>
                <c:manualLayout>
                  <c:x val="0"/>
                  <c:y val="9.2252220840557564E-2"/>
                </c:manualLayout>
              </c:layout>
              <c:tx>
                <c:rich>
                  <a:bodyPr/>
                  <a:lstStyle/>
                  <a:p>
                    <a:r>
                      <a:rPr lang="en-US" sz="1600" b="1">
                        <a:solidFill>
                          <a:schemeClr val="bg1"/>
                        </a:solidFill>
                      </a:rPr>
                      <a:t>4.9</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B078-4321-91EB-D87C45BAB50F}"/>
                </c:ext>
              </c:extLst>
            </c:dLbl>
            <c:dLbl>
              <c:idx val="1"/>
              <c:layout>
                <c:manualLayout>
                  <c:x val="0"/>
                  <c:y val="8.6486457038022713E-2"/>
                </c:manualLayout>
              </c:layout>
              <c:tx>
                <c:rich>
                  <a:bodyPr/>
                  <a:lstStyle/>
                  <a:p>
                    <a:r>
                      <a:rPr lang="en-US" sz="1600" b="1">
                        <a:solidFill>
                          <a:schemeClr val="bg1"/>
                        </a:solidFill>
                      </a:rPr>
                      <a:t>19.3</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B078-4321-91EB-D87C45BAB50F}"/>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'Town BLL &amp; PIR Data'!$P$8:$P$9</c:f>
              <c:strCache>
                <c:ptCount val="2"/>
                <c:pt idx="0">
                  <c:v>High-Income Communities</c:v>
                </c:pt>
                <c:pt idx="1">
                  <c:v>Low-Income Communities</c:v>
                </c:pt>
              </c:strCache>
            </c:strRef>
          </c:cat>
          <c:val>
            <c:numRef>
              <c:f>'Town BLL &amp; PIR Data'!$Q$8:$Q$9</c:f>
              <c:numCache>
                <c:formatCode>General</c:formatCode>
                <c:ptCount val="2"/>
                <c:pt idx="0">
                  <c:v>4.9000000000000004</c:v>
                </c:pt>
                <c:pt idx="1">
                  <c:v>19.3</c:v>
                </c:pt>
              </c:numCache>
            </c:numRef>
          </c:val>
          <c:extLst>
            <c:ext xmlns:c16="http://schemas.microsoft.com/office/drawing/2014/chart" uri="{C3380CC4-5D6E-409C-BE32-E72D297353CC}">
              <c16:uniqueId val="{00000002-B078-4321-91EB-D87C45BAB50F}"/>
            </c:ext>
          </c:extLst>
        </c:ser>
        <c:dLbls>
          <c:showLegendKey val="0"/>
          <c:showVal val="0"/>
          <c:showCatName val="0"/>
          <c:showSerName val="0"/>
          <c:showPercent val="0"/>
          <c:showBubbleSize val="0"/>
        </c:dLbls>
        <c:gapWidth val="150"/>
        <c:axId val="127707392"/>
        <c:axId val="130416640"/>
      </c:barChart>
      <c:catAx>
        <c:axId val="127707392"/>
        <c:scaling>
          <c:orientation val="minMax"/>
        </c:scaling>
        <c:delete val="0"/>
        <c:axPos val="b"/>
        <c:numFmt formatCode="General" sourceLinked="0"/>
        <c:majorTickMark val="out"/>
        <c:minorTickMark val="none"/>
        <c:tickLblPos val="nextTo"/>
        <c:txPr>
          <a:bodyPr/>
          <a:lstStyle/>
          <a:p>
            <a:pPr>
              <a:defRPr sz="1100"/>
            </a:pPr>
            <a:endParaRPr lang="en-US"/>
          </a:p>
        </c:txPr>
        <c:crossAx val="130416640"/>
        <c:crosses val="autoZero"/>
        <c:auto val="1"/>
        <c:lblAlgn val="ctr"/>
        <c:lblOffset val="100"/>
        <c:noMultiLvlLbl val="0"/>
      </c:catAx>
      <c:valAx>
        <c:axId val="130416640"/>
        <c:scaling>
          <c:orientation val="minMax"/>
        </c:scaling>
        <c:delete val="0"/>
        <c:axPos val="l"/>
        <c:majorGridlines/>
        <c:title>
          <c:tx>
            <c:rich>
              <a:bodyPr rot="-5400000" vert="horz"/>
              <a:lstStyle/>
              <a:p>
                <a:pPr>
                  <a:defRPr/>
                </a:pPr>
                <a:r>
                  <a:rPr lang="en-US" sz="1100" b="0" i="0" baseline="0">
                    <a:effectLst/>
                  </a:rPr>
                  <a:t>Prevalence per 1,000 Children Screened</a:t>
                </a:r>
                <a:endParaRPr lang="en-US" sz="1100">
                  <a:effectLst/>
                </a:endParaRPr>
              </a:p>
            </c:rich>
          </c:tx>
          <c:overlay val="0"/>
        </c:title>
        <c:numFmt formatCode="General" sourceLinked="1"/>
        <c:majorTickMark val="out"/>
        <c:minorTickMark val="none"/>
        <c:tickLblPos val="nextTo"/>
        <c:txPr>
          <a:bodyPr/>
          <a:lstStyle/>
          <a:p>
            <a:pPr>
              <a:defRPr sz="1100"/>
            </a:pPr>
            <a:endParaRPr lang="en-US"/>
          </a:p>
        </c:txPr>
        <c:crossAx val="127707392"/>
        <c:crosses val="autoZero"/>
        <c:crossBetween val="between"/>
      </c:valAx>
    </c:plotArea>
    <c:plotVisOnly val="1"/>
    <c:dispBlanksAs val="gap"/>
    <c:showDLblsOverMax val="0"/>
  </c:chart>
  <c:spPr>
    <a:ln>
      <a:solidFill>
        <a:schemeClr val="tx1"/>
      </a:solidFill>
    </a:ln>
  </c:spPr>
  <c:externalData r:id="rId1">
    <c:autoUpdate val="0"/>
  </c:externalData>
  <c:userShapes r:id="rId2"/>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100" b="0" i="0" u="none" strike="noStrike" kern="1200" spc="0" baseline="0">
                <a:solidFill>
                  <a:sysClr val="windowText" lastClr="000000"/>
                </a:solidFill>
                <a:latin typeface="+mn-lt"/>
                <a:ea typeface="+mn-ea"/>
                <a:cs typeface="+mn-cs"/>
              </a:defRPr>
            </a:pPr>
            <a:r>
              <a:rPr lang="en-US" sz="1100" b="1" i="0" baseline="0">
                <a:solidFill>
                  <a:sysClr val="windowText" lastClr="000000"/>
                </a:solidFill>
                <a:effectLst/>
              </a:rPr>
              <a:t>Figure 6. Prevalence of Children with Blood Lead Levels </a:t>
            </a:r>
            <a:r>
              <a:rPr lang="en-US" sz="1100" b="1" i="0" baseline="0">
                <a:solidFill>
                  <a:sysClr val="windowText" lastClr="000000"/>
                </a:solidFill>
                <a:effectLst/>
                <a:latin typeface="+mn-lt"/>
                <a:cs typeface="Times New Roman" panose="02020603050405020304" pitchFamily="18" charset="0"/>
              </a:rPr>
              <a:t>≥ 10 </a:t>
            </a:r>
            <a:r>
              <a:rPr lang="en-US" sz="1100" b="1" i="0" baseline="0">
                <a:solidFill>
                  <a:sysClr val="windowText" lastClr="000000"/>
                </a:solidFill>
                <a:effectLst/>
                <a:latin typeface="Calibri" panose="020F0502020204030204" pitchFamily="34" charset="0"/>
                <a:cs typeface="Calibri" panose="020F0502020204030204" pitchFamily="34" charset="0"/>
              </a:rPr>
              <a:t>µ</a:t>
            </a:r>
            <a:r>
              <a:rPr lang="en-US" sz="1100" b="1" i="0" baseline="0">
                <a:solidFill>
                  <a:sysClr val="windowText" lastClr="000000"/>
                </a:solidFill>
                <a:effectLst/>
                <a:latin typeface="+mn-lt"/>
                <a:cs typeface="Times New Roman" panose="02020603050405020304" pitchFamily="18" charset="0"/>
              </a:rPr>
              <a:t>g/dL</a:t>
            </a:r>
            <a:r>
              <a:rPr lang="en-US" sz="1100" b="1" i="0" baseline="30000">
                <a:solidFill>
                  <a:sysClr val="windowText" lastClr="000000"/>
                </a:solidFill>
                <a:effectLst/>
                <a:latin typeface="+mn-lt"/>
                <a:cs typeface="Times New Roman" panose="02020603050405020304" pitchFamily="18" charset="0"/>
              </a:rPr>
              <a:t>1 </a:t>
            </a:r>
            <a:r>
              <a:rPr lang="en-US" sz="1100" b="1" i="0" baseline="0">
                <a:solidFill>
                  <a:sysClr val="windowText" lastClr="000000"/>
                </a:solidFill>
                <a:effectLst/>
              </a:rPr>
              <a:t>by</a:t>
            </a:r>
          </a:p>
          <a:p>
            <a:pPr>
              <a:defRPr sz="1100" b="0" i="0" u="none" strike="noStrike" kern="1200" spc="0" baseline="0">
                <a:solidFill>
                  <a:sysClr val="windowText" lastClr="000000"/>
                </a:solidFill>
                <a:latin typeface="+mn-lt"/>
                <a:ea typeface="+mn-ea"/>
                <a:cs typeface="+mn-cs"/>
              </a:defRPr>
            </a:pPr>
            <a:r>
              <a:rPr lang="en-US" sz="1100" b="1" i="0" baseline="0">
                <a:solidFill>
                  <a:sysClr val="windowText" lastClr="000000"/>
                </a:solidFill>
                <a:effectLst/>
              </a:rPr>
              <a:t> Race</a:t>
            </a:r>
            <a:r>
              <a:rPr lang="en-US" sz="1100" b="1" i="0" baseline="30000">
                <a:solidFill>
                  <a:sysClr val="windowText" lastClr="000000"/>
                </a:solidFill>
                <a:effectLst/>
              </a:rPr>
              <a:t>2</a:t>
            </a:r>
            <a:r>
              <a:rPr lang="en-US" sz="1100" b="1" i="0" baseline="0">
                <a:solidFill>
                  <a:sysClr val="windowText" lastClr="000000"/>
                </a:solidFill>
                <a:effectLst/>
              </a:rPr>
              <a:t>/Hispanic Ethnicity (2015-2019)</a:t>
            </a:r>
          </a:p>
        </c:rich>
      </c:tx>
      <c:layout>
        <c:manualLayout>
          <c:xMode val="edge"/>
          <c:yMode val="edge"/>
          <c:x val="0.11854745437977522"/>
          <c:y val="1.9659629843415623E-2"/>
        </c:manualLayout>
      </c:layout>
      <c:overlay val="0"/>
      <c:spPr>
        <a:noFill/>
        <a:ln>
          <a:noFill/>
        </a:ln>
        <a:effectLst/>
      </c:spPr>
    </c:title>
    <c:autoTitleDeleted val="0"/>
    <c:plotArea>
      <c:layout>
        <c:manualLayout>
          <c:layoutTarget val="inner"/>
          <c:xMode val="edge"/>
          <c:yMode val="edge"/>
          <c:x val="9.8222575598245654E-2"/>
          <c:y val="0.15291211582423164"/>
          <c:w val="0.87182812246189101"/>
          <c:h val="0.58598348996697991"/>
        </c:manualLayout>
      </c:layout>
      <c:barChart>
        <c:barDir val="col"/>
        <c:grouping val="clustered"/>
        <c:varyColors val="0"/>
        <c:ser>
          <c:idx val="0"/>
          <c:order val="0"/>
          <c:spPr>
            <a:solidFill>
              <a:srgbClr val="ED7D31"/>
            </a:solidFill>
          </c:spPr>
          <c:invertIfNegative val="0"/>
          <c:dLbls>
            <c:spPr>
              <a:noFill/>
              <a:ln>
                <a:noFill/>
              </a:ln>
              <a:effectLst/>
            </c:spPr>
            <c:txPr>
              <a:bodyPr wrap="square" lIns="38100" tIns="19050" rIns="38100" bIns="19050" anchor="ctr">
                <a:spAutoFit/>
              </a:bodyPr>
              <a:lstStyle/>
              <a:p>
                <a:pPr>
                  <a:defRPr b="1"/>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'Prevalence rates'!$M$66:$M$73</c:f>
              <c:strCache>
                <c:ptCount val="8"/>
                <c:pt idx="0">
                  <c:v>Multi-Race</c:v>
                </c:pt>
                <c:pt idx="1">
                  <c:v>American Indian or Alaskan Native</c:v>
                </c:pt>
                <c:pt idx="2">
                  <c:v>Native Hawaiian or Other Pacific Islander</c:v>
                </c:pt>
                <c:pt idx="3">
                  <c:v>Black or African American</c:v>
                </c:pt>
                <c:pt idx="4">
                  <c:v>Hispanic                      (of any race)</c:v>
                </c:pt>
                <c:pt idx="5">
                  <c:v>Asian</c:v>
                </c:pt>
                <c:pt idx="6">
                  <c:v>Non-Hispanic (of any race)</c:v>
                </c:pt>
                <c:pt idx="7">
                  <c:v>White</c:v>
                </c:pt>
              </c:strCache>
              <c:extLst/>
            </c:strRef>
          </c:cat>
          <c:val>
            <c:numRef>
              <c:f>'Prevalence rates'!$Q$66:$Q$73</c:f>
              <c:numCache>
                <c:formatCode>0.0</c:formatCode>
                <c:ptCount val="8"/>
                <c:pt idx="0">
                  <c:v>7.1394574012375056</c:v>
                </c:pt>
                <c:pt idx="1">
                  <c:v>6.9044879171461444</c:v>
                </c:pt>
                <c:pt idx="2">
                  <c:v>4.7258979206049148</c:v>
                </c:pt>
                <c:pt idx="3">
                  <c:v>4.5256303023061299</c:v>
                </c:pt>
                <c:pt idx="4">
                  <c:v>3.4514868722038909</c:v>
                </c:pt>
                <c:pt idx="5">
                  <c:v>3.151862464183381</c:v>
                </c:pt>
                <c:pt idx="6">
                  <c:v>2.4886977483592214</c:v>
                </c:pt>
                <c:pt idx="7">
                  <c:v>2.3256643640434005</c:v>
                </c:pt>
              </c:numCache>
              <c:extLst/>
            </c:numRef>
          </c:val>
          <c:extLst>
            <c:ext xmlns:c16="http://schemas.microsoft.com/office/drawing/2014/chart" uri="{C3380CC4-5D6E-409C-BE32-E72D297353CC}">
              <c16:uniqueId val="{00000000-9DD7-40D5-BA6A-7F5331C7A3C5}"/>
            </c:ext>
          </c:extLst>
        </c:ser>
        <c:dLbls>
          <c:showLegendKey val="0"/>
          <c:showVal val="0"/>
          <c:showCatName val="0"/>
          <c:showSerName val="0"/>
          <c:showPercent val="0"/>
          <c:showBubbleSize val="0"/>
        </c:dLbls>
        <c:gapWidth val="219"/>
        <c:overlap val="-27"/>
        <c:axId val="66082688"/>
        <c:axId val="66084224"/>
      </c:barChart>
      <c:catAx>
        <c:axId val="660826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50" b="0" i="0" u="none" strike="noStrike" kern="1200" baseline="0">
                <a:solidFill>
                  <a:sysClr val="windowText" lastClr="000000"/>
                </a:solidFill>
                <a:latin typeface="+mn-lt"/>
                <a:ea typeface="+mn-ea"/>
                <a:cs typeface="Arial" panose="020B0604020202020204" pitchFamily="34" charset="0"/>
              </a:defRPr>
            </a:pPr>
            <a:endParaRPr lang="en-US"/>
          </a:p>
        </c:txPr>
        <c:crossAx val="66084224"/>
        <c:crosses val="autoZero"/>
        <c:auto val="1"/>
        <c:lblAlgn val="ctr"/>
        <c:lblOffset val="100"/>
        <c:noMultiLvlLbl val="0"/>
      </c:catAx>
      <c:valAx>
        <c:axId val="66084224"/>
        <c:scaling>
          <c:orientation val="minMax"/>
        </c:scaling>
        <c:delete val="0"/>
        <c:axPos val="l"/>
        <c:majorGridlines>
          <c:spPr>
            <a:ln w="9525" cap="flat" cmpd="sng" algn="ctr">
              <a:solidFill>
                <a:sysClr val="window" lastClr="FFFFFF">
                  <a:lumMod val="65000"/>
                </a:sysClr>
              </a:solidFill>
              <a:round/>
            </a:ln>
            <a:effectLst/>
          </c:spPr>
        </c:majorGridlines>
        <c:title>
          <c:tx>
            <c:rich>
              <a:bodyPr rot="-5400000" spcFirstLastPara="1" vertOverflow="ellipsis" vert="horz" wrap="square" anchor="ctr" anchorCtr="1"/>
              <a:lstStyle/>
              <a:p>
                <a:pPr>
                  <a:defRPr sz="1100" b="0" i="0" u="none" strike="noStrike" kern="1200" baseline="0">
                    <a:solidFill>
                      <a:sysClr val="windowText" lastClr="000000"/>
                    </a:solidFill>
                    <a:latin typeface="+mn-lt"/>
                    <a:ea typeface="+mn-ea"/>
                    <a:cs typeface="+mn-cs"/>
                  </a:defRPr>
                </a:pPr>
                <a:r>
                  <a:rPr lang="en-US" sz="1100" b="0">
                    <a:solidFill>
                      <a:sysClr val="windowText" lastClr="000000"/>
                    </a:solidFill>
                  </a:rPr>
                  <a:t>Prevalence per 1,000 Children Screened</a:t>
                </a:r>
              </a:p>
            </c:rich>
          </c:tx>
          <c:layout>
            <c:manualLayout>
              <c:xMode val="edge"/>
              <c:yMode val="edge"/>
              <c:x val="1.474843331879932E-2"/>
              <c:y val="0.18194437388874779"/>
            </c:manualLayout>
          </c:layout>
          <c:overlay val="0"/>
          <c:spPr>
            <a:noFill/>
            <a:ln>
              <a:noFill/>
            </a:ln>
            <a:effectLst/>
          </c:spPr>
        </c:title>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6082688"/>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ysClr val="windowText" lastClr="000000"/>
      </a:solidFill>
      <a:round/>
    </a:ln>
    <a:effectLst/>
  </c:spPr>
  <c:txPr>
    <a:bodyPr/>
    <a:lstStyle/>
    <a:p>
      <a:pPr>
        <a:defRPr/>
      </a:pPr>
      <a:endParaRPr lang="en-US"/>
    </a:p>
  </c:txPr>
  <c:externalData r:id="rId2">
    <c:autoUpdate val="0"/>
  </c:externalData>
  <c:userShapes r:id="rId3"/>
</c:chartSpac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048D130-08B0-4DA0-95E8-DBD980D9D21F}" type="doc">
      <dgm:prSet loTypeId="urn:microsoft.com/office/officeart/2005/8/layout/chevron1" loCatId="process" qsTypeId="urn:microsoft.com/office/officeart/2005/8/quickstyle/simple1" qsCatId="simple" csTypeId="urn:microsoft.com/office/officeart/2005/8/colors/accent1_2" csCatId="accent1" phldr="1"/>
      <dgm:spPr/>
    </dgm:pt>
    <dgm:pt modelId="{2F864F39-D8B8-4C61-AB28-BEB3D854B3AB}">
      <dgm:prSet phldrT="[Text]"/>
      <dgm:spPr>
        <a:solidFill>
          <a:srgbClr val="27415F"/>
        </a:solidFill>
      </dgm:spPr>
      <dgm:t>
        <a:bodyPr/>
        <a:lstStyle/>
        <a:p>
          <a:pPr algn="ctr"/>
          <a:r>
            <a:rPr lang="en-US" b="1"/>
            <a:t>The screening rate decreased from 72% in 2019 to 62% in 2020.</a:t>
          </a:r>
          <a:endParaRPr lang="en-US"/>
        </a:p>
      </dgm:t>
    </dgm:pt>
    <dgm:pt modelId="{291434ED-29C2-482D-A50B-83C2108C1117}" type="parTrans" cxnId="{80039AD3-9FC1-4498-B418-74CB4D419CDF}">
      <dgm:prSet/>
      <dgm:spPr/>
      <dgm:t>
        <a:bodyPr/>
        <a:lstStyle/>
        <a:p>
          <a:pPr algn="ctr"/>
          <a:endParaRPr lang="en-US"/>
        </a:p>
      </dgm:t>
    </dgm:pt>
    <dgm:pt modelId="{5212321D-50DF-40B1-A7F4-AAA09CA5981C}" type="sibTrans" cxnId="{80039AD3-9FC1-4498-B418-74CB4D419CDF}">
      <dgm:prSet/>
      <dgm:spPr/>
      <dgm:t>
        <a:bodyPr/>
        <a:lstStyle/>
        <a:p>
          <a:pPr algn="ctr"/>
          <a:endParaRPr lang="en-US"/>
        </a:p>
      </dgm:t>
    </dgm:pt>
    <dgm:pt modelId="{F01EEC81-0FBC-447E-B3C1-EAEB32BC3D3B}">
      <dgm:prSet phldrT="[Text]"/>
      <dgm:spPr>
        <a:solidFill>
          <a:srgbClr val="27415F"/>
        </a:solidFill>
      </dgm:spPr>
      <dgm:t>
        <a:bodyPr/>
        <a:lstStyle/>
        <a:p>
          <a:pPr algn="ctr"/>
          <a:r>
            <a:rPr lang="en-US" b="1">
              <a:latin typeface="+mn-lt"/>
            </a:rPr>
            <a:t>The prevalence of BLLs </a:t>
          </a:r>
          <a:r>
            <a:rPr lang="en-US" b="1">
              <a:latin typeface="+mn-lt"/>
              <a:cs typeface="Times New Roman" panose="02020603050405020304" pitchFamily="18" charset="0"/>
            </a:rPr>
            <a:t>≥</a:t>
          </a:r>
          <a:r>
            <a:rPr lang="en-US" b="1">
              <a:latin typeface="+mn-lt"/>
            </a:rPr>
            <a:t>5 ug/dL increased from 1.1% in 2019 to 1.3% in 2020.</a:t>
          </a:r>
          <a:endParaRPr lang="en-US">
            <a:latin typeface="+mn-lt"/>
          </a:endParaRPr>
        </a:p>
      </dgm:t>
    </dgm:pt>
    <dgm:pt modelId="{BA691FD8-B067-45A2-BC16-F64439FB656C}" type="parTrans" cxnId="{EE869807-146D-4957-8DFB-9C92BB28EE84}">
      <dgm:prSet/>
      <dgm:spPr/>
      <dgm:t>
        <a:bodyPr/>
        <a:lstStyle/>
        <a:p>
          <a:pPr algn="ctr"/>
          <a:endParaRPr lang="en-US"/>
        </a:p>
      </dgm:t>
    </dgm:pt>
    <dgm:pt modelId="{27E683F0-60BA-44A3-B855-1EE1666D9EBA}" type="sibTrans" cxnId="{EE869807-146D-4957-8DFB-9C92BB28EE84}">
      <dgm:prSet/>
      <dgm:spPr/>
      <dgm:t>
        <a:bodyPr/>
        <a:lstStyle/>
        <a:p>
          <a:pPr algn="ctr"/>
          <a:endParaRPr lang="en-US"/>
        </a:p>
      </dgm:t>
    </dgm:pt>
    <dgm:pt modelId="{F8423E98-0689-4A83-A72D-8D3E0857AA8C}">
      <dgm:prSet phldrT="[Text]"/>
      <dgm:spPr>
        <a:solidFill>
          <a:srgbClr val="27415F"/>
        </a:solidFill>
      </dgm:spPr>
      <dgm:t>
        <a:bodyPr/>
        <a:lstStyle/>
        <a:p>
          <a:pPr algn="ctr"/>
          <a:r>
            <a:rPr lang="en-US" b="1">
              <a:latin typeface="+mn-lt"/>
            </a:rPr>
            <a:t>The prevalence of BLLs </a:t>
          </a:r>
          <a:r>
            <a:rPr lang="en-US" b="1">
              <a:latin typeface="+mn-lt"/>
              <a:cs typeface="Times New Roman" panose="02020603050405020304" pitchFamily="18" charset="0"/>
            </a:rPr>
            <a:t>≥10 ug/dL</a:t>
          </a:r>
          <a:r>
            <a:rPr lang="en-US" b="1">
              <a:latin typeface="+mn-lt"/>
            </a:rPr>
            <a:t> increased slightly from 0.26% in 2019 to 0.28% in 2020.</a:t>
          </a:r>
          <a:endParaRPr lang="en-US">
            <a:latin typeface="+mn-lt"/>
          </a:endParaRPr>
        </a:p>
      </dgm:t>
    </dgm:pt>
    <dgm:pt modelId="{C49EF750-B295-4256-BEFD-22CF0AE4ACC0}" type="parTrans" cxnId="{C3EFF692-A2F8-4D1B-B85D-B9B388E3E433}">
      <dgm:prSet/>
      <dgm:spPr/>
      <dgm:t>
        <a:bodyPr/>
        <a:lstStyle/>
        <a:p>
          <a:pPr algn="ctr"/>
          <a:endParaRPr lang="en-US"/>
        </a:p>
      </dgm:t>
    </dgm:pt>
    <dgm:pt modelId="{F4AF9990-1DB7-4DA2-B5AF-64F794F592CB}" type="sibTrans" cxnId="{C3EFF692-A2F8-4D1B-B85D-B9B388E3E433}">
      <dgm:prSet/>
      <dgm:spPr/>
      <dgm:t>
        <a:bodyPr/>
        <a:lstStyle/>
        <a:p>
          <a:pPr algn="ctr"/>
          <a:endParaRPr lang="en-US"/>
        </a:p>
      </dgm:t>
    </dgm:pt>
    <dgm:pt modelId="{6C4C0BA8-68B6-48DF-8373-245B99526A57}" type="pres">
      <dgm:prSet presAssocID="{D048D130-08B0-4DA0-95E8-DBD980D9D21F}" presName="Name0" presStyleCnt="0">
        <dgm:presLayoutVars>
          <dgm:dir/>
          <dgm:animLvl val="lvl"/>
          <dgm:resizeHandles val="exact"/>
        </dgm:presLayoutVars>
      </dgm:prSet>
      <dgm:spPr/>
    </dgm:pt>
    <dgm:pt modelId="{80600C96-50D7-4E2D-A6D0-C50B2350DF35}" type="pres">
      <dgm:prSet presAssocID="{2F864F39-D8B8-4C61-AB28-BEB3D854B3AB}" presName="parTxOnly" presStyleLbl="node1" presStyleIdx="0" presStyleCnt="3">
        <dgm:presLayoutVars>
          <dgm:chMax val="0"/>
          <dgm:chPref val="0"/>
          <dgm:bulletEnabled val="1"/>
        </dgm:presLayoutVars>
      </dgm:prSet>
      <dgm:spPr/>
    </dgm:pt>
    <dgm:pt modelId="{4FB95387-1030-46DA-9E80-F43197CB0442}" type="pres">
      <dgm:prSet presAssocID="{5212321D-50DF-40B1-A7F4-AAA09CA5981C}" presName="parTxOnlySpace" presStyleCnt="0"/>
      <dgm:spPr/>
    </dgm:pt>
    <dgm:pt modelId="{00FD072B-8362-4563-AEBD-BF40CE30F95D}" type="pres">
      <dgm:prSet presAssocID="{F01EEC81-0FBC-447E-B3C1-EAEB32BC3D3B}" presName="parTxOnly" presStyleLbl="node1" presStyleIdx="1" presStyleCnt="3">
        <dgm:presLayoutVars>
          <dgm:chMax val="0"/>
          <dgm:chPref val="0"/>
          <dgm:bulletEnabled val="1"/>
        </dgm:presLayoutVars>
      </dgm:prSet>
      <dgm:spPr/>
    </dgm:pt>
    <dgm:pt modelId="{EDFCFB1A-C893-4421-B890-6A6FA1A15F07}" type="pres">
      <dgm:prSet presAssocID="{27E683F0-60BA-44A3-B855-1EE1666D9EBA}" presName="parTxOnlySpace" presStyleCnt="0"/>
      <dgm:spPr/>
    </dgm:pt>
    <dgm:pt modelId="{FB2FFD45-5A41-4E66-B279-9D93F206572A}" type="pres">
      <dgm:prSet presAssocID="{F8423E98-0689-4A83-A72D-8D3E0857AA8C}" presName="parTxOnly" presStyleLbl="node1" presStyleIdx="2" presStyleCnt="3">
        <dgm:presLayoutVars>
          <dgm:chMax val="0"/>
          <dgm:chPref val="0"/>
          <dgm:bulletEnabled val="1"/>
        </dgm:presLayoutVars>
      </dgm:prSet>
      <dgm:spPr/>
    </dgm:pt>
  </dgm:ptLst>
  <dgm:cxnLst>
    <dgm:cxn modelId="{EE869807-146D-4957-8DFB-9C92BB28EE84}" srcId="{D048D130-08B0-4DA0-95E8-DBD980D9D21F}" destId="{F01EEC81-0FBC-447E-B3C1-EAEB32BC3D3B}" srcOrd="1" destOrd="0" parTransId="{BA691FD8-B067-45A2-BC16-F64439FB656C}" sibTransId="{27E683F0-60BA-44A3-B855-1EE1666D9EBA}"/>
    <dgm:cxn modelId="{3747AD1E-53F7-46B9-BD24-5E4E0B64BB66}" type="presOf" srcId="{F8423E98-0689-4A83-A72D-8D3E0857AA8C}" destId="{FB2FFD45-5A41-4E66-B279-9D93F206572A}" srcOrd="0" destOrd="0" presId="urn:microsoft.com/office/officeart/2005/8/layout/chevron1"/>
    <dgm:cxn modelId="{24952D2C-EECC-49B1-A880-D378EFEF2D5F}" type="presOf" srcId="{D048D130-08B0-4DA0-95E8-DBD980D9D21F}" destId="{6C4C0BA8-68B6-48DF-8373-245B99526A57}" srcOrd="0" destOrd="0" presId="urn:microsoft.com/office/officeart/2005/8/layout/chevron1"/>
    <dgm:cxn modelId="{C3EFF692-A2F8-4D1B-B85D-B9B388E3E433}" srcId="{D048D130-08B0-4DA0-95E8-DBD980D9D21F}" destId="{F8423E98-0689-4A83-A72D-8D3E0857AA8C}" srcOrd="2" destOrd="0" parTransId="{C49EF750-B295-4256-BEFD-22CF0AE4ACC0}" sibTransId="{F4AF9990-1DB7-4DA2-B5AF-64F794F592CB}"/>
    <dgm:cxn modelId="{80039AD3-9FC1-4498-B418-74CB4D419CDF}" srcId="{D048D130-08B0-4DA0-95E8-DBD980D9D21F}" destId="{2F864F39-D8B8-4C61-AB28-BEB3D854B3AB}" srcOrd="0" destOrd="0" parTransId="{291434ED-29C2-482D-A50B-83C2108C1117}" sibTransId="{5212321D-50DF-40B1-A7F4-AAA09CA5981C}"/>
    <dgm:cxn modelId="{6AFB45DA-33E6-4B41-A0FC-A5DCFC4FF957}" type="presOf" srcId="{F01EEC81-0FBC-447E-B3C1-EAEB32BC3D3B}" destId="{00FD072B-8362-4563-AEBD-BF40CE30F95D}" srcOrd="0" destOrd="0" presId="urn:microsoft.com/office/officeart/2005/8/layout/chevron1"/>
    <dgm:cxn modelId="{C4C727E8-4E33-4344-929D-0470FFFB9241}" type="presOf" srcId="{2F864F39-D8B8-4C61-AB28-BEB3D854B3AB}" destId="{80600C96-50D7-4E2D-A6D0-C50B2350DF35}" srcOrd="0" destOrd="0" presId="urn:microsoft.com/office/officeart/2005/8/layout/chevron1"/>
    <dgm:cxn modelId="{F9DF7C4C-5ADB-4AF2-951E-20F0D6D0E0EE}" type="presParOf" srcId="{6C4C0BA8-68B6-48DF-8373-245B99526A57}" destId="{80600C96-50D7-4E2D-A6D0-C50B2350DF35}" srcOrd="0" destOrd="0" presId="urn:microsoft.com/office/officeart/2005/8/layout/chevron1"/>
    <dgm:cxn modelId="{8EAF24E4-784E-4A3D-A934-F3CD2288D30B}" type="presParOf" srcId="{6C4C0BA8-68B6-48DF-8373-245B99526A57}" destId="{4FB95387-1030-46DA-9E80-F43197CB0442}" srcOrd="1" destOrd="0" presId="urn:microsoft.com/office/officeart/2005/8/layout/chevron1"/>
    <dgm:cxn modelId="{CD23E047-6760-496D-AE39-CFC4461D787E}" type="presParOf" srcId="{6C4C0BA8-68B6-48DF-8373-245B99526A57}" destId="{00FD072B-8362-4563-AEBD-BF40CE30F95D}" srcOrd="2" destOrd="0" presId="urn:microsoft.com/office/officeart/2005/8/layout/chevron1"/>
    <dgm:cxn modelId="{D143F6F8-6EB4-45D1-BFE8-09C718520B20}" type="presParOf" srcId="{6C4C0BA8-68B6-48DF-8373-245B99526A57}" destId="{EDFCFB1A-C893-4421-B890-6A6FA1A15F07}" srcOrd="3" destOrd="0" presId="urn:microsoft.com/office/officeart/2005/8/layout/chevron1"/>
    <dgm:cxn modelId="{86B5183A-97F2-4BCD-8607-EA97D4BD2D6C}" type="presParOf" srcId="{6C4C0BA8-68B6-48DF-8373-245B99526A57}" destId="{FB2FFD45-5A41-4E66-B279-9D93F206572A}" srcOrd="4" destOrd="0" presId="urn:microsoft.com/office/officeart/2005/8/layout/chevron1"/>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AC53DFC3-7DE8-4701-BF21-ADDC6F97EEDF}" type="doc">
      <dgm:prSet loTypeId="urn:microsoft.com/office/officeart/2005/8/layout/chevron1" loCatId="process" qsTypeId="urn:microsoft.com/office/officeart/2005/8/quickstyle/simple1" qsCatId="simple" csTypeId="urn:microsoft.com/office/officeart/2005/8/colors/accent1_2" csCatId="accent1" phldr="1"/>
      <dgm:spPr/>
    </dgm:pt>
    <dgm:pt modelId="{6A32867B-EFD9-4422-A3BB-478F728699BC}">
      <dgm:prSet phldrT="[Text]" custT="1"/>
      <dgm:spPr>
        <a:solidFill>
          <a:srgbClr val="27415F"/>
        </a:solidFill>
      </dgm:spPr>
      <dgm:t>
        <a:bodyPr/>
        <a:lstStyle/>
        <a:p>
          <a:pPr algn="ctr"/>
          <a:r>
            <a:rPr lang="en-US" sz="1200" b="1">
              <a:latin typeface="Arial" panose="020B0604020202020204" pitchFamily="34" charset="0"/>
              <a:cs typeface="Arial" panose="020B0604020202020204" pitchFamily="34" charset="0"/>
            </a:rPr>
            <a:t>1,880 children had an estimated confirmed BLL ≥5 µg/dL in 2020, CDC's previous reference value for triggering intervention.</a:t>
          </a:r>
        </a:p>
      </dgm:t>
    </dgm:pt>
    <dgm:pt modelId="{DC183937-9F27-42C1-B90F-EDDE2D62F635}" type="parTrans" cxnId="{37C66F45-A1F0-4CE4-963F-BA3E5E9CD046}">
      <dgm:prSet/>
      <dgm:spPr/>
      <dgm:t>
        <a:bodyPr/>
        <a:lstStyle/>
        <a:p>
          <a:pPr algn="ctr"/>
          <a:endParaRPr lang="en-US"/>
        </a:p>
      </dgm:t>
    </dgm:pt>
    <dgm:pt modelId="{DB0DA284-BFFC-4879-B6DA-F1CE370F2614}" type="sibTrans" cxnId="{37C66F45-A1F0-4CE4-963F-BA3E5E9CD046}">
      <dgm:prSet/>
      <dgm:spPr/>
      <dgm:t>
        <a:bodyPr/>
        <a:lstStyle/>
        <a:p>
          <a:pPr algn="ctr"/>
          <a:endParaRPr lang="en-US"/>
        </a:p>
      </dgm:t>
    </dgm:pt>
    <dgm:pt modelId="{53BB898B-8DDB-4E20-93D4-77D906D2CC39}">
      <dgm:prSet phldrT="[Text]" custT="1"/>
      <dgm:spPr>
        <a:solidFill>
          <a:srgbClr val="27415F"/>
        </a:solidFill>
      </dgm:spPr>
      <dgm:t>
        <a:bodyPr/>
        <a:lstStyle/>
        <a:p>
          <a:pPr algn="ctr"/>
          <a:r>
            <a:rPr lang="en-US" sz="1200" b="1">
              <a:latin typeface="Arial" panose="020B0604020202020204" pitchFamily="34" charset="0"/>
              <a:cs typeface="Arial" panose="020B0604020202020204" pitchFamily="34" charset="0"/>
            </a:rPr>
            <a:t>420 children were identified as having lead poisoning in 2020, a BLL ≥10 µg/dL.</a:t>
          </a:r>
        </a:p>
      </dgm:t>
    </dgm:pt>
    <dgm:pt modelId="{1161BCEA-0717-4BBF-B9A0-F1C215B0853C}" type="parTrans" cxnId="{E4C7AC3C-E714-483D-99B4-2946871B9E67}">
      <dgm:prSet/>
      <dgm:spPr/>
      <dgm:t>
        <a:bodyPr/>
        <a:lstStyle/>
        <a:p>
          <a:pPr algn="ctr"/>
          <a:endParaRPr lang="en-US"/>
        </a:p>
      </dgm:t>
    </dgm:pt>
    <dgm:pt modelId="{6AD7CAD2-C32E-4802-9825-7ED62F354E40}" type="sibTrans" cxnId="{E4C7AC3C-E714-483D-99B4-2946871B9E67}">
      <dgm:prSet/>
      <dgm:spPr/>
      <dgm:t>
        <a:bodyPr/>
        <a:lstStyle/>
        <a:p>
          <a:pPr algn="ctr"/>
          <a:endParaRPr lang="en-US"/>
        </a:p>
      </dgm:t>
    </dgm:pt>
    <dgm:pt modelId="{01E16ABF-AADD-420C-96E0-1C20B4D6380D}" type="pres">
      <dgm:prSet presAssocID="{AC53DFC3-7DE8-4701-BF21-ADDC6F97EEDF}" presName="Name0" presStyleCnt="0">
        <dgm:presLayoutVars>
          <dgm:dir/>
          <dgm:animLvl val="lvl"/>
          <dgm:resizeHandles val="exact"/>
        </dgm:presLayoutVars>
      </dgm:prSet>
      <dgm:spPr/>
    </dgm:pt>
    <dgm:pt modelId="{E3015847-920F-49E4-845B-D82E7B2B2E72}" type="pres">
      <dgm:prSet presAssocID="{6A32867B-EFD9-4422-A3BB-478F728699BC}" presName="parTxOnly" presStyleLbl="node1" presStyleIdx="0" presStyleCnt="2" custAng="0" custLinFactNeighborX="-1673" custLinFactNeighborY="-19410">
        <dgm:presLayoutVars>
          <dgm:chMax val="0"/>
          <dgm:chPref val="0"/>
          <dgm:bulletEnabled val="1"/>
        </dgm:presLayoutVars>
      </dgm:prSet>
      <dgm:spPr/>
    </dgm:pt>
    <dgm:pt modelId="{186EDC7F-9308-44AE-B474-6584C0196178}" type="pres">
      <dgm:prSet presAssocID="{DB0DA284-BFFC-4879-B6DA-F1CE370F2614}" presName="parTxOnlySpace" presStyleCnt="0"/>
      <dgm:spPr/>
    </dgm:pt>
    <dgm:pt modelId="{6D859F06-4590-4AC5-9D38-1137EB53771D}" type="pres">
      <dgm:prSet presAssocID="{53BB898B-8DDB-4E20-93D4-77D906D2CC39}" presName="parTxOnly" presStyleLbl="node1" presStyleIdx="1" presStyleCnt="2">
        <dgm:presLayoutVars>
          <dgm:chMax val="0"/>
          <dgm:chPref val="0"/>
          <dgm:bulletEnabled val="1"/>
        </dgm:presLayoutVars>
      </dgm:prSet>
      <dgm:spPr/>
    </dgm:pt>
  </dgm:ptLst>
  <dgm:cxnLst>
    <dgm:cxn modelId="{E4C7AC3C-E714-483D-99B4-2946871B9E67}" srcId="{AC53DFC3-7DE8-4701-BF21-ADDC6F97EEDF}" destId="{53BB898B-8DDB-4E20-93D4-77D906D2CC39}" srcOrd="1" destOrd="0" parTransId="{1161BCEA-0717-4BBF-B9A0-F1C215B0853C}" sibTransId="{6AD7CAD2-C32E-4802-9825-7ED62F354E40}"/>
    <dgm:cxn modelId="{37C66F45-A1F0-4CE4-963F-BA3E5E9CD046}" srcId="{AC53DFC3-7DE8-4701-BF21-ADDC6F97EEDF}" destId="{6A32867B-EFD9-4422-A3BB-478F728699BC}" srcOrd="0" destOrd="0" parTransId="{DC183937-9F27-42C1-B90F-EDDE2D62F635}" sibTransId="{DB0DA284-BFFC-4879-B6DA-F1CE370F2614}"/>
    <dgm:cxn modelId="{56984F50-6EED-4DFF-9B03-AF1541BD70FC}" type="presOf" srcId="{6A32867B-EFD9-4422-A3BB-478F728699BC}" destId="{E3015847-920F-49E4-845B-D82E7B2B2E72}" srcOrd="0" destOrd="0" presId="urn:microsoft.com/office/officeart/2005/8/layout/chevron1"/>
    <dgm:cxn modelId="{F19390A0-54D3-407C-915C-81A847FFA96D}" type="presOf" srcId="{AC53DFC3-7DE8-4701-BF21-ADDC6F97EEDF}" destId="{01E16ABF-AADD-420C-96E0-1C20B4D6380D}" srcOrd="0" destOrd="0" presId="urn:microsoft.com/office/officeart/2005/8/layout/chevron1"/>
    <dgm:cxn modelId="{A2C51DCD-A7F0-4550-981F-BE1D4384B601}" type="presOf" srcId="{53BB898B-8DDB-4E20-93D4-77D906D2CC39}" destId="{6D859F06-4590-4AC5-9D38-1137EB53771D}" srcOrd="0" destOrd="0" presId="urn:microsoft.com/office/officeart/2005/8/layout/chevron1"/>
    <dgm:cxn modelId="{061A22CF-5EA1-4128-B112-A4B632957F33}" type="presParOf" srcId="{01E16ABF-AADD-420C-96E0-1C20B4D6380D}" destId="{E3015847-920F-49E4-845B-D82E7B2B2E72}" srcOrd="0" destOrd="0" presId="urn:microsoft.com/office/officeart/2005/8/layout/chevron1"/>
    <dgm:cxn modelId="{7E5933EA-21F9-487C-9968-937161EC32C1}" type="presParOf" srcId="{01E16ABF-AADD-420C-96E0-1C20B4D6380D}" destId="{186EDC7F-9308-44AE-B474-6584C0196178}" srcOrd="1" destOrd="0" presId="urn:microsoft.com/office/officeart/2005/8/layout/chevron1"/>
    <dgm:cxn modelId="{53D10C7B-76C6-4EEE-95C4-BE18A6B7A744}" type="presParOf" srcId="{01E16ABF-AADD-420C-96E0-1C20B4D6380D}" destId="{6D859F06-4590-4AC5-9D38-1137EB53771D}" srcOrd="2" destOrd="0" presId="urn:microsoft.com/office/officeart/2005/8/layout/chevron1"/>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0600C96-50D7-4E2D-A6D0-C50B2350DF35}">
      <dsp:nvSpPr>
        <dsp:cNvPr id="0" name=""/>
        <dsp:cNvSpPr/>
      </dsp:nvSpPr>
      <dsp:spPr>
        <a:xfrm>
          <a:off x="2009" y="204938"/>
          <a:ext cx="2448757" cy="979502"/>
        </a:xfrm>
        <a:prstGeom prst="chevron">
          <a:avLst/>
        </a:prstGeom>
        <a:solidFill>
          <a:srgbClr val="27415F"/>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2007" tIns="17336" rIns="17336" bIns="17336" numCol="1" spcCol="1270" anchor="ctr" anchorCtr="0">
          <a:noAutofit/>
        </a:bodyPr>
        <a:lstStyle/>
        <a:p>
          <a:pPr marL="0" lvl="0" indent="0" algn="ctr" defTabSz="577850">
            <a:lnSpc>
              <a:spcPct val="90000"/>
            </a:lnSpc>
            <a:spcBef>
              <a:spcPct val="0"/>
            </a:spcBef>
            <a:spcAft>
              <a:spcPct val="35000"/>
            </a:spcAft>
            <a:buNone/>
          </a:pPr>
          <a:r>
            <a:rPr lang="en-US" sz="1300" b="1" kern="1200"/>
            <a:t>The screening rate decreased from 72% in 2019 to 62% in 2020.</a:t>
          </a:r>
          <a:endParaRPr lang="en-US" sz="1300" kern="1200"/>
        </a:p>
      </dsp:txBody>
      <dsp:txXfrm>
        <a:off x="491760" y="204938"/>
        <a:ext cx="1469255" cy="979502"/>
      </dsp:txXfrm>
    </dsp:sp>
    <dsp:sp modelId="{00FD072B-8362-4563-AEBD-BF40CE30F95D}">
      <dsp:nvSpPr>
        <dsp:cNvPr id="0" name=""/>
        <dsp:cNvSpPr/>
      </dsp:nvSpPr>
      <dsp:spPr>
        <a:xfrm>
          <a:off x="2205891" y="204938"/>
          <a:ext cx="2448757" cy="979502"/>
        </a:xfrm>
        <a:prstGeom prst="chevron">
          <a:avLst/>
        </a:prstGeom>
        <a:solidFill>
          <a:srgbClr val="27415F"/>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2007" tIns="17336" rIns="17336" bIns="17336" numCol="1" spcCol="1270" anchor="ctr" anchorCtr="0">
          <a:noAutofit/>
        </a:bodyPr>
        <a:lstStyle/>
        <a:p>
          <a:pPr marL="0" lvl="0" indent="0" algn="ctr" defTabSz="577850">
            <a:lnSpc>
              <a:spcPct val="90000"/>
            </a:lnSpc>
            <a:spcBef>
              <a:spcPct val="0"/>
            </a:spcBef>
            <a:spcAft>
              <a:spcPct val="35000"/>
            </a:spcAft>
            <a:buNone/>
          </a:pPr>
          <a:r>
            <a:rPr lang="en-US" sz="1300" b="1" kern="1200">
              <a:latin typeface="+mn-lt"/>
            </a:rPr>
            <a:t>The prevalence of BLLs </a:t>
          </a:r>
          <a:r>
            <a:rPr lang="en-US" sz="1300" b="1" kern="1200">
              <a:latin typeface="+mn-lt"/>
              <a:cs typeface="Times New Roman" panose="02020603050405020304" pitchFamily="18" charset="0"/>
            </a:rPr>
            <a:t>≥</a:t>
          </a:r>
          <a:r>
            <a:rPr lang="en-US" sz="1300" b="1" kern="1200">
              <a:latin typeface="+mn-lt"/>
            </a:rPr>
            <a:t>5 ug/dL increased from 1.1% in 2019 to 1.3% in 2020.</a:t>
          </a:r>
          <a:endParaRPr lang="en-US" sz="1300" kern="1200">
            <a:latin typeface="+mn-lt"/>
          </a:endParaRPr>
        </a:p>
      </dsp:txBody>
      <dsp:txXfrm>
        <a:off x="2695642" y="204938"/>
        <a:ext cx="1469255" cy="979502"/>
      </dsp:txXfrm>
    </dsp:sp>
    <dsp:sp modelId="{FB2FFD45-5A41-4E66-B279-9D93F206572A}">
      <dsp:nvSpPr>
        <dsp:cNvPr id="0" name=""/>
        <dsp:cNvSpPr/>
      </dsp:nvSpPr>
      <dsp:spPr>
        <a:xfrm>
          <a:off x="4409772" y="204938"/>
          <a:ext cx="2448757" cy="979502"/>
        </a:xfrm>
        <a:prstGeom prst="chevron">
          <a:avLst/>
        </a:prstGeom>
        <a:solidFill>
          <a:srgbClr val="27415F"/>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2007" tIns="17336" rIns="17336" bIns="17336" numCol="1" spcCol="1270" anchor="ctr" anchorCtr="0">
          <a:noAutofit/>
        </a:bodyPr>
        <a:lstStyle/>
        <a:p>
          <a:pPr marL="0" lvl="0" indent="0" algn="ctr" defTabSz="577850">
            <a:lnSpc>
              <a:spcPct val="90000"/>
            </a:lnSpc>
            <a:spcBef>
              <a:spcPct val="0"/>
            </a:spcBef>
            <a:spcAft>
              <a:spcPct val="35000"/>
            </a:spcAft>
            <a:buNone/>
          </a:pPr>
          <a:r>
            <a:rPr lang="en-US" sz="1300" b="1" kern="1200">
              <a:latin typeface="+mn-lt"/>
            </a:rPr>
            <a:t>The prevalence of BLLs </a:t>
          </a:r>
          <a:r>
            <a:rPr lang="en-US" sz="1300" b="1" kern="1200">
              <a:latin typeface="+mn-lt"/>
              <a:cs typeface="Times New Roman" panose="02020603050405020304" pitchFamily="18" charset="0"/>
            </a:rPr>
            <a:t>≥10 ug/dL</a:t>
          </a:r>
          <a:r>
            <a:rPr lang="en-US" sz="1300" b="1" kern="1200">
              <a:latin typeface="+mn-lt"/>
            </a:rPr>
            <a:t> increased slightly from 0.26% in 2019 to 0.28% in 2020.</a:t>
          </a:r>
          <a:endParaRPr lang="en-US" sz="1300" kern="1200">
            <a:latin typeface="+mn-lt"/>
          </a:endParaRPr>
        </a:p>
      </dsp:txBody>
      <dsp:txXfrm>
        <a:off x="4899523" y="204938"/>
        <a:ext cx="1469255" cy="979502"/>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3015847-920F-49E4-845B-D82E7B2B2E72}">
      <dsp:nvSpPr>
        <dsp:cNvPr id="0" name=""/>
        <dsp:cNvSpPr/>
      </dsp:nvSpPr>
      <dsp:spPr>
        <a:xfrm>
          <a:off x="0" y="0"/>
          <a:ext cx="3189970" cy="786384"/>
        </a:xfrm>
        <a:prstGeom prst="chevron">
          <a:avLst/>
        </a:prstGeom>
        <a:solidFill>
          <a:srgbClr val="27415F"/>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8006" tIns="16002" rIns="16002" bIns="16002" numCol="1" spcCol="1270" anchor="ctr" anchorCtr="0">
          <a:noAutofit/>
        </a:bodyPr>
        <a:lstStyle/>
        <a:p>
          <a:pPr marL="0" lvl="0" indent="0" algn="ctr" defTabSz="533400">
            <a:lnSpc>
              <a:spcPct val="90000"/>
            </a:lnSpc>
            <a:spcBef>
              <a:spcPct val="0"/>
            </a:spcBef>
            <a:spcAft>
              <a:spcPct val="35000"/>
            </a:spcAft>
            <a:buNone/>
          </a:pPr>
          <a:r>
            <a:rPr lang="en-US" sz="1200" b="1" kern="1200">
              <a:latin typeface="Arial" panose="020B0604020202020204" pitchFamily="34" charset="0"/>
              <a:cs typeface="Arial" panose="020B0604020202020204" pitchFamily="34" charset="0"/>
            </a:rPr>
            <a:t>1,880 children had an estimated confirmed BLL ≥5 µg/dL in 2020, CDC's previous reference value for triggering intervention.</a:t>
          </a:r>
        </a:p>
      </dsp:txBody>
      <dsp:txXfrm>
        <a:off x="393192" y="0"/>
        <a:ext cx="2403586" cy="786384"/>
      </dsp:txXfrm>
    </dsp:sp>
    <dsp:sp modelId="{6D859F06-4590-4AC5-9D38-1137EB53771D}">
      <dsp:nvSpPr>
        <dsp:cNvPr id="0" name=""/>
        <dsp:cNvSpPr/>
      </dsp:nvSpPr>
      <dsp:spPr>
        <a:xfrm>
          <a:off x="2876309" y="0"/>
          <a:ext cx="3189970" cy="786384"/>
        </a:xfrm>
        <a:prstGeom prst="chevron">
          <a:avLst/>
        </a:prstGeom>
        <a:solidFill>
          <a:srgbClr val="27415F"/>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8006" tIns="16002" rIns="16002" bIns="16002" numCol="1" spcCol="1270" anchor="ctr" anchorCtr="0">
          <a:noAutofit/>
        </a:bodyPr>
        <a:lstStyle/>
        <a:p>
          <a:pPr marL="0" lvl="0" indent="0" algn="ctr" defTabSz="533400">
            <a:lnSpc>
              <a:spcPct val="90000"/>
            </a:lnSpc>
            <a:spcBef>
              <a:spcPct val="0"/>
            </a:spcBef>
            <a:spcAft>
              <a:spcPct val="35000"/>
            </a:spcAft>
            <a:buNone/>
          </a:pPr>
          <a:r>
            <a:rPr lang="en-US" sz="1200" b="1" kern="1200">
              <a:latin typeface="Arial" panose="020B0604020202020204" pitchFamily="34" charset="0"/>
              <a:cs typeface="Arial" panose="020B0604020202020204" pitchFamily="34" charset="0"/>
            </a:rPr>
            <a:t>420 children were identified as having lead poisoning in 2020, a BLL ≥10 µg/dL.</a:t>
          </a:r>
        </a:p>
      </dsp:txBody>
      <dsp:txXfrm>
        <a:off x="3269501" y="0"/>
        <a:ext cx="2403586" cy="786384"/>
      </dsp:txXfrm>
    </dsp:sp>
  </dsp:spTree>
</dsp:drawing>
</file>

<file path=word/diagrams/layout1.xml><?xml version="1.0" encoding="utf-8"?>
<dgm:layoutDef xmlns:dgm="http://schemas.openxmlformats.org/drawingml/2006/diagram" xmlns:a="http://schemas.openxmlformats.org/drawingml/2006/main" uniqueId="urn:microsoft.com/office/officeart/2005/8/layout/chevron1">
  <dgm:title val=""/>
  <dgm:desc val=""/>
  <dgm:catLst>
    <dgm:cat type="process" pri="9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des" func="maxDepth" op="gte" val="2">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1.5"/>
          <dgm:constr type="h" for="des" forName="desTx" refType="primFontSz" refFor="des" refForName="parTx" fact="0.5"/>
          <dgm:constr type="w" for="ch" forName="space" op="equ" val="-6"/>
        </dgm:constrLst>
        <dgm:ruleLst>
          <dgm:rule type="w" for="ch" forName="composite" val="0" fact="NaN" max="NaN"/>
          <dgm:rule type="primFontSz" for="des" forName="parTx" val="5" fact="NaN" max="NaN"/>
        </dgm:ruleLst>
        <dgm:forEach name="Name6" axis="ch" ptType="node">
          <dgm:layoutNode name="composite">
            <dgm:alg type="composite"/>
            <dgm:shape xmlns:r="http://schemas.openxmlformats.org/officeDocument/2006/relationships" r:blip="">
              <dgm:adjLst/>
            </dgm:shape>
            <dgm:presOf/>
            <dgm:choose name="Name7">
              <dgm:if name="Name8" func="var" arg="dir" op="equ" val="norm">
                <dgm:constrLst>
                  <dgm:constr type="l" for="ch" forName="parTx"/>
                  <dgm:constr type="w" for="ch" forName="parTx" refType="w"/>
                  <dgm:constr type="t" for="ch" forName="parTx"/>
                  <dgm:constr type="l" for="ch" forName="desTx"/>
                  <dgm:constr type="w" for="ch" forName="desTx" refType="w" refFor="ch" refForName="parTx" fact="0.8"/>
                  <dgm:constr type="t" for="ch" forName="desTx" refType="h" refFor="ch" refForName="parTx" fact="1.125"/>
                </dgm:constrLst>
              </dgm:if>
              <dgm:else name="Name9">
                <dgm:constrLst>
                  <dgm:constr type="l" for="ch" forName="parTx"/>
                  <dgm:constr type="w" for="ch" forName="parTx" refType="w"/>
                  <dgm:constr type="t" for="ch" forName="parTx"/>
                  <dgm:constr type="l" for="ch" forName="desTx" refType="w" fact="0.2"/>
                  <dgm:constr type="w" for="ch" forName="desTx" refType="w" refFor="ch" refForName="parTx" fact="0.8"/>
                  <dgm:constr type="t" for="ch" forName="desTx" refType="h" refFor="ch" refForName="parTx" fact="1.125"/>
                </dgm:constrLst>
              </dgm:else>
            </dgm:choose>
            <dgm:ruleLst>
              <dgm:rule type="h" val="INF" fact="NaN" max="NaN"/>
            </dgm:ruleLst>
            <dgm:layoutNode name="parTx">
              <dgm:varLst>
                <dgm:chMax val="0"/>
                <dgm:chPref val="0"/>
                <dgm:bulletEnabled val="1"/>
              </dgm:varLst>
              <dgm:alg type="tx"/>
              <dgm:choose name="Name10">
                <dgm:if name="Name11" func="var" arg="dir" op="equ" val="norm">
                  <dgm:shape xmlns:r="http://schemas.openxmlformats.org/officeDocument/2006/relationships" type="chevron" r:blip="">
                    <dgm:adjLst/>
                  </dgm:shape>
                </dgm:if>
                <dgm:else name="Name12">
                  <dgm:shape xmlns:r="http://schemas.openxmlformats.org/officeDocument/2006/relationships" rot="180" type="chevron" r:blip="">
                    <dgm:adjLst/>
                  </dgm:shape>
                </dgm:else>
              </dgm:choose>
              <dgm:presOf axis="self" ptType="node"/>
              <dgm:choose name="Name13">
                <dgm:if name="Name14" func="var" arg="dir" op="equ" val="norm">
                  <dgm:constrLst>
                    <dgm:constr type="h" refType="w" op="lte" fact="0.4"/>
                    <dgm:constr type="h"/>
                    <dgm:constr type="tMarg" refType="primFontSz" fact="0.105"/>
                    <dgm:constr type="bMarg" refType="primFontSz" fact="0.105"/>
                    <dgm:constr type="lMarg" refType="primFontSz" fact="0.315"/>
                    <dgm:constr type="rMarg" refType="primFontSz" fact="0.105"/>
                  </dgm:constrLst>
                </dgm:if>
                <dgm:else name="Name15">
                  <dgm:constrLst>
                    <dgm:constr type="h" refType="w" op="lte" fact="0.4"/>
                    <dgm:constr type="h"/>
                    <dgm:constr type="tMarg" refType="primFontSz" fact="0.105"/>
                    <dgm:constr type="bMarg" refType="primFontSz" fact="0.105"/>
                    <dgm:constr type="lMarg" refType="primFontSz" fact="0.105"/>
                    <dgm:constr type="rMarg" refType="primFontSz" fact="0.315"/>
                  </dgm:constrLst>
                </dgm:else>
              </dgm:choose>
              <dgm:ruleLst>
                <dgm:rule type="h" val="INF" fact="NaN" max="NaN"/>
              </dgm:ruleLst>
            </dgm:layoutNode>
            <dgm:layoutNode name="desTx" styleLbl="revTx">
              <dgm:varLst>
                <dgm:bulletEnabled val="1"/>
              </dgm:varLst>
              <dgm:alg type="tx">
                <dgm:param type="stBulletLvl" val="1"/>
              </dgm:alg>
              <dgm:choose name="Name16">
                <dgm:if name="Name17" axis="ch" ptType="node" func="cnt" op="gte" val="1">
                  <dgm:shape xmlns:r="http://schemas.openxmlformats.org/officeDocument/2006/relationships" type="rect" r:blip="">
                    <dgm:adjLst/>
                  </dgm:shape>
                </dgm:if>
                <dgm:else name="Name18">
                  <dgm:shape xmlns:r="http://schemas.openxmlformats.org/officeDocument/2006/relationships" type="rect" r:blip="" hideGeom="1">
                    <dgm:adjLst/>
                  </dgm:shape>
                </dgm:else>
              </dgm:choose>
              <dgm:presOf axis="des" ptType="node"/>
              <dgm:constrLst>
                <dgm:constr type="secFontSz" val="65"/>
                <dgm:constr type="primFontSz" refType="secFontSz"/>
                <dgm:constr type="h"/>
                <dgm:constr type="tMarg"/>
                <dgm:constr type="bMarg"/>
                <dgm:constr type="rMarg"/>
                <dgm:constr type="lMarg"/>
              </dgm:constrLst>
              <dgm:ruleLst>
                <dgm:rule type="h" val="INF" fact="NaN" max="NaN"/>
              </dgm:ruleLst>
            </dgm:layoutNode>
          </dgm:layoutNode>
          <dgm:forEach name="Name19" axis="followSib" ptType="sibTrans" cnt="1">
            <dgm:layoutNode name="space">
              <dgm:alg type="sp"/>
              <dgm:shape xmlns:r="http://schemas.openxmlformats.org/officeDocument/2006/relationships" r:blip="">
                <dgm:adjLst/>
              </dgm:shape>
              <dgm:presOf/>
              <dgm:constrLst/>
              <dgm:ruleLst/>
            </dgm:layoutNode>
          </dgm:forEach>
        </dgm:forEach>
      </dgm:if>
      <dgm:else name="Name20">
        <dgm:constrLst>
          <dgm:constr type="w" for="ch" forName="parTxOnly" refType="w"/>
          <dgm:constr type="h" for="des" forName="parTxOnly" op="equ"/>
          <dgm:constr type="primFontSz" for="des" forName="parTxOnly" op="equ" val="65"/>
          <dgm:constr type="w" for="ch" forName="parTxOnlySpace" refType="w" refFor="ch" refForName="parTxOnly" fact="-0.1"/>
        </dgm:constrLst>
        <dgm:ruleLst/>
        <dgm:forEach name="Name21" axis="ch" ptType="node">
          <dgm:layoutNode name="parTxOnly">
            <dgm:varLst>
              <dgm:chMax val="0"/>
              <dgm:chPref val="0"/>
              <dgm:bulletEnabled val="1"/>
            </dgm:varLst>
            <dgm:alg type="tx"/>
            <dgm:choose name="Name22">
              <dgm:if name="Name23" func="var" arg="dir" op="equ" val="norm">
                <dgm:shape xmlns:r="http://schemas.openxmlformats.org/officeDocument/2006/relationships" type="chevron" r:blip="">
                  <dgm:adjLst/>
                </dgm:shape>
              </dgm:if>
              <dgm:else name="Name24">
                <dgm:shape xmlns:r="http://schemas.openxmlformats.org/officeDocument/2006/relationships" rot="180" type="chevron" r:blip="">
                  <dgm:adjLst/>
                </dgm:shape>
              </dgm:else>
            </dgm:choose>
            <dgm:presOf axis="self" ptType="node"/>
            <dgm:choose name="Name25">
              <dgm:if name="Name26" func="var" arg="dir" op="equ" val="norm">
                <dgm:constrLst>
                  <dgm:constr type="h" refType="w" op="equ" fact="0.4"/>
                  <dgm:constr type="tMarg" refType="primFontSz" fact="0.105"/>
                  <dgm:constr type="bMarg" refType="primFontSz" fact="0.105"/>
                  <dgm:constr type="lMarg" refType="primFontSz" fact="0.315"/>
                  <dgm:constr type="rMarg" refType="primFontSz" fact="0.105"/>
                </dgm:constrLst>
              </dgm:if>
              <dgm:else name="Name27">
                <dgm:constrLst>
                  <dgm:constr type="h" refType="w" op="equ" fact="0.4"/>
                  <dgm:constr type="tMarg" refType="primFontSz" fact="0.105"/>
                  <dgm:constr type="bMarg" refType="primFontSz" fact="0.105"/>
                  <dgm:constr type="lMarg" refType="primFontSz" fact="0.105"/>
                  <dgm:constr type="rMarg" refType="primFontSz" fact="0.315"/>
                </dgm:constrLst>
              </dgm:else>
            </dgm:choose>
            <dgm:ruleLst>
              <dgm:rule type="primFontSz" val="5" fact="NaN" max="NaN"/>
            </dgm:ruleLst>
          </dgm:layoutNode>
          <dgm:forEach name="Name28" axis="followSib" ptType="sibTrans" cnt="1">
            <dgm:layoutNode name="parTxOnlySpace">
              <dgm:alg type="sp"/>
              <dgm:shape xmlns:r="http://schemas.openxmlformats.org/officeDocument/2006/relationships" r:blip="">
                <dgm:adjLst/>
              </dgm:shape>
              <dgm:presOf/>
              <dgm:constrLst/>
              <dgm:ruleLst/>
            </dgm:layoutNode>
          </dgm:forEach>
        </dgm:forEach>
      </dgm:else>
    </dgm:choose>
  </dgm:layoutNode>
</dgm:layoutDef>
</file>

<file path=word/diagrams/layout2.xml><?xml version="1.0" encoding="utf-8"?>
<dgm:layoutDef xmlns:dgm="http://schemas.openxmlformats.org/drawingml/2006/diagram" xmlns:a="http://schemas.openxmlformats.org/drawingml/2006/main" uniqueId="urn:microsoft.com/office/officeart/2005/8/layout/chevron1">
  <dgm:title val=""/>
  <dgm:desc val=""/>
  <dgm:catLst>
    <dgm:cat type="process" pri="9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des" func="maxDepth" op="gte" val="2">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1.5"/>
          <dgm:constr type="h" for="des" forName="desTx" refType="primFontSz" refFor="des" refForName="parTx" fact="0.5"/>
          <dgm:constr type="w" for="ch" forName="space" op="equ" val="-6"/>
        </dgm:constrLst>
        <dgm:ruleLst>
          <dgm:rule type="w" for="ch" forName="composite" val="0" fact="NaN" max="NaN"/>
          <dgm:rule type="primFontSz" for="des" forName="parTx" val="5" fact="NaN" max="NaN"/>
        </dgm:ruleLst>
        <dgm:forEach name="Name6" axis="ch" ptType="node">
          <dgm:layoutNode name="composite">
            <dgm:alg type="composite"/>
            <dgm:shape xmlns:r="http://schemas.openxmlformats.org/officeDocument/2006/relationships" r:blip="">
              <dgm:adjLst/>
            </dgm:shape>
            <dgm:presOf/>
            <dgm:choose name="Name7">
              <dgm:if name="Name8" func="var" arg="dir" op="equ" val="norm">
                <dgm:constrLst>
                  <dgm:constr type="l" for="ch" forName="parTx"/>
                  <dgm:constr type="w" for="ch" forName="parTx" refType="w"/>
                  <dgm:constr type="t" for="ch" forName="parTx"/>
                  <dgm:constr type="l" for="ch" forName="desTx"/>
                  <dgm:constr type="w" for="ch" forName="desTx" refType="w" refFor="ch" refForName="parTx" fact="0.8"/>
                  <dgm:constr type="t" for="ch" forName="desTx" refType="h" refFor="ch" refForName="parTx" fact="1.125"/>
                </dgm:constrLst>
              </dgm:if>
              <dgm:else name="Name9">
                <dgm:constrLst>
                  <dgm:constr type="l" for="ch" forName="parTx"/>
                  <dgm:constr type="w" for="ch" forName="parTx" refType="w"/>
                  <dgm:constr type="t" for="ch" forName="parTx"/>
                  <dgm:constr type="l" for="ch" forName="desTx" refType="w" fact="0.2"/>
                  <dgm:constr type="w" for="ch" forName="desTx" refType="w" refFor="ch" refForName="parTx" fact="0.8"/>
                  <dgm:constr type="t" for="ch" forName="desTx" refType="h" refFor="ch" refForName="parTx" fact="1.125"/>
                </dgm:constrLst>
              </dgm:else>
            </dgm:choose>
            <dgm:ruleLst>
              <dgm:rule type="h" val="INF" fact="NaN" max="NaN"/>
            </dgm:ruleLst>
            <dgm:layoutNode name="parTx">
              <dgm:varLst>
                <dgm:chMax val="0"/>
                <dgm:chPref val="0"/>
                <dgm:bulletEnabled val="1"/>
              </dgm:varLst>
              <dgm:alg type="tx"/>
              <dgm:choose name="Name10">
                <dgm:if name="Name11" func="var" arg="dir" op="equ" val="norm">
                  <dgm:shape xmlns:r="http://schemas.openxmlformats.org/officeDocument/2006/relationships" type="chevron" r:blip="">
                    <dgm:adjLst/>
                  </dgm:shape>
                </dgm:if>
                <dgm:else name="Name12">
                  <dgm:shape xmlns:r="http://schemas.openxmlformats.org/officeDocument/2006/relationships" rot="180" type="chevron" r:blip="">
                    <dgm:adjLst/>
                  </dgm:shape>
                </dgm:else>
              </dgm:choose>
              <dgm:presOf axis="self" ptType="node"/>
              <dgm:choose name="Name13">
                <dgm:if name="Name14" func="var" arg="dir" op="equ" val="norm">
                  <dgm:constrLst>
                    <dgm:constr type="h" refType="w" op="lte" fact="0.4"/>
                    <dgm:constr type="h"/>
                    <dgm:constr type="tMarg" refType="primFontSz" fact="0.105"/>
                    <dgm:constr type="bMarg" refType="primFontSz" fact="0.105"/>
                    <dgm:constr type="lMarg" refType="primFontSz" fact="0.315"/>
                    <dgm:constr type="rMarg" refType="primFontSz" fact="0.105"/>
                  </dgm:constrLst>
                </dgm:if>
                <dgm:else name="Name15">
                  <dgm:constrLst>
                    <dgm:constr type="h" refType="w" op="lte" fact="0.4"/>
                    <dgm:constr type="h"/>
                    <dgm:constr type="tMarg" refType="primFontSz" fact="0.105"/>
                    <dgm:constr type="bMarg" refType="primFontSz" fact="0.105"/>
                    <dgm:constr type="lMarg" refType="primFontSz" fact="0.105"/>
                    <dgm:constr type="rMarg" refType="primFontSz" fact="0.315"/>
                  </dgm:constrLst>
                </dgm:else>
              </dgm:choose>
              <dgm:ruleLst>
                <dgm:rule type="h" val="INF" fact="NaN" max="NaN"/>
              </dgm:ruleLst>
            </dgm:layoutNode>
            <dgm:layoutNode name="desTx" styleLbl="revTx">
              <dgm:varLst>
                <dgm:bulletEnabled val="1"/>
              </dgm:varLst>
              <dgm:alg type="tx">
                <dgm:param type="stBulletLvl" val="1"/>
              </dgm:alg>
              <dgm:choose name="Name16">
                <dgm:if name="Name17" axis="ch" ptType="node" func="cnt" op="gte" val="1">
                  <dgm:shape xmlns:r="http://schemas.openxmlformats.org/officeDocument/2006/relationships" type="rect" r:blip="">
                    <dgm:adjLst/>
                  </dgm:shape>
                </dgm:if>
                <dgm:else name="Name18">
                  <dgm:shape xmlns:r="http://schemas.openxmlformats.org/officeDocument/2006/relationships" type="rect" r:blip="" hideGeom="1">
                    <dgm:adjLst/>
                  </dgm:shape>
                </dgm:else>
              </dgm:choose>
              <dgm:presOf axis="des" ptType="node"/>
              <dgm:constrLst>
                <dgm:constr type="secFontSz" val="65"/>
                <dgm:constr type="primFontSz" refType="secFontSz"/>
                <dgm:constr type="h"/>
                <dgm:constr type="tMarg"/>
                <dgm:constr type="bMarg"/>
                <dgm:constr type="rMarg"/>
                <dgm:constr type="lMarg"/>
              </dgm:constrLst>
              <dgm:ruleLst>
                <dgm:rule type="h" val="INF" fact="NaN" max="NaN"/>
              </dgm:ruleLst>
            </dgm:layoutNode>
          </dgm:layoutNode>
          <dgm:forEach name="Name19" axis="followSib" ptType="sibTrans" cnt="1">
            <dgm:layoutNode name="space">
              <dgm:alg type="sp"/>
              <dgm:shape xmlns:r="http://schemas.openxmlformats.org/officeDocument/2006/relationships" r:blip="">
                <dgm:adjLst/>
              </dgm:shape>
              <dgm:presOf/>
              <dgm:constrLst/>
              <dgm:ruleLst/>
            </dgm:layoutNode>
          </dgm:forEach>
        </dgm:forEach>
      </dgm:if>
      <dgm:else name="Name20">
        <dgm:constrLst>
          <dgm:constr type="w" for="ch" forName="parTxOnly" refType="w"/>
          <dgm:constr type="h" for="des" forName="parTxOnly" op="equ"/>
          <dgm:constr type="primFontSz" for="des" forName="parTxOnly" op="equ" val="65"/>
          <dgm:constr type="w" for="ch" forName="parTxOnlySpace" refType="w" refFor="ch" refForName="parTxOnly" fact="-0.1"/>
        </dgm:constrLst>
        <dgm:ruleLst/>
        <dgm:forEach name="Name21" axis="ch" ptType="node">
          <dgm:layoutNode name="parTxOnly">
            <dgm:varLst>
              <dgm:chMax val="0"/>
              <dgm:chPref val="0"/>
              <dgm:bulletEnabled val="1"/>
            </dgm:varLst>
            <dgm:alg type="tx"/>
            <dgm:choose name="Name22">
              <dgm:if name="Name23" func="var" arg="dir" op="equ" val="norm">
                <dgm:shape xmlns:r="http://schemas.openxmlformats.org/officeDocument/2006/relationships" type="chevron" r:blip="">
                  <dgm:adjLst/>
                </dgm:shape>
              </dgm:if>
              <dgm:else name="Name24">
                <dgm:shape xmlns:r="http://schemas.openxmlformats.org/officeDocument/2006/relationships" rot="180" type="chevron" r:blip="">
                  <dgm:adjLst/>
                </dgm:shape>
              </dgm:else>
            </dgm:choose>
            <dgm:presOf axis="self" ptType="node"/>
            <dgm:choose name="Name25">
              <dgm:if name="Name26" func="var" arg="dir" op="equ" val="norm">
                <dgm:constrLst>
                  <dgm:constr type="h" refType="w" op="equ" fact="0.4"/>
                  <dgm:constr type="tMarg" refType="primFontSz" fact="0.105"/>
                  <dgm:constr type="bMarg" refType="primFontSz" fact="0.105"/>
                  <dgm:constr type="lMarg" refType="primFontSz" fact="0.315"/>
                  <dgm:constr type="rMarg" refType="primFontSz" fact="0.105"/>
                </dgm:constrLst>
              </dgm:if>
              <dgm:else name="Name27">
                <dgm:constrLst>
                  <dgm:constr type="h" refType="w" op="equ" fact="0.4"/>
                  <dgm:constr type="tMarg" refType="primFontSz" fact="0.105"/>
                  <dgm:constr type="bMarg" refType="primFontSz" fact="0.105"/>
                  <dgm:constr type="lMarg" refType="primFontSz" fact="0.105"/>
                  <dgm:constr type="rMarg" refType="primFontSz" fact="0.315"/>
                </dgm:constrLst>
              </dgm:else>
            </dgm:choose>
            <dgm:ruleLst>
              <dgm:rule type="primFontSz" val="5" fact="NaN" max="NaN"/>
            </dgm:ruleLst>
          </dgm:layoutNode>
          <dgm:forEach name="Name28" axis="followSib" ptType="sibTrans" cnt="1">
            <dgm:layoutNode name="parTxOnlySpace">
              <dgm:alg type="sp"/>
              <dgm:shape xmlns:r="http://schemas.openxmlformats.org/officeDocument/2006/relationships" r:blip="">
                <dgm:adjLst/>
              </dgm:shape>
              <dgm:presOf/>
              <dgm:constrLst/>
              <dgm:ruleLst/>
            </dgm:layoutNode>
          </dgm:forEach>
        </dgm:forEach>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rawings/drawing1.xml><?xml version="1.0" encoding="utf-8"?>
<c:userShapes xmlns:c="http://schemas.openxmlformats.org/drawingml/2006/chart">
  <cdr:relSizeAnchor xmlns:cdr="http://schemas.openxmlformats.org/drawingml/2006/chartDrawing">
    <cdr:from>
      <cdr:x>0.05287</cdr:x>
      <cdr:y>0.87735</cdr:y>
    </cdr:from>
    <cdr:to>
      <cdr:x>0.96685</cdr:x>
      <cdr:y>0.99754</cdr:y>
    </cdr:to>
    <cdr:sp macro="" textlink="">
      <cdr:nvSpPr>
        <cdr:cNvPr id="2" name="TextBox 1"/>
        <cdr:cNvSpPr txBox="1"/>
      </cdr:nvSpPr>
      <cdr:spPr>
        <a:xfrm xmlns:a="http://schemas.openxmlformats.org/drawingml/2006/main">
          <a:off x="360568" y="3401200"/>
          <a:ext cx="6233252" cy="465949"/>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endParaRPr lang="en-US" sz="900"/>
        </a:p>
      </cdr:txBody>
    </cdr:sp>
  </cdr:relSizeAnchor>
</c:userShapes>
</file>

<file path=word/drawings/drawing2.xml><?xml version="1.0" encoding="utf-8"?>
<c:userShapes xmlns:c="http://schemas.openxmlformats.org/drawingml/2006/chart">
  <cdr:relSizeAnchor xmlns:cdr="http://schemas.openxmlformats.org/drawingml/2006/chartDrawing">
    <cdr:from>
      <cdr:x>0.86215</cdr:x>
      <cdr:y>0.3122</cdr:y>
    </cdr:from>
    <cdr:to>
      <cdr:x>0.93692</cdr:x>
      <cdr:y>0.72215</cdr:y>
    </cdr:to>
    <cdr:sp macro="" textlink="">
      <cdr:nvSpPr>
        <cdr:cNvPr id="4" name="Up-Down Arrow 3"/>
        <cdr:cNvSpPr/>
      </cdr:nvSpPr>
      <cdr:spPr>
        <a:xfrm xmlns:a="http://schemas.openxmlformats.org/drawingml/2006/main">
          <a:off x="3711815" y="1187986"/>
          <a:ext cx="321908" cy="1559978"/>
        </a:xfrm>
        <a:prstGeom xmlns:a="http://schemas.openxmlformats.org/drawingml/2006/main" prst="upDownArrow">
          <a:avLst/>
        </a:prstGeom>
        <a:solidFill xmlns:a="http://schemas.openxmlformats.org/drawingml/2006/main">
          <a:srgbClr val="27415F"/>
        </a:solidFill>
        <a:ln xmlns:a="http://schemas.openxmlformats.org/drawingml/2006/main">
          <a:solidFill>
            <a:srgbClr val="27415F"/>
          </a:solid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clip"/>
        <a:lstStyle xmlns:a="http://schemas.openxmlformats.org/drawingml/2006/main"/>
        <a:p xmlns:a="http://schemas.openxmlformats.org/drawingml/2006/main">
          <a:endParaRPr lang="en-US"/>
        </a:p>
      </cdr:txBody>
    </cdr:sp>
  </cdr:relSizeAnchor>
</c:userShapes>
</file>

<file path=word/drawings/drawing3.xml><?xml version="1.0" encoding="utf-8"?>
<c:userShapes xmlns:c="http://schemas.openxmlformats.org/drawingml/2006/chart">
  <cdr:absSizeAnchor xmlns:cdr="http://schemas.openxmlformats.org/drawingml/2006/chartDrawing">
    <cdr:from>
      <cdr:x>0.3903</cdr:x>
      <cdr:y>0.88317</cdr:y>
    </cdr:from>
    <cdr:ext cx="333086" cy="272042"/>
    <cdr:sp macro="" textlink="">
      <cdr:nvSpPr>
        <cdr:cNvPr id="2" name="Text Box 2"/>
        <cdr:cNvSpPr txBox="1">
          <a:spLocks xmlns:a="http://schemas.openxmlformats.org/drawingml/2006/main" noChangeAspect="1" noChangeArrowheads="1"/>
        </cdr:cNvSpPr>
      </cdr:nvSpPr>
      <cdr:spPr bwMode="auto">
        <a:xfrm xmlns:a="http://schemas.openxmlformats.org/drawingml/2006/main">
          <a:off x="2672686" y="3006518"/>
          <a:ext cx="333086" cy="272042"/>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rot="0" vert="horz" wrap="square" lIns="91440" tIns="45720" rIns="91440" bIns="45720" anchor="t" anchorCtr="0">
          <a:noAutofit/>
        </a:bodyPr>
        <a:lstStyle xmlns:a="http://schemas.openxmlformats.org/drawingml/2006/main"/>
        <a:p xmlns:a="http://schemas.openxmlformats.org/drawingml/2006/main">
          <a:pPr marL="0" marR="0">
            <a:lnSpc>
              <a:spcPct val="107000"/>
            </a:lnSpc>
            <a:spcBef>
              <a:spcPts val="0"/>
            </a:spcBef>
            <a:spcAft>
              <a:spcPts val="800"/>
            </a:spcAft>
          </a:pPr>
          <a:r>
            <a:rPr lang="en-US" sz="1100" baseline="30000">
              <a:effectLst/>
              <a:latin typeface="Calibri" panose="020F0502020204030204" pitchFamily="34" charset="0"/>
              <a:ea typeface="Calibri" panose="020F0502020204030204" pitchFamily="34" charset="0"/>
              <a:cs typeface="Times New Roman" panose="02020603050405020304" pitchFamily="18" charset="0"/>
            </a:rPr>
            <a:t>3</a:t>
          </a:r>
          <a:endParaRPr lang="en-US" sz="1100">
            <a:effectLst/>
            <a:latin typeface="Calibri" panose="020F0502020204030204" pitchFamily="34" charset="0"/>
            <a:ea typeface="Calibri" panose="020F0502020204030204" pitchFamily="34" charset="0"/>
            <a:cs typeface="Times New Roman" panose="02020603050405020304" pitchFamily="18" charset="0"/>
          </a:endParaRPr>
        </a:p>
      </cdr:txBody>
    </cdr:sp>
  </cdr:absSizeAnchor>
  <cdr:relSizeAnchor xmlns:cdr="http://schemas.openxmlformats.org/drawingml/2006/chartDrawing">
    <cdr:from>
      <cdr:x>0.27901</cdr:x>
      <cdr:y>0.88965</cdr:y>
    </cdr:from>
    <cdr:to>
      <cdr:x>0.32728</cdr:x>
      <cdr:y>0.96806</cdr:y>
    </cdr:to>
    <cdr:sp macro="" textlink="">
      <cdr:nvSpPr>
        <cdr:cNvPr id="3" name="Text Box 2"/>
        <cdr:cNvSpPr txBox="1">
          <a:spLocks xmlns:a="http://schemas.openxmlformats.org/drawingml/2006/main" noChangeAspect="1" noChangeArrowheads="1"/>
        </cdr:cNvSpPr>
      </cdr:nvSpPr>
      <cdr:spPr bwMode="auto">
        <a:xfrm xmlns:a="http://schemas.openxmlformats.org/drawingml/2006/main">
          <a:off x="1902801" y="3050616"/>
          <a:ext cx="329184" cy="268855"/>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rot="0" vert="horz" wrap="square" lIns="91440" tIns="45720" rIns="91440" bIns="45720" anchor="t" anchorCtr="0">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marL="0" marR="0">
            <a:lnSpc>
              <a:spcPct val="107000"/>
            </a:lnSpc>
            <a:spcBef>
              <a:spcPts val="0"/>
            </a:spcBef>
            <a:spcAft>
              <a:spcPts val="800"/>
            </a:spcAft>
          </a:pPr>
          <a:r>
            <a:rPr lang="en-US" sz="1100" baseline="30000">
              <a:effectLst/>
              <a:latin typeface="Calibri" panose="020F0502020204030204" pitchFamily="34" charset="0"/>
              <a:ea typeface="Calibri" panose="020F0502020204030204" pitchFamily="34" charset="0"/>
              <a:cs typeface="Times New Roman" panose="02020603050405020304" pitchFamily="18" charset="0"/>
            </a:rPr>
            <a:t>3</a:t>
          </a:r>
          <a:endParaRPr lang="en-US" sz="1100">
            <a:effectLst/>
            <a:latin typeface="Calibri" panose="020F0502020204030204" pitchFamily="34" charset="0"/>
            <a:ea typeface="Calibri" panose="020F0502020204030204" pitchFamily="34" charset="0"/>
            <a:cs typeface="Times New Roman" panose="02020603050405020304" pitchFamily="18" charset="0"/>
          </a:endParaRP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21BF65-C22E-4F7B-A4AC-811A4FC562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23</Pages>
  <Words>8407</Words>
  <Characters>47922</Characters>
  <Application>Microsoft Office Word</Application>
  <DocSecurity>0</DocSecurity>
  <Lines>399</Lines>
  <Paragraphs>112</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56217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Lfogarty</dc:creator>
  <cp:keywords/>
  <dc:description/>
  <cp:lastModifiedBy>Fishbeyn, Mariya (DPH)</cp:lastModifiedBy>
  <cp:revision>6</cp:revision>
  <dcterms:created xsi:type="dcterms:W3CDTF">2021-12-29T20:58:00Z</dcterms:created>
  <dcterms:modified xsi:type="dcterms:W3CDTF">2022-02-07T14:40:00Z</dcterms:modified>
</cp:coreProperties>
</file>