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8BAC0" w14:textId="3893CAAC" w:rsidR="0084221D" w:rsidRDefault="00DC5316" w:rsidP="0099137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1A104702" wp14:editId="121E89A9">
            <wp:extent cx="1493520" cy="1810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78F904" w14:textId="22F5DBC8" w:rsidR="00DF24A1" w:rsidRDefault="00DF24A1" w:rsidP="00991372">
      <w:pPr>
        <w:spacing w:after="0"/>
        <w:rPr>
          <w:rFonts w:ascii="Calibri" w:hAnsi="Calibri" w:cs="Calibri"/>
        </w:rPr>
      </w:pPr>
    </w:p>
    <w:p w14:paraId="4CFD4C84" w14:textId="77777777" w:rsidR="00DF24A1" w:rsidRDefault="00DF24A1" w:rsidP="00991372">
      <w:pPr>
        <w:spacing w:after="0"/>
        <w:rPr>
          <w:rFonts w:ascii="Calibri" w:hAnsi="Calibri" w:cs="Calibri"/>
        </w:rPr>
      </w:pPr>
    </w:p>
    <w:p w14:paraId="092124EE" w14:textId="37A32630" w:rsidR="0084221D" w:rsidRPr="00617190" w:rsidRDefault="00DF24A1" w:rsidP="0084221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December </w:t>
      </w:r>
      <w:r w:rsidR="00C54550">
        <w:rPr>
          <w:rFonts w:ascii="Calibri" w:hAnsi="Calibri" w:cs="Calibri"/>
        </w:rPr>
        <w:t>3</w:t>
      </w:r>
      <w:r w:rsidR="0084221D">
        <w:rPr>
          <w:rFonts w:ascii="Calibri" w:hAnsi="Calibri" w:cs="Calibri"/>
        </w:rPr>
        <w:t>, 2020</w:t>
      </w:r>
    </w:p>
    <w:p w14:paraId="57927562" w14:textId="77777777" w:rsidR="0084221D" w:rsidRDefault="0084221D" w:rsidP="00991372">
      <w:pPr>
        <w:spacing w:after="0"/>
        <w:rPr>
          <w:rFonts w:ascii="Calibri" w:hAnsi="Calibri" w:cs="Calibri"/>
        </w:rPr>
      </w:pPr>
    </w:p>
    <w:p w14:paraId="28AE0FE9" w14:textId="77777777" w:rsidR="00991372" w:rsidRDefault="00991372" w:rsidP="0099137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Ms. </w:t>
      </w:r>
      <w:r w:rsidRPr="00720969">
        <w:rPr>
          <w:rFonts w:ascii="Calibri" w:hAnsi="Calibri" w:cs="Calibri"/>
        </w:rPr>
        <w:t>Samantha Meserve</w:t>
      </w:r>
    </w:p>
    <w:p w14:paraId="38A53948" w14:textId="77777777" w:rsidR="00991372" w:rsidRDefault="00991372" w:rsidP="0099137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Deputy Director, Renewable and Alternative Energy Division</w:t>
      </w:r>
    </w:p>
    <w:p w14:paraId="35935E9E" w14:textId="77777777" w:rsidR="00991372" w:rsidRDefault="00991372" w:rsidP="00991372">
      <w:pPr>
        <w:spacing w:after="0"/>
        <w:rPr>
          <w:rFonts w:ascii="Calibri" w:hAnsi="Calibri" w:cs="Calibri"/>
        </w:rPr>
      </w:pPr>
      <w:r w:rsidRPr="00C03D7E">
        <w:rPr>
          <w:rFonts w:ascii="Calibri" w:hAnsi="Calibri" w:cs="Calibri"/>
        </w:rPr>
        <w:t>Massachusetts Department of Energy Resources</w:t>
      </w:r>
      <w:r>
        <w:rPr>
          <w:rFonts w:ascii="Calibri" w:hAnsi="Calibri" w:cs="Calibri"/>
        </w:rPr>
        <w:t xml:space="preserve"> </w:t>
      </w:r>
    </w:p>
    <w:p w14:paraId="71A1969B" w14:textId="77777777" w:rsidR="00991372" w:rsidRDefault="00991372" w:rsidP="0099137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100 Cambridge Street, 10</w:t>
      </w:r>
      <w:r w:rsidRPr="00C03D7E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Floor</w:t>
      </w:r>
    </w:p>
    <w:p w14:paraId="5F1BB5E3" w14:textId="77777777" w:rsidR="00991372" w:rsidRPr="00617190" w:rsidRDefault="00991372" w:rsidP="0099137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Boston, MA</w:t>
      </w:r>
    </w:p>
    <w:p w14:paraId="451DAFCA" w14:textId="77777777" w:rsidR="00991372" w:rsidRDefault="00991372" w:rsidP="00991372">
      <w:pPr>
        <w:spacing w:after="0"/>
        <w:rPr>
          <w:rFonts w:ascii="Calibri" w:hAnsi="Calibri" w:cs="Calibri"/>
        </w:rPr>
      </w:pPr>
    </w:p>
    <w:p w14:paraId="1EEDA88F" w14:textId="77777777" w:rsidR="00991372" w:rsidRPr="00FB4DD3" w:rsidRDefault="00991372" w:rsidP="00991372">
      <w:pPr>
        <w:spacing w:after="0"/>
        <w:rPr>
          <w:rFonts w:ascii="Calibri" w:hAnsi="Calibri" w:cs="Calibri"/>
        </w:rPr>
      </w:pPr>
      <w:r w:rsidRPr="00FB4DD3">
        <w:rPr>
          <w:rFonts w:ascii="Calibri" w:hAnsi="Calibri" w:cs="Calibri"/>
        </w:rPr>
        <w:t xml:space="preserve">Dear </w:t>
      </w:r>
      <w:r>
        <w:rPr>
          <w:rFonts w:ascii="Calibri" w:hAnsi="Calibri" w:cs="Calibri"/>
        </w:rPr>
        <w:t>Ms. Meserve,</w:t>
      </w:r>
    </w:p>
    <w:p w14:paraId="1E683710" w14:textId="77777777" w:rsidR="007D358E" w:rsidRDefault="007D358E" w:rsidP="00A2283E">
      <w:pPr>
        <w:pStyle w:val="NoSpacing"/>
        <w:rPr>
          <w:b/>
        </w:rPr>
      </w:pPr>
    </w:p>
    <w:p w14:paraId="02949871" w14:textId="5BCF509B" w:rsidR="00DF24A1" w:rsidRDefault="005675C5" w:rsidP="00A2283E">
      <w:pPr>
        <w:pStyle w:val="NoSpacing"/>
      </w:pPr>
      <w:r w:rsidRPr="005675C5">
        <w:t>Erving Paper Mills has been operating since 1905.  Our factory</w:t>
      </w:r>
      <w:r w:rsidR="00D1498F">
        <w:t xml:space="preserve"> employs 130</w:t>
      </w:r>
      <w:r w:rsidR="00E97666">
        <w:t xml:space="preserve"> people</w:t>
      </w:r>
      <w:r w:rsidR="00D1498F">
        <w:t xml:space="preserve"> and</w:t>
      </w:r>
      <w:r w:rsidRPr="005675C5">
        <w:t xml:space="preserve"> run</w:t>
      </w:r>
      <w:r w:rsidR="00D1498F">
        <w:t>s 24/7/36</w:t>
      </w:r>
      <w:r w:rsidR="00557B03">
        <w:t>0</w:t>
      </w:r>
      <w:r w:rsidR="00D1498F">
        <w:t xml:space="preserve">.  </w:t>
      </w:r>
      <w:r w:rsidR="000513A3">
        <w:t>Each day we</w:t>
      </w:r>
      <w:r w:rsidRPr="005675C5">
        <w:t xml:space="preserve"> recycle </w:t>
      </w:r>
      <w:r w:rsidR="000513A3">
        <w:t>twelve</w:t>
      </w:r>
      <w:r w:rsidRPr="005675C5">
        <w:t xml:space="preserve"> trailer loads of New England </w:t>
      </w:r>
      <w:r w:rsidR="000513A3">
        <w:t>office waste</w:t>
      </w:r>
      <w:r w:rsidRPr="005675C5">
        <w:t xml:space="preserve"> in order to produce</w:t>
      </w:r>
      <w:r w:rsidR="00E97666">
        <w:t xml:space="preserve"> the</w:t>
      </w:r>
      <w:r w:rsidR="00D1498F">
        <w:t xml:space="preserve"> base paper for</w:t>
      </w:r>
      <w:r w:rsidRPr="005675C5">
        <w:t xml:space="preserve"> </w:t>
      </w:r>
      <w:r w:rsidR="00D1498F">
        <w:t>bath tissue</w:t>
      </w:r>
      <w:r w:rsidRPr="005675C5">
        <w:t xml:space="preserve">, </w:t>
      </w:r>
      <w:r w:rsidR="00D1498F">
        <w:t>napkins and</w:t>
      </w:r>
      <w:r w:rsidRPr="005675C5">
        <w:t xml:space="preserve"> toweling</w:t>
      </w:r>
      <w:r w:rsidR="000513A3">
        <w:t>, all essential items</w:t>
      </w:r>
      <w:r w:rsidR="00D1498F">
        <w:t>.</w:t>
      </w:r>
      <w:r w:rsidR="000348BA">
        <w:t xml:space="preserve">  </w:t>
      </w:r>
      <w:r w:rsidR="000513A3">
        <w:t>This recycling activity plays</w:t>
      </w:r>
      <w:r w:rsidR="000348BA">
        <w:t xml:space="preserve"> a critical </w:t>
      </w:r>
      <w:r w:rsidR="000513A3">
        <w:t>role</w:t>
      </w:r>
      <w:r w:rsidR="00557B03">
        <w:t xml:space="preserve"> in Massachusetts’s</w:t>
      </w:r>
      <w:r w:rsidR="000348BA">
        <w:t xml:space="preserve"> green economy.  </w:t>
      </w:r>
      <w:r w:rsidR="00A75D83">
        <w:t xml:space="preserve">Erving </w:t>
      </w:r>
      <w:r w:rsidR="00D1498F">
        <w:t>compete</w:t>
      </w:r>
      <w:r w:rsidR="00A75D83">
        <w:t>s</w:t>
      </w:r>
      <w:r w:rsidR="00D1498F">
        <w:t xml:space="preserve"> in a world market </w:t>
      </w:r>
      <w:r w:rsidR="00E97666">
        <w:t>against</w:t>
      </w:r>
      <w:r w:rsidR="00D1498F">
        <w:t xml:space="preserve"> </w:t>
      </w:r>
      <w:r w:rsidR="00A75D83">
        <w:t>international suppliers</w:t>
      </w:r>
      <w:r w:rsidR="00D1498F">
        <w:t xml:space="preserve"> a</w:t>
      </w:r>
      <w:r w:rsidR="00E97666">
        <w:t>nd</w:t>
      </w:r>
      <w:r w:rsidR="00D1498F">
        <w:t xml:space="preserve"> domestic</w:t>
      </w:r>
      <w:r w:rsidR="00557B03">
        <w:t>s on a playing field where our</w:t>
      </w:r>
      <w:r w:rsidR="00E97666">
        <w:t xml:space="preserve"> product is a commodity and business goes to the </w:t>
      </w:r>
      <w:r w:rsidR="00557B03">
        <w:t>low</w:t>
      </w:r>
      <w:r w:rsidR="00DC5316">
        <w:t>est</w:t>
      </w:r>
      <w:r w:rsidR="00557B03">
        <w:t xml:space="preserve"> cost</w:t>
      </w:r>
      <w:r w:rsidR="00E97666">
        <w:t xml:space="preserve"> producer. </w:t>
      </w:r>
      <w:r w:rsidR="00ED070F">
        <w:t xml:space="preserve"> Prior to our investment in CHP, high energy costs had kept us on a knife’s edge</w:t>
      </w:r>
      <w:r w:rsidR="00A75D83">
        <w:t xml:space="preserve"> of financial performance</w:t>
      </w:r>
      <w:r w:rsidR="00ED070F">
        <w:t>.  With CHP in place along with the AECs, we</w:t>
      </w:r>
      <w:r w:rsidR="00A75D83">
        <w:t>’ve become</w:t>
      </w:r>
      <w:r w:rsidR="00ED070F">
        <w:t xml:space="preserve"> more able to meet our </w:t>
      </w:r>
      <w:r w:rsidR="00A75D83">
        <w:t xml:space="preserve">two </w:t>
      </w:r>
      <w:r w:rsidR="000348BA">
        <w:t>fundamental objective</w:t>
      </w:r>
      <w:r w:rsidR="00A75D83">
        <w:t>s</w:t>
      </w:r>
      <w:r w:rsidR="00ED070F">
        <w:t xml:space="preserve"> which</w:t>
      </w:r>
      <w:r w:rsidR="000348BA">
        <w:t xml:space="preserve"> </w:t>
      </w:r>
      <w:r w:rsidR="00A75D83">
        <w:t>are</w:t>
      </w:r>
      <w:r w:rsidR="00E97666">
        <w:t xml:space="preserve"> to </w:t>
      </w:r>
      <w:r w:rsidR="000348BA">
        <w:t>earn</w:t>
      </w:r>
      <w:r w:rsidR="00E97666">
        <w:t xml:space="preserve"> enough to </w:t>
      </w:r>
      <w:r w:rsidR="00A75D83">
        <w:t>re-</w:t>
      </w:r>
      <w:r w:rsidR="00E97666">
        <w:t>invest in our equipment</w:t>
      </w:r>
      <w:r w:rsidR="00A75D83">
        <w:t xml:space="preserve"> in order to keep it current</w:t>
      </w:r>
      <w:r w:rsidR="00E97666">
        <w:t xml:space="preserve"> and </w:t>
      </w:r>
      <w:r w:rsidR="00A75D83">
        <w:t xml:space="preserve">to pay </w:t>
      </w:r>
      <w:r w:rsidR="00E97666">
        <w:t>our employees</w:t>
      </w:r>
      <w:r w:rsidR="009059EA">
        <w:t xml:space="preserve"> </w:t>
      </w:r>
      <w:r w:rsidR="00A75D83">
        <w:t>a proper wage – all in the name of keeping</w:t>
      </w:r>
      <w:r w:rsidR="009059EA">
        <w:t xml:space="preserve"> our plant operating</w:t>
      </w:r>
      <w:r w:rsidR="00ED070F">
        <w:t>.</w:t>
      </w:r>
    </w:p>
    <w:p w14:paraId="1C5FE21E" w14:textId="2572554B" w:rsidR="00D1498F" w:rsidRDefault="00D1498F" w:rsidP="00A2283E">
      <w:pPr>
        <w:pStyle w:val="NoSpacing"/>
      </w:pPr>
    </w:p>
    <w:p w14:paraId="368B975B" w14:textId="23873D39" w:rsidR="00A7196F" w:rsidRDefault="009059EA" w:rsidP="00956384">
      <w:pPr>
        <w:pStyle w:val="NoSpacing"/>
      </w:pPr>
      <w:r>
        <w:t>For decades p</w:t>
      </w:r>
      <w:r w:rsidR="0077419A">
        <w:t>rior to 2015, we</w:t>
      </w:r>
      <w:r w:rsidR="00122564">
        <w:t xml:space="preserve"> burned a truck </w:t>
      </w:r>
      <w:r w:rsidR="00A75D83">
        <w:t>each</w:t>
      </w:r>
      <w:r w:rsidR="00122564">
        <w:t xml:space="preserve"> day of #</w:t>
      </w:r>
      <w:r w:rsidR="00EB11F6">
        <w:t xml:space="preserve">6 </w:t>
      </w:r>
      <w:r w:rsidR="00122564">
        <w:t>oil and</w:t>
      </w:r>
      <w:r w:rsidR="0077419A">
        <w:t xml:space="preserve"> </w:t>
      </w:r>
      <w:r w:rsidR="00122564">
        <w:t>input</w:t>
      </w:r>
      <w:r w:rsidR="0077419A">
        <w:t xml:space="preserve"> about 45,000,000 k</w:t>
      </w:r>
      <w:r w:rsidR="00A7196F">
        <w:t>Wh</w:t>
      </w:r>
      <w:r w:rsidR="0077419A">
        <w:t xml:space="preserve"> of electricity e</w:t>
      </w:r>
      <w:r w:rsidR="00122564">
        <w:t>ach</w:t>
      </w:r>
      <w:r w:rsidR="0077419A">
        <w:t xml:space="preserve"> year </w:t>
      </w:r>
      <w:r w:rsidR="000348BA">
        <w:t xml:space="preserve">in order </w:t>
      </w:r>
      <w:r w:rsidR="0077419A">
        <w:t xml:space="preserve">to churn out our finished product.  </w:t>
      </w:r>
      <w:r w:rsidR="00D1498F">
        <w:t>In 201</w:t>
      </w:r>
      <w:r w:rsidR="00A7196F">
        <w:t>4</w:t>
      </w:r>
      <w:r w:rsidR="00D1498F">
        <w:t>, we made the largest investment that we’ve ever made</w:t>
      </w:r>
      <w:r w:rsidR="0077419A">
        <w:t xml:space="preserve">, installing a </w:t>
      </w:r>
      <w:r w:rsidR="00122564">
        <w:t xml:space="preserve">natural gas powered </w:t>
      </w:r>
      <w:r w:rsidR="0077419A">
        <w:t>5.4MW CHP turbine</w:t>
      </w:r>
      <w:r w:rsidR="00A7196F">
        <w:t>, which came online in December of 2015</w:t>
      </w:r>
      <w:r w:rsidR="0077419A">
        <w:t xml:space="preserve">.  The financial analysis used to justify the investment relied on AECS to ensure a reasonable return.  Without the AECS, </w:t>
      </w:r>
      <w:r>
        <w:t xml:space="preserve">the payback on the project was </w:t>
      </w:r>
      <w:r w:rsidR="00956384">
        <w:t xml:space="preserve">over </w:t>
      </w:r>
      <w:r>
        <w:t>7 years, an investment</w:t>
      </w:r>
      <w:r w:rsidR="00A75D83">
        <w:t xml:space="preserve"> with a payback like</w:t>
      </w:r>
      <w:r>
        <w:t xml:space="preserve"> that </w:t>
      </w:r>
      <w:r w:rsidR="00A75D83">
        <w:t>is not one that we</w:t>
      </w:r>
      <w:r>
        <w:t xml:space="preserve"> would have made, but with the AECS</w:t>
      </w:r>
      <w:r w:rsidR="007A6FD3">
        <w:t>,</w:t>
      </w:r>
      <w:r w:rsidR="00956384">
        <w:t xml:space="preserve"> the investment made financial sense and</w:t>
      </w:r>
      <w:r>
        <w:t xml:space="preserve"> we decided to go forward</w:t>
      </w:r>
      <w:r w:rsidR="00A75D83">
        <w:t xml:space="preserve"> and the investment has been positive</w:t>
      </w:r>
      <w:r>
        <w:t xml:space="preserve">. </w:t>
      </w:r>
      <w:r w:rsidR="007A6FD3">
        <w:t xml:space="preserve"> </w:t>
      </w:r>
      <w:r w:rsidR="00A7196F">
        <w:t>Since our initial investment, the DOER has added additional technologies into the program without a corresponding increase in the Obligation, which has led to oversupply</w:t>
      </w:r>
      <w:r w:rsidR="00A75D83">
        <w:t xml:space="preserve"> and </w:t>
      </w:r>
      <w:r w:rsidR="00A72A78">
        <w:t>the low-price</w:t>
      </w:r>
      <w:r w:rsidR="00A7196F">
        <w:t xml:space="preserve"> situation we find ourselves in now. </w:t>
      </w:r>
    </w:p>
    <w:p w14:paraId="6EA0F4D6" w14:textId="77777777" w:rsidR="00A7196F" w:rsidRDefault="00A7196F" w:rsidP="00956384">
      <w:pPr>
        <w:pStyle w:val="NoSpacing"/>
      </w:pPr>
    </w:p>
    <w:p w14:paraId="51A74CFD" w14:textId="69EC2685" w:rsidR="00956384" w:rsidRDefault="00956384" w:rsidP="00956384">
      <w:pPr>
        <w:pStyle w:val="NoSpacing"/>
      </w:pPr>
      <w:r>
        <w:t>As a result</w:t>
      </w:r>
      <w:r w:rsidR="007A6FD3">
        <w:t xml:space="preserve"> of the </w:t>
      </w:r>
      <w:r w:rsidR="00A72A78">
        <w:t xml:space="preserve">CHP </w:t>
      </w:r>
      <w:r w:rsidR="007A6FD3">
        <w:t>project</w:t>
      </w:r>
      <w:r>
        <w:t xml:space="preserve">, </w:t>
      </w:r>
      <w:r w:rsidR="007A6FD3">
        <w:t>each year we</w:t>
      </w:r>
      <w:r>
        <w:t xml:space="preserve"> relieve the power grid of 40,000,000 of those </w:t>
      </w:r>
      <w:r w:rsidR="00A7196F">
        <w:t>kWh</w:t>
      </w:r>
      <w:r w:rsidR="007A6FD3">
        <w:t xml:space="preserve">, </w:t>
      </w:r>
      <w:r w:rsidR="00557B03">
        <w:t>reduce our CO</w:t>
      </w:r>
      <w:r w:rsidR="00557B03" w:rsidRPr="00557B03">
        <w:rPr>
          <w:vertAlign w:val="subscript"/>
        </w:rPr>
        <w:t>2</w:t>
      </w:r>
      <w:r w:rsidR="00557B03">
        <w:t xml:space="preserve"> impact by </w:t>
      </w:r>
      <w:r w:rsidR="00851E9B">
        <w:t>1</w:t>
      </w:r>
      <w:r>
        <w:t>6,000,000</w:t>
      </w:r>
      <w:r w:rsidR="00557B03">
        <w:t xml:space="preserve"> </w:t>
      </w:r>
      <w:r>
        <w:t>lb</w:t>
      </w:r>
      <w:r w:rsidR="009059EA">
        <w:t>s</w:t>
      </w:r>
      <w:r>
        <w:t xml:space="preserve"> and our SO</w:t>
      </w:r>
      <w:r w:rsidRPr="00956384">
        <w:rPr>
          <w:vertAlign w:val="subscript"/>
        </w:rPr>
        <w:t>2</w:t>
      </w:r>
      <w:r>
        <w:t xml:space="preserve"> impact by 632,000 lbs</w:t>
      </w:r>
      <w:r w:rsidR="009059EA">
        <w:t>.</w:t>
      </w:r>
      <w:r w:rsidR="007A6FD3">
        <w:t xml:space="preserve">  </w:t>
      </w:r>
      <w:r w:rsidR="00851E9B">
        <w:t>That is the equivalent of removing more than 6,</w:t>
      </w:r>
      <w:r w:rsidR="002636C5">
        <w:t>5</w:t>
      </w:r>
      <w:r w:rsidR="00851E9B">
        <w:t xml:space="preserve">00 cars off the road since our project started.  </w:t>
      </w:r>
      <w:r w:rsidR="00A75D83">
        <w:t>These reductions combined</w:t>
      </w:r>
      <w:r w:rsidR="00851E9B">
        <w:t xml:space="preserve"> with our core business of waste paper recycling, </w:t>
      </w:r>
      <w:r w:rsidR="00A75D83">
        <w:t>bring</w:t>
      </w:r>
      <w:r w:rsidR="007A6FD3">
        <w:t xml:space="preserve"> </w:t>
      </w:r>
      <w:r w:rsidR="00A75D83">
        <w:t>huge</w:t>
      </w:r>
      <w:r w:rsidR="007A6FD3">
        <w:t xml:space="preserve"> positive impacts </w:t>
      </w:r>
      <w:r w:rsidR="00DC5316">
        <w:t>to</w:t>
      </w:r>
      <w:r w:rsidR="007A6FD3">
        <w:t xml:space="preserve"> the greening of Massachusetts.</w:t>
      </w:r>
      <w:r w:rsidR="009059EA">
        <w:t xml:space="preserve">  </w:t>
      </w:r>
      <w:r w:rsidR="007A6FD3">
        <w:t>But w</w:t>
      </w:r>
      <w:r w:rsidR="009059EA">
        <w:t xml:space="preserve">ith the AECS market failing, </w:t>
      </w:r>
      <w:r w:rsidR="009059EA">
        <w:lastRenderedPageBreak/>
        <w:t xml:space="preserve">our investment is looking </w:t>
      </w:r>
      <w:r w:rsidR="000348BA">
        <w:t xml:space="preserve">far </w:t>
      </w:r>
      <w:r w:rsidR="009059EA">
        <w:t>less attractive</w:t>
      </w:r>
      <w:r w:rsidR="000348BA">
        <w:t xml:space="preserve"> </w:t>
      </w:r>
      <w:r w:rsidR="007A6FD3">
        <w:t>and our market competitiveness is challenged.  Frankly, i</w:t>
      </w:r>
      <w:r w:rsidR="000348BA">
        <w:t xml:space="preserve">f we’d known </w:t>
      </w:r>
      <w:r w:rsidR="00ED070F">
        <w:t>the DOER was going to change the rules in the middle of the game, allowing the AECS market to freefall,</w:t>
      </w:r>
      <w:r w:rsidR="00A75D83">
        <w:t xml:space="preserve"> </w:t>
      </w:r>
      <w:r w:rsidR="000348BA">
        <w:t xml:space="preserve">we </w:t>
      </w:r>
      <w:r w:rsidR="006B1AB9">
        <w:t xml:space="preserve">likely </w:t>
      </w:r>
      <w:r w:rsidR="000348BA">
        <w:t>would not have made th</w:t>
      </w:r>
      <w:r w:rsidR="00DC5316">
        <w:t>e</w:t>
      </w:r>
      <w:r w:rsidR="000348BA">
        <w:t xml:space="preserve"> investment</w:t>
      </w:r>
      <w:r w:rsidR="009059EA">
        <w:t>.</w:t>
      </w:r>
      <w:r w:rsidR="00DC5316">
        <w:t xml:space="preserve">  We feel as though we were misled.</w:t>
      </w:r>
    </w:p>
    <w:p w14:paraId="12A9057F" w14:textId="7944856B" w:rsidR="00956384" w:rsidRDefault="00956384" w:rsidP="00956384">
      <w:pPr>
        <w:pStyle w:val="NoSpacing"/>
      </w:pPr>
    </w:p>
    <w:p w14:paraId="54BF411F" w14:textId="21DF23E8" w:rsidR="00956384" w:rsidRDefault="00956384" w:rsidP="00956384">
      <w:pPr>
        <w:pStyle w:val="NoSpacing"/>
      </w:pPr>
      <w:r>
        <w:t xml:space="preserve">We strongly urge DOER to introduce </w:t>
      </w:r>
      <w:r w:rsidR="000513A3">
        <w:t xml:space="preserve">a </w:t>
      </w:r>
      <w:r>
        <w:t>mechanism</w:t>
      </w:r>
      <w:r w:rsidR="00C024B5">
        <w:t>, such as the one recently developed by the DOER for the Clean Peak Energy Standard,</w:t>
      </w:r>
      <w:r>
        <w:t xml:space="preserve"> that will ensure a price that will </w:t>
      </w:r>
      <w:r w:rsidR="000513A3">
        <w:t xml:space="preserve">support those of us </w:t>
      </w:r>
      <w:r w:rsidR="002418A5">
        <w:t xml:space="preserve">who rely </w:t>
      </w:r>
      <w:r w:rsidR="000513A3">
        <w:t>on AECS revenue</w:t>
      </w:r>
      <w:r w:rsidR="002418A5">
        <w:t xml:space="preserve"> to remain competitive and retain jobs.</w:t>
      </w:r>
      <w:r w:rsidR="000513A3">
        <w:t xml:space="preserve"> </w:t>
      </w:r>
    </w:p>
    <w:p w14:paraId="48659DCF" w14:textId="7D63EFAD" w:rsidR="007A6FD3" w:rsidRDefault="007A6FD3" w:rsidP="00956384">
      <w:pPr>
        <w:pStyle w:val="NoSpacing"/>
      </w:pPr>
    </w:p>
    <w:p w14:paraId="7DEECC1C" w14:textId="5C425976" w:rsidR="007A6FD3" w:rsidRDefault="007A6FD3" w:rsidP="00956384">
      <w:pPr>
        <w:pStyle w:val="NoSpacing"/>
      </w:pPr>
      <w:r>
        <w:t>Sincerely Yours,</w:t>
      </w:r>
    </w:p>
    <w:p w14:paraId="35680944" w14:textId="49F038AF" w:rsidR="007A6FD3" w:rsidRDefault="007A6FD3" w:rsidP="00956384">
      <w:pPr>
        <w:pStyle w:val="NoSpacing"/>
      </w:pPr>
      <w:r>
        <w:t>Erving Paper Mills</w:t>
      </w:r>
    </w:p>
    <w:p w14:paraId="1FBB6B31" w14:textId="740BF391" w:rsidR="00DC5316" w:rsidRDefault="00DC5316" w:rsidP="00956384">
      <w:pPr>
        <w:pStyle w:val="NoSpacing"/>
      </w:pPr>
    </w:p>
    <w:p w14:paraId="098BE76F" w14:textId="6EF1DFDE" w:rsidR="00DC5316" w:rsidRDefault="00DC5316" w:rsidP="00956384">
      <w:pPr>
        <w:pStyle w:val="NoSpacing"/>
      </w:pPr>
      <w:r>
        <w:rPr>
          <w:noProof/>
        </w:rPr>
        <w:drawing>
          <wp:inline distT="0" distB="0" distL="0" distR="0" wp14:anchorId="50264933" wp14:editId="17F2610B">
            <wp:extent cx="1965686" cy="33897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994" cy="39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3C0C2" w14:textId="1F469637" w:rsidR="007A6FD3" w:rsidRDefault="007A6FD3" w:rsidP="00956384">
      <w:pPr>
        <w:pStyle w:val="NoSpacing"/>
      </w:pPr>
    </w:p>
    <w:p w14:paraId="30B9B18E" w14:textId="25EDD0AB" w:rsidR="007A6FD3" w:rsidRDefault="007A6FD3" w:rsidP="00956384">
      <w:pPr>
        <w:pStyle w:val="NoSpacing"/>
      </w:pPr>
      <w:r>
        <w:t>Morris Housen</w:t>
      </w:r>
    </w:p>
    <w:p w14:paraId="2F6AEDDD" w14:textId="6E9B1D7E" w:rsidR="007A6FD3" w:rsidRDefault="007A6FD3" w:rsidP="00956384">
      <w:pPr>
        <w:pStyle w:val="NoSpacing"/>
      </w:pPr>
      <w:r>
        <w:t>Chairman of the Board</w:t>
      </w:r>
    </w:p>
    <w:sectPr w:rsidR="007A6FD3" w:rsidSect="00CB21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6340"/>
      <w:pgMar w:top="1867" w:right="934" w:bottom="1428" w:left="122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659E2" w14:textId="77777777" w:rsidR="00505196" w:rsidRDefault="00505196" w:rsidP="00CD4113">
      <w:pPr>
        <w:spacing w:after="0" w:line="240" w:lineRule="auto"/>
      </w:pPr>
      <w:r>
        <w:separator/>
      </w:r>
    </w:p>
  </w:endnote>
  <w:endnote w:type="continuationSeparator" w:id="0">
    <w:p w14:paraId="16EEDC5A" w14:textId="77777777" w:rsidR="00505196" w:rsidRDefault="00505196" w:rsidP="00CD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F60B6" w14:textId="77777777" w:rsidR="00CD4113" w:rsidRDefault="00CD4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22470" w14:textId="77777777" w:rsidR="00CD4113" w:rsidRDefault="00CD41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E7995" w14:textId="77777777" w:rsidR="00CD4113" w:rsidRDefault="00CD4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2F492" w14:textId="77777777" w:rsidR="00505196" w:rsidRDefault="00505196" w:rsidP="00CD4113">
      <w:pPr>
        <w:spacing w:after="0" w:line="240" w:lineRule="auto"/>
      </w:pPr>
      <w:r>
        <w:separator/>
      </w:r>
    </w:p>
  </w:footnote>
  <w:footnote w:type="continuationSeparator" w:id="0">
    <w:p w14:paraId="115AF0A6" w14:textId="77777777" w:rsidR="00505196" w:rsidRDefault="00505196" w:rsidP="00CD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3F3A2" w14:textId="77777777" w:rsidR="00CD4113" w:rsidRDefault="00CD4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D7323" w14:textId="39EC86E9" w:rsidR="00CD4113" w:rsidRDefault="00CD41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B2EBE" w14:textId="77777777" w:rsidR="00CD4113" w:rsidRDefault="00CD4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BE6DE0"/>
    <w:multiLevelType w:val="multilevel"/>
    <w:tmpl w:val="FAB45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83E"/>
    <w:rsid w:val="00027BF4"/>
    <w:rsid w:val="000348BA"/>
    <w:rsid w:val="0004603B"/>
    <w:rsid w:val="000513A3"/>
    <w:rsid w:val="000A5F8D"/>
    <w:rsid w:val="000C3F8B"/>
    <w:rsid w:val="000E2C5F"/>
    <w:rsid w:val="000F0D9E"/>
    <w:rsid w:val="00122564"/>
    <w:rsid w:val="00177415"/>
    <w:rsid w:val="001835C6"/>
    <w:rsid w:val="001B1856"/>
    <w:rsid w:val="00207C07"/>
    <w:rsid w:val="002168D1"/>
    <w:rsid w:val="002418A5"/>
    <w:rsid w:val="002518E6"/>
    <w:rsid w:val="002636C5"/>
    <w:rsid w:val="002812AE"/>
    <w:rsid w:val="002912EC"/>
    <w:rsid w:val="003909D9"/>
    <w:rsid w:val="00391884"/>
    <w:rsid w:val="003D437C"/>
    <w:rsid w:val="00432A4E"/>
    <w:rsid w:val="00442702"/>
    <w:rsid w:val="004E35AE"/>
    <w:rsid w:val="00505196"/>
    <w:rsid w:val="0052415B"/>
    <w:rsid w:val="00542C33"/>
    <w:rsid w:val="00557B03"/>
    <w:rsid w:val="005675C5"/>
    <w:rsid w:val="00571991"/>
    <w:rsid w:val="005B377A"/>
    <w:rsid w:val="005C1427"/>
    <w:rsid w:val="005F3C54"/>
    <w:rsid w:val="006161BC"/>
    <w:rsid w:val="00620143"/>
    <w:rsid w:val="00662750"/>
    <w:rsid w:val="0069342C"/>
    <w:rsid w:val="0069446B"/>
    <w:rsid w:val="006A1550"/>
    <w:rsid w:val="006B1AB9"/>
    <w:rsid w:val="006E7EDB"/>
    <w:rsid w:val="0077419A"/>
    <w:rsid w:val="007905D2"/>
    <w:rsid w:val="007A6FD3"/>
    <w:rsid w:val="007C7742"/>
    <w:rsid w:val="007D358E"/>
    <w:rsid w:val="0084221D"/>
    <w:rsid w:val="00851E9B"/>
    <w:rsid w:val="009059EA"/>
    <w:rsid w:val="009337BE"/>
    <w:rsid w:val="00956384"/>
    <w:rsid w:val="00991372"/>
    <w:rsid w:val="00A1475A"/>
    <w:rsid w:val="00A2283E"/>
    <w:rsid w:val="00A32EAB"/>
    <w:rsid w:val="00A4484E"/>
    <w:rsid w:val="00A7196F"/>
    <w:rsid w:val="00A72A78"/>
    <w:rsid w:val="00A75D83"/>
    <w:rsid w:val="00B87852"/>
    <w:rsid w:val="00BA2ABA"/>
    <w:rsid w:val="00C024B5"/>
    <w:rsid w:val="00C54550"/>
    <w:rsid w:val="00C67CA2"/>
    <w:rsid w:val="00CD3363"/>
    <w:rsid w:val="00CD4113"/>
    <w:rsid w:val="00CE4D49"/>
    <w:rsid w:val="00CE502A"/>
    <w:rsid w:val="00D11E33"/>
    <w:rsid w:val="00D1265F"/>
    <w:rsid w:val="00D1498F"/>
    <w:rsid w:val="00DC5316"/>
    <w:rsid w:val="00DD1BB5"/>
    <w:rsid w:val="00DF24A1"/>
    <w:rsid w:val="00E11C1C"/>
    <w:rsid w:val="00E138BB"/>
    <w:rsid w:val="00E61415"/>
    <w:rsid w:val="00E74A6C"/>
    <w:rsid w:val="00E97666"/>
    <w:rsid w:val="00EB11F6"/>
    <w:rsid w:val="00ED070F"/>
    <w:rsid w:val="00F93F21"/>
    <w:rsid w:val="00FA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A4DAC"/>
  <w15:chartTrackingRefBased/>
  <w15:docId w15:val="{B349C059-AA0A-41F0-95F0-AC4B27DF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3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2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2283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4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113"/>
  </w:style>
  <w:style w:type="paragraph" w:styleId="Footer">
    <w:name w:val="footer"/>
    <w:basedOn w:val="Normal"/>
    <w:link w:val="FooterChar"/>
    <w:uiPriority w:val="99"/>
    <w:unhideWhenUsed/>
    <w:rsid w:val="00CD4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113"/>
  </w:style>
  <w:style w:type="paragraph" w:styleId="ListParagraph">
    <w:name w:val="List Paragraph"/>
    <w:basedOn w:val="Normal"/>
    <w:uiPriority w:val="34"/>
    <w:qFormat/>
    <w:rsid w:val="00DF24A1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9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1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E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E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70937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2782D-D7F1-4AE6-86B9-6F9519AA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Mosher</dc:creator>
  <cp:keywords/>
  <dc:description/>
  <cp:lastModifiedBy>Morris Housen</cp:lastModifiedBy>
  <cp:revision>4</cp:revision>
  <dcterms:created xsi:type="dcterms:W3CDTF">2020-12-03T22:13:00Z</dcterms:created>
  <dcterms:modified xsi:type="dcterms:W3CDTF">2020-12-04T15:43:00Z</dcterms:modified>
</cp:coreProperties>
</file>