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DF4FE" w14:textId="77777777" w:rsidR="00D85F76" w:rsidRPr="00D85F76" w:rsidRDefault="00D85F76" w:rsidP="00D85F76">
      <w:pPr>
        <w:pStyle w:val="NoSpacing"/>
        <w:rPr>
          <w:rFonts w:asciiTheme="majorHAnsi" w:hAnsiTheme="majorHAnsi" w:cs="Arial"/>
          <w:b/>
          <w:sz w:val="24"/>
          <w:szCs w:val="24"/>
          <w:u w:val="single"/>
        </w:rPr>
      </w:pPr>
      <w:r w:rsidRPr="00D85F76">
        <w:rPr>
          <w:rFonts w:asciiTheme="majorHAnsi" w:hAnsiTheme="majorHAnsi" w:cs="Arial"/>
          <w:b/>
          <w:sz w:val="24"/>
          <w:szCs w:val="24"/>
          <w:u w:val="single"/>
        </w:rPr>
        <w:t>State Legislative Members</w:t>
      </w:r>
    </w:p>
    <w:p w14:paraId="365C7A08"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Senator Joan Lovely,</w:t>
      </w:r>
      <w:r w:rsidRPr="00D85F76">
        <w:rPr>
          <w:rFonts w:asciiTheme="majorHAnsi" w:hAnsiTheme="majorHAnsi"/>
          <w:sz w:val="24"/>
          <w:szCs w:val="24"/>
        </w:rPr>
        <w:t xml:space="preserve"> </w:t>
      </w:r>
      <w:r w:rsidRPr="00D85F76">
        <w:rPr>
          <w:rFonts w:asciiTheme="majorHAnsi" w:hAnsiTheme="majorHAnsi" w:cs="Arial"/>
          <w:sz w:val="24"/>
          <w:szCs w:val="24"/>
        </w:rPr>
        <w:t>Second Essex-Beverly, Peabody, Salem, Danvers and Topsfield</w:t>
      </w:r>
    </w:p>
    <w:p w14:paraId="14C262DF" w14:textId="77777777" w:rsidR="00D85F76" w:rsidRPr="00D85F76" w:rsidRDefault="00D85F76" w:rsidP="00D85F76">
      <w:pPr>
        <w:pStyle w:val="NoSpacing"/>
        <w:rPr>
          <w:rFonts w:asciiTheme="majorHAnsi" w:hAnsiTheme="majorHAnsi" w:cs="Arial"/>
          <w:sz w:val="24"/>
          <w:szCs w:val="24"/>
        </w:rPr>
      </w:pPr>
    </w:p>
    <w:p w14:paraId="0057AFF3"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Senator Ryan Fattman, Worcester &amp; Norfolk - Blackstone, Douglas, Dudley, Hopedale, Mendon, Milford, Millville, Northbridge, Oxford, Southbridge, Sutton, Uxbridge, Webster and Bellingham.</w:t>
      </w:r>
    </w:p>
    <w:p w14:paraId="3F05B3D3" w14:textId="77777777" w:rsidR="00D85F76" w:rsidRPr="00D85F76" w:rsidRDefault="00D85F76" w:rsidP="00D85F76">
      <w:pPr>
        <w:pStyle w:val="NoSpacing"/>
        <w:rPr>
          <w:rFonts w:asciiTheme="majorHAnsi" w:hAnsiTheme="majorHAnsi" w:cs="Arial"/>
          <w:sz w:val="24"/>
          <w:szCs w:val="24"/>
        </w:rPr>
      </w:pPr>
    </w:p>
    <w:p w14:paraId="58D0887C"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Representative Christine P. Barber, Medford &amp; Somerville</w:t>
      </w:r>
    </w:p>
    <w:p w14:paraId="5310D550" w14:textId="77777777" w:rsidR="00D85F76" w:rsidRPr="00D85F76" w:rsidRDefault="00D85F76" w:rsidP="00D85F76">
      <w:pPr>
        <w:pStyle w:val="NoSpacing"/>
        <w:rPr>
          <w:rFonts w:asciiTheme="majorHAnsi" w:hAnsiTheme="majorHAnsi" w:cs="Arial"/>
          <w:sz w:val="24"/>
          <w:szCs w:val="24"/>
        </w:rPr>
      </w:pPr>
    </w:p>
    <w:p w14:paraId="47D436DA"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Representative Elizabeth Poirier, North Attleboro</w:t>
      </w:r>
    </w:p>
    <w:p w14:paraId="33492C67" w14:textId="77777777" w:rsidR="00D85F76" w:rsidRPr="00D85F76" w:rsidRDefault="00D85F76" w:rsidP="00D85F76">
      <w:pPr>
        <w:pStyle w:val="NoSpacing"/>
        <w:rPr>
          <w:rFonts w:asciiTheme="majorHAnsi" w:hAnsiTheme="majorHAnsi" w:cs="Arial"/>
          <w:sz w:val="24"/>
          <w:szCs w:val="24"/>
        </w:rPr>
      </w:pPr>
    </w:p>
    <w:p w14:paraId="193931C7" w14:textId="77777777" w:rsidR="00D85F76" w:rsidRPr="00D85F76" w:rsidRDefault="00D85F76" w:rsidP="00D85F76">
      <w:pPr>
        <w:pStyle w:val="NoSpacing"/>
        <w:rPr>
          <w:rFonts w:asciiTheme="majorHAnsi" w:hAnsiTheme="majorHAnsi" w:cs="Arial"/>
          <w:b/>
          <w:sz w:val="24"/>
          <w:szCs w:val="24"/>
          <w:u w:val="single"/>
        </w:rPr>
      </w:pPr>
      <w:r w:rsidRPr="00D85F76">
        <w:rPr>
          <w:rFonts w:asciiTheme="majorHAnsi" w:hAnsiTheme="majorHAnsi" w:cs="Arial"/>
          <w:b/>
          <w:sz w:val="24"/>
          <w:szCs w:val="24"/>
          <w:u w:val="single"/>
        </w:rPr>
        <w:t>State Agency Members and Designees</w:t>
      </w:r>
    </w:p>
    <w:p w14:paraId="42376846" w14:textId="77777777" w:rsidR="00D85F76" w:rsidRPr="00D85F76" w:rsidRDefault="00D85F76" w:rsidP="00D85F76">
      <w:pPr>
        <w:pStyle w:val="NoSpacing"/>
        <w:rPr>
          <w:rFonts w:asciiTheme="majorHAnsi" w:hAnsiTheme="majorHAnsi" w:cs="Arial"/>
          <w:b/>
          <w:sz w:val="24"/>
          <w:szCs w:val="24"/>
          <w:u w:val="single"/>
        </w:rPr>
      </w:pPr>
    </w:p>
    <w:p w14:paraId="62A81C1F"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Marylou Sudders, Secretary of Health and Human Services, Chair</w:t>
      </w:r>
    </w:p>
    <w:p w14:paraId="664BB12B" w14:textId="77777777" w:rsidR="00D85F76" w:rsidRPr="00D85F76" w:rsidRDefault="00D85F76" w:rsidP="00D85F76">
      <w:pPr>
        <w:pStyle w:val="NoSpacing"/>
        <w:rPr>
          <w:rFonts w:asciiTheme="majorHAnsi" w:hAnsiTheme="majorHAnsi" w:cs="Arial"/>
          <w:sz w:val="24"/>
          <w:szCs w:val="24"/>
        </w:rPr>
      </w:pPr>
    </w:p>
    <w:p w14:paraId="00D8ABA5"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Carolyn J. Kain, Executive Director of the Autism Commission</w:t>
      </w:r>
    </w:p>
    <w:p w14:paraId="133D976F" w14:textId="77777777" w:rsidR="00D85F76" w:rsidRPr="00D85F76" w:rsidRDefault="00D85F76" w:rsidP="00D85F76">
      <w:pPr>
        <w:pStyle w:val="NoSpacing"/>
        <w:rPr>
          <w:rFonts w:asciiTheme="majorHAnsi" w:hAnsiTheme="majorHAnsi" w:cs="Arial"/>
          <w:sz w:val="24"/>
          <w:szCs w:val="24"/>
        </w:rPr>
      </w:pPr>
    </w:p>
    <w:p w14:paraId="3CE74389"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 xml:space="preserve">Monica </w:t>
      </w:r>
      <w:proofErr w:type="spellStart"/>
      <w:r w:rsidRPr="00D85F76">
        <w:rPr>
          <w:rFonts w:asciiTheme="majorHAnsi" w:hAnsiTheme="majorHAnsi" w:cs="Arial"/>
          <w:sz w:val="24"/>
          <w:szCs w:val="24"/>
        </w:rPr>
        <w:t>Bharel</w:t>
      </w:r>
      <w:proofErr w:type="spellEnd"/>
      <w:r w:rsidRPr="00D85F76">
        <w:rPr>
          <w:rFonts w:asciiTheme="majorHAnsi" w:hAnsiTheme="majorHAnsi" w:cs="Arial"/>
          <w:sz w:val="24"/>
          <w:szCs w:val="24"/>
        </w:rPr>
        <w:t>, MD, Commissioner of the Department of Public Health</w:t>
      </w:r>
    </w:p>
    <w:p w14:paraId="0F16A551" w14:textId="77777777" w:rsidR="00D85F76" w:rsidRPr="00D85F76" w:rsidRDefault="00D85F76" w:rsidP="00D85F76">
      <w:pPr>
        <w:pStyle w:val="NoSpacing"/>
        <w:rPr>
          <w:rFonts w:asciiTheme="majorHAnsi" w:hAnsiTheme="majorHAnsi" w:cs="Arial"/>
          <w:i/>
          <w:sz w:val="24"/>
          <w:szCs w:val="24"/>
        </w:rPr>
      </w:pPr>
      <w:r w:rsidRPr="00D85F76">
        <w:rPr>
          <w:rFonts w:asciiTheme="majorHAnsi" w:hAnsiTheme="majorHAnsi" w:cs="Arial"/>
          <w:sz w:val="24"/>
          <w:szCs w:val="24"/>
        </w:rPr>
        <w:t xml:space="preserve">Joan Butterfield, Dir. of Specialty Services, Division of Early Intervention, </w:t>
      </w:r>
      <w:r w:rsidRPr="00D85F76">
        <w:rPr>
          <w:rFonts w:asciiTheme="majorHAnsi" w:hAnsiTheme="majorHAnsi" w:cs="Arial"/>
          <w:i/>
          <w:sz w:val="24"/>
          <w:szCs w:val="24"/>
        </w:rPr>
        <w:t>Designee</w:t>
      </w:r>
    </w:p>
    <w:p w14:paraId="72D0DB9B" w14:textId="77777777" w:rsidR="00D85F76" w:rsidRPr="00D85F76" w:rsidRDefault="00D85F76" w:rsidP="00D85F76">
      <w:pPr>
        <w:pStyle w:val="NoSpacing"/>
        <w:rPr>
          <w:rFonts w:asciiTheme="majorHAnsi" w:hAnsiTheme="majorHAnsi" w:cs="Arial"/>
          <w:i/>
          <w:sz w:val="24"/>
          <w:szCs w:val="24"/>
        </w:rPr>
      </w:pPr>
    </w:p>
    <w:p w14:paraId="5185B894"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Jane F. Ryder, Commissioner of Department of Developmental Services</w:t>
      </w:r>
    </w:p>
    <w:p w14:paraId="1206D591" w14:textId="77777777" w:rsidR="00D85F76" w:rsidRPr="00D85F76" w:rsidRDefault="00D85F76" w:rsidP="00D85F76">
      <w:pPr>
        <w:pStyle w:val="NoSpacing"/>
        <w:rPr>
          <w:rFonts w:asciiTheme="majorHAnsi" w:hAnsiTheme="majorHAnsi" w:cs="Arial"/>
          <w:sz w:val="24"/>
          <w:szCs w:val="24"/>
        </w:rPr>
      </w:pPr>
    </w:p>
    <w:p w14:paraId="2B3BE050"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Samantha L. Aigner-Treworgy, Commissioner of the Department of Early Education and Care</w:t>
      </w:r>
    </w:p>
    <w:p w14:paraId="33191F3A" w14:textId="77777777" w:rsidR="00D85F76" w:rsidRPr="00D85F76" w:rsidRDefault="00D85F76" w:rsidP="00D85F76">
      <w:pPr>
        <w:pStyle w:val="NoSpacing"/>
        <w:rPr>
          <w:rFonts w:asciiTheme="majorHAnsi" w:hAnsiTheme="majorHAnsi" w:cs="Arial"/>
          <w:sz w:val="24"/>
          <w:szCs w:val="24"/>
        </w:rPr>
      </w:pPr>
    </w:p>
    <w:p w14:paraId="65CFB674"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James Peyser, Secretary of Education</w:t>
      </w:r>
    </w:p>
    <w:p w14:paraId="6C977DCB" w14:textId="77777777" w:rsidR="00D85F76" w:rsidRPr="00D85F76" w:rsidRDefault="00D85F76" w:rsidP="00D85F76">
      <w:pPr>
        <w:pStyle w:val="NoSpacing"/>
        <w:rPr>
          <w:rFonts w:asciiTheme="majorHAnsi" w:hAnsiTheme="majorHAnsi" w:cs="Arial"/>
          <w:i/>
          <w:sz w:val="24"/>
          <w:szCs w:val="24"/>
        </w:rPr>
      </w:pPr>
      <w:r w:rsidRPr="00D85F76">
        <w:rPr>
          <w:rFonts w:asciiTheme="majorHAnsi" w:hAnsiTheme="majorHAnsi" w:cs="Arial"/>
          <w:sz w:val="24"/>
          <w:szCs w:val="24"/>
        </w:rPr>
        <w:t xml:space="preserve">Ann Reale, Undersecretary and COO for the Secretary of Education, </w:t>
      </w:r>
      <w:r w:rsidRPr="00D85F76">
        <w:rPr>
          <w:rFonts w:asciiTheme="majorHAnsi" w:hAnsiTheme="majorHAnsi" w:cs="Arial"/>
          <w:i/>
          <w:sz w:val="24"/>
          <w:szCs w:val="24"/>
        </w:rPr>
        <w:t>Designee</w:t>
      </w:r>
    </w:p>
    <w:p w14:paraId="0AC1C60B" w14:textId="77777777" w:rsidR="00EB790F" w:rsidRDefault="00EB790F" w:rsidP="00D85F76">
      <w:pPr>
        <w:rPr>
          <w:rFonts w:asciiTheme="majorHAnsi" w:hAnsiTheme="majorHAnsi" w:cs="Arial"/>
          <w:sz w:val="24"/>
          <w:szCs w:val="24"/>
        </w:rPr>
      </w:pPr>
    </w:p>
    <w:p w14:paraId="46D739AF" w14:textId="77777777" w:rsidR="00D85F76" w:rsidRPr="00D85F76" w:rsidRDefault="00D85F76" w:rsidP="00D85F76">
      <w:pPr>
        <w:rPr>
          <w:rFonts w:asciiTheme="majorHAnsi" w:hAnsiTheme="majorHAnsi" w:cs="Arial"/>
          <w:sz w:val="24"/>
          <w:szCs w:val="24"/>
        </w:rPr>
      </w:pPr>
      <w:r w:rsidRPr="00D85F76">
        <w:rPr>
          <w:rFonts w:asciiTheme="majorHAnsi" w:hAnsiTheme="majorHAnsi" w:cs="Arial"/>
          <w:sz w:val="24"/>
          <w:szCs w:val="24"/>
        </w:rPr>
        <w:t>James Vander Hooven, Community Colleges, Representative</w:t>
      </w:r>
    </w:p>
    <w:p w14:paraId="49CCD66D" w14:textId="77777777" w:rsidR="00D85F76" w:rsidRPr="00D85F76" w:rsidRDefault="00EB790F" w:rsidP="00D85F76">
      <w:pPr>
        <w:pStyle w:val="NoSpacing"/>
        <w:rPr>
          <w:rFonts w:asciiTheme="majorHAnsi" w:hAnsiTheme="majorHAnsi" w:cs="Arial"/>
          <w:sz w:val="24"/>
          <w:szCs w:val="24"/>
        </w:rPr>
      </w:pPr>
      <w:r>
        <w:rPr>
          <w:rFonts w:asciiTheme="majorHAnsi" w:hAnsiTheme="majorHAnsi" w:cs="Arial"/>
          <w:sz w:val="24"/>
          <w:szCs w:val="24"/>
        </w:rPr>
        <w:t>Brooke Doyle</w:t>
      </w:r>
      <w:r w:rsidR="00D85F76" w:rsidRPr="00D85F76">
        <w:rPr>
          <w:rFonts w:asciiTheme="majorHAnsi" w:hAnsiTheme="majorHAnsi" w:cs="Arial"/>
          <w:sz w:val="24"/>
          <w:szCs w:val="24"/>
        </w:rPr>
        <w:t>, Commissioner of the Department of Mental Health</w:t>
      </w:r>
    </w:p>
    <w:p w14:paraId="524AE3FF" w14:textId="77777777" w:rsidR="00D85F76" w:rsidRPr="00D85F76" w:rsidRDefault="00D85F76" w:rsidP="00D85F76">
      <w:pPr>
        <w:pStyle w:val="NoSpacing"/>
        <w:rPr>
          <w:rFonts w:asciiTheme="majorHAnsi" w:hAnsiTheme="majorHAnsi" w:cs="Arial"/>
          <w:i/>
          <w:sz w:val="24"/>
          <w:szCs w:val="24"/>
        </w:rPr>
      </w:pPr>
      <w:r w:rsidRPr="00D85F76">
        <w:rPr>
          <w:rFonts w:asciiTheme="majorHAnsi" w:hAnsiTheme="majorHAnsi" w:cs="Arial"/>
          <w:sz w:val="24"/>
          <w:szCs w:val="24"/>
        </w:rPr>
        <w:t xml:space="preserve">Kathy Sanders, M.D., Deputy Commissioner for Clinical &amp; Professional Services, </w:t>
      </w:r>
      <w:r w:rsidRPr="00D85F76">
        <w:rPr>
          <w:rFonts w:asciiTheme="majorHAnsi" w:hAnsiTheme="majorHAnsi" w:cs="Arial"/>
          <w:i/>
          <w:sz w:val="24"/>
          <w:szCs w:val="24"/>
        </w:rPr>
        <w:t>Designee</w:t>
      </w:r>
    </w:p>
    <w:p w14:paraId="1E1983A8" w14:textId="77777777" w:rsidR="00D85F76" w:rsidRPr="00D85F76" w:rsidRDefault="00D85F76" w:rsidP="00D85F76">
      <w:pPr>
        <w:pStyle w:val="NoSpacing"/>
        <w:rPr>
          <w:rFonts w:asciiTheme="majorHAnsi" w:hAnsiTheme="majorHAnsi" w:cs="Arial"/>
          <w:i/>
          <w:sz w:val="24"/>
          <w:szCs w:val="24"/>
        </w:rPr>
      </w:pPr>
    </w:p>
    <w:p w14:paraId="53DC8B96"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Dan Tsai, M.D., Assistant Secretary of MassHealth</w:t>
      </w:r>
    </w:p>
    <w:p w14:paraId="4EE3E53D" w14:textId="77777777" w:rsidR="00D85F76" w:rsidRPr="00D85F76" w:rsidRDefault="00D85F76" w:rsidP="00D85F76">
      <w:pPr>
        <w:pStyle w:val="NoSpacing"/>
        <w:rPr>
          <w:rFonts w:asciiTheme="majorHAnsi" w:hAnsiTheme="majorHAnsi" w:cs="Arial"/>
          <w:i/>
          <w:sz w:val="24"/>
          <w:szCs w:val="24"/>
        </w:rPr>
      </w:pPr>
      <w:r w:rsidRPr="00D85F76">
        <w:rPr>
          <w:rFonts w:asciiTheme="majorHAnsi" w:hAnsiTheme="majorHAnsi" w:cs="Arial"/>
          <w:sz w:val="24"/>
          <w:szCs w:val="24"/>
        </w:rPr>
        <w:t>Kate Ginnis, Senior Dir. of Child, Youth &amp; Family Policy and Programs</w:t>
      </w:r>
      <w:r w:rsidR="00D85F7E" w:rsidRPr="00D85F76">
        <w:rPr>
          <w:rFonts w:asciiTheme="majorHAnsi" w:hAnsiTheme="majorHAnsi" w:cs="Arial"/>
          <w:sz w:val="24"/>
          <w:szCs w:val="24"/>
        </w:rPr>
        <w:t xml:space="preserve">, </w:t>
      </w:r>
      <w:r w:rsidR="00D85F7E" w:rsidRPr="00221A3D">
        <w:rPr>
          <w:rFonts w:asciiTheme="majorHAnsi" w:hAnsiTheme="majorHAnsi" w:cs="Arial"/>
          <w:i/>
          <w:sz w:val="24"/>
          <w:szCs w:val="24"/>
        </w:rPr>
        <w:t>Designee</w:t>
      </w:r>
    </w:p>
    <w:p w14:paraId="17DE36A5" w14:textId="77777777" w:rsidR="00D85F76" w:rsidRPr="00D85F76" w:rsidRDefault="00D85F76" w:rsidP="00D85F76">
      <w:pPr>
        <w:pStyle w:val="NoSpacing"/>
        <w:rPr>
          <w:rFonts w:asciiTheme="majorHAnsi" w:hAnsiTheme="majorHAnsi" w:cs="Arial"/>
          <w:i/>
          <w:sz w:val="24"/>
          <w:szCs w:val="24"/>
        </w:rPr>
      </w:pPr>
    </w:p>
    <w:p w14:paraId="42E3177B"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Linda Spears, Commissioner of the Department of Children and Families</w:t>
      </w:r>
    </w:p>
    <w:p w14:paraId="1D08A4B9" w14:textId="77777777" w:rsidR="00D85F76" w:rsidRPr="00D85F76" w:rsidRDefault="00D85F76" w:rsidP="00D85F76">
      <w:pPr>
        <w:pStyle w:val="NoSpacing"/>
        <w:rPr>
          <w:rFonts w:asciiTheme="majorHAnsi" w:hAnsiTheme="majorHAnsi" w:cs="Arial"/>
          <w:i/>
          <w:sz w:val="24"/>
          <w:szCs w:val="24"/>
        </w:rPr>
      </w:pPr>
      <w:r w:rsidRPr="00D85F76">
        <w:rPr>
          <w:rFonts w:asciiTheme="majorHAnsi" w:hAnsiTheme="majorHAnsi" w:cs="Arial"/>
          <w:sz w:val="24"/>
          <w:szCs w:val="24"/>
        </w:rPr>
        <w:t xml:space="preserve">Katherine Canada, Assistant Commissioner, Services Network, </w:t>
      </w:r>
      <w:r w:rsidRPr="00D85F76">
        <w:rPr>
          <w:rFonts w:asciiTheme="majorHAnsi" w:hAnsiTheme="majorHAnsi" w:cs="Arial"/>
          <w:i/>
          <w:sz w:val="24"/>
          <w:szCs w:val="24"/>
        </w:rPr>
        <w:t>Designee</w:t>
      </w:r>
    </w:p>
    <w:p w14:paraId="6FA41B48" w14:textId="77777777" w:rsidR="00D85F76" w:rsidRPr="00D85F76" w:rsidRDefault="00D85F76" w:rsidP="00D85F76">
      <w:pPr>
        <w:pStyle w:val="NoSpacing"/>
        <w:rPr>
          <w:rFonts w:asciiTheme="majorHAnsi" w:hAnsiTheme="majorHAnsi" w:cs="Arial"/>
          <w:i/>
          <w:sz w:val="24"/>
          <w:szCs w:val="24"/>
        </w:rPr>
      </w:pPr>
    </w:p>
    <w:p w14:paraId="05B77D57"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Jeffrey C. Riley, Commissioner of Elementary and Secondary Education</w:t>
      </w:r>
    </w:p>
    <w:p w14:paraId="6B502089" w14:textId="77777777" w:rsidR="00D85F76" w:rsidRPr="00D85F76" w:rsidRDefault="00D85F76" w:rsidP="00D85F76">
      <w:pPr>
        <w:pStyle w:val="NoSpacing"/>
        <w:rPr>
          <w:rFonts w:asciiTheme="majorHAnsi" w:hAnsiTheme="majorHAnsi" w:cs="Arial"/>
          <w:i/>
          <w:sz w:val="24"/>
          <w:szCs w:val="24"/>
        </w:rPr>
      </w:pPr>
      <w:r w:rsidRPr="00D85F76">
        <w:rPr>
          <w:rFonts w:asciiTheme="majorHAnsi" w:hAnsiTheme="majorHAnsi" w:cs="Arial"/>
          <w:sz w:val="24"/>
          <w:szCs w:val="24"/>
        </w:rPr>
        <w:t xml:space="preserve">Russell Johnston, Sr. Associate Comm. District Support of Elementary &amp; Secondary Education, </w:t>
      </w:r>
      <w:r w:rsidRPr="00D85F76">
        <w:rPr>
          <w:rFonts w:asciiTheme="majorHAnsi" w:hAnsiTheme="majorHAnsi" w:cs="Arial"/>
          <w:i/>
          <w:sz w:val="24"/>
          <w:szCs w:val="24"/>
        </w:rPr>
        <w:t>Designee</w:t>
      </w:r>
    </w:p>
    <w:p w14:paraId="7BFD0EDE" w14:textId="77777777" w:rsidR="00D85F76" w:rsidRPr="00D85F76" w:rsidRDefault="00D85F76" w:rsidP="00D85F76">
      <w:pPr>
        <w:pStyle w:val="NoSpacing"/>
        <w:rPr>
          <w:rFonts w:asciiTheme="majorHAnsi" w:hAnsiTheme="majorHAnsi" w:cs="Arial"/>
          <w:i/>
          <w:sz w:val="24"/>
          <w:szCs w:val="24"/>
        </w:rPr>
      </w:pPr>
    </w:p>
    <w:p w14:paraId="36305874"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J</w:t>
      </w:r>
      <w:r w:rsidR="00221A3D">
        <w:rPr>
          <w:rFonts w:asciiTheme="majorHAnsi" w:hAnsiTheme="majorHAnsi" w:cs="Arial"/>
          <w:sz w:val="24"/>
          <w:szCs w:val="24"/>
        </w:rPr>
        <w:t>ennifer Maddox</w:t>
      </w:r>
      <w:r w:rsidRPr="00D85F76">
        <w:rPr>
          <w:rFonts w:asciiTheme="majorHAnsi" w:hAnsiTheme="majorHAnsi" w:cs="Arial"/>
          <w:sz w:val="24"/>
          <w:szCs w:val="24"/>
        </w:rPr>
        <w:t>, Undersecretary, Department of Housing and Community Development</w:t>
      </w:r>
    </w:p>
    <w:p w14:paraId="77BE3314" w14:textId="77777777" w:rsidR="00D85F76" w:rsidRPr="00D85F76" w:rsidRDefault="00D85F76" w:rsidP="00D85F76">
      <w:pPr>
        <w:pStyle w:val="NoSpacing"/>
        <w:rPr>
          <w:rFonts w:asciiTheme="majorHAnsi" w:hAnsiTheme="majorHAnsi" w:cs="Arial"/>
          <w:i/>
          <w:sz w:val="24"/>
          <w:szCs w:val="24"/>
        </w:rPr>
      </w:pPr>
      <w:r w:rsidRPr="00D85F76">
        <w:rPr>
          <w:rFonts w:asciiTheme="majorHAnsi" w:hAnsiTheme="majorHAnsi" w:cs="Arial"/>
          <w:sz w:val="24"/>
          <w:szCs w:val="24"/>
        </w:rPr>
        <w:t xml:space="preserve">Bronia Clifton, </w:t>
      </w:r>
      <w:r w:rsidR="00B41BF5">
        <w:rPr>
          <w:rFonts w:asciiTheme="majorHAnsi" w:hAnsiTheme="majorHAnsi" w:cs="Arial"/>
          <w:sz w:val="24"/>
          <w:szCs w:val="24"/>
        </w:rPr>
        <w:t xml:space="preserve">DHCD </w:t>
      </w:r>
      <w:r w:rsidRPr="00D85F76">
        <w:rPr>
          <w:rFonts w:asciiTheme="majorHAnsi" w:hAnsiTheme="majorHAnsi" w:cs="Arial"/>
          <w:sz w:val="24"/>
          <w:szCs w:val="24"/>
        </w:rPr>
        <w:t xml:space="preserve">Supportive Housing and Special Projects Manager, </w:t>
      </w:r>
      <w:r w:rsidRPr="00D85F76">
        <w:rPr>
          <w:rFonts w:asciiTheme="majorHAnsi" w:hAnsiTheme="majorHAnsi" w:cs="Arial"/>
          <w:i/>
          <w:sz w:val="24"/>
          <w:szCs w:val="24"/>
        </w:rPr>
        <w:t>Designee</w:t>
      </w:r>
    </w:p>
    <w:p w14:paraId="56BA7768" w14:textId="77777777" w:rsidR="00D85F76" w:rsidRPr="00D85F76" w:rsidRDefault="00D85F76" w:rsidP="00D85F76">
      <w:pPr>
        <w:pStyle w:val="NoSpacing"/>
        <w:rPr>
          <w:rFonts w:asciiTheme="majorHAnsi" w:hAnsiTheme="majorHAnsi" w:cs="Arial"/>
          <w:i/>
          <w:sz w:val="24"/>
          <w:szCs w:val="24"/>
        </w:rPr>
      </w:pPr>
    </w:p>
    <w:p w14:paraId="4A83B569"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Toni Wolf, Commissioner of the Massachusetts Rehabilitation Commission</w:t>
      </w:r>
    </w:p>
    <w:p w14:paraId="39D354D0" w14:textId="77777777" w:rsidR="00D85F76" w:rsidRPr="00D85F76" w:rsidRDefault="00D85F76" w:rsidP="00D85F76">
      <w:pPr>
        <w:pStyle w:val="NoSpacing"/>
        <w:rPr>
          <w:rFonts w:asciiTheme="majorHAnsi" w:hAnsiTheme="majorHAnsi" w:cs="Arial"/>
          <w:sz w:val="24"/>
          <w:szCs w:val="24"/>
        </w:rPr>
      </w:pPr>
    </w:p>
    <w:p w14:paraId="7B6976F7"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Carlos Santiago, Commissioner of Higher Education</w:t>
      </w:r>
    </w:p>
    <w:p w14:paraId="1805E5E8" w14:textId="77777777" w:rsidR="00D85F76" w:rsidRPr="00D85F76" w:rsidRDefault="00B41BF5" w:rsidP="00D85F76">
      <w:pPr>
        <w:pStyle w:val="NoSpacing"/>
        <w:rPr>
          <w:rFonts w:asciiTheme="majorHAnsi" w:hAnsiTheme="majorHAnsi" w:cs="Arial"/>
          <w:i/>
          <w:sz w:val="24"/>
          <w:szCs w:val="24"/>
        </w:rPr>
      </w:pPr>
      <w:r>
        <w:rPr>
          <w:rFonts w:asciiTheme="majorHAnsi" w:hAnsiTheme="majorHAnsi" w:cs="Arial"/>
          <w:sz w:val="24"/>
          <w:szCs w:val="24"/>
        </w:rPr>
        <w:t>Mary Price</w:t>
      </w:r>
      <w:r w:rsidR="00D85F76" w:rsidRPr="00D85F76">
        <w:rPr>
          <w:rFonts w:asciiTheme="majorHAnsi" w:hAnsiTheme="majorHAnsi" w:cs="Arial"/>
          <w:sz w:val="24"/>
          <w:szCs w:val="24"/>
        </w:rPr>
        <w:t xml:space="preserve">, Coordinator, Department of Higher Education, </w:t>
      </w:r>
      <w:r w:rsidR="00D85F76" w:rsidRPr="00D85F76">
        <w:rPr>
          <w:rFonts w:asciiTheme="majorHAnsi" w:hAnsiTheme="majorHAnsi" w:cs="Arial"/>
          <w:i/>
          <w:sz w:val="24"/>
          <w:szCs w:val="24"/>
        </w:rPr>
        <w:t>Designee</w:t>
      </w:r>
    </w:p>
    <w:p w14:paraId="3551B8A5" w14:textId="77777777" w:rsidR="00D85F76" w:rsidRPr="00D85F76" w:rsidRDefault="00D85F76" w:rsidP="00D85F76">
      <w:pPr>
        <w:pStyle w:val="NoSpacing"/>
        <w:rPr>
          <w:rFonts w:asciiTheme="majorHAnsi" w:hAnsiTheme="majorHAnsi" w:cs="Arial"/>
          <w:i/>
          <w:sz w:val="24"/>
          <w:szCs w:val="24"/>
        </w:rPr>
      </w:pPr>
    </w:p>
    <w:p w14:paraId="1B2550BC"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Elizabeth Chen, Secretary of the Massachusetts Executive Office of Elder Affairs</w:t>
      </w:r>
    </w:p>
    <w:p w14:paraId="0196F805" w14:textId="77777777" w:rsidR="00D85F76" w:rsidRPr="00D85F76" w:rsidRDefault="00D85F76" w:rsidP="00D85F76">
      <w:pPr>
        <w:pStyle w:val="NoSpacing"/>
        <w:rPr>
          <w:rFonts w:asciiTheme="majorHAnsi" w:hAnsiTheme="majorHAnsi" w:cs="Arial"/>
          <w:i/>
          <w:sz w:val="24"/>
          <w:szCs w:val="24"/>
        </w:rPr>
      </w:pPr>
      <w:r w:rsidRPr="00D85F76">
        <w:rPr>
          <w:rFonts w:asciiTheme="majorHAnsi" w:hAnsiTheme="majorHAnsi" w:cs="Arial"/>
          <w:sz w:val="24"/>
          <w:szCs w:val="24"/>
        </w:rPr>
        <w:t>Kathryn Down</w:t>
      </w:r>
      <w:r w:rsidR="00E50C97">
        <w:rPr>
          <w:rFonts w:asciiTheme="majorHAnsi" w:hAnsiTheme="majorHAnsi" w:cs="Arial"/>
          <w:sz w:val="24"/>
          <w:szCs w:val="24"/>
        </w:rPr>
        <w:t>e</w:t>
      </w:r>
      <w:r w:rsidRPr="00D85F76">
        <w:rPr>
          <w:rFonts w:asciiTheme="majorHAnsi" w:hAnsiTheme="majorHAnsi" w:cs="Arial"/>
          <w:sz w:val="24"/>
          <w:szCs w:val="24"/>
        </w:rPr>
        <w:t xml:space="preserve">s, Program and Policy Manager, </w:t>
      </w:r>
      <w:r w:rsidRPr="00D85F76">
        <w:rPr>
          <w:rFonts w:asciiTheme="majorHAnsi" w:hAnsiTheme="majorHAnsi" w:cs="Arial"/>
          <w:i/>
          <w:sz w:val="24"/>
          <w:szCs w:val="24"/>
        </w:rPr>
        <w:t>Designee</w:t>
      </w:r>
    </w:p>
    <w:p w14:paraId="17B58261" w14:textId="77777777" w:rsidR="00D85F76" w:rsidRPr="00D85F76" w:rsidRDefault="00D85F76" w:rsidP="00D85F76">
      <w:pPr>
        <w:pStyle w:val="NoSpacing"/>
        <w:rPr>
          <w:rFonts w:asciiTheme="majorHAnsi" w:hAnsiTheme="majorHAnsi" w:cs="Arial"/>
          <w:i/>
          <w:sz w:val="24"/>
          <w:szCs w:val="24"/>
        </w:rPr>
      </w:pPr>
    </w:p>
    <w:p w14:paraId="29577D50"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Elizabeth Morse, Deputy Commissioner Department of Development Services</w:t>
      </w:r>
    </w:p>
    <w:p w14:paraId="1C6F1C47" w14:textId="77777777" w:rsidR="00D85F76" w:rsidRPr="00D85F76" w:rsidRDefault="00D85F76" w:rsidP="00D85F76">
      <w:pPr>
        <w:pStyle w:val="NoSpacing"/>
        <w:rPr>
          <w:rFonts w:asciiTheme="majorHAnsi" w:hAnsiTheme="majorHAnsi" w:cs="Arial"/>
          <w:sz w:val="24"/>
          <w:szCs w:val="24"/>
        </w:rPr>
      </w:pPr>
    </w:p>
    <w:p w14:paraId="6D9C8015" w14:textId="77777777" w:rsidR="00D85F76" w:rsidRPr="00D85F76" w:rsidRDefault="00D85F76" w:rsidP="00D85F76">
      <w:pPr>
        <w:pStyle w:val="NoSpacing"/>
        <w:rPr>
          <w:rFonts w:asciiTheme="majorHAnsi" w:hAnsiTheme="majorHAnsi" w:cs="Arial"/>
          <w:sz w:val="24"/>
          <w:szCs w:val="24"/>
        </w:rPr>
      </w:pPr>
      <w:r w:rsidRPr="00D85F76">
        <w:rPr>
          <w:rFonts w:asciiTheme="majorHAnsi" w:hAnsiTheme="majorHAnsi" w:cs="Arial"/>
          <w:sz w:val="24"/>
          <w:szCs w:val="24"/>
        </w:rPr>
        <w:t>Janet George, Ed. D., Representative with Clinical knowledge of Smith-</w:t>
      </w:r>
      <w:proofErr w:type="spellStart"/>
      <w:r w:rsidRPr="00D85F76">
        <w:rPr>
          <w:rFonts w:asciiTheme="majorHAnsi" w:hAnsiTheme="majorHAnsi" w:cs="Arial"/>
          <w:sz w:val="24"/>
          <w:szCs w:val="24"/>
        </w:rPr>
        <w:t>Magenis</w:t>
      </w:r>
      <w:proofErr w:type="spellEnd"/>
      <w:r w:rsidRPr="00D85F76">
        <w:rPr>
          <w:rFonts w:asciiTheme="majorHAnsi" w:hAnsiTheme="majorHAnsi" w:cs="Arial"/>
          <w:sz w:val="24"/>
          <w:szCs w:val="24"/>
        </w:rPr>
        <w:t xml:space="preserve"> Syndrome</w:t>
      </w:r>
    </w:p>
    <w:p w14:paraId="27EA953D" w14:textId="77777777" w:rsidR="00D85F76" w:rsidRPr="00D85F76" w:rsidRDefault="00D85F76" w:rsidP="00D85F76">
      <w:pPr>
        <w:pStyle w:val="NoSpacing"/>
        <w:rPr>
          <w:rFonts w:asciiTheme="majorHAnsi" w:hAnsiTheme="majorHAnsi" w:cs="Arial"/>
          <w:sz w:val="24"/>
          <w:szCs w:val="24"/>
        </w:rPr>
      </w:pPr>
    </w:p>
    <w:p w14:paraId="6D6BFABB" w14:textId="77777777" w:rsidR="00D85F76" w:rsidRPr="00D85F76" w:rsidRDefault="00D85F76" w:rsidP="00D85F76">
      <w:pPr>
        <w:pStyle w:val="NoSpacing"/>
        <w:rPr>
          <w:rFonts w:asciiTheme="majorHAnsi" w:hAnsiTheme="majorHAnsi" w:cs="Arial"/>
          <w:sz w:val="24"/>
          <w:szCs w:val="24"/>
        </w:rPr>
      </w:pPr>
      <w:proofErr w:type="spellStart"/>
      <w:r w:rsidRPr="00D85F76">
        <w:rPr>
          <w:rFonts w:asciiTheme="majorHAnsi" w:hAnsiTheme="majorHAnsi" w:cs="Arial"/>
          <w:sz w:val="24"/>
          <w:szCs w:val="24"/>
        </w:rPr>
        <w:t>Rosalin</w:t>
      </w:r>
      <w:proofErr w:type="spellEnd"/>
      <w:r w:rsidRPr="00D85F76">
        <w:rPr>
          <w:rFonts w:asciiTheme="majorHAnsi" w:hAnsiTheme="majorHAnsi" w:cs="Arial"/>
          <w:sz w:val="24"/>
          <w:szCs w:val="24"/>
        </w:rPr>
        <w:t xml:space="preserve"> Acosta, Secretary of Labor and Workforce Development</w:t>
      </w:r>
    </w:p>
    <w:p w14:paraId="627ED344" w14:textId="77777777" w:rsidR="00D85F76" w:rsidRPr="00D85F76" w:rsidRDefault="00D85F76" w:rsidP="00D85F76">
      <w:pPr>
        <w:pStyle w:val="NoSpacing"/>
        <w:rPr>
          <w:rFonts w:asciiTheme="majorHAnsi" w:hAnsiTheme="majorHAnsi" w:cs="Arial"/>
          <w:i/>
          <w:sz w:val="24"/>
          <w:szCs w:val="24"/>
        </w:rPr>
      </w:pPr>
      <w:r w:rsidRPr="00D85F76">
        <w:rPr>
          <w:rFonts w:asciiTheme="majorHAnsi" w:hAnsiTheme="majorHAnsi" w:cs="Arial"/>
          <w:sz w:val="24"/>
          <w:szCs w:val="24"/>
        </w:rPr>
        <w:t xml:space="preserve">Sacha Stadhard, Manager, Special Grants and Youth Policy, </w:t>
      </w:r>
      <w:r w:rsidRPr="00D85F76">
        <w:rPr>
          <w:rFonts w:asciiTheme="majorHAnsi" w:hAnsiTheme="majorHAnsi" w:cs="Arial"/>
          <w:i/>
          <w:sz w:val="24"/>
          <w:szCs w:val="24"/>
        </w:rPr>
        <w:t>Designee</w:t>
      </w:r>
    </w:p>
    <w:p w14:paraId="367BB0F2" w14:textId="77777777" w:rsidR="00D85F76" w:rsidRPr="00D85F76" w:rsidRDefault="00D85F76" w:rsidP="00D85F76">
      <w:pPr>
        <w:pStyle w:val="NoSpacing"/>
        <w:rPr>
          <w:rFonts w:asciiTheme="majorHAnsi" w:hAnsiTheme="majorHAnsi" w:cs="Arial"/>
          <w:sz w:val="24"/>
          <w:szCs w:val="24"/>
        </w:rPr>
      </w:pPr>
    </w:p>
    <w:p w14:paraId="423FF434" w14:textId="77777777" w:rsidR="00D85F76" w:rsidRPr="00D85F76" w:rsidRDefault="00D85F76" w:rsidP="00D85F76">
      <w:pPr>
        <w:pStyle w:val="NoSpacing"/>
        <w:rPr>
          <w:rFonts w:asciiTheme="majorHAnsi" w:hAnsiTheme="majorHAnsi" w:cs="Arial"/>
          <w:b/>
          <w:sz w:val="24"/>
          <w:szCs w:val="24"/>
          <w:u w:val="single"/>
        </w:rPr>
      </w:pPr>
      <w:r w:rsidRPr="00D85F76">
        <w:rPr>
          <w:rFonts w:asciiTheme="majorHAnsi" w:hAnsiTheme="majorHAnsi" w:cs="Arial"/>
          <w:b/>
          <w:sz w:val="24"/>
          <w:szCs w:val="24"/>
          <w:u w:val="single"/>
        </w:rPr>
        <w:t>Commission Members</w:t>
      </w:r>
    </w:p>
    <w:p w14:paraId="2A8842E3" w14:textId="77777777" w:rsidR="00D85F76" w:rsidRPr="00D85F76" w:rsidRDefault="00D85F76" w:rsidP="00D85F76">
      <w:pPr>
        <w:pStyle w:val="NoSpacing"/>
        <w:rPr>
          <w:rFonts w:asciiTheme="majorHAnsi" w:hAnsiTheme="majorHAnsi" w:cs="Arial"/>
          <w:b/>
          <w:sz w:val="24"/>
          <w:szCs w:val="24"/>
          <w:u w:val="single"/>
        </w:rPr>
      </w:pPr>
    </w:p>
    <w:p w14:paraId="487AC9B1" w14:textId="0FB67EB6" w:rsidR="00D85F76" w:rsidRPr="00D85F76" w:rsidRDefault="00D85F76" w:rsidP="00D85F76">
      <w:pPr>
        <w:rPr>
          <w:rFonts w:asciiTheme="majorHAnsi" w:hAnsiTheme="majorHAnsi" w:cs="Arial"/>
          <w:sz w:val="24"/>
          <w:szCs w:val="24"/>
        </w:rPr>
      </w:pPr>
      <w:r w:rsidRPr="00D85F76">
        <w:rPr>
          <w:rFonts w:asciiTheme="majorHAnsi" w:hAnsiTheme="majorHAnsi" w:cs="Arial"/>
          <w:sz w:val="24"/>
          <w:szCs w:val="24"/>
        </w:rPr>
        <w:t>Michele Brait, Parent</w:t>
      </w:r>
    </w:p>
    <w:p w14:paraId="2998733A" w14:textId="77777777" w:rsidR="00D85F76" w:rsidRPr="00D85F76" w:rsidRDefault="00D85F76" w:rsidP="00D85F76">
      <w:pPr>
        <w:rPr>
          <w:rFonts w:asciiTheme="majorHAnsi" w:hAnsiTheme="majorHAnsi" w:cs="Arial"/>
          <w:sz w:val="24"/>
          <w:szCs w:val="24"/>
        </w:rPr>
      </w:pPr>
      <w:r w:rsidRPr="00D85F76">
        <w:rPr>
          <w:rFonts w:asciiTheme="majorHAnsi" w:hAnsiTheme="majorHAnsi" w:cs="Arial"/>
          <w:sz w:val="24"/>
          <w:szCs w:val="24"/>
        </w:rPr>
        <w:t>Dan Burke, Arc of Massachusetts Representative</w:t>
      </w:r>
    </w:p>
    <w:p w14:paraId="58894F6F" w14:textId="77777777" w:rsidR="00D85F76" w:rsidRDefault="00D85F76" w:rsidP="00D85F76">
      <w:pPr>
        <w:rPr>
          <w:rFonts w:asciiTheme="majorHAnsi" w:hAnsiTheme="majorHAnsi" w:cs="Arial"/>
          <w:sz w:val="24"/>
          <w:szCs w:val="24"/>
        </w:rPr>
      </w:pPr>
      <w:r w:rsidRPr="00D85F76">
        <w:rPr>
          <w:rFonts w:asciiTheme="majorHAnsi" w:hAnsiTheme="majorHAnsi" w:cs="Arial"/>
          <w:sz w:val="24"/>
          <w:szCs w:val="24"/>
        </w:rPr>
        <w:t>Rocio Calvo, Ph.D., Boston College School of Social Work</w:t>
      </w:r>
    </w:p>
    <w:p w14:paraId="26B94D96" w14:textId="77777777" w:rsidR="00EB790F" w:rsidRPr="00D85F76" w:rsidRDefault="00EB790F" w:rsidP="00D85F76">
      <w:pPr>
        <w:rPr>
          <w:rFonts w:asciiTheme="majorHAnsi" w:hAnsiTheme="majorHAnsi" w:cs="Arial"/>
          <w:i/>
          <w:sz w:val="24"/>
          <w:szCs w:val="24"/>
        </w:rPr>
      </w:pPr>
      <w:r>
        <w:rPr>
          <w:rFonts w:asciiTheme="majorHAnsi" w:hAnsiTheme="majorHAnsi" w:cs="Arial"/>
          <w:sz w:val="24"/>
          <w:szCs w:val="24"/>
        </w:rPr>
        <w:t>Felix N. Martinez, Ph. D., Parent</w:t>
      </w:r>
    </w:p>
    <w:p w14:paraId="2DE23B6D" w14:textId="77777777" w:rsidR="00D85F76" w:rsidRPr="00D85F76" w:rsidRDefault="00D85F76" w:rsidP="00D85F76">
      <w:pPr>
        <w:rPr>
          <w:rFonts w:asciiTheme="majorHAnsi" w:hAnsiTheme="majorHAnsi" w:cs="Arial"/>
          <w:sz w:val="24"/>
          <w:szCs w:val="24"/>
        </w:rPr>
      </w:pPr>
      <w:r w:rsidRPr="00D85F76">
        <w:rPr>
          <w:rFonts w:asciiTheme="majorHAnsi" w:hAnsiTheme="majorHAnsi" w:cs="Arial"/>
          <w:sz w:val="24"/>
          <w:szCs w:val="24"/>
        </w:rPr>
        <w:t>Christine Hubbard, AFAM Representative</w:t>
      </w:r>
    </w:p>
    <w:p w14:paraId="5B0E8675" w14:textId="77777777" w:rsidR="00D85F76" w:rsidRPr="00D85F76" w:rsidRDefault="00D85F76" w:rsidP="00D85F76">
      <w:pPr>
        <w:rPr>
          <w:rFonts w:asciiTheme="majorHAnsi" w:hAnsiTheme="majorHAnsi" w:cs="Arial"/>
          <w:sz w:val="24"/>
          <w:szCs w:val="24"/>
        </w:rPr>
      </w:pPr>
      <w:r w:rsidRPr="00D85F76">
        <w:rPr>
          <w:rFonts w:asciiTheme="majorHAnsi" w:hAnsiTheme="majorHAnsi" w:cs="Arial"/>
          <w:sz w:val="24"/>
          <w:szCs w:val="24"/>
        </w:rPr>
        <w:t>Dania Jekel, MSW, AANE Representative</w:t>
      </w:r>
    </w:p>
    <w:p w14:paraId="574929BE" w14:textId="77777777" w:rsidR="00D85F76" w:rsidRPr="00D85F76" w:rsidRDefault="00D85F76" w:rsidP="00D85F76">
      <w:pPr>
        <w:rPr>
          <w:rFonts w:asciiTheme="majorHAnsi" w:hAnsiTheme="majorHAnsi" w:cs="Arial"/>
          <w:sz w:val="24"/>
          <w:szCs w:val="24"/>
        </w:rPr>
      </w:pPr>
      <w:r w:rsidRPr="00D85F76">
        <w:rPr>
          <w:rFonts w:asciiTheme="majorHAnsi" w:hAnsiTheme="majorHAnsi" w:cs="Arial"/>
          <w:sz w:val="24"/>
          <w:szCs w:val="24"/>
        </w:rPr>
        <w:t>Julia Landau, Esq., Massachusetts Advocates for Children Representative</w:t>
      </w:r>
    </w:p>
    <w:p w14:paraId="2CD345CD" w14:textId="77777777" w:rsidR="00D85F76" w:rsidRPr="00D85F76" w:rsidRDefault="00D85F76" w:rsidP="00D85F76">
      <w:pPr>
        <w:rPr>
          <w:rFonts w:asciiTheme="majorHAnsi" w:hAnsiTheme="majorHAnsi" w:cs="Arial"/>
          <w:sz w:val="24"/>
          <w:szCs w:val="24"/>
        </w:rPr>
      </w:pPr>
      <w:r w:rsidRPr="00D85F76">
        <w:rPr>
          <w:rFonts w:asciiTheme="majorHAnsi" w:hAnsiTheme="majorHAnsi" w:cs="Arial"/>
          <w:sz w:val="24"/>
          <w:szCs w:val="24"/>
        </w:rPr>
        <w:t xml:space="preserve">Ann M. Neumeyer, M.D., </w:t>
      </w:r>
      <w:r w:rsidR="00B41BF5">
        <w:rPr>
          <w:rFonts w:asciiTheme="majorHAnsi" w:hAnsiTheme="majorHAnsi" w:cs="Arial"/>
          <w:sz w:val="24"/>
          <w:szCs w:val="24"/>
        </w:rPr>
        <w:t xml:space="preserve">Lurie Center </w:t>
      </w:r>
      <w:r w:rsidRPr="00D85F76">
        <w:rPr>
          <w:rFonts w:asciiTheme="majorHAnsi" w:hAnsiTheme="majorHAnsi" w:cs="Arial"/>
          <w:sz w:val="24"/>
          <w:szCs w:val="24"/>
        </w:rPr>
        <w:t>Representative</w:t>
      </w:r>
    </w:p>
    <w:p w14:paraId="402992E7" w14:textId="77777777" w:rsidR="00D85F76" w:rsidRPr="00D85F76" w:rsidRDefault="00D85F76" w:rsidP="00D85F76">
      <w:pPr>
        <w:rPr>
          <w:rFonts w:asciiTheme="majorHAnsi" w:hAnsiTheme="majorHAnsi" w:cs="Arial"/>
          <w:sz w:val="24"/>
          <w:szCs w:val="24"/>
        </w:rPr>
      </w:pPr>
      <w:r w:rsidRPr="00D85F76">
        <w:rPr>
          <w:rFonts w:asciiTheme="majorHAnsi" w:hAnsiTheme="majorHAnsi" w:cs="Arial"/>
          <w:sz w:val="24"/>
          <w:szCs w:val="24"/>
        </w:rPr>
        <w:t xml:space="preserve">Teresa Schirmer, LICSW, Boston College School of Social Work </w:t>
      </w:r>
    </w:p>
    <w:p w14:paraId="15F5820F" w14:textId="77777777" w:rsidR="00D85F76" w:rsidRPr="00D85F76" w:rsidRDefault="00D85F76" w:rsidP="00D85F76">
      <w:pPr>
        <w:rPr>
          <w:rFonts w:asciiTheme="majorHAnsi" w:hAnsiTheme="majorHAnsi" w:cs="Arial"/>
          <w:sz w:val="24"/>
          <w:szCs w:val="24"/>
        </w:rPr>
      </w:pPr>
      <w:r w:rsidRPr="00D85F76">
        <w:rPr>
          <w:rFonts w:asciiTheme="majorHAnsi" w:hAnsiTheme="majorHAnsi" w:cs="Arial"/>
          <w:sz w:val="24"/>
          <w:szCs w:val="24"/>
        </w:rPr>
        <w:t>Jo Ann Simons, Northeast Arc Representative</w:t>
      </w:r>
    </w:p>
    <w:p w14:paraId="068B40A3" w14:textId="77777777" w:rsidR="00D85F76" w:rsidRPr="00D85F76" w:rsidRDefault="00D85F76" w:rsidP="00D85F76">
      <w:pPr>
        <w:rPr>
          <w:rFonts w:asciiTheme="majorHAnsi" w:hAnsiTheme="majorHAnsi" w:cs="Arial"/>
          <w:sz w:val="24"/>
          <w:szCs w:val="24"/>
        </w:rPr>
      </w:pPr>
      <w:r w:rsidRPr="00D85F76">
        <w:rPr>
          <w:rFonts w:asciiTheme="majorHAnsi" w:hAnsiTheme="majorHAnsi" w:cs="Arial"/>
          <w:sz w:val="24"/>
          <w:szCs w:val="24"/>
        </w:rPr>
        <w:t>Vincent Strully, Jr., Chief Executive Officer New England Center for Children</w:t>
      </w:r>
    </w:p>
    <w:p w14:paraId="273B4FC2" w14:textId="77777777" w:rsidR="00D85F76" w:rsidRPr="00D85F76" w:rsidRDefault="00D85F76" w:rsidP="00D85F76">
      <w:pPr>
        <w:rPr>
          <w:rFonts w:asciiTheme="majorHAnsi" w:hAnsiTheme="majorHAnsi" w:cs="Arial"/>
          <w:sz w:val="24"/>
          <w:szCs w:val="24"/>
        </w:rPr>
      </w:pPr>
      <w:r w:rsidRPr="00D85F76">
        <w:rPr>
          <w:rFonts w:asciiTheme="majorHAnsi" w:hAnsiTheme="majorHAnsi" w:cs="Arial"/>
          <w:sz w:val="24"/>
          <w:szCs w:val="24"/>
        </w:rPr>
        <w:t>Judith Ursitti, Autism Speaks Representative</w:t>
      </w:r>
    </w:p>
    <w:p w14:paraId="296F9534" w14:textId="77777777" w:rsidR="00D85F76" w:rsidRPr="00D85F76" w:rsidRDefault="00D85F76" w:rsidP="00D85F76">
      <w:pPr>
        <w:rPr>
          <w:rFonts w:asciiTheme="majorHAnsi" w:hAnsiTheme="majorHAnsi" w:cs="Arial"/>
          <w:sz w:val="24"/>
          <w:szCs w:val="24"/>
        </w:rPr>
      </w:pPr>
      <w:r w:rsidRPr="00D85F76">
        <w:rPr>
          <w:rFonts w:asciiTheme="majorHAnsi" w:hAnsiTheme="majorHAnsi" w:cs="Arial"/>
          <w:sz w:val="24"/>
          <w:szCs w:val="24"/>
        </w:rPr>
        <w:t xml:space="preserve">Amy Weinstock, Autism Insurance Resource Center Representative </w:t>
      </w:r>
    </w:p>
    <w:p w14:paraId="38BBA98F" w14:textId="77777777" w:rsidR="00D85F76" w:rsidRDefault="00D85F76" w:rsidP="00D85F76">
      <w:pPr>
        <w:spacing w:after="0" w:line="240" w:lineRule="auto"/>
        <w:rPr>
          <w:rFonts w:asciiTheme="majorHAnsi" w:hAnsiTheme="majorHAnsi" w:cs="Arial"/>
          <w:sz w:val="24"/>
          <w:szCs w:val="24"/>
        </w:rPr>
      </w:pPr>
    </w:p>
    <w:p w14:paraId="1264993C" w14:textId="77777777" w:rsidR="003731D7" w:rsidRPr="00D85F76" w:rsidRDefault="003731D7" w:rsidP="00D85F76">
      <w:pPr>
        <w:spacing w:after="0" w:line="240" w:lineRule="auto"/>
        <w:rPr>
          <w:rFonts w:asciiTheme="majorHAnsi" w:hAnsiTheme="majorHAnsi" w:cs="Arial"/>
          <w:sz w:val="24"/>
          <w:szCs w:val="24"/>
        </w:rPr>
      </w:pPr>
    </w:p>
    <w:p w14:paraId="385754CF" w14:textId="77777777" w:rsidR="00D85F76" w:rsidRPr="00D85F76" w:rsidRDefault="00D85F76" w:rsidP="00D85F76">
      <w:pPr>
        <w:spacing w:after="0" w:line="240" w:lineRule="auto"/>
        <w:rPr>
          <w:rFonts w:asciiTheme="majorHAnsi" w:hAnsiTheme="majorHAnsi" w:cs="Arial"/>
          <w:sz w:val="24"/>
          <w:szCs w:val="24"/>
        </w:rPr>
      </w:pPr>
    </w:p>
    <w:p w14:paraId="095D6404" w14:textId="77777777" w:rsidR="00D85F76" w:rsidRDefault="00D85F76" w:rsidP="00D85F76">
      <w:pPr>
        <w:spacing w:after="0" w:line="240" w:lineRule="auto"/>
        <w:rPr>
          <w:rFonts w:asciiTheme="majorHAnsi" w:hAnsiTheme="majorHAnsi" w:cs="Arial"/>
          <w:sz w:val="24"/>
          <w:szCs w:val="24"/>
        </w:rPr>
      </w:pPr>
      <w:r>
        <w:rPr>
          <w:rFonts w:asciiTheme="majorHAnsi" w:hAnsiTheme="majorHAnsi" w:cs="Arial"/>
          <w:sz w:val="24"/>
          <w:szCs w:val="24"/>
        </w:rPr>
        <w:lastRenderedPageBreak/>
        <w:t xml:space="preserve">In accordance with Section 217 (c) of Chapter 226 of the Acts of 2014, “the Autism Omnibus Law”, </w:t>
      </w:r>
      <w:r w:rsidRPr="00445F6C">
        <w:rPr>
          <w:rFonts w:asciiTheme="majorHAnsi" w:hAnsiTheme="majorHAnsi" w:cs="Arial"/>
          <w:sz w:val="24"/>
          <w:szCs w:val="24"/>
        </w:rPr>
        <w:t xml:space="preserve">the </w:t>
      </w:r>
      <w:r>
        <w:rPr>
          <w:rFonts w:asciiTheme="majorHAnsi" w:hAnsiTheme="majorHAnsi" w:cs="Arial"/>
          <w:sz w:val="24"/>
          <w:szCs w:val="24"/>
        </w:rPr>
        <w:t>Executive Director submits t</w:t>
      </w:r>
      <w:r w:rsidRPr="00445F6C">
        <w:rPr>
          <w:rFonts w:asciiTheme="majorHAnsi" w:hAnsiTheme="majorHAnsi" w:cs="Arial"/>
          <w:sz w:val="24"/>
          <w:szCs w:val="24"/>
        </w:rPr>
        <w:t xml:space="preserve">his annual report </w:t>
      </w:r>
      <w:r>
        <w:rPr>
          <w:rFonts w:asciiTheme="majorHAnsi" w:hAnsiTheme="majorHAnsi" w:cs="Arial"/>
          <w:sz w:val="24"/>
          <w:szCs w:val="24"/>
        </w:rPr>
        <w:t>on behalf of the Autism Commission to the Governor, the Joint Committee on Children, F</w:t>
      </w:r>
      <w:r w:rsidRPr="00445F6C">
        <w:rPr>
          <w:rFonts w:asciiTheme="majorHAnsi" w:hAnsiTheme="majorHAnsi" w:cs="Arial"/>
          <w:sz w:val="24"/>
          <w:szCs w:val="24"/>
        </w:rPr>
        <w:t>amilies and</w:t>
      </w:r>
      <w:r>
        <w:rPr>
          <w:rFonts w:asciiTheme="majorHAnsi" w:hAnsiTheme="majorHAnsi" w:cs="Arial"/>
          <w:sz w:val="24"/>
          <w:szCs w:val="24"/>
        </w:rPr>
        <w:t xml:space="preserve"> Persons with disabilities, and the Joint Committee on Health Care Financing. </w:t>
      </w:r>
    </w:p>
    <w:p w14:paraId="5ED2A69F" w14:textId="77777777" w:rsidR="00D85F76" w:rsidRDefault="00D85F76" w:rsidP="00D85F76">
      <w:pPr>
        <w:spacing w:after="0" w:line="240" w:lineRule="auto"/>
        <w:rPr>
          <w:rFonts w:asciiTheme="majorHAnsi" w:hAnsiTheme="majorHAnsi" w:cs="Arial"/>
          <w:sz w:val="24"/>
          <w:szCs w:val="24"/>
        </w:rPr>
      </w:pPr>
    </w:p>
    <w:p w14:paraId="524F124E" w14:textId="77777777" w:rsidR="00D85F76" w:rsidRDefault="00D85F76" w:rsidP="00D85F76">
      <w:pPr>
        <w:spacing w:after="0" w:line="240" w:lineRule="auto"/>
        <w:rPr>
          <w:rFonts w:asciiTheme="majorHAnsi" w:hAnsiTheme="majorHAnsi" w:cs="Arial"/>
          <w:sz w:val="24"/>
          <w:szCs w:val="24"/>
        </w:rPr>
      </w:pPr>
      <w:r>
        <w:rPr>
          <w:rFonts w:asciiTheme="majorHAnsi" w:hAnsiTheme="majorHAnsi" w:cs="Arial"/>
          <w:sz w:val="24"/>
          <w:szCs w:val="24"/>
        </w:rPr>
        <w:t xml:space="preserve">The 2014 Autism Omnibus Law established the Autism Commission as a permanent entity, comprised of 35 members including; State Legislators, State Secretariats, State Agencies, Autism advocates and service organizations, and 14 individuals appointed by the Governor.  The Secretary of Health and Human Services is the designated Chair of the Commission. The Commission has six (6) subcommittees, each co-chaired by a state agency member of the Commission and an appointed member of the Commission. The subcommittees are; 1) Birth to 14 years of age; 2) 14-22+/employment; 3) Adults; 4) Healthcare; and 5) Housing.  The subcommittees meet monthly or bi-monthly.  </w:t>
      </w:r>
    </w:p>
    <w:p w14:paraId="3E7E0D6F" w14:textId="77777777" w:rsidR="00D85F76" w:rsidRDefault="00D85F76" w:rsidP="00D85F76">
      <w:pPr>
        <w:spacing w:after="0" w:line="240" w:lineRule="auto"/>
        <w:rPr>
          <w:rFonts w:asciiTheme="majorHAnsi" w:hAnsiTheme="majorHAnsi" w:cs="Arial"/>
          <w:sz w:val="24"/>
          <w:szCs w:val="24"/>
        </w:rPr>
      </w:pPr>
    </w:p>
    <w:p w14:paraId="04D61FAA" w14:textId="77777777" w:rsidR="00D85F76" w:rsidRDefault="00D85F76" w:rsidP="00D85F76">
      <w:pPr>
        <w:spacing w:after="0" w:line="240" w:lineRule="auto"/>
        <w:rPr>
          <w:rFonts w:asciiTheme="majorHAnsi" w:hAnsiTheme="majorHAnsi" w:cs="Arial"/>
          <w:sz w:val="24"/>
          <w:szCs w:val="24"/>
        </w:rPr>
      </w:pPr>
      <w:r>
        <w:rPr>
          <w:rFonts w:asciiTheme="majorHAnsi" w:hAnsiTheme="majorHAnsi" w:cs="Arial"/>
          <w:sz w:val="24"/>
          <w:szCs w:val="24"/>
        </w:rPr>
        <w:t>The Autism Commission is charged with making recommendations on policies impacting individuals with Autism Spectrum Disorders (“ASD”) and Smith-</w:t>
      </w:r>
      <w:proofErr w:type="spellStart"/>
      <w:r>
        <w:rPr>
          <w:rFonts w:asciiTheme="majorHAnsi" w:hAnsiTheme="majorHAnsi" w:cs="Arial"/>
          <w:sz w:val="24"/>
          <w:szCs w:val="24"/>
        </w:rPr>
        <w:t>Magenis</w:t>
      </w:r>
      <w:proofErr w:type="spellEnd"/>
      <w:r>
        <w:rPr>
          <w:rFonts w:asciiTheme="majorHAnsi" w:hAnsiTheme="majorHAnsi" w:cs="Arial"/>
          <w:sz w:val="24"/>
          <w:szCs w:val="24"/>
        </w:rPr>
        <w:t xml:space="preserve"> syndrome.  The Commission is required to investigate the range of services and supports necessary for such individuals to achieve their full potential across their lifespan, including but not limited to, investigating issues related to public education, higher education, job attainment and employment, including supported employment, provision of adult human services, post-secondary education, independent living, community participation, housing, social and recreational opportunities, behavioral services based on best practices to ensure emotional well-being, mental health services and issues related to access for families of children with autism spectrum disorder and adults who are from linguistically and culturally diverse communities. </w:t>
      </w:r>
      <w:r>
        <w:rPr>
          <w:rStyle w:val="FootnoteReference"/>
          <w:rFonts w:asciiTheme="majorHAnsi" w:hAnsiTheme="majorHAnsi" w:cs="Arial"/>
          <w:sz w:val="24"/>
          <w:szCs w:val="24"/>
        </w:rPr>
        <w:footnoteReference w:id="1"/>
      </w:r>
    </w:p>
    <w:p w14:paraId="2589630C" w14:textId="77777777" w:rsidR="00D85F76" w:rsidRDefault="00D85F76" w:rsidP="00D85F76">
      <w:pPr>
        <w:spacing w:after="0" w:line="240" w:lineRule="auto"/>
        <w:rPr>
          <w:rFonts w:asciiTheme="majorHAnsi" w:hAnsiTheme="majorHAnsi" w:cs="Arial"/>
          <w:sz w:val="24"/>
          <w:szCs w:val="24"/>
        </w:rPr>
      </w:pPr>
    </w:p>
    <w:p w14:paraId="22A9963B" w14:textId="77777777" w:rsidR="00D85F76" w:rsidRPr="00132955" w:rsidRDefault="00D85F76" w:rsidP="00D85F76">
      <w:pPr>
        <w:spacing w:after="0" w:line="240" w:lineRule="auto"/>
        <w:rPr>
          <w:rFonts w:asciiTheme="majorHAnsi" w:hAnsiTheme="majorHAnsi" w:cs="Arial"/>
          <w:sz w:val="24"/>
          <w:szCs w:val="24"/>
        </w:rPr>
      </w:pPr>
      <w:r>
        <w:rPr>
          <w:rFonts w:asciiTheme="majorHAnsi" w:hAnsiTheme="majorHAnsi" w:cs="Arial"/>
          <w:sz w:val="24"/>
          <w:szCs w:val="24"/>
        </w:rPr>
        <w:t xml:space="preserve">This report provides updates on services provided to individuals with ASD and the recent recommendations of the Autism Commission established therein.  </w:t>
      </w:r>
    </w:p>
    <w:p w14:paraId="5EF52B3A" w14:textId="77777777" w:rsidR="00D85F76" w:rsidRDefault="00D85F76" w:rsidP="00D85F76">
      <w:pPr>
        <w:spacing w:after="0" w:line="240" w:lineRule="auto"/>
        <w:rPr>
          <w:rFonts w:asciiTheme="majorHAnsi" w:hAnsiTheme="majorHAnsi" w:cs="Arial"/>
          <w:b/>
          <w:i/>
          <w:sz w:val="24"/>
          <w:szCs w:val="24"/>
          <w:u w:val="single"/>
        </w:rPr>
      </w:pPr>
    </w:p>
    <w:p w14:paraId="7E882915" w14:textId="77777777" w:rsidR="00D85F76" w:rsidRPr="00B454B7" w:rsidRDefault="00D85F76" w:rsidP="00D85F76">
      <w:pPr>
        <w:spacing w:after="0" w:line="240" w:lineRule="auto"/>
        <w:rPr>
          <w:rFonts w:asciiTheme="majorHAnsi" w:hAnsiTheme="majorHAnsi" w:cs="Arial"/>
          <w:b/>
          <w:i/>
          <w:sz w:val="24"/>
          <w:szCs w:val="24"/>
          <w:u w:val="single"/>
        </w:rPr>
      </w:pPr>
      <w:r>
        <w:rPr>
          <w:rFonts w:asciiTheme="majorHAnsi" w:hAnsiTheme="majorHAnsi" w:cs="Arial"/>
          <w:b/>
          <w:i/>
          <w:sz w:val="24"/>
          <w:szCs w:val="24"/>
          <w:u w:val="single"/>
        </w:rPr>
        <w:t>Autism Prevalence</w:t>
      </w:r>
    </w:p>
    <w:p w14:paraId="489D02BD" w14:textId="77777777" w:rsidR="00D85F76" w:rsidRDefault="00D85F76" w:rsidP="00D85F76">
      <w:pPr>
        <w:spacing w:after="0" w:line="240" w:lineRule="auto"/>
        <w:rPr>
          <w:rFonts w:asciiTheme="majorHAnsi" w:hAnsiTheme="majorHAnsi" w:cs="Arial"/>
          <w:sz w:val="24"/>
          <w:szCs w:val="24"/>
        </w:rPr>
      </w:pPr>
    </w:p>
    <w:p w14:paraId="4A7EED18" w14:textId="1F0CBEBF" w:rsidR="00D85F76" w:rsidRDefault="00D85F76" w:rsidP="00D85F76">
      <w:pPr>
        <w:spacing w:after="0" w:line="240" w:lineRule="auto"/>
        <w:rPr>
          <w:rFonts w:asciiTheme="majorHAnsi" w:hAnsiTheme="majorHAnsi" w:cs="Arial"/>
          <w:sz w:val="24"/>
          <w:szCs w:val="24"/>
        </w:rPr>
      </w:pPr>
      <w:r>
        <w:rPr>
          <w:rFonts w:asciiTheme="majorHAnsi" w:hAnsiTheme="majorHAnsi" w:cs="Arial"/>
          <w:sz w:val="24"/>
          <w:szCs w:val="24"/>
        </w:rPr>
        <w:t>In 20</w:t>
      </w:r>
      <w:r w:rsidR="00EB790F">
        <w:rPr>
          <w:rFonts w:asciiTheme="majorHAnsi" w:hAnsiTheme="majorHAnsi" w:cs="Arial"/>
          <w:sz w:val="24"/>
          <w:szCs w:val="24"/>
        </w:rPr>
        <w:t>20</w:t>
      </w:r>
      <w:r>
        <w:rPr>
          <w:rFonts w:asciiTheme="majorHAnsi" w:hAnsiTheme="majorHAnsi" w:cs="Arial"/>
          <w:sz w:val="24"/>
          <w:szCs w:val="24"/>
        </w:rPr>
        <w:t xml:space="preserve">, the prevalence of autism spectrum disorder (“ASD”) for eight (8) year </w:t>
      </w:r>
      <w:proofErr w:type="spellStart"/>
      <w:r w:rsidR="004060A8">
        <w:rPr>
          <w:rFonts w:asciiTheme="majorHAnsi" w:hAnsiTheme="majorHAnsi" w:cs="Arial"/>
          <w:sz w:val="24"/>
          <w:szCs w:val="24"/>
        </w:rPr>
        <w:t>olds</w:t>
      </w:r>
      <w:proofErr w:type="spellEnd"/>
      <w:r>
        <w:rPr>
          <w:rFonts w:asciiTheme="majorHAnsi" w:hAnsiTheme="majorHAnsi" w:cs="Arial"/>
          <w:sz w:val="24"/>
          <w:szCs w:val="24"/>
        </w:rPr>
        <w:t xml:space="preserve"> was reported by the CDC to be 1 in 5</w:t>
      </w:r>
      <w:r w:rsidR="00EB790F">
        <w:rPr>
          <w:rFonts w:asciiTheme="majorHAnsi" w:hAnsiTheme="majorHAnsi" w:cs="Arial"/>
          <w:sz w:val="24"/>
          <w:szCs w:val="24"/>
        </w:rPr>
        <w:t>4</w:t>
      </w:r>
      <w:r>
        <w:rPr>
          <w:rFonts w:asciiTheme="majorHAnsi" w:hAnsiTheme="majorHAnsi" w:cs="Arial"/>
          <w:sz w:val="24"/>
          <w:szCs w:val="24"/>
        </w:rPr>
        <w:t xml:space="preserve">, with four times as many boys being diagnosed with ASD than girls.  </w:t>
      </w:r>
    </w:p>
    <w:p w14:paraId="025A82CC" w14:textId="77777777" w:rsidR="00D85F76" w:rsidRDefault="00D85F76" w:rsidP="00D85F76">
      <w:pPr>
        <w:spacing w:after="0" w:line="240" w:lineRule="auto"/>
        <w:rPr>
          <w:rFonts w:asciiTheme="majorHAnsi" w:hAnsiTheme="majorHAnsi" w:cs="Arial"/>
          <w:b/>
          <w:i/>
          <w:sz w:val="24"/>
          <w:szCs w:val="24"/>
          <w:u w:val="single"/>
        </w:rPr>
      </w:pPr>
    </w:p>
    <w:p w14:paraId="65586DC0" w14:textId="77777777" w:rsidR="00D85F76" w:rsidRPr="00E53563" w:rsidRDefault="00D85F76" w:rsidP="00D85F76">
      <w:pPr>
        <w:spacing w:after="0" w:line="240" w:lineRule="auto"/>
        <w:rPr>
          <w:rFonts w:asciiTheme="majorHAnsi" w:hAnsiTheme="majorHAnsi" w:cs="Arial"/>
          <w:b/>
          <w:i/>
          <w:sz w:val="24"/>
          <w:szCs w:val="24"/>
          <w:u w:val="single"/>
        </w:rPr>
      </w:pPr>
      <w:r w:rsidRPr="00E53563">
        <w:rPr>
          <w:rFonts w:asciiTheme="majorHAnsi" w:hAnsiTheme="majorHAnsi" w:cs="Arial"/>
          <w:b/>
          <w:i/>
          <w:sz w:val="24"/>
          <w:szCs w:val="24"/>
          <w:u w:val="single"/>
        </w:rPr>
        <w:t>The 2014 Autism Omnibus Law</w:t>
      </w:r>
    </w:p>
    <w:p w14:paraId="0C774DF3" w14:textId="77777777" w:rsidR="00D85F76" w:rsidRDefault="00D85F76" w:rsidP="00D85F76">
      <w:pPr>
        <w:spacing w:after="0" w:line="240" w:lineRule="auto"/>
        <w:rPr>
          <w:rFonts w:asciiTheme="majorHAnsi" w:hAnsiTheme="majorHAnsi" w:cs="Arial"/>
          <w:sz w:val="24"/>
          <w:szCs w:val="24"/>
        </w:rPr>
      </w:pPr>
    </w:p>
    <w:p w14:paraId="57F61CAC" w14:textId="77777777" w:rsidR="00D85F76" w:rsidRDefault="00D85F76" w:rsidP="00D85F76">
      <w:pPr>
        <w:spacing w:after="0" w:line="240" w:lineRule="auto"/>
        <w:rPr>
          <w:rFonts w:asciiTheme="majorHAnsi" w:hAnsiTheme="majorHAnsi" w:cs="Arial"/>
          <w:sz w:val="24"/>
          <w:szCs w:val="24"/>
        </w:rPr>
      </w:pPr>
      <w:r>
        <w:rPr>
          <w:rFonts w:asciiTheme="majorHAnsi" w:hAnsiTheme="majorHAnsi" w:cs="Arial"/>
          <w:sz w:val="24"/>
          <w:szCs w:val="24"/>
        </w:rPr>
        <w:t>The 2014 Autism Omnibus Law required: a) the creation of tax-free “ABLE” accounts for qualified disability expenses; b) a comprehensive program of community developmental disability services</w:t>
      </w:r>
      <w:r w:rsidRPr="00605050">
        <w:rPr>
          <w:rFonts w:asciiTheme="majorHAnsi" w:hAnsiTheme="majorHAnsi" w:cs="Arial"/>
          <w:sz w:val="24"/>
          <w:szCs w:val="24"/>
        </w:rPr>
        <w:t xml:space="preserve"> </w:t>
      </w:r>
      <w:r>
        <w:rPr>
          <w:rFonts w:asciiTheme="majorHAnsi" w:hAnsiTheme="majorHAnsi" w:cs="Arial"/>
          <w:sz w:val="24"/>
          <w:szCs w:val="24"/>
        </w:rPr>
        <w:t xml:space="preserve">by the Department of Developmental Services; c) the Department of Developmental Services (“DDS”) issuing of licenses to providers for individuals with developmental disabilities for a term of two years; d) the creation of an autism endorsement for special education teachers by the Board of Elementary and Secondary Education; e) Coverage by MassHealth of medically necessary treatments under the age of </w:t>
      </w:r>
      <w:r>
        <w:rPr>
          <w:rFonts w:asciiTheme="majorHAnsi" w:hAnsiTheme="majorHAnsi" w:cs="Arial"/>
          <w:sz w:val="24"/>
          <w:szCs w:val="24"/>
        </w:rPr>
        <w:lastRenderedPageBreak/>
        <w:t>21 including ABA services and augmentative and alternative communication devices,</w:t>
      </w:r>
      <w:r w:rsidRPr="007D5B97">
        <w:rPr>
          <w:rFonts w:asciiTheme="majorHAnsi" w:eastAsia="Times New Roman" w:hAnsiTheme="majorHAnsi" w:cs="Arial"/>
          <w:color w:val="000000"/>
          <w:sz w:val="24"/>
          <w:szCs w:val="24"/>
        </w:rPr>
        <w:t xml:space="preserve"> </w:t>
      </w:r>
      <w:r w:rsidRPr="0085760C">
        <w:rPr>
          <w:rFonts w:asciiTheme="majorHAnsi" w:eastAsia="Times New Roman" w:hAnsiTheme="majorHAnsi" w:cs="Arial"/>
          <w:color w:val="000000"/>
          <w:sz w:val="24"/>
          <w:szCs w:val="24"/>
        </w:rPr>
        <w:t xml:space="preserve">subject to </w:t>
      </w:r>
      <w:r>
        <w:rPr>
          <w:rFonts w:asciiTheme="majorHAnsi" w:eastAsia="Times New Roman" w:hAnsiTheme="majorHAnsi" w:cs="Arial"/>
          <w:color w:val="000000"/>
          <w:sz w:val="24"/>
          <w:szCs w:val="24"/>
        </w:rPr>
        <w:t>federal financial participation</w:t>
      </w:r>
      <w:r>
        <w:rPr>
          <w:rFonts w:asciiTheme="majorHAnsi" w:hAnsiTheme="majorHAnsi" w:cs="Arial"/>
          <w:sz w:val="24"/>
          <w:szCs w:val="24"/>
        </w:rPr>
        <w:t xml:space="preserve">; f) a plan between DDS and the Department of Mental Health to provide services to individuals who have both a developmental disability and a mental illness; g) and further investigation and study by the Commission on the issues of employment and higher education, and housing and h) Commission recommendations for plans of action for the Commonwealth on higher education and employment, and housing for individuals with ASD. </w:t>
      </w:r>
    </w:p>
    <w:p w14:paraId="17B6D192" w14:textId="77777777" w:rsidR="00D85F76" w:rsidRDefault="00D85F76" w:rsidP="00D85F76">
      <w:pPr>
        <w:spacing w:after="0" w:line="240" w:lineRule="auto"/>
        <w:rPr>
          <w:rFonts w:asciiTheme="majorHAnsi" w:hAnsiTheme="majorHAnsi" w:cs="Arial"/>
          <w:sz w:val="24"/>
          <w:szCs w:val="24"/>
        </w:rPr>
      </w:pPr>
    </w:p>
    <w:p w14:paraId="5B9294C5" w14:textId="77777777" w:rsidR="00D85F76" w:rsidRDefault="00D85F76" w:rsidP="00D85F76">
      <w:pPr>
        <w:spacing w:after="0" w:line="240" w:lineRule="auto"/>
        <w:rPr>
          <w:rFonts w:asciiTheme="majorHAnsi" w:hAnsiTheme="majorHAnsi" w:cs="Arial"/>
          <w:b/>
          <w:sz w:val="24"/>
          <w:szCs w:val="24"/>
          <w:u w:val="single"/>
        </w:rPr>
      </w:pPr>
      <w:r>
        <w:rPr>
          <w:rFonts w:asciiTheme="majorHAnsi" w:hAnsiTheme="majorHAnsi" w:cs="Arial"/>
          <w:b/>
          <w:sz w:val="24"/>
          <w:szCs w:val="24"/>
          <w:u w:val="single"/>
        </w:rPr>
        <w:t>Updates on Autism</w:t>
      </w:r>
      <w:r w:rsidRPr="00400271">
        <w:rPr>
          <w:rFonts w:asciiTheme="majorHAnsi" w:hAnsiTheme="majorHAnsi" w:cs="Arial"/>
          <w:b/>
          <w:sz w:val="24"/>
          <w:szCs w:val="24"/>
          <w:u w:val="single"/>
        </w:rPr>
        <w:t xml:space="preserve"> Omnibus Law</w:t>
      </w:r>
      <w:r>
        <w:rPr>
          <w:rFonts w:asciiTheme="majorHAnsi" w:hAnsiTheme="majorHAnsi" w:cs="Arial"/>
          <w:b/>
          <w:sz w:val="24"/>
          <w:szCs w:val="24"/>
          <w:u w:val="single"/>
        </w:rPr>
        <w:t xml:space="preserve"> Mandates</w:t>
      </w:r>
    </w:p>
    <w:p w14:paraId="21623564" w14:textId="77777777" w:rsidR="00D85F76" w:rsidRDefault="00D85F76" w:rsidP="00D85F76">
      <w:pPr>
        <w:spacing w:after="0" w:line="240" w:lineRule="auto"/>
        <w:rPr>
          <w:rFonts w:asciiTheme="majorHAnsi" w:hAnsiTheme="majorHAnsi" w:cs="Arial"/>
          <w:sz w:val="24"/>
          <w:szCs w:val="24"/>
        </w:rPr>
      </w:pPr>
    </w:p>
    <w:p w14:paraId="4FA6FF6A" w14:textId="77777777" w:rsidR="00D85F76" w:rsidRDefault="00D85F76" w:rsidP="00D85F76">
      <w:pPr>
        <w:pStyle w:val="ListParagraph"/>
        <w:numPr>
          <w:ilvl w:val="0"/>
          <w:numId w:val="1"/>
        </w:numPr>
        <w:spacing w:after="0" w:line="240" w:lineRule="auto"/>
        <w:rPr>
          <w:rFonts w:asciiTheme="majorHAnsi" w:hAnsiTheme="majorHAnsi" w:cs="Arial"/>
          <w:sz w:val="24"/>
          <w:szCs w:val="24"/>
        </w:rPr>
      </w:pPr>
      <w:r w:rsidRPr="00AE38CF">
        <w:rPr>
          <w:rFonts w:asciiTheme="majorHAnsi" w:hAnsiTheme="majorHAnsi" w:cs="Arial"/>
          <w:sz w:val="24"/>
          <w:szCs w:val="24"/>
          <w:u w:val="single"/>
        </w:rPr>
        <w:t>ABLE accounts.</w:t>
      </w:r>
      <w:r>
        <w:rPr>
          <w:rFonts w:asciiTheme="majorHAnsi" w:hAnsiTheme="majorHAnsi" w:cs="Arial"/>
          <w:sz w:val="24"/>
          <w:szCs w:val="24"/>
        </w:rPr>
        <w:t xml:space="preserve"> </w:t>
      </w:r>
      <w:r w:rsidRPr="00AD7697">
        <w:rPr>
          <w:rFonts w:asciiTheme="majorHAnsi" w:hAnsiTheme="majorHAnsi" w:cs="Arial"/>
          <w:b/>
          <w:sz w:val="24"/>
          <w:szCs w:val="24"/>
        </w:rPr>
        <w:t>Completed</w:t>
      </w:r>
      <w:r>
        <w:rPr>
          <w:rFonts w:asciiTheme="majorHAnsi" w:hAnsiTheme="majorHAnsi" w:cs="Arial"/>
          <w:sz w:val="24"/>
          <w:szCs w:val="24"/>
        </w:rPr>
        <w:t>. The Massachusetts Autism Omnibus Law called for the establishment of “</w:t>
      </w:r>
      <w:r w:rsidRPr="00D85BFD">
        <w:rPr>
          <w:rFonts w:asciiTheme="majorHAnsi" w:hAnsiTheme="majorHAnsi" w:cs="Arial"/>
          <w:sz w:val="24"/>
          <w:szCs w:val="24"/>
          <w:u w:val="single"/>
        </w:rPr>
        <w:t>Achieving a Better Life” or “ABLE</w:t>
      </w:r>
      <w:r>
        <w:rPr>
          <w:rFonts w:asciiTheme="majorHAnsi" w:hAnsiTheme="majorHAnsi" w:cs="Arial"/>
          <w:sz w:val="24"/>
          <w:szCs w:val="24"/>
        </w:rPr>
        <w:t xml:space="preserve">” savings accounts for individuals with disabilities for qualified disability expenses.  In May 2017, Massachusetts launched its ABLE accounts known as “The Attainable Savings Plan”, established and will be maintained by the Massachusetts Education Financing Authority (MEFA) and by Fidelity Investments.  The Attainable Plan is available to individuals with disabilities nationwide and allows qualified individuals with disabilities to save up to $14,000 a year without jeopardizing their Social Security and Medicaid benefits.  </w:t>
      </w:r>
    </w:p>
    <w:p w14:paraId="54A1674A" w14:textId="77777777" w:rsidR="00D85F76" w:rsidRDefault="00D85F76" w:rsidP="00D85F76">
      <w:pPr>
        <w:pStyle w:val="ListParagraph"/>
        <w:spacing w:after="0" w:line="240" w:lineRule="auto"/>
        <w:ind w:left="1080"/>
        <w:rPr>
          <w:rFonts w:asciiTheme="majorHAnsi" w:hAnsiTheme="majorHAnsi" w:cs="Arial"/>
          <w:sz w:val="24"/>
          <w:szCs w:val="24"/>
        </w:rPr>
      </w:pPr>
    </w:p>
    <w:p w14:paraId="4F045D4B" w14:textId="77777777" w:rsidR="00D85F76" w:rsidRDefault="00D85F76" w:rsidP="00620D29">
      <w:pPr>
        <w:pStyle w:val="ListParagraph"/>
        <w:numPr>
          <w:ilvl w:val="0"/>
          <w:numId w:val="1"/>
        </w:numPr>
        <w:spacing w:after="0" w:line="240" w:lineRule="auto"/>
        <w:rPr>
          <w:rFonts w:asciiTheme="majorHAnsi" w:hAnsiTheme="majorHAnsi" w:cs="Arial"/>
          <w:sz w:val="24"/>
          <w:szCs w:val="24"/>
        </w:rPr>
      </w:pPr>
      <w:r w:rsidRPr="00EB790F">
        <w:rPr>
          <w:rFonts w:asciiTheme="majorHAnsi" w:hAnsiTheme="majorHAnsi" w:cs="Arial"/>
          <w:sz w:val="24"/>
          <w:szCs w:val="24"/>
          <w:u w:val="single"/>
        </w:rPr>
        <w:t>Department of Developmental Services.</w:t>
      </w:r>
      <w:r w:rsidRPr="00EB790F">
        <w:rPr>
          <w:rFonts w:asciiTheme="majorHAnsi" w:hAnsiTheme="majorHAnsi" w:cs="Arial"/>
          <w:sz w:val="24"/>
          <w:szCs w:val="24"/>
        </w:rPr>
        <w:t xml:space="preserve">  </w:t>
      </w:r>
      <w:r w:rsidRPr="00EB790F">
        <w:rPr>
          <w:rFonts w:asciiTheme="majorHAnsi" w:hAnsiTheme="majorHAnsi" w:cs="Arial"/>
          <w:b/>
          <w:sz w:val="24"/>
          <w:szCs w:val="24"/>
        </w:rPr>
        <w:t>Implemented and on-going.</w:t>
      </w:r>
      <w:r w:rsidRPr="00EB790F">
        <w:rPr>
          <w:rFonts w:asciiTheme="majorHAnsi" w:hAnsiTheme="majorHAnsi" w:cs="Arial"/>
          <w:sz w:val="24"/>
          <w:szCs w:val="24"/>
        </w:rPr>
        <w:t xml:space="preserve"> The Department of Developmental Services (“DDS”) was directed to develop a comprehensive program of community developmental disability services and to issue licenses to providers for a term of two years.  DDS was also required to file annual reports reviewing its progress on the implementation of the law.  </w:t>
      </w:r>
    </w:p>
    <w:p w14:paraId="757BF729" w14:textId="77777777" w:rsidR="00EB790F" w:rsidRPr="00EB790F" w:rsidRDefault="00EB790F" w:rsidP="00EB790F">
      <w:pPr>
        <w:pStyle w:val="ListParagraph"/>
        <w:rPr>
          <w:rFonts w:asciiTheme="majorHAnsi" w:hAnsiTheme="majorHAnsi" w:cs="Arial"/>
          <w:sz w:val="24"/>
          <w:szCs w:val="24"/>
        </w:rPr>
      </w:pPr>
    </w:p>
    <w:p w14:paraId="2FC5D5D5" w14:textId="77777777" w:rsidR="00D85F76" w:rsidRPr="00663751" w:rsidRDefault="00D85F76" w:rsidP="00D85F76">
      <w:pPr>
        <w:pStyle w:val="ListParagraph"/>
        <w:spacing w:after="0" w:line="240" w:lineRule="auto"/>
        <w:ind w:left="1080"/>
        <w:rPr>
          <w:rFonts w:asciiTheme="majorHAnsi" w:hAnsiTheme="majorHAnsi" w:cs="Arial"/>
          <w:b/>
          <w:sz w:val="24"/>
          <w:szCs w:val="24"/>
        </w:rPr>
      </w:pPr>
      <w:r w:rsidRPr="000C62EB">
        <w:rPr>
          <w:rFonts w:asciiTheme="majorHAnsi" w:hAnsiTheme="majorHAnsi" w:cs="Arial"/>
          <w:sz w:val="24"/>
          <w:szCs w:val="24"/>
        </w:rPr>
        <w:t>Since November 2014, DD</w:t>
      </w:r>
      <w:r>
        <w:rPr>
          <w:rFonts w:asciiTheme="majorHAnsi" w:hAnsiTheme="majorHAnsi" w:cs="Arial"/>
          <w:sz w:val="24"/>
          <w:szCs w:val="24"/>
        </w:rPr>
        <w:t>S</w:t>
      </w:r>
      <w:r w:rsidRPr="000C62EB">
        <w:rPr>
          <w:rFonts w:asciiTheme="majorHAnsi" w:hAnsiTheme="majorHAnsi" w:cs="Arial"/>
          <w:sz w:val="24"/>
          <w:szCs w:val="24"/>
        </w:rPr>
        <w:t xml:space="preserve"> has been accepting app</w:t>
      </w:r>
      <w:r>
        <w:rPr>
          <w:rFonts w:asciiTheme="majorHAnsi" w:hAnsiTheme="majorHAnsi" w:cs="Arial"/>
          <w:sz w:val="24"/>
          <w:szCs w:val="24"/>
        </w:rPr>
        <w:t>lications for individuals with Autism S</w:t>
      </w:r>
      <w:r w:rsidRPr="000C62EB">
        <w:rPr>
          <w:rFonts w:asciiTheme="majorHAnsi" w:hAnsiTheme="majorHAnsi" w:cs="Arial"/>
          <w:sz w:val="24"/>
          <w:szCs w:val="24"/>
        </w:rPr>
        <w:t>pectr</w:t>
      </w:r>
      <w:r>
        <w:rPr>
          <w:rFonts w:asciiTheme="majorHAnsi" w:hAnsiTheme="majorHAnsi" w:cs="Arial"/>
          <w:sz w:val="24"/>
          <w:szCs w:val="24"/>
        </w:rPr>
        <w:t>um D</w:t>
      </w:r>
      <w:r w:rsidRPr="000C62EB">
        <w:rPr>
          <w:rFonts w:asciiTheme="majorHAnsi" w:hAnsiTheme="majorHAnsi" w:cs="Arial"/>
          <w:sz w:val="24"/>
          <w:szCs w:val="24"/>
        </w:rPr>
        <w:t>isorder, Prader-Willi Syndrome</w:t>
      </w:r>
      <w:r>
        <w:rPr>
          <w:rFonts w:asciiTheme="majorHAnsi" w:hAnsiTheme="majorHAnsi" w:cs="Arial"/>
          <w:sz w:val="24"/>
          <w:szCs w:val="24"/>
        </w:rPr>
        <w:t>,</w:t>
      </w:r>
      <w:r w:rsidRPr="000C62EB">
        <w:rPr>
          <w:rFonts w:asciiTheme="majorHAnsi" w:hAnsiTheme="majorHAnsi" w:cs="Arial"/>
          <w:sz w:val="24"/>
          <w:szCs w:val="24"/>
        </w:rPr>
        <w:t xml:space="preserve"> and Sm</w:t>
      </w:r>
      <w:r>
        <w:rPr>
          <w:rFonts w:asciiTheme="majorHAnsi" w:hAnsiTheme="majorHAnsi" w:cs="Arial"/>
          <w:sz w:val="24"/>
          <w:szCs w:val="24"/>
        </w:rPr>
        <w:t>ith-</w:t>
      </w:r>
      <w:proofErr w:type="spellStart"/>
      <w:r>
        <w:rPr>
          <w:rFonts w:asciiTheme="majorHAnsi" w:hAnsiTheme="majorHAnsi" w:cs="Arial"/>
          <w:sz w:val="24"/>
          <w:szCs w:val="24"/>
        </w:rPr>
        <w:t>Magenis</w:t>
      </w:r>
      <w:proofErr w:type="spellEnd"/>
      <w:r>
        <w:rPr>
          <w:rFonts w:asciiTheme="majorHAnsi" w:hAnsiTheme="majorHAnsi" w:cs="Arial"/>
          <w:sz w:val="24"/>
          <w:szCs w:val="24"/>
        </w:rPr>
        <w:t xml:space="preserve"> syndrome</w:t>
      </w:r>
      <w:r w:rsidRPr="00663751">
        <w:rPr>
          <w:rFonts w:asciiTheme="majorHAnsi" w:hAnsiTheme="majorHAnsi" w:cs="Arial"/>
          <w:sz w:val="24"/>
          <w:szCs w:val="24"/>
        </w:rPr>
        <w:t>.   From November 2014 to October 20</w:t>
      </w:r>
      <w:r w:rsidR="00EB790F" w:rsidRPr="00663751">
        <w:rPr>
          <w:rFonts w:asciiTheme="majorHAnsi" w:hAnsiTheme="majorHAnsi" w:cs="Arial"/>
          <w:sz w:val="24"/>
          <w:szCs w:val="24"/>
        </w:rPr>
        <w:t>20</w:t>
      </w:r>
      <w:r w:rsidRPr="00663751">
        <w:rPr>
          <w:rFonts w:asciiTheme="majorHAnsi" w:hAnsiTheme="majorHAnsi" w:cs="Arial"/>
          <w:sz w:val="24"/>
          <w:szCs w:val="24"/>
        </w:rPr>
        <w:t xml:space="preserve">, </w:t>
      </w:r>
      <w:r w:rsidRPr="00663751">
        <w:rPr>
          <w:rFonts w:asciiTheme="majorHAnsi" w:hAnsiTheme="majorHAnsi" w:cs="Arial"/>
          <w:b/>
          <w:sz w:val="24"/>
          <w:szCs w:val="24"/>
        </w:rPr>
        <w:t>2,</w:t>
      </w:r>
      <w:r w:rsidR="00EB790F" w:rsidRPr="00663751">
        <w:rPr>
          <w:rFonts w:asciiTheme="majorHAnsi" w:hAnsiTheme="majorHAnsi" w:cs="Arial"/>
          <w:b/>
          <w:sz w:val="24"/>
          <w:szCs w:val="24"/>
        </w:rPr>
        <w:t>746</w:t>
      </w:r>
      <w:r w:rsidRPr="00663751">
        <w:rPr>
          <w:rFonts w:asciiTheme="majorHAnsi" w:hAnsiTheme="majorHAnsi" w:cs="Arial"/>
          <w:sz w:val="24"/>
          <w:szCs w:val="24"/>
        </w:rPr>
        <w:t xml:space="preserve"> “newly eligible” individuals with ASD </w:t>
      </w:r>
      <w:r w:rsidRPr="00663751">
        <w:rPr>
          <w:rFonts w:asciiTheme="majorHAnsi" w:hAnsiTheme="majorHAnsi" w:cs="Arial"/>
          <w:sz w:val="24"/>
          <w:szCs w:val="24"/>
          <w:u w:val="single"/>
        </w:rPr>
        <w:t>only</w:t>
      </w:r>
      <w:r w:rsidRPr="00663751">
        <w:rPr>
          <w:rFonts w:asciiTheme="majorHAnsi" w:hAnsiTheme="majorHAnsi" w:cs="Arial"/>
          <w:sz w:val="24"/>
          <w:szCs w:val="24"/>
        </w:rPr>
        <w:t xml:space="preserve"> met the DDS criteria for eligibility as a person with autism </w:t>
      </w:r>
      <w:r w:rsidRPr="00663751">
        <w:rPr>
          <w:rFonts w:asciiTheme="majorHAnsi" w:hAnsiTheme="majorHAnsi" w:cs="Arial"/>
          <w:sz w:val="24"/>
          <w:szCs w:val="24"/>
          <w:u w:val="single"/>
        </w:rPr>
        <w:t>and</w:t>
      </w:r>
      <w:r w:rsidRPr="00663751">
        <w:rPr>
          <w:rFonts w:asciiTheme="majorHAnsi" w:hAnsiTheme="majorHAnsi" w:cs="Arial"/>
          <w:sz w:val="24"/>
          <w:szCs w:val="24"/>
        </w:rPr>
        <w:t xml:space="preserve"> functional impairments (in three or more of seven life areas).  Of the 2,</w:t>
      </w:r>
      <w:r w:rsidR="00EB790F" w:rsidRPr="00663751">
        <w:rPr>
          <w:rFonts w:asciiTheme="majorHAnsi" w:hAnsiTheme="majorHAnsi" w:cs="Arial"/>
          <w:sz w:val="24"/>
          <w:szCs w:val="24"/>
        </w:rPr>
        <w:t xml:space="preserve">746 </w:t>
      </w:r>
      <w:r w:rsidRPr="00663751">
        <w:rPr>
          <w:rFonts w:asciiTheme="majorHAnsi" w:hAnsiTheme="majorHAnsi" w:cs="Arial"/>
          <w:sz w:val="24"/>
          <w:szCs w:val="24"/>
        </w:rPr>
        <w:t xml:space="preserve">individuals eligible </w:t>
      </w:r>
      <w:r w:rsidRPr="00663751">
        <w:rPr>
          <w:rFonts w:asciiTheme="majorHAnsi" w:hAnsiTheme="majorHAnsi" w:cs="Arial"/>
          <w:b/>
          <w:sz w:val="24"/>
          <w:szCs w:val="24"/>
        </w:rPr>
        <w:t>1,</w:t>
      </w:r>
      <w:r w:rsidR="00EB790F" w:rsidRPr="00663751">
        <w:rPr>
          <w:rFonts w:asciiTheme="majorHAnsi" w:hAnsiTheme="majorHAnsi" w:cs="Arial"/>
          <w:b/>
          <w:sz w:val="24"/>
          <w:szCs w:val="24"/>
        </w:rPr>
        <w:t>774</w:t>
      </w:r>
      <w:r w:rsidRPr="00663751">
        <w:rPr>
          <w:rFonts w:asciiTheme="majorHAnsi" w:hAnsiTheme="majorHAnsi" w:cs="Arial"/>
          <w:sz w:val="24"/>
          <w:szCs w:val="24"/>
        </w:rPr>
        <w:t xml:space="preserve"> are enrolled in DDS services.</w:t>
      </w:r>
      <w:r w:rsidRPr="00663751">
        <w:rPr>
          <w:rFonts w:asciiTheme="majorHAnsi" w:hAnsiTheme="majorHAnsi" w:cs="Arial"/>
          <w:b/>
          <w:sz w:val="24"/>
          <w:szCs w:val="24"/>
        </w:rPr>
        <w:t xml:space="preserve"> </w:t>
      </w:r>
    </w:p>
    <w:p w14:paraId="53A9229F" w14:textId="77777777" w:rsidR="00D85F76" w:rsidRPr="00663751" w:rsidRDefault="00D85F76" w:rsidP="00D85F76">
      <w:pPr>
        <w:pStyle w:val="ListParagraph"/>
        <w:spacing w:after="0" w:line="240" w:lineRule="auto"/>
        <w:ind w:left="1080"/>
        <w:rPr>
          <w:rFonts w:asciiTheme="majorHAnsi" w:hAnsiTheme="majorHAnsi" w:cs="Arial"/>
          <w:sz w:val="24"/>
          <w:szCs w:val="24"/>
        </w:rPr>
      </w:pPr>
    </w:p>
    <w:p w14:paraId="1AA20A3A" w14:textId="77777777" w:rsidR="00D85F76" w:rsidRPr="00663751" w:rsidRDefault="00D85F76" w:rsidP="00D85F76">
      <w:pPr>
        <w:pStyle w:val="ListParagraph"/>
        <w:spacing w:after="0" w:line="240" w:lineRule="auto"/>
        <w:ind w:left="1080"/>
        <w:rPr>
          <w:rFonts w:asciiTheme="majorHAnsi" w:hAnsiTheme="majorHAnsi" w:cs="Arial"/>
          <w:sz w:val="24"/>
          <w:szCs w:val="24"/>
        </w:rPr>
      </w:pPr>
      <w:r w:rsidRPr="00663751">
        <w:rPr>
          <w:rFonts w:asciiTheme="majorHAnsi" w:hAnsiTheme="majorHAnsi" w:cs="Arial"/>
          <w:sz w:val="24"/>
          <w:szCs w:val="24"/>
        </w:rPr>
        <w:t xml:space="preserve">Individuals with an intellectual disability (ID) </w:t>
      </w:r>
      <w:r w:rsidRPr="00663751">
        <w:rPr>
          <w:rFonts w:asciiTheme="majorHAnsi" w:hAnsiTheme="majorHAnsi" w:cs="Arial"/>
          <w:sz w:val="24"/>
          <w:szCs w:val="24"/>
          <w:u w:val="single"/>
        </w:rPr>
        <w:t>and</w:t>
      </w:r>
      <w:r w:rsidRPr="00663751">
        <w:rPr>
          <w:rFonts w:asciiTheme="majorHAnsi" w:hAnsiTheme="majorHAnsi" w:cs="Arial"/>
          <w:sz w:val="24"/>
          <w:szCs w:val="24"/>
        </w:rPr>
        <w:t xml:space="preserve"> ASD are also eligible for DDS services. Since eligibility was expanded for individuals with ASD, DDS also began separately tracking the number of individuals with co-occurring ASD </w:t>
      </w:r>
      <w:r w:rsidRPr="00663751">
        <w:rPr>
          <w:rFonts w:asciiTheme="majorHAnsi" w:hAnsiTheme="majorHAnsi" w:cs="Arial"/>
          <w:sz w:val="24"/>
          <w:szCs w:val="24"/>
          <w:u w:val="single"/>
        </w:rPr>
        <w:t>and</w:t>
      </w:r>
      <w:r w:rsidRPr="00663751">
        <w:rPr>
          <w:rFonts w:asciiTheme="majorHAnsi" w:hAnsiTheme="majorHAnsi" w:cs="Arial"/>
          <w:sz w:val="24"/>
          <w:szCs w:val="24"/>
        </w:rPr>
        <w:t xml:space="preserve"> ID.   The number of new individuals with ID </w:t>
      </w:r>
      <w:r w:rsidRPr="00663751">
        <w:rPr>
          <w:rFonts w:asciiTheme="majorHAnsi" w:hAnsiTheme="majorHAnsi" w:cs="Arial"/>
          <w:sz w:val="24"/>
          <w:szCs w:val="24"/>
          <w:u w:val="single"/>
        </w:rPr>
        <w:t>and</w:t>
      </w:r>
      <w:r w:rsidRPr="00663751">
        <w:rPr>
          <w:rFonts w:asciiTheme="majorHAnsi" w:hAnsiTheme="majorHAnsi" w:cs="Arial"/>
          <w:sz w:val="24"/>
          <w:szCs w:val="24"/>
        </w:rPr>
        <w:t xml:space="preserve"> ASD as of October 20</w:t>
      </w:r>
      <w:r w:rsidR="00EB790F" w:rsidRPr="00663751">
        <w:rPr>
          <w:rFonts w:asciiTheme="majorHAnsi" w:hAnsiTheme="majorHAnsi" w:cs="Arial"/>
          <w:sz w:val="24"/>
          <w:szCs w:val="24"/>
        </w:rPr>
        <w:t>20</w:t>
      </w:r>
      <w:r w:rsidRPr="00663751">
        <w:rPr>
          <w:rFonts w:asciiTheme="majorHAnsi" w:hAnsiTheme="majorHAnsi" w:cs="Arial"/>
          <w:sz w:val="24"/>
          <w:szCs w:val="24"/>
        </w:rPr>
        <w:t xml:space="preserve"> is </w:t>
      </w:r>
      <w:r w:rsidR="00035F01" w:rsidRPr="00663751">
        <w:rPr>
          <w:rFonts w:asciiTheme="majorHAnsi" w:hAnsiTheme="majorHAnsi" w:cs="Arial"/>
          <w:b/>
          <w:sz w:val="24"/>
          <w:szCs w:val="24"/>
        </w:rPr>
        <w:t>1,</w:t>
      </w:r>
      <w:r w:rsidR="006B1D6F" w:rsidRPr="00663751">
        <w:rPr>
          <w:rFonts w:asciiTheme="majorHAnsi" w:hAnsiTheme="majorHAnsi" w:cs="Arial"/>
          <w:b/>
          <w:sz w:val="24"/>
          <w:szCs w:val="24"/>
        </w:rPr>
        <w:t>291</w:t>
      </w:r>
      <w:r w:rsidRPr="00663751">
        <w:rPr>
          <w:rFonts w:asciiTheme="majorHAnsi" w:hAnsiTheme="majorHAnsi" w:cs="Arial"/>
          <w:sz w:val="24"/>
          <w:szCs w:val="24"/>
        </w:rPr>
        <w:t xml:space="preserve">.  </w:t>
      </w:r>
    </w:p>
    <w:p w14:paraId="556F0C17" w14:textId="77777777" w:rsidR="00D85F76" w:rsidRPr="00663751" w:rsidRDefault="00D85F76" w:rsidP="00D85F76">
      <w:pPr>
        <w:pStyle w:val="ListParagraph"/>
        <w:spacing w:after="0" w:line="240" w:lineRule="auto"/>
        <w:ind w:left="1080"/>
        <w:rPr>
          <w:rFonts w:asciiTheme="majorHAnsi" w:hAnsiTheme="majorHAnsi" w:cs="Arial"/>
          <w:sz w:val="24"/>
          <w:szCs w:val="24"/>
        </w:rPr>
      </w:pPr>
    </w:p>
    <w:p w14:paraId="202FB0F7" w14:textId="71548ADF" w:rsidR="00CE0A17" w:rsidRPr="00CE0A17" w:rsidRDefault="00CE0A17" w:rsidP="00CE0A17">
      <w:pPr>
        <w:ind w:left="1080"/>
        <w:rPr>
          <w:rFonts w:ascii="Cambria" w:eastAsiaTheme="minorHAnsi" w:hAnsi="Cambria"/>
          <w:sz w:val="24"/>
          <w:szCs w:val="24"/>
        </w:rPr>
      </w:pPr>
      <w:bookmarkStart w:id="0" w:name="_Hlk63155269"/>
      <w:r w:rsidRPr="00663751">
        <w:rPr>
          <w:rFonts w:ascii="Cambria" w:hAnsi="Cambria"/>
          <w:sz w:val="24"/>
          <w:szCs w:val="24"/>
        </w:rPr>
        <w:t xml:space="preserve">The FY21 “Turning 22 budget” was submitted at $25M. There are </w:t>
      </w:r>
      <w:r w:rsidRPr="00663751">
        <w:rPr>
          <w:rFonts w:ascii="Cambria" w:hAnsi="Cambria"/>
          <w:b/>
          <w:bCs/>
          <w:sz w:val="24"/>
          <w:szCs w:val="24"/>
        </w:rPr>
        <w:t>3</w:t>
      </w:r>
      <w:r w:rsidR="00E9291B">
        <w:rPr>
          <w:rFonts w:ascii="Cambria" w:hAnsi="Cambria"/>
          <w:b/>
          <w:bCs/>
          <w:sz w:val="24"/>
          <w:szCs w:val="24"/>
        </w:rPr>
        <w:t>62</w:t>
      </w:r>
      <w:r w:rsidRPr="00663751">
        <w:rPr>
          <w:rFonts w:ascii="Cambria" w:hAnsi="Cambria"/>
          <w:b/>
          <w:bCs/>
          <w:sz w:val="24"/>
          <w:szCs w:val="24"/>
        </w:rPr>
        <w:t xml:space="preserve"> </w:t>
      </w:r>
      <w:r w:rsidRPr="00663751">
        <w:rPr>
          <w:rFonts w:ascii="Cambria" w:hAnsi="Cambria"/>
          <w:sz w:val="24"/>
          <w:szCs w:val="24"/>
        </w:rPr>
        <w:t xml:space="preserve">individuals with ASD only in this year’s Turning 22 class, which is 27% of the FY21 Turning 22 class. There are also </w:t>
      </w:r>
      <w:r w:rsidRPr="00663751">
        <w:rPr>
          <w:rFonts w:ascii="Cambria" w:hAnsi="Cambria"/>
          <w:b/>
          <w:bCs/>
          <w:sz w:val="24"/>
          <w:szCs w:val="24"/>
        </w:rPr>
        <w:t>2</w:t>
      </w:r>
      <w:r w:rsidR="00E9291B">
        <w:rPr>
          <w:rFonts w:ascii="Cambria" w:hAnsi="Cambria"/>
          <w:b/>
          <w:bCs/>
          <w:sz w:val="24"/>
          <w:szCs w:val="24"/>
        </w:rPr>
        <w:t>54</w:t>
      </w:r>
      <w:r w:rsidRPr="00663751">
        <w:rPr>
          <w:rFonts w:ascii="Cambria" w:hAnsi="Cambria"/>
          <w:b/>
          <w:bCs/>
          <w:sz w:val="24"/>
          <w:szCs w:val="24"/>
        </w:rPr>
        <w:t xml:space="preserve"> individuals with ASD and ID</w:t>
      </w:r>
      <w:r w:rsidRPr="00663751">
        <w:rPr>
          <w:rFonts w:ascii="Cambria" w:hAnsi="Cambria"/>
          <w:sz w:val="24"/>
          <w:szCs w:val="24"/>
        </w:rPr>
        <w:t>, which is an additional 21% of the FY21 Turning 22 class.</w:t>
      </w:r>
      <w:r w:rsidRPr="00CE0A17">
        <w:rPr>
          <w:rFonts w:ascii="Cambria" w:hAnsi="Cambria"/>
          <w:sz w:val="24"/>
          <w:szCs w:val="24"/>
        </w:rPr>
        <w:t xml:space="preserve">   </w:t>
      </w:r>
    </w:p>
    <w:p w14:paraId="60A4A8B4" w14:textId="77777777" w:rsidR="00FA57E0" w:rsidRDefault="00FA57E0" w:rsidP="00FA57E0"/>
    <w:tbl>
      <w:tblPr>
        <w:tblW w:w="5730" w:type="dxa"/>
        <w:tblInd w:w="1530" w:type="dxa"/>
        <w:tblLook w:val="04A0" w:firstRow="1" w:lastRow="0" w:firstColumn="1" w:lastColumn="0" w:noHBand="0" w:noVBand="1"/>
      </w:tblPr>
      <w:tblGrid>
        <w:gridCol w:w="2412"/>
        <w:gridCol w:w="1106"/>
        <w:gridCol w:w="1106"/>
        <w:gridCol w:w="1106"/>
      </w:tblGrid>
      <w:tr w:rsidR="00E9291B" w:rsidRPr="0004140A" w14:paraId="48F9C499" w14:textId="77777777" w:rsidTr="00E9291B">
        <w:trPr>
          <w:trHeight w:val="290"/>
        </w:trPr>
        <w:tc>
          <w:tcPr>
            <w:tcW w:w="2412" w:type="dxa"/>
            <w:tcBorders>
              <w:top w:val="nil"/>
              <w:left w:val="nil"/>
              <w:bottom w:val="nil"/>
              <w:right w:val="nil"/>
            </w:tcBorders>
            <w:shd w:val="clear" w:color="auto" w:fill="auto"/>
            <w:noWrap/>
            <w:vAlign w:val="bottom"/>
            <w:hideMark/>
          </w:tcPr>
          <w:p w14:paraId="026101D9" w14:textId="77777777" w:rsidR="00E9291B" w:rsidRPr="0004140A" w:rsidRDefault="00E9291B" w:rsidP="001E7D6C">
            <w:pPr>
              <w:spacing w:after="0" w:line="240" w:lineRule="auto"/>
              <w:rPr>
                <w:rFonts w:ascii="Times New Roman" w:eastAsia="Times New Roman" w:hAnsi="Times New Roman"/>
                <w:sz w:val="24"/>
                <w:szCs w:val="24"/>
              </w:rPr>
            </w:pPr>
          </w:p>
        </w:tc>
        <w:tc>
          <w:tcPr>
            <w:tcW w:w="1106" w:type="dxa"/>
            <w:tcBorders>
              <w:top w:val="nil"/>
              <w:left w:val="nil"/>
              <w:bottom w:val="nil"/>
              <w:right w:val="nil"/>
            </w:tcBorders>
            <w:shd w:val="clear" w:color="auto" w:fill="auto"/>
            <w:noWrap/>
            <w:vAlign w:val="bottom"/>
            <w:hideMark/>
          </w:tcPr>
          <w:p w14:paraId="5E908EB6" w14:textId="77777777" w:rsidR="00E9291B" w:rsidRPr="0004140A" w:rsidRDefault="00E9291B" w:rsidP="001E7D6C">
            <w:pPr>
              <w:spacing w:after="0" w:line="240" w:lineRule="auto"/>
              <w:rPr>
                <w:rFonts w:ascii="Times New Roman" w:eastAsia="Times New Roman" w:hAnsi="Times New Roman"/>
                <w:sz w:val="20"/>
                <w:szCs w:val="20"/>
              </w:rPr>
            </w:pPr>
          </w:p>
        </w:tc>
        <w:tc>
          <w:tcPr>
            <w:tcW w:w="1106" w:type="dxa"/>
            <w:tcBorders>
              <w:top w:val="nil"/>
              <w:left w:val="nil"/>
              <w:bottom w:val="nil"/>
              <w:right w:val="nil"/>
            </w:tcBorders>
            <w:shd w:val="clear" w:color="auto" w:fill="auto"/>
            <w:noWrap/>
            <w:vAlign w:val="bottom"/>
            <w:hideMark/>
          </w:tcPr>
          <w:p w14:paraId="6ABFD4C0" w14:textId="77777777" w:rsidR="00E9291B" w:rsidRPr="0004140A" w:rsidRDefault="00E9291B" w:rsidP="001E7D6C">
            <w:pPr>
              <w:spacing w:after="0" w:line="240" w:lineRule="auto"/>
              <w:rPr>
                <w:rFonts w:ascii="Times New Roman" w:eastAsia="Times New Roman" w:hAnsi="Times New Roman"/>
                <w:sz w:val="20"/>
                <w:szCs w:val="20"/>
              </w:rPr>
            </w:pPr>
          </w:p>
        </w:tc>
        <w:tc>
          <w:tcPr>
            <w:tcW w:w="1106" w:type="dxa"/>
            <w:tcBorders>
              <w:top w:val="nil"/>
              <w:left w:val="nil"/>
              <w:bottom w:val="nil"/>
              <w:right w:val="nil"/>
            </w:tcBorders>
            <w:shd w:val="clear" w:color="auto" w:fill="auto"/>
            <w:noWrap/>
            <w:vAlign w:val="bottom"/>
            <w:hideMark/>
          </w:tcPr>
          <w:p w14:paraId="5C51CB86" w14:textId="77777777" w:rsidR="00E9291B" w:rsidRPr="0004140A" w:rsidRDefault="00E9291B" w:rsidP="001E7D6C">
            <w:pPr>
              <w:spacing w:after="0" w:line="240" w:lineRule="auto"/>
              <w:rPr>
                <w:rFonts w:ascii="Times New Roman" w:eastAsia="Times New Roman" w:hAnsi="Times New Roman"/>
                <w:sz w:val="20"/>
                <w:szCs w:val="20"/>
              </w:rPr>
            </w:pPr>
          </w:p>
        </w:tc>
      </w:tr>
      <w:tr w:rsidR="00E9291B" w:rsidRPr="0004140A" w14:paraId="185DC452" w14:textId="77777777" w:rsidTr="00E9291B">
        <w:trPr>
          <w:trHeight w:val="320"/>
        </w:trPr>
        <w:tc>
          <w:tcPr>
            <w:tcW w:w="2412" w:type="dxa"/>
            <w:tcBorders>
              <w:top w:val="nil"/>
              <w:left w:val="nil"/>
              <w:bottom w:val="nil"/>
              <w:right w:val="nil"/>
            </w:tcBorders>
            <w:shd w:val="clear" w:color="auto" w:fill="auto"/>
            <w:noWrap/>
            <w:vAlign w:val="bottom"/>
            <w:hideMark/>
          </w:tcPr>
          <w:p w14:paraId="30F7F128" w14:textId="123001C3" w:rsidR="00E9291B" w:rsidRPr="0004140A" w:rsidRDefault="00E9291B" w:rsidP="001E7D6C">
            <w:pPr>
              <w:spacing w:after="0" w:line="240" w:lineRule="auto"/>
              <w:rPr>
                <w:rFonts w:eastAsia="Times New Roman" w:cs="Calibri"/>
                <w:b/>
                <w:bCs/>
                <w:color w:val="000000"/>
                <w:sz w:val="24"/>
                <w:szCs w:val="24"/>
              </w:rPr>
            </w:pPr>
            <w:r w:rsidRPr="0004140A">
              <w:rPr>
                <w:rFonts w:eastAsia="Times New Roman" w:cs="Calibri"/>
                <w:b/>
                <w:bCs/>
                <w:color w:val="000000"/>
                <w:sz w:val="24"/>
                <w:szCs w:val="24"/>
              </w:rPr>
              <w:t xml:space="preserve">T22 FY21 Class </w:t>
            </w:r>
            <w:r>
              <w:rPr>
                <w:rFonts w:eastAsia="Times New Roman" w:cs="Calibri"/>
                <w:b/>
                <w:bCs/>
                <w:color w:val="000000"/>
                <w:sz w:val="24"/>
                <w:szCs w:val="24"/>
              </w:rPr>
              <w:t>–</w:t>
            </w:r>
            <w:r w:rsidRPr="0004140A">
              <w:rPr>
                <w:rFonts w:eastAsia="Times New Roman" w:cs="Calibri"/>
                <w:b/>
                <w:bCs/>
                <w:color w:val="000000"/>
                <w:sz w:val="24"/>
                <w:szCs w:val="24"/>
              </w:rPr>
              <w:t xml:space="preserve"> </w:t>
            </w:r>
            <w:r>
              <w:rPr>
                <w:rFonts w:eastAsia="Times New Roman" w:cs="Calibri"/>
                <w:b/>
                <w:bCs/>
                <w:color w:val="000000"/>
                <w:sz w:val="24"/>
                <w:szCs w:val="24"/>
              </w:rPr>
              <w:t>Breakdown where reported</w:t>
            </w:r>
          </w:p>
        </w:tc>
        <w:tc>
          <w:tcPr>
            <w:tcW w:w="1106" w:type="dxa"/>
            <w:tcBorders>
              <w:top w:val="nil"/>
              <w:left w:val="nil"/>
              <w:bottom w:val="nil"/>
              <w:right w:val="nil"/>
            </w:tcBorders>
            <w:shd w:val="clear" w:color="auto" w:fill="auto"/>
            <w:noWrap/>
            <w:vAlign w:val="bottom"/>
            <w:hideMark/>
          </w:tcPr>
          <w:p w14:paraId="32EB61A0" w14:textId="77777777" w:rsidR="00E9291B" w:rsidRPr="0004140A" w:rsidRDefault="00E9291B" w:rsidP="001E7D6C">
            <w:pPr>
              <w:spacing w:after="0" w:line="240" w:lineRule="auto"/>
              <w:rPr>
                <w:rFonts w:eastAsia="Times New Roman" w:cs="Calibri"/>
                <w:b/>
                <w:bCs/>
                <w:color w:val="000000"/>
                <w:sz w:val="24"/>
                <w:szCs w:val="24"/>
              </w:rPr>
            </w:pPr>
          </w:p>
        </w:tc>
        <w:tc>
          <w:tcPr>
            <w:tcW w:w="1106" w:type="dxa"/>
            <w:tcBorders>
              <w:top w:val="nil"/>
              <w:left w:val="nil"/>
              <w:bottom w:val="nil"/>
              <w:right w:val="nil"/>
            </w:tcBorders>
            <w:shd w:val="clear" w:color="auto" w:fill="auto"/>
            <w:noWrap/>
            <w:vAlign w:val="bottom"/>
            <w:hideMark/>
          </w:tcPr>
          <w:p w14:paraId="0B0D05A7" w14:textId="77777777" w:rsidR="00E9291B" w:rsidRPr="0004140A" w:rsidRDefault="00E9291B" w:rsidP="001E7D6C">
            <w:pPr>
              <w:spacing w:after="0" w:line="240" w:lineRule="auto"/>
              <w:rPr>
                <w:rFonts w:ascii="Times New Roman" w:eastAsia="Times New Roman" w:hAnsi="Times New Roman"/>
                <w:sz w:val="20"/>
                <w:szCs w:val="20"/>
              </w:rPr>
            </w:pPr>
          </w:p>
        </w:tc>
        <w:tc>
          <w:tcPr>
            <w:tcW w:w="1106" w:type="dxa"/>
            <w:tcBorders>
              <w:top w:val="nil"/>
              <w:left w:val="nil"/>
              <w:bottom w:val="nil"/>
              <w:right w:val="nil"/>
            </w:tcBorders>
            <w:shd w:val="clear" w:color="auto" w:fill="auto"/>
            <w:noWrap/>
            <w:vAlign w:val="bottom"/>
            <w:hideMark/>
          </w:tcPr>
          <w:p w14:paraId="0D9E98EF" w14:textId="77777777" w:rsidR="00E9291B" w:rsidRPr="0004140A" w:rsidRDefault="00E9291B" w:rsidP="001E7D6C">
            <w:pPr>
              <w:spacing w:after="0" w:line="240" w:lineRule="auto"/>
              <w:rPr>
                <w:rFonts w:ascii="Times New Roman" w:eastAsia="Times New Roman" w:hAnsi="Times New Roman"/>
                <w:sz w:val="20"/>
                <w:szCs w:val="20"/>
              </w:rPr>
            </w:pPr>
          </w:p>
        </w:tc>
      </w:tr>
      <w:tr w:rsidR="00E9291B" w:rsidRPr="0004140A" w14:paraId="0E7FCB48" w14:textId="77777777" w:rsidTr="00E9291B">
        <w:trPr>
          <w:trHeight w:val="290"/>
        </w:trPr>
        <w:tc>
          <w:tcPr>
            <w:tcW w:w="2412" w:type="dxa"/>
            <w:tcBorders>
              <w:top w:val="single" w:sz="8" w:space="0" w:color="auto"/>
              <w:left w:val="single" w:sz="8" w:space="0" w:color="auto"/>
              <w:bottom w:val="single" w:sz="4" w:space="0" w:color="auto"/>
              <w:right w:val="single" w:sz="4" w:space="0" w:color="auto"/>
            </w:tcBorders>
            <w:shd w:val="clear" w:color="000000" w:fill="C0C0C0"/>
            <w:noWrap/>
            <w:vAlign w:val="bottom"/>
            <w:hideMark/>
          </w:tcPr>
          <w:p w14:paraId="604139CE" w14:textId="77777777" w:rsidR="00E9291B" w:rsidRPr="0004140A" w:rsidRDefault="00E9291B" w:rsidP="001E7D6C">
            <w:pPr>
              <w:spacing w:after="0" w:line="240" w:lineRule="auto"/>
              <w:jc w:val="center"/>
              <w:rPr>
                <w:rFonts w:eastAsia="Times New Roman" w:cs="Calibri"/>
                <w:color w:val="000000"/>
              </w:rPr>
            </w:pPr>
            <w:r w:rsidRPr="0004140A">
              <w:rPr>
                <w:rFonts w:eastAsia="Times New Roman" w:cs="Calibri"/>
                <w:color w:val="000000"/>
              </w:rPr>
              <w:t>Race &amp; Ethnicity*</w:t>
            </w:r>
          </w:p>
        </w:tc>
        <w:tc>
          <w:tcPr>
            <w:tcW w:w="1106" w:type="dxa"/>
            <w:tcBorders>
              <w:top w:val="single" w:sz="8" w:space="0" w:color="auto"/>
              <w:left w:val="nil"/>
              <w:bottom w:val="single" w:sz="4" w:space="0" w:color="auto"/>
              <w:right w:val="single" w:sz="4" w:space="0" w:color="auto"/>
            </w:tcBorders>
            <w:shd w:val="clear" w:color="000000" w:fill="C0C0C0"/>
            <w:noWrap/>
            <w:vAlign w:val="bottom"/>
            <w:hideMark/>
          </w:tcPr>
          <w:p w14:paraId="415380A2" w14:textId="77777777" w:rsidR="00E9291B" w:rsidRPr="0004140A" w:rsidRDefault="00E9291B" w:rsidP="001E7D6C">
            <w:pPr>
              <w:spacing w:after="0" w:line="240" w:lineRule="auto"/>
              <w:jc w:val="center"/>
              <w:rPr>
                <w:rFonts w:eastAsia="Times New Roman" w:cs="Calibri"/>
                <w:color w:val="000000"/>
              </w:rPr>
            </w:pPr>
            <w:r w:rsidRPr="0004140A">
              <w:rPr>
                <w:rFonts w:eastAsia="Times New Roman" w:cs="Calibri"/>
                <w:color w:val="000000"/>
              </w:rPr>
              <w:t>ASD/ID</w:t>
            </w:r>
          </w:p>
        </w:tc>
        <w:tc>
          <w:tcPr>
            <w:tcW w:w="1106" w:type="dxa"/>
            <w:tcBorders>
              <w:top w:val="single" w:sz="8" w:space="0" w:color="auto"/>
              <w:left w:val="nil"/>
              <w:bottom w:val="single" w:sz="4" w:space="0" w:color="auto"/>
              <w:right w:val="nil"/>
            </w:tcBorders>
            <w:shd w:val="clear" w:color="000000" w:fill="C0C0C0"/>
            <w:noWrap/>
            <w:vAlign w:val="bottom"/>
            <w:hideMark/>
          </w:tcPr>
          <w:p w14:paraId="3B7A96CD" w14:textId="77777777" w:rsidR="00E9291B" w:rsidRPr="0004140A" w:rsidRDefault="00E9291B" w:rsidP="001E7D6C">
            <w:pPr>
              <w:spacing w:after="0" w:line="240" w:lineRule="auto"/>
              <w:jc w:val="center"/>
              <w:rPr>
                <w:rFonts w:eastAsia="Times New Roman" w:cs="Calibri"/>
                <w:color w:val="000000"/>
              </w:rPr>
            </w:pPr>
            <w:r w:rsidRPr="0004140A">
              <w:rPr>
                <w:rFonts w:eastAsia="Times New Roman" w:cs="Calibri"/>
                <w:color w:val="000000"/>
              </w:rPr>
              <w:t>ASD Only</w:t>
            </w:r>
          </w:p>
        </w:tc>
        <w:tc>
          <w:tcPr>
            <w:tcW w:w="1106" w:type="dxa"/>
            <w:tcBorders>
              <w:top w:val="single" w:sz="8" w:space="0" w:color="auto"/>
              <w:left w:val="single" w:sz="8" w:space="0" w:color="auto"/>
              <w:bottom w:val="single" w:sz="4" w:space="0" w:color="auto"/>
              <w:right w:val="single" w:sz="8" w:space="0" w:color="auto"/>
            </w:tcBorders>
            <w:shd w:val="clear" w:color="000000" w:fill="C0C0C0"/>
            <w:noWrap/>
            <w:vAlign w:val="bottom"/>
            <w:hideMark/>
          </w:tcPr>
          <w:p w14:paraId="68F8090B" w14:textId="77777777" w:rsidR="00E9291B" w:rsidRPr="0004140A" w:rsidRDefault="00E9291B" w:rsidP="001E7D6C">
            <w:pPr>
              <w:spacing w:after="0" w:line="240" w:lineRule="auto"/>
              <w:jc w:val="center"/>
              <w:rPr>
                <w:rFonts w:eastAsia="Times New Roman" w:cs="Calibri"/>
                <w:b/>
                <w:bCs/>
                <w:color w:val="000000"/>
              </w:rPr>
            </w:pPr>
            <w:r w:rsidRPr="0004140A">
              <w:rPr>
                <w:rFonts w:eastAsia="Times New Roman" w:cs="Calibri"/>
                <w:b/>
                <w:bCs/>
                <w:color w:val="000000"/>
              </w:rPr>
              <w:t>Total</w:t>
            </w:r>
          </w:p>
        </w:tc>
      </w:tr>
      <w:tr w:rsidR="00E9291B" w:rsidRPr="0004140A" w14:paraId="1000D114" w14:textId="77777777" w:rsidTr="00E9291B">
        <w:trPr>
          <w:trHeight w:val="290"/>
        </w:trPr>
        <w:tc>
          <w:tcPr>
            <w:tcW w:w="2412" w:type="dxa"/>
            <w:tcBorders>
              <w:top w:val="nil"/>
              <w:left w:val="single" w:sz="8" w:space="0" w:color="auto"/>
              <w:bottom w:val="single" w:sz="4" w:space="0" w:color="auto"/>
              <w:right w:val="single" w:sz="4" w:space="0" w:color="auto"/>
            </w:tcBorders>
            <w:shd w:val="clear" w:color="auto" w:fill="auto"/>
            <w:vAlign w:val="bottom"/>
            <w:hideMark/>
          </w:tcPr>
          <w:p w14:paraId="57A64C4A" w14:textId="77777777" w:rsidR="00E9291B" w:rsidRPr="0004140A" w:rsidRDefault="00E9291B" w:rsidP="001E7D6C">
            <w:pPr>
              <w:spacing w:after="0" w:line="240" w:lineRule="auto"/>
              <w:rPr>
                <w:rFonts w:eastAsia="Times New Roman" w:cs="Calibri"/>
                <w:color w:val="000000"/>
              </w:rPr>
            </w:pPr>
            <w:r w:rsidRPr="0004140A">
              <w:rPr>
                <w:rFonts w:eastAsia="Times New Roman" w:cs="Calibri"/>
                <w:color w:val="000000"/>
              </w:rPr>
              <w:t>Missing Race</w:t>
            </w:r>
          </w:p>
        </w:tc>
        <w:tc>
          <w:tcPr>
            <w:tcW w:w="1106" w:type="dxa"/>
            <w:tcBorders>
              <w:top w:val="nil"/>
              <w:left w:val="nil"/>
              <w:bottom w:val="single" w:sz="4" w:space="0" w:color="auto"/>
              <w:right w:val="single" w:sz="4" w:space="0" w:color="auto"/>
            </w:tcBorders>
            <w:shd w:val="clear" w:color="auto" w:fill="auto"/>
            <w:vAlign w:val="bottom"/>
            <w:hideMark/>
          </w:tcPr>
          <w:p w14:paraId="21C9A97F" w14:textId="77777777" w:rsidR="00E9291B" w:rsidRPr="0004140A" w:rsidRDefault="00E9291B" w:rsidP="001E7D6C">
            <w:pPr>
              <w:spacing w:after="0" w:line="240" w:lineRule="auto"/>
              <w:jc w:val="right"/>
              <w:rPr>
                <w:rFonts w:eastAsia="Times New Roman" w:cs="Calibri"/>
                <w:color w:val="000000"/>
              </w:rPr>
            </w:pPr>
            <w:r w:rsidRPr="0004140A">
              <w:rPr>
                <w:rFonts w:eastAsia="Times New Roman" w:cs="Calibri"/>
                <w:color w:val="000000"/>
              </w:rPr>
              <w:t>143</w:t>
            </w:r>
          </w:p>
        </w:tc>
        <w:tc>
          <w:tcPr>
            <w:tcW w:w="1106" w:type="dxa"/>
            <w:tcBorders>
              <w:top w:val="nil"/>
              <w:left w:val="nil"/>
              <w:bottom w:val="single" w:sz="4" w:space="0" w:color="auto"/>
              <w:right w:val="nil"/>
            </w:tcBorders>
            <w:shd w:val="clear" w:color="auto" w:fill="auto"/>
            <w:vAlign w:val="bottom"/>
            <w:hideMark/>
          </w:tcPr>
          <w:p w14:paraId="50783538" w14:textId="77777777" w:rsidR="00E9291B" w:rsidRPr="0004140A" w:rsidRDefault="00E9291B" w:rsidP="001E7D6C">
            <w:pPr>
              <w:spacing w:after="0" w:line="240" w:lineRule="auto"/>
              <w:jc w:val="right"/>
              <w:rPr>
                <w:rFonts w:eastAsia="Times New Roman" w:cs="Calibri"/>
                <w:color w:val="000000"/>
              </w:rPr>
            </w:pPr>
            <w:r w:rsidRPr="0004140A">
              <w:rPr>
                <w:rFonts w:eastAsia="Times New Roman" w:cs="Calibri"/>
                <w:color w:val="000000"/>
              </w:rPr>
              <w:t>274</w:t>
            </w:r>
          </w:p>
        </w:tc>
        <w:tc>
          <w:tcPr>
            <w:tcW w:w="1106" w:type="dxa"/>
            <w:tcBorders>
              <w:top w:val="nil"/>
              <w:left w:val="single" w:sz="8" w:space="0" w:color="auto"/>
              <w:bottom w:val="single" w:sz="4" w:space="0" w:color="auto"/>
              <w:right w:val="single" w:sz="8" w:space="0" w:color="auto"/>
            </w:tcBorders>
            <w:shd w:val="clear" w:color="auto" w:fill="auto"/>
            <w:noWrap/>
            <w:vAlign w:val="bottom"/>
            <w:hideMark/>
          </w:tcPr>
          <w:p w14:paraId="2E9E7525" w14:textId="77777777" w:rsidR="00E9291B" w:rsidRPr="0004140A" w:rsidRDefault="00E9291B" w:rsidP="001E7D6C">
            <w:pPr>
              <w:spacing w:after="0" w:line="240" w:lineRule="auto"/>
              <w:jc w:val="right"/>
              <w:rPr>
                <w:rFonts w:eastAsia="Times New Roman" w:cs="Calibri"/>
                <w:b/>
                <w:bCs/>
                <w:color w:val="000000"/>
              </w:rPr>
            </w:pPr>
            <w:r w:rsidRPr="0004140A">
              <w:rPr>
                <w:rFonts w:eastAsia="Times New Roman" w:cs="Calibri"/>
                <w:b/>
                <w:bCs/>
                <w:color w:val="000000"/>
              </w:rPr>
              <w:t>417</w:t>
            </w:r>
          </w:p>
        </w:tc>
      </w:tr>
      <w:tr w:rsidR="00E9291B" w:rsidRPr="0004140A" w14:paraId="1B320F24" w14:textId="77777777" w:rsidTr="00E9291B">
        <w:trPr>
          <w:trHeight w:val="290"/>
        </w:trPr>
        <w:tc>
          <w:tcPr>
            <w:tcW w:w="2412" w:type="dxa"/>
            <w:tcBorders>
              <w:top w:val="nil"/>
              <w:left w:val="single" w:sz="8" w:space="0" w:color="auto"/>
              <w:bottom w:val="single" w:sz="4" w:space="0" w:color="auto"/>
              <w:right w:val="single" w:sz="4" w:space="0" w:color="auto"/>
            </w:tcBorders>
            <w:shd w:val="clear" w:color="auto" w:fill="auto"/>
            <w:vAlign w:val="bottom"/>
            <w:hideMark/>
          </w:tcPr>
          <w:p w14:paraId="0A61AE6E" w14:textId="77777777" w:rsidR="00E9291B" w:rsidRPr="0004140A" w:rsidRDefault="00E9291B" w:rsidP="001E7D6C">
            <w:pPr>
              <w:spacing w:after="0" w:line="240" w:lineRule="auto"/>
              <w:rPr>
                <w:rFonts w:eastAsia="Times New Roman" w:cs="Calibri"/>
                <w:color w:val="000000"/>
              </w:rPr>
            </w:pPr>
            <w:r w:rsidRPr="0004140A">
              <w:rPr>
                <w:rFonts w:eastAsia="Times New Roman" w:cs="Calibri"/>
                <w:color w:val="000000"/>
              </w:rPr>
              <w:t xml:space="preserve">ASIAN/PACIFIC ISLANDER </w:t>
            </w:r>
          </w:p>
        </w:tc>
        <w:tc>
          <w:tcPr>
            <w:tcW w:w="1106" w:type="dxa"/>
            <w:tcBorders>
              <w:top w:val="nil"/>
              <w:left w:val="nil"/>
              <w:bottom w:val="single" w:sz="4" w:space="0" w:color="auto"/>
              <w:right w:val="single" w:sz="4" w:space="0" w:color="auto"/>
            </w:tcBorders>
            <w:shd w:val="clear" w:color="auto" w:fill="auto"/>
            <w:vAlign w:val="bottom"/>
            <w:hideMark/>
          </w:tcPr>
          <w:p w14:paraId="606D7459" w14:textId="77777777" w:rsidR="00E9291B" w:rsidRPr="0004140A" w:rsidRDefault="00E9291B" w:rsidP="001E7D6C">
            <w:pPr>
              <w:spacing w:after="0" w:line="240" w:lineRule="auto"/>
              <w:jc w:val="right"/>
              <w:rPr>
                <w:rFonts w:eastAsia="Times New Roman" w:cs="Calibri"/>
                <w:color w:val="000000"/>
              </w:rPr>
            </w:pPr>
            <w:r w:rsidRPr="0004140A">
              <w:rPr>
                <w:rFonts w:eastAsia="Times New Roman" w:cs="Calibri"/>
                <w:color w:val="000000"/>
              </w:rPr>
              <w:t>11</w:t>
            </w:r>
          </w:p>
        </w:tc>
        <w:tc>
          <w:tcPr>
            <w:tcW w:w="1106" w:type="dxa"/>
            <w:tcBorders>
              <w:top w:val="nil"/>
              <w:left w:val="nil"/>
              <w:bottom w:val="single" w:sz="4" w:space="0" w:color="auto"/>
              <w:right w:val="nil"/>
            </w:tcBorders>
            <w:shd w:val="clear" w:color="auto" w:fill="auto"/>
            <w:vAlign w:val="bottom"/>
            <w:hideMark/>
          </w:tcPr>
          <w:p w14:paraId="6215519F" w14:textId="77777777" w:rsidR="00E9291B" w:rsidRPr="0004140A" w:rsidRDefault="00E9291B" w:rsidP="001E7D6C">
            <w:pPr>
              <w:spacing w:after="0" w:line="240" w:lineRule="auto"/>
              <w:jc w:val="right"/>
              <w:rPr>
                <w:rFonts w:eastAsia="Times New Roman" w:cs="Calibri"/>
                <w:color w:val="000000"/>
              </w:rPr>
            </w:pPr>
            <w:r w:rsidRPr="0004140A">
              <w:rPr>
                <w:rFonts w:eastAsia="Times New Roman" w:cs="Calibri"/>
                <w:color w:val="000000"/>
              </w:rPr>
              <w:t>1</w:t>
            </w:r>
          </w:p>
        </w:tc>
        <w:tc>
          <w:tcPr>
            <w:tcW w:w="1106" w:type="dxa"/>
            <w:tcBorders>
              <w:top w:val="nil"/>
              <w:left w:val="single" w:sz="8" w:space="0" w:color="auto"/>
              <w:bottom w:val="single" w:sz="4" w:space="0" w:color="auto"/>
              <w:right w:val="single" w:sz="8" w:space="0" w:color="auto"/>
            </w:tcBorders>
            <w:shd w:val="clear" w:color="auto" w:fill="auto"/>
            <w:noWrap/>
            <w:vAlign w:val="bottom"/>
            <w:hideMark/>
          </w:tcPr>
          <w:p w14:paraId="66E9320D" w14:textId="77777777" w:rsidR="00E9291B" w:rsidRPr="0004140A" w:rsidRDefault="00E9291B" w:rsidP="001E7D6C">
            <w:pPr>
              <w:spacing w:after="0" w:line="240" w:lineRule="auto"/>
              <w:jc w:val="right"/>
              <w:rPr>
                <w:rFonts w:eastAsia="Times New Roman" w:cs="Calibri"/>
                <w:b/>
                <w:bCs/>
                <w:color w:val="000000"/>
              </w:rPr>
            </w:pPr>
            <w:r w:rsidRPr="0004140A">
              <w:rPr>
                <w:rFonts w:eastAsia="Times New Roman" w:cs="Calibri"/>
                <w:b/>
                <w:bCs/>
                <w:color w:val="000000"/>
              </w:rPr>
              <w:t>12</w:t>
            </w:r>
          </w:p>
        </w:tc>
      </w:tr>
      <w:tr w:rsidR="00E9291B" w:rsidRPr="0004140A" w14:paraId="2494B1A2" w14:textId="77777777" w:rsidTr="00E9291B">
        <w:trPr>
          <w:trHeight w:val="290"/>
        </w:trPr>
        <w:tc>
          <w:tcPr>
            <w:tcW w:w="2412" w:type="dxa"/>
            <w:tcBorders>
              <w:top w:val="nil"/>
              <w:left w:val="single" w:sz="8" w:space="0" w:color="auto"/>
              <w:bottom w:val="single" w:sz="4" w:space="0" w:color="auto"/>
              <w:right w:val="single" w:sz="4" w:space="0" w:color="auto"/>
            </w:tcBorders>
            <w:shd w:val="clear" w:color="auto" w:fill="auto"/>
            <w:vAlign w:val="bottom"/>
            <w:hideMark/>
          </w:tcPr>
          <w:p w14:paraId="6A7B9990" w14:textId="77777777" w:rsidR="00E9291B" w:rsidRPr="0004140A" w:rsidRDefault="00E9291B" w:rsidP="001E7D6C">
            <w:pPr>
              <w:spacing w:after="0" w:line="240" w:lineRule="auto"/>
              <w:rPr>
                <w:rFonts w:eastAsia="Times New Roman" w:cs="Calibri"/>
                <w:color w:val="000000"/>
              </w:rPr>
            </w:pPr>
            <w:r w:rsidRPr="0004140A">
              <w:rPr>
                <w:rFonts w:eastAsia="Times New Roman" w:cs="Calibri"/>
                <w:color w:val="000000"/>
              </w:rPr>
              <w:t xml:space="preserve">BLACK OR AFRICAN AMERICAN </w:t>
            </w:r>
          </w:p>
        </w:tc>
        <w:tc>
          <w:tcPr>
            <w:tcW w:w="1106" w:type="dxa"/>
            <w:tcBorders>
              <w:top w:val="nil"/>
              <w:left w:val="nil"/>
              <w:bottom w:val="single" w:sz="4" w:space="0" w:color="auto"/>
              <w:right w:val="single" w:sz="4" w:space="0" w:color="auto"/>
            </w:tcBorders>
            <w:shd w:val="clear" w:color="auto" w:fill="auto"/>
            <w:vAlign w:val="bottom"/>
            <w:hideMark/>
          </w:tcPr>
          <w:p w14:paraId="22BF2013" w14:textId="77777777" w:rsidR="00E9291B" w:rsidRPr="0004140A" w:rsidRDefault="00E9291B" w:rsidP="001E7D6C">
            <w:pPr>
              <w:spacing w:after="0" w:line="240" w:lineRule="auto"/>
              <w:jc w:val="right"/>
              <w:rPr>
                <w:rFonts w:eastAsia="Times New Roman" w:cs="Calibri"/>
                <w:color w:val="000000"/>
              </w:rPr>
            </w:pPr>
            <w:r w:rsidRPr="0004140A">
              <w:rPr>
                <w:rFonts w:eastAsia="Times New Roman" w:cs="Calibri"/>
                <w:color w:val="000000"/>
              </w:rPr>
              <w:t>15</w:t>
            </w:r>
          </w:p>
        </w:tc>
        <w:tc>
          <w:tcPr>
            <w:tcW w:w="1106" w:type="dxa"/>
            <w:tcBorders>
              <w:top w:val="nil"/>
              <w:left w:val="nil"/>
              <w:bottom w:val="single" w:sz="4" w:space="0" w:color="auto"/>
              <w:right w:val="nil"/>
            </w:tcBorders>
            <w:shd w:val="clear" w:color="auto" w:fill="auto"/>
            <w:vAlign w:val="bottom"/>
            <w:hideMark/>
          </w:tcPr>
          <w:p w14:paraId="193E4EEC" w14:textId="77777777" w:rsidR="00E9291B" w:rsidRPr="0004140A" w:rsidRDefault="00E9291B" w:rsidP="001E7D6C">
            <w:pPr>
              <w:spacing w:after="0" w:line="240" w:lineRule="auto"/>
              <w:jc w:val="right"/>
              <w:rPr>
                <w:rFonts w:eastAsia="Times New Roman" w:cs="Calibri"/>
                <w:color w:val="000000"/>
              </w:rPr>
            </w:pPr>
            <w:r w:rsidRPr="0004140A">
              <w:rPr>
                <w:rFonts w:eastAsia="Times New Roman" w:cs="Calibri"/>
                <w:color w:val="000000"/>
              </w:rPr>
              <w:t>3</w:t>
            </w:r>
          </w:p>
        </w:tc>
        <w:tc>
          <w:tcPr>
            <w:tcW w:w="1106" w:type="dxa"/>
            <w:tcBorders>
              <w:top w:val="nil"/>
              <w:left w:val="single" w:sz="8" w:space="0" w:color="auto"/>
              <w:bottom w:val="single" w:sz="4" w:space="0" w:color="auto"/>
              <w:right w:val="single" w:sz="8" w:space="0" w:color="auto"/>
            </w:tcBorders>
            <w:shd w:val="clear" w:color="auto" w:fill="auto"/>
            <w:noWrap/>
            <w:vAlign w:val="bottom"/>
            <w:hideMark/>
          </w:tcPr>
          <w:p w14:paraId="06667B4B" w14:textId="77777777" w:rsidR="00E9291B" w:rsidRPr="0004140A" w:rsidRDefault="00E9291B" w:rsidP="001E7D6C">
            <w:pPr>
              <w:spacing w:after="0" w:line="240" w:lineRule="auto"/>
              <w:jc w:val="right"/>
              <w:rPr>
                <w:rFonts w:eastAsia="Times New Roman" w:cs="Calibri"/>
                <w:b/>
                <w:bCs/>
                <w:color w:val="000000"/>
              </w:rPr>
            </w:pPr>
            <w:r w:rsidRPr="0004140A">
              <w:rPr>
                <w:rFonts w:eastAsia="Times New Roman" w:cs="Calibri"/>
                <w:b/>
                <w:bCs/>
                <w:color w:val="000000"/>
              </w:rPr>
              <w:t>18</w:t>
            </w:r>
          </w:p>
        </w:tc>
      </w:tr>
      <w:tr w:rsidR="00E9291B" w:rsidRPr="0004140A" w14:paraId="007625EB" w14:textId="77777777" w:rsidTr="00E9291B">
        <w:trPr>
          <w:trHeight w:val="290"/>
        </w:trPr>
        <w:tc>
          <w:tcPr>
            <w:tcW w:w="2412" w:type="dxa"/>
            <w:tcBorders>
              <w:top w:val="nil"/>
              <w:left w:val="single" w:sz="8" w:space="0" w:color="auto"/>
              <w:bottom w:val="single" w:sz="4" w:space="0" w:color="auto"/>
              <w:right w:val="single" w:sz="4" w:space="0" w:color="auto"/>
            </w:tcBorders>
            <w:shd w:val="clear" w:color="auto" w:fill="auto"/>
            <w:vAlign w:val="bottom"/>
            <w:hideMark/>
          </w:tcPr>
          <w:p w14:paraId="776F4EF8" w14:textId="77777777" w:rsidR="00E9291B" w:rsidRPr="0004140A" w:rsidRDefault="00E9291B" w:rsidP="001E7D6C">
            <w:pPr>
              <w:spacing w:after="0" w:line="240" w:lineRule="auto"/>
              <w:rPr>
                <w:rFonts w:eastAsia="Times New Roman" w:cs="Calibri"/>
                <w:color w:val="000000"/>
              </w:rPr>
            </w:pPr>
            <w:r w:rsidRPr="0004140A">
              <w:rPr>
                <w:rFonts w:eastAsia="Times New Roman" w:cs="Calibri"/>
                <w:color w:val="000000"/>
              </w:rPr>
              <w:t xml:space="preserve">CAUCASIAN </w:t>
            </w:r>
          </w:p>
        </w:tc>
        <w:tc>
          <w:tcPr>
            <w:tcW w:w="1106" w:type="dxa"/>
            <w:tcBorders>
              <w:top w:val="nil"/>
              <w:left w:val="nil"/>
              <w:bottom w:val="single" w:sz="4" w:space="0" w:color="auto"/>
              <w:right w:val="single" w:sz="4" w:space="0" w:color="auto"/>
            </w:tcBorders>
            <w:shd w:val="clear" w:color="auto" w:fill="auto"/>
            <w:vAlign w:val="bottom"/>
            <w:hideMark/>
          </w:tcPr>
          <w:p w14:paraId="04356600" w14:textId="77777777" w:rsidR="00E9291B" w:rsidRPr="0004140A" w:rsidRDefault="00E9291B" w:rsidP="001E7D6C">
            <w:pPr>
              <w:spacing w:after="0" w:line="240" w:lineRule="auto"/>
              <w:jc w:val="right"/>
              <w:rPr>
                <w:rFonts w:eastAsia="Times New Roman" w:cs="Calibri"/>
                <w:color w:val="000000"/>
              </w:rPr>
            </w:pPr>
            <w:r w:rsidRPr="0004140A">
              <w:rPr>
                <w:rFonts w:eastAsia="Times New Roman" w:cs="Calibri"/>
                <w:color w:val="000000"/>
              </w:rPr>
              <w:t>71</w:t>
            </w:r>
          </w:p>
        </w:tc>
        <w:tc>
          <w:tcPr>
            <w:tcW w:w="1106" w:type="dxa"/>
            <w:tcBorders>
              <w:top w:val="nil"/>
              <w:left w:val="nil"/>
              <w:bottom w:val="single" w:sz="4" w:space="0" w:color="auto"/>
              <w:right w:val="nil"/>
            </w:tcBorders>
            <w:shd w:val="clear" w:color="auto" w:fill="auto"/>
            <w:vAlign w:val="bottom"/>
            <w:hideMark/>
          </w:tcPr>
          <w:p w14:paraId="0F96C2AE" w14:textId="77777777" w:rsidR="00E9291B" w:rsidRPr="0004140A" w:rsidRDefault="00E9291B" w:rsidP="001E7D6C">
            <w:pPr>
              <w:spacing w:after="0" w:line="240" w:lineRule="auto"/>
              <w:jc w:val="right"/>
              <w:rPr>
                <w:rFonts w:eastAsia="Times New Roman" w:cs="Calibri"/>
                <w:color w:val="000000"/>
              </w:rPr>
            </w:pPr>
            <w:r w:rsidRPr="0004140A">
              <w:rPr>
                <w:rFonts w:eastAsia="Times New Roman" w:cs="Calibri"/>
                <w:color w:val="000000"/>
              </w:rPr>
              <w:t>77</w:t>
            </w:r>
          </w:p>
        </w:tc>
        <w:tc>
          <w:tcPr>
            <w:tcW w:w="1106" w:type="dxa"/>
            <w:tcBorders>
              <w:top w:val="nil"/>
              <w:left w:val="single" w:sz="8" w:space="0" w:color="auto"/>
              <w:bottom w:val="single" w:sz="4" w:space="0" w:color="auto"/>
              <w:right w:val="single" w:sz="8" w:space="0" w:color="auto"/>
            </w:tcBorders>
            <w:shd w:val="clear" w:color="auto" w:fill="auto"/>
            <w:noWrap/>
            <w:vAlign w:val="bottom"/>
            <w:hideMark/>
          </w:tcPr>
          <w:p w14:paraId="25B734ED" w14:textId="77777777" w:rsidR="00E9291B" w:rsidRPr="0004140A" w:rsidRDefault="00E9291B" w:rsidP="001E7D6C">
            <w:pPr>
              <w:spacing w:after="0" w:line="240" w:lineRule="auto"/>
              <w:jc w:val="right"/>
              <w:rPr>
                <w:rFonts w:eastAsia="Times New Roman" w:cs="Calibri"/>
                <w:b/>
                <w:bCs/>
                <w:color w:val="000000"/>
              </w:rPr>
            </w:pPr>
            <w:r w:rsidRPr="0004140A">
              <w:rPr>
                <w:rFonts w:eastAsia="Times New Roman" w:cs="Calibri"/>
                <w:b/>
                <w:bCs/>
                <w:color w:val="000000"/>
              </w:rPr>
              <w:t>148</w:t>
            </w:r>
          </w:p>
        </w:tc>
      </w:tr>
      <w:tr w:rsidR="00E9291B" w:rsidRPr="0004140A" w14:paraId="0712CA76" w14:textId="77777777" w:rsidTr="00E9291B">
        <w:trPr>
          <w:trHeight w:val="290"/>
        </w:trPr>
        <w:tc>
          <w:tcPr>
            <w:tcW w:w="2412" w:type="dxa"/>
            <w:tcBorders>
              <w:top w:val="nil"/>
              <w:left w:val="single" w:sz="8" w:space="0" w:color="auto"/>
              <w:bottom w:val="single" w:sz="4" w:space="0" w:color="auto"/>
              <w:right w:val="single" w:sz="4" w:space="0" w:color="auto"/>
            </w:tcBorders>
            <w:shd w:val="clear" w:color="auto" w:fill="auto"/>
            <w:vAlign w:val="bottom"/>
            <w:hideMark/>
          </w:tcPr>
          <w:p w14:paraId="4F99563A" w14:textId="77777777" w:rsidR="00E9291B" w:rsidRPr="0004140A" w:rsidRDefault="00E9291B" w:rsidP="001E7D6C">
            <w:pPr>
              <w:spacing w:after="0" w:line="240" w:lineRule="auto"/>
              <w:rPr>
                <w:rFonts w:eastAsia="Times New Roman" w:cs="Calibri"/>
                <w:color w:val="000000"/>
              </w:rPr>
            </w:pPr>
            <w:r w:rsidRPr="0004140A">
              <w:rPr>
                <w:rFonts w:eastAsia="Times New Roman" w:cs="Calibri"/>
                <w:color w:val="000000"/>
              </w:rPr>
              <w:t xml:space="preserve">MULTI-RACIAL/MIXED </w:t>
            </w:r>
          </w:p>
        </w:tc>
        <w:tc>
          <w:tcPr>
            <w:tcW w:w="1106" w:type="dxa"/>
            <w:tcBorders>
              <w:top w:val="nil"/>
              <w:left w:val="nil"/>
              <w:bottom w:val="single" w:sz="4" w:space="0" w:color="auto"/>
              <w:right w:val="single" w:sz="4" w:space="0" w:color="auto"/>
            </w:tcBorders>
            <w:shd w:val="clear" w:color="auto" w:fill="auto"/>
            <w:vAlign w:val="bottom"/>
            <w:hideMark/>
          </w:tcPr>
          <w:p w14:paraId="488DCF34" w14:textId="77777777" w:rsidR="00E9291B" w:rsidRPr="0004140A" w:rsidRDefault="00E9291B" w:rsidP="001E7D6C">
            <w:pPr>
              <w:spacing w:after="0" w:line="240" w:lineRule="auto"/>
              <w:jc w:val="right"/>
              <w:rPr>
                <w:rFonts w:eastAsia="Times New Roman" w:cs="Calibri"/>
                <w:color w:val="000000"/>
              </w:rPr>
            </w:pPr>
            <w:r w:rsidRPr="0004140A">
              <w:rPr>
                <w:rFonts w:eastAsia="Times New Roman" w:cs="Calibri"/>
                <w:color w:val="000000"/>
              </w:rPr>
              <w:t>2</w:t>
            </w:r>
          </w:p>
        </w:tc>
        <w:tc>
          <w:tcPr>
            <w:tcW w:w="1106" w:type="dxa"/>
            <w:tcBorders>
              <w:top w:val="nil"/>
              <w:left w:val="nil"/>
              <w:bottom w:val="single" w:sz="4" w:space="0" w:color="auto"/>
              <w:right w:val="nil"/>
            </w:tcBorders>
            <w:shd w:val="clear" w:color="auto" w:fill="auto"/>
            <w:vAlign w:val="bottom"/>
            <w:hideMark/>
          </w:tcPr>
          <w:p w14:paraId="0352E4EC" w14:textId="77777777" w:rsidR="00E9291B" w:rsidRPr="0004140A" w:rsidRDefault="00E9291B" w:rsidP="001E7D6C">
            <w:pPr>
              <w:spacing w:after="0" w:line="240" w:lineRule="auto"/>
              <w:jc w:val="right"/>
              <w:rPr>
                <w:rFonts w:eastAsia="Times New Roman" w:cs="Calibri"/>
                <w:color w:val="000000"/>
              </w:rPr>
            </w:pPr>
            <w:r w:rsidRPr="0004140A">
              <w:rPr>
                <w:rFonts w:eastAsia="Times New Roman" w:cs="Calibri"/>
                <w:color w:val="000000"/>
              </w:rPr>
              <w:t>4</w:t>
            </w:r>
          </w:p>
        </w:tc>
        <w:tc>
          <w:tcPr>
            <w:tcW w:w="1106" w:type="dxa"/>
            <w:tcBorders>
              <w:top w:val="nil"/>
              <w:left w:val="single" w:sz="8" w:space="0" w:color="auto"/>
              <w:bottom w:val="single" w:sz="4" w:space="0" w:color="auto"/>
              <w:right w:val="single" w:sz="8" w:space="0" w:color="auto"/>
            </w:tcBorders>
            <w:shd w:val="clear" w:color="auto" w:fill="auto"/>
            <w:noWrap/>
            <w:vAlign w:val="bottom"/>
            <w:hideMark/>
          </w:tcPr>
          <w:p w14:paraId="1E24DBD9" w14:textId="77777777" w:rsidR="00E9291B" w:rsidRPr="0004140A" w:rsidRDefault="00E9291B" w:rsidP="001E7D6C">
            <w:pPr>
              <w:spacing w:after="0" w:line="240" w:lineRule="auto"/>
              <w:jc w:val="right"/>
              <w:rPr>
                <w:rFonts w:eastAsia="Times New Roman" w:cs="Calibri"/>
                <w:b/>
                <w:bCs/>
                <w:color w:val="000000"/>
              </w:rPr>
            </w:pPr>
            <w:r w:rsidRPr="0004140A">
              <w:rPr>
                <w:rFonts w:eastAsia="Times New Roman" w:cs="Calibri"/>
                <w:b/>
                <w:bCs/>
                <w:color w:val="000000"/>
              </w:rPr>
              <w:t>6</w:t>
            </w:r>
          </w:p>
        </w:tc>
      </w:tr>
      <w:tr w:rsidR="00E9291B" w:rsidRPr="0004140A" w14:paraId="6B049146" w14:textId="77777777" w:rsidTr="00E9291B">
        <w:trPr>
          <w:trHeight w:val="300"/>
        </w:trPr>
        <w:tc>
          <w:tcPr>
            <w:tcW w:w="2412" w:type="dxa"/>
            <w:tcBorders>
              <w:top w:val="nil"/>
              <w:left w:val="single" w:sz="8" w:space="0" w:color="auto"/>
              <w:bottom w:val="nil"/>
              <w:right w:val="single" w:sz="4" w:space="0" w:color="auto"/>
            </w:tcBorders>
            <w:shd w:val="clear" w:color="auto" w:fill="auto"/>
            <w:vAlign w:val="bottom"/>
            <w:hideMark/>
          </w:tcPr>
          <w:p w14:paraId="76EDC4F0" w14:textId="77777777" w:rsidR="00E9291B" w:rsidRPr="0004140A" w:rsidRDefault="00E9291B" w:rsidP="001E7D6C">
            <w:pPr>
              <w:spacing w:after="0" w:line="240" w:lineRule="auto"/>
              <w:rPr>
                <w:rFonts w:eastAsia="Times New Roman" w:cs="Calibri"/>
                <w:color w:val="000000"/>
              </w:rPr>
            </w:pPr>
            <w:r w:rsidRPr="0004140A">
              <w:rPr>
                <w:rFonts w:eastAsia="Times New Roman" w:cs="Calibri"/>
                <w:color w:val="000000"/>
              </w:rPr>
              <w:t xml:space="preserve">OTHER </w:t>
            </w:r>
          </w:p>
        </w:tc>
        <w:tc>
          <w:tcPr>
            <w:tcW w:w="1106" w:type="dxa"/>
            <w:tcBorders>
              <w:top w:val="nil"/>
              <w:left w:val="nil"/>
              <w:bottom w:val="nil"/>
              <w:right w:val="single" w:sz="4" w:space="0" w:color="auto"/>
            </w:tcBorders>
            <w:shd w:val="clear" w:color="auto" w:fill="auto"/>
            <w:vAlign w:val="bottom"/>
            <w:hideMark/>
          </w:tcPr>
          <w:p w14:paraId="1AA9349C" w14:textId="77777777" w:rsidR="00E9291B" w:rsidRPr="0004140A" w:rsidRDefault="00E9291B" w:rsidP="001E7D6C">
            <w:pPr>
              <w:spacing w:after="0" w:line="240" w:lineRule="auto"/>
              <w:jc w:val="right"/>
              <w:rPr>
                <w:rFonts w:eastAsia="Times New Roman" w:cs="Calibri"/>
                <w:color w:val="000000"/>
              </w:rPr>
            </w:pPr>
            <w:r w:rsidRPr="0004140A">
              <w:rPr>
                <w:rFonts w:eastAsia="Times New Roman" w:cs="Calibri"/>
                <w:color w:val="000000"/>
              </w:rPr>
              <w:t>12</w:t>
            </w:r>
          </w:p>
        </w:tc>
        <w:tc>
          <w:tcPr>
            <w:tcW w:w="1106" w:type="dxa"/>
            <w:tcBorders>
              <w:top w:val="nil"/>
              <w:left w:val="nil"/>
              <w:bottom w:val="nil"/>
              <w:right w:val="nil"/>
            </w:tcBorders>
            <w:shd w:val="clear" w:color="auto" w:fill="auto"/>
            <w:vAlign w:val="bottom"/>
            <w:hideMark/>
          </w:tcPr>
          <w:p w14:paraId="6853FD3E" w14:textId="77777777" w:rsidR="00E9291B" w:rsidRPr="0004140A" w:rsidRDefault="00E9291B" w:rsidP="001E7D6C">
            <w:pPr>
              <w:spacing w:after="0" w:line="240" w:lineRule="auto"/>
              <w:jc w:val="right"/>
              <w:rPr>
                <w:rFonts w:eastAsia="Times New Roman" w:cs="Calibri"/>
                <w:color w:val="000000"/>
              </w:rPr>
            </w:pPr>
            <w:r w:rsidRPr="0004140A">
              <w:rPr>
                <w:rFonts w:eastAsia="Times New Roman" w:cs="Calibri"/>
                <w:color w:val="000000"/>
              </w:rPr>
              <w:t>3</w:t>
            </w:r>
          </w:p>
        </w:tc>
        <w:tc>
          <w:tcPr>
            <w:tcW w:w="1106" w:type="dxa"/>
            <w:tcBorders>
              <w:top w:val="nil"/>
              <w:left w:val="single" w:sz="8" w:space="0" w:color="auto"/>
              <w:bottom w:val="nil"/>
              <w:right w:val="single" w:sz="8" w:space="0" w:color="auto"/>
            </w:tcBorders>
            <w:shd w:val="clear" w:color="auto" w:fill="auto"/>
            <w:noWrap/>
            <w:vAlign w:val="bottom"/>
            <w:hideMark/>
          </w:tcPr>
          <w:p w14:paraId="792712AE" w14:textId="77777777" w:rsidR="00E9291B" w:rsidRPr="0004140A" w:rsidRDefault="00E9291B" w:rsidP="001E7D6C">
            <w:pPr>
              <w:spacing w:after="0" w:line="240" w:lineRule="auto"/>
              <w:jc w:val="right"/>
              <w:rPr>
                <w:rFonts w:eastAsia="Times New Roman" w:cs="Calibri"/>
                <w:b/>
                <w:bCs/>
                <w:color w:val="000000"/>
              </w:rPr>
            </w:pPr>
            <w:r w:rsidRPr="0004140A">
              <w:rPr>
                <w:rFonts w:eastAsia="Times New Roman" w:cs="Calibri"/>
                <w:b/>
                <w:bCs/>
                <w:color w:val="000000"/>
              </w:rPr>
              <w:t>15</w:t>
            </w:r>
          </w:p>
        </w:tc>
      </w:tr>
      <w:tr w:rsidR="00E9291B" w:rsidRPr="0004140A" w14:paraId="757E673B" w14:textId="77777777" w:rsidTr="00E9291B">
        <w:trPr>
          <w:trHeight w:val="300"/>
        </w:trPr>
        <w:tc>
          <w:tcPr>
            <w:tcW w:w="2412"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29461235" w14:textId="77777777" w:rsidR="00E9291B" w:rsidRPr="0004140A" w:rsidRDefault="00E9291B" w:rsidP="001E7D6C">
            <w:pPr>
              <w:spacing w:after="0" w:line="240" w:lineRule="auto"/>
              <w:rPr>
                <w:rFonts w:eastAsia="Times New Roman" w:cs="Calibri"/>
                <w:b/>
                <w:bCs/>
                <w:color w:val="000000"/>
              </w:rPr>
            </w:pPr>
            <w:r w:rsidRPr="0004140A">
              <w:rPr>
                <w:rFonts w:eastAsia="Times New Roman" w:cs="Calibri"/>
                <w:b/>
                <w:bCs/>
                <w:color w:val="000000"/>
              </w:rPr>
              <w:t>Total</w:t>
            </w:r>
          </w:p>
        </w:tc>
        <w:tc>
          <w:tcPr>
            <w:tcW w:w="1106" w:type="dxa"/>
            <w:tcBorders>
              <w:top w:val="single" w:sz="8" w:space="0" w:color="auto"/>
              <w:left w:val="nil"/>
              <w:bottom w:val="single" w:sz="8" w:space="0" w:color="auto"/>
              <w:right w:val="single" w:sz="4" w:space="0" w:color="auto"/>
            </w:tcBorders>
            <w:shd w:val="clear" w:color="auto" w:fill="auto"/>
            <w:noWrap/>
            <w:vAlign w:val="bottom"/>
            <w:hideMark/>
          </w:tcPr>
          <w:p w14:paraId="003544C3" w14:textId="77777777" w:rsidR="00E9291B" w:rsidRPr="0004140A" w:rsidRDefault="00E9291B" w:rsidP="001E7D6C">
            <w:pPr>
              <w:spacing w:after="0" w:line="240" w:lineRule="auto"/>
              <w:jc w:val="right"/>
              <w:rPr>
                <w:rFonts w:eastAsia="Times New Roman" w:cs="Calibri"/>
                <w:b/>
                <w:bCs/>
                <w:color w:val="000000"/>
              </w:rPr>
            </w:pPr>
            <w:r w:rsidRPr="0004140A">
              <w:rPr>
                <w:rFonts w:eastAsia="Times New Roman" w:cs="Calibri"/>
                <w:b/>
                <w:bCs/>
                <w:color w:val="000000"/>
              </w:rPr>
              <w:t>254</w:t>
            </w:r>
          </w:p>
        </w:tc>
        <w:tc>
          <w:tcPr>
            <w:tcW w:w="1106" w:type="dxa"/>
            <w:tcBorders>
              <w:top w:val="single" w:sz="8" w:space="0" w:color="auto"/>
              <w:left w:val="nil"/>
              <w:bottom w:val="single" w:sz="8" w:space="0" w:color="auto"/>
              <w:right w:val="nil"/>
            </w:tcBorders>
            <w:shd w:val="clear" w:color="auto" w:fill="auto"/>
            <w:noWrap/>
            <w:vAlign w:val="bottom"/>
            <w:hideMark/>
          </w:tcPr>
          <w:p w14:paraId="169BA796" w14:textId="77777777" w:rsidR="00E9291B" w:rsidRPr="0004140A" w:rsidRDefault="00E9291B" w:rsidP="001E7D6C">
            <w:pPr>
              <w:spacing w:after="0" w:line="240" w:lineRule="auto"/>
              <w:jc w:val="right"/>
              <w:rPr>
                <w:rFonts w:eastAsia="Times New Roman" w:cs="Calibri"/>
                <w:b/>
                <w:bCs/>
                <w:color w:val="000000"/>
              </w:rPr>
            </w:pPr>
            <w:r w:rsidRPr="0004140A">
              <w:rPr>
                <w:rFonts w:eastAsia="Times New Roman" w:cs="Calibri"/>
                <w:b/>
                <w:bCs/>
                <w:color w:val="000000"/>
              </w:rPr>
              <w:t>362</w:t>
            </w:r>
          </w:p>
        </w:tc>
        <w:tc>
          <w:tcPr>
            <w:tcW w:w="11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78E88D" w14:textId="77777777" w:rsidR="00E9291B" w:rsidRPr="0004140A" w:rsidRDefault="00E9291B" w:rsidP="001E7D6C">
            <w:pPr>
              <w:spacing w:after="0" w:line="240" w:lineRule="auto"/>
              <w:jc w:val="right"/>
              <w:rPr>
                <w:rFonts w:eastAsia="Times New Roman" w:cs="Calibri"/>
                <w:b/>
                <w:bCs/>
                <w:color w:val="000000"/>
              </w:rPr>
            </w:pPr>
            <w:r w:rsidRPr="0004140A">
              <w:rPr>
                <w:rFonts w:eastAsia="Times New Roman" w:cs="Calibri"/>
                <w:b/>
                <w:bCs/>
                <w:color w:val="000000"/>
              </w:rPr>
              <w:t>616</w:t>
            </w:r>
          </w:p>
        </w:tc>
      </w:tr>
    </w:tbl>
    <w:p w14:paraId="27E8EB57" w14:textId="243D1FF7" w:rsidR="00D85F76" w:rsidRDefault="00D85F76" w:rsidP="00D85F76">
      <w:pPr>
        <w:pStyle w:val="ListParagraph"/>
        <w:spacing w:after="0" w:line="240" w:lineRule="auto"/>
        <w:ind w:left="1080"/>
        <w:rPr>
          <w:rFonts w:asciiTheme="majorHAnsi" w:hAnsiTheme="majorHAnsi" w:cs="Arial"/>
          <w:sz w:val="24"/>
          <w:szCs w:val="24"/>
        </w:rPr>
      </w:pPr>
    </w:p>
    <w:p w14:paraId="58001016" w14:textId="1575EF2A" w:rsidR="00E9291B" w:rsidRDefault="00E9291B" w:rsidP="00D85F76">
      <w:pPr>
        <w:pStyle w:val="ListParagraph"/>
        <w:spacing w:after="0" w:line="240" w:lineRule="auto"/>
        <w:ind w:left="1080"/>
        <w:rPr>
          <w:rFonts w:asciiTheme="majorHAnsi" w:hAnsiTheme="majorHAnsi" w:cs="Arial"/>
          <w:sz w:val="24"/>
          <w:szCs w:val="24"/>
        </w:rPr>
      </w:pPr>
    </w:p>
    <w:bookmarkEnd w:id="0"/>
    <w:p w14:paraId="6864E98F" w14:textId="77777777" w:rsidR="00E9291B" w:rsidRDefault="00E9291B" w:rsidP="00D85F76">
      <w:pPr>
        <w:pStyle w:val="ListParagraph"/>
        <w:spacing w:after="0" w:line="240" w:lineRule="auto"/>
        <w:ind w:left="1080"/>
        <w:rPr>
          <w:rFonts w:asciiTheme="majorHAnsi" w:hAnsiTheme="majorHAnsi" w:cs="Arial"/>
          <w:sz w:val="24"/>
          <w:szCs w:val="24"/>
        </w:rPr>
      </w:pPr>
    </w:p>
    <w:p w14:paraId="2D993C4D" w14:textId="77777777" w:rsidR="00D85F76" w:rsidRDefault="00D85F76" w:rsidP="00D85F76">
      <w:pPr>
        <w:pStyle w:val="ListParagraph"/>
        <w:numPr>
          <w:ilvl w:val="0"/>
          <w:numId w:val="1"/>
        </w:numPr>
        <w:spacing w:after="0" w:line="240" w:lineRule="auto"/>
        <w:rPr>
          <w:rFonts w:asciiTheme="majorHAnsi" w:hAnsiTheme="majorHAnsi" w:cs="Arial"/>
          <w:sz w:val="24"/>
          <w:szCs w:val="24"/>
        </w:rPr>
      </w:pPr>
      <w:r w:rsidRPr="0085760C">
        <w:rPr>
          <w:rFonts w:asciiTheme="majorHAnsi" w:hAnsiTheme="majorHAnsi" w:cs="Arial"/>
          <w:sz w:val="24"/>
          <w:szCs w:val="24"/>
          <w:u w:val="single"/>
        </w:rPr>
        <w:t>Autism Endorsement</w:t>
      </w:r>
      <w:r w:rsidRPr="0085760C">
        <w:rPr>
          <w:rFonts w:asciiTheme="majorHAnsi" w:hAnsiTheme="majorHAnsi" w:cs="Arial"/>
          <w:sz w:val="24"/>
          <w:szCs w:val="24"/>
        </w:rPr>
        <w:t xml:space="preserve">.  </w:t>
      </w:r>
      <w:r w:rsidRPr="00AD7697">
        <w:rPr>
          <w:rFonts w:asciiTheme="majorHAnsi" w:hAnsiTheme="majorHAnsi" w:cs="Arial"/>
          <w:b/>
          <w:sz w:val="24"/>
          <w:szCs w:val="24"/>
        </w:rPr>
        <w:t>Completed.</w:t>
      </w:r>
      <w:r>
        <w:rPr>
          <w:rFonts w:asciiTheme="majorHAnsi" w:hAnsiTheme="majorHAnsi" w:cs="Arial"/>
          <w:sz w:val="24"/>
          <w:szCs w:val="24"/>
        </w:rPr>
        <w:t xml:space="preserve"> </w:t>
      </w:r>
      <w:r w:rsidRPr="0085760C">
        <w:rPr>
          <w:rFonts w:asciiTheme="majorHAnsi" w:hAnsiTheme="majorHAnsi" w:cs="Arial"/>
          <w:sz w:val="24"/>
          <w:szCs w:val="24"/>
        </w:rPr>
        <w:t xml:space="preserve">The Board promulgated regulations </w:t>
      </w:r>
      <w:r w:rsidR="00B10037">
        <w:rPr>
          <w:rFonts w:asciiTheme="majorHAnsi" w:hAnsiTheme="majorHAnsi" w:cs="Arial"/>
          <w:sz w:val="24"/>
          <w:szCs w:val="24"/>
        </w:rPr>
        <w:t xml:space="preserve">for </w:t>
      </w:r>
      <w:r w:rsidR="00B10037" w:rsidRPr="0085760C">
        <w:rPr>
          <w:rFonts w:asciiTheme="majorHAnsi" w:hAnsiTheme="majorHAnsi" w:cs="Arial"/>
          <w:sz w:val="24"/>
          <w:szCs w:val="24"/>
        </w:rPr>
        <w:t xml:space="preserve">an </w:t>
      </w:r>
      <w:r w:rsidR="00B10037">
        <w:rPr>
          <w:rFonts w:asciiTheme="majorHAnsi" w:hAnsiTheme="majorHAnsi" w:cs="Arial"/>
          <w:sz w:val="24"/>
          <w:szCs w:val="24"/>
        </w:rPr>
        <w:t xml:space="preserve">autism </w:t>
      </w:r>
      <w:r w:rsidR="00B10037" w:rsidRPr="0085760C">
        <w:rPr>
          <w:rFonts w:asciiTheme="majorHAnsi" w:hAnsiTheme="majorHAnsi" w:cs="Arial"/>
          <w:sz w:val="24"/>
          <w:szCs w:val="24"/>
        </w:rPr>
        <w:t xml:space="preserve">endorsement for licensed special education teachers, which included both coursework and field experience working with students with autism </w:t>
      </w:r>
      <w:r w:rsidRPr="0085760C">
        <w:rPr>
          <w:rFonts w:asciiTheme="majorHAnsi" w:hAnsiTheme="majorHAnsi" w:cs="Arial"/>
          <w:sz w:val="24"/>
          <w:szCs w:val="24"/>
        </w:rPr>
        <w:t xml:space="preserve">for this endorsement in June 2015, under 603 CMR 7.14(5).   </w:t>
      </w:r>
      <w:r>
        <w:rPr>
          <w:rFonts w:asciiTheme="majorHAnsi" w:hAnsiTheme="majorHAnsi" w:cs="Arial"/>
          <w:sz w:val="24"/>
          <w:szCs w:val="24"/>
        </w:rPr>
        <w:t xml:space="preserve">In 2017, the ESE Board voted to expand the autism endorsement to general educators. </w:t>
      </w:r>
    </w:p>
    <w:p w14:paraId="6AAB2BB0" w14:textId="77777777" w:rsidR="00D85F76" w:rsidRPr="0085760C" w:rsidRDefault="00D85F76" w:rsidP="00D85F76">
      <w:pPr>
        <w:pStyle w:val="ListParagraph"/>
        <w:spacing w:after="0" w:line="240" w:lineRule="auto"/>
        <w:ind w:left="1080"/>
        <w:rPr>
          <w:rFonts w:asciiTheme="majorHAnsi" w:hAnsiTheme="majorHAnsi" w:cs="Arial"/>
          <w:sz w:val="24"/>
          <w:szCs w:val="24"/>
        </w:rPr>
      </w:pPr>
    </w:p>
    <w:p w14:paraId="43B7F759" w14:textId="77777777" w:rsidR="00D85F76" w:rsidRPr="00591676" w:rsidRDefault="00D85F76" w:rsidP="00D85F76">
      <w:pPr>
        <w:pStyle w:val="ListParagraph"/>
        <w:numPr>
          <w:ilvl w:val="0"/>
          <w:numId w:val="1"/>
        </w:numPr>
        <w:spacing w:after="0" w:line="240" w:lineRule="auto"/>
        <w:rPr>
          <w:rFonts w:asciiTheme="majorHAnsi" w:hAnsiTheme="majorHAnsi" w:cs="Arial"/>
          <w:sz w:val="24"/>
          <w:szCs w:val="24"/>
        </w:rPr>
      </w:pPr>
      <w:r w:rsidRPr="0085760C">
        <w:rPr>
          <w:rFonts w:asciiTheme="majorHAnsi" w:eastAsia="Times New Roman" w:hAnsiTheme="majorHAnsi" w:cs="Arial"/>
          <w:color w:val="000000"/>
          <w:sz w:val="24"/>
          <w:szCs w:val="24"/>
          <w:u w:val="single"/>
        </w:rPr>
        <w:t>Coverage of Medically Necessary Treatments by MassHealth.</w:t>
      </w:r>
      <w:r w:rsidRPr="0085760C">
        <w:rPr>
          <w:rFonts w:asciiTheme="majorHAnsi" w:eastAsia="Times New Roman" w:hAnsiTheme="majorHAnsi" w:cs="Arial"/>
          <w:color w:val="000000"/>
          <w:sz w:val="24"/>
          <w:szCs w:val="24"/>
        </w:rPr>
        <w:t xml:space="preserve"> </w:t>
      </w:r>
      <w:r w:rsidRPr="00AD7697">
        <w:rPr>
          <w:rFonts w:asciiTheme="majorHAnsi" w:eastAsia="Times New Roman" w:hAnsiTheme="majorHAnsi" w:cs="Arial"/>
          <w:b/>
          <w:color w:val="000000"/>
          <w:sz w:val="24"/>
          <w:szCs w:val="24"/>
        </w:rPr>
        <w:t>Implemented and On-going</w:t>
      </w:r>
      <w:r>
        <w:rPr>
          <w:rFonts w:asciiTheme="majorHAnsi" w:eastAsia="Times New Roman" w:hAnsiTheme="majorHAnsi" w:cs="Arial"/>
          <w:color w:val="000000"/>
          <w:sz w:val="24"/>
          <w:szCs w:val="24"/>
        </w:rPr>
        <w:t xml:space="preserve">. </w:t>
      </w:r>
      <w:r w:rsidRPr="0085760C">
        <w:rPr>
          <w:rFonts w:asciiTheme="majorHAnsi" w:eastAsia="Times New Roman" w:hAnsiTheme="majorHAnsi" w:cs="Arial"/>
          <w:color w:val="000000"/>
          <w:sz w:val="24"/>
          <w:szCs w:val="24"/>
        </w:rPr>
        <w:t xml:space="preserve">The 2014 Autism Omnibus Law amended G.L. c. 118E, for MassHealth to cover, subject to federal financial participation, medically necessary treatments for persons younger than 21 years, including ABA services and supervision by a BCBA, and dedicated and non-dedicated augmentative and alternative communication devices, including but not limited to medically necessary tablets.  </w:t>
      </w:r>
    </w:p>
    <w:p w14:paraId="0398E734" w14:textId="77777777" w:rsidR="00D85F76" w:rsidRPr="00591676" w:rsidRDefault="00D85F76" w:rsidP="00D85F76">
      <w:pPr>
        <w:pStyle w:val="ListParagraph"/>
        <w:rPr>
          <w:rFonts w:asciiTheme="majorHAnsi" w:eastAsia="Times New Roman" w:hAnsiTheme="majorHAnsi" w:cs="Arial"/>
          <w:sz w:val="24"/>
          <w:szCs w:val="24"/>
        </w:rPr>
      </w:pPr>
    </w:p>
    <w:p w14:paraId="1BEA6F83" w14:textId="77777777" w:rsidR="008706F3" w:rsidRPr="00663751" w:rsidRDefault="00D85F76" w:rsidP="00D85F76">
      <w:pPr>
        <w:pStyle w:val="ListParagraph"/>
        <w:spacing w:after="0" w:line="240" w:lineRule="auto"/>
        <w:ind w:left="1080"/>
        <w:rPr>
          <w:rFonts w:asciiTheme="majorHAnsi" w:eastAsiaTheme="minorHAnsi" w:hAnsiTheme="majorHAnsi" w:cstheme="minorBidi"/>
          <w:sz w:val="24"/>
          <w:szCs w:val="24"/>
        </w:rPr>
      </w:pPr>
      <w:bookmarkStart w:id="1" w:name="_Hlk58839644"/>
      <w:bookmarkStart w:id="2" w:name="_Hlk58415010"/>
      <w:r w:rsidRPr="00663751">
        <w:rPr>
          <w:rFonts w:asciiTheme="majorHAnsi" w:eastAsia="Times New Roman" w:hAnsiTheme="majorHAnsi" w:cs="Arial"/>
          <w:sz w:val="24"/>
          <w:szCs w:val="24"/>
        </w:rPr>
        <w:t>MassHealth implemented statewide ABA services as of 6/15.</w:t>
      </w:r>
      <w:r w:rsidRPr="00663751">
        <w:rPr>
          <w:rFonts w:asciiTheme="majorHAnsi" w:eastAsiaTheme="minorHAnsi" w:hAnsiTheme="majorHAnsi" w:cstheme="minorBidi"/>
          <w:sz w:val="24"/>
          <w:szCs w:val="24"/>
        </w:rPr>
        <w:t xml:space="preserve"> </w:t>
      </w:r>
      <w:r w:rsidR="00F71F3A" w:rsidRPr="00663751">
        <w:rPr>
          <w:rFonts w:asciiTheme="majorHAnsi" w:eastAsiaTheme="minorHAnsi" w:hAnsiTheme="majorHAnsi" w:cstheme="minorBidi"/>
          <w:sz w:val="24"/>
          <w:szCs w:val="24"/>
        </w:rPr>
        <w:t xml:space="preserve"> MassHealth FY</w:t>
      </w:r>
      <w:r w:rsidR="0039053B" w:rsidRPr="00663751">
        <w:rPr>
          <w:rFonts w:asciiTheme="majorHAnsi" w:eastAsiaTheme="minorHAnsi" w:hAnsiTheme="majorHAnsi" w:cstheme="minorBidi"/>
          <w:sz w:val="24"/>
          <w:szCs w:val="24"/>
        </w:rPr>
        <w:t>20</w:t>
      </w:r>
      <w:r w:rsidRPr="00663751">
        <w:rPr>
          <w:rFonts w:asciiTheme="majorHAnsi" w:eastAsiaTheme="minorHAnsi" w:hAnsiTheme="majorHAnsi" w:cstheme="minorBidi"/>
          <w:sz w:val="24"/>
          <w:szCs w:val="24"/>
        </w:rPr>
        <w:t xml:space="preserve"> spending on ABA, total spent by ABA codes </w:t>
      </w:r>
      <w:r w:rsidR="001B3394" w:rsidRPr="00663751">
        <w:rPr>
          <w:rFonts w:asciiTheme="majorHAnsi" w:eastAsiaTheme="minorHAnsi" w:hAnsiTheme="majorHAnsi" w:cstheme="minorBidi"/>
          <w:b/>
          <w:sz w:val="24"/>
          <w:szCs w:val="24"/>
        </w:rPr>
        <w:t>$</w:t>
      </w:r>
      <w:r w:rsidR="0039053B" w:rsidRPr="00663751">
        <w:rPr>
          <w:rFonts w:asciiTheme="majorHAnsi" w:eastAsiaTheme="minorHAnsi" w:hAnsiTheme="majorHAnsi" w:cstheme="minorBidi"/>
          <w:b/>
          <w:sz w:val="24"/>
          <w:szCs w:val="24"/>
        </w:rPr>
        <w:t>121,215,751</w:t>
      </w:r>
      <w:r w:rsidRPr="00663751">
        <w:rPr>
          <w:rFonts w:asciiTheme="majorHAnsi" w:eastAsiaTheme="minorHAnsi" w:hAnsiTheme="majorHAnsi" w:cstheme="minorBidi"/>
          <w:sz w:val="24"/>
          <w:szCs w:val="24"/>
        </w:rPr>
        <w:t>.</w:t>
      </w:r>
      <w:r w:rsidR="001B3394" w:rsidRPr="00663751">
        <w:rPr>
          <w:rFonts w:asciiTheme="majorHAnsi" w:eastAsiaTheme="minorHAnsi" w:hAnsiTheme="majorHAnsi" w:cstheme="minorBidi"/>
          <w:sz w:val="24"/>
          <w:szCs w:val="24"/>
        </w:rPr>
        <w:t xml:space="preserve"> The number of individuals served is </w:t>
      </w:r>
      <w:r w:rsidR="0039053B" w:rsidRPr="00663751">
        <w:rPr>
          <w:rFonts w:asciiTheme="majorHAnsi" w:eastAsiaTheme="minorHAnsi" w:hAnsiTheme="majorHAnsi" w:cstheme="minorBidi"/>
          <w:b/>
          <w:bCs/>
          <w:sz w:val="24"/>
          <w:szCs w:val="24"/>
        </w:rPr>
        <w:t>3,162</w:t>
      </w:r>
      <w:r w:rsidR="001B3394" w:rsidRPr="00663751">
        <w:rPr>
          <w:rFonts w:asciiTheme="majorHAnsi" w:eastAsiaTheme="minorHAnsi" w:hAnsiTheme="majorHAnsi" w:cstheme="minorBidi"/>
          <w:sz w:val="24"/>
          <w:szCs w:val="24"/>
        </w:rPr>
        <w:t xml:space="preserve"> for ages </w:t>
      </w:r>
      <w:r w:rsidR="00862606" w:rsidRPr="00663751">
        <w:rPr>
          <w:rFonts w:asciiTheme="majorHAnsi" w:eastAsiaTheme="minorHAnsi" w:hAnsiTheme="majorHAnsi" w:cstheme="minorBidi"/>
          <w:sz w:val="24"/>
          <w:szCs w:val="24"/>
        </w:rPr>
        <w:t>0</w:t>
      </w:r>
      <w:r w:rsidR="001B3394" w:rsidRPr="00663751">
        <w:rPr>
          <w:rFonts w:asciiTheme="majorHAnsi" w:eastAsiaTheme="minorHAnsi" w:hAnsiTheme="majorHAnsi" w:cstheme="minorBidi"/>
          <w:sz w:val="24"/>
          <w:szCs w:val="24"/>
        </w:rPr>
        <w:t xml:space="preserve">-5 years; </w:t>
      </w:r>
      <w:r w:rsidR="0039053B" w:rsidRPr="00663751">
        <w:rPr>
          <w:rFonts w:asciiTheme="majorHAnsi" w:eastAsiaTheme="minorHAnsi" w:hAnsiTheme="majorHAnsi" w:cstheme="minorBidi"/>
          <w:b/>
          <w:bCs/>
          <w:sz w:val="24"/>
          <w:szCs w:val="24"/>
        </w:rPr>
        <w:t>2,634</w:t>
      </w:r>
      <w:r w:rsidR="001B3394" w:rsidRPr="00663751">
        <w:rPr>
          <w:rFonts w:asciiTheme="majorHAnsi" w:eastAsiaTheme="minorHAnsi" w:hAnsiTheme="majorHAnsi" w:cstheme="minorBidi"/>
          <w:sz w:val="24"/>
          <w:szCs w:val="24"/>
        </w:rPr>
        <w:t xml:space="preserve"> for ages 6-12 </w:t>
      </w:r>
      <w:r w:rsidR="00862606" w:rsidRPr="00663751">
        <w:rPr>
          <w:rFonts w:asciiTheme="majorHAnsi" w:eastAsiaTheme="minorHAnsi" w:hAnsiTheme="majorHAnsi" w:cstheme="minorBidi"/>
          <w:sz w:val="24"/>
          <w:szCs w:val="24"/>
        </w:rPr>
        <w:t xml:space="preserve">years; and </w:t>
      </w:r>
      <w:r w:rsidR="00862606" w:rsidRPr="00663751">
        <w:rPr>
          <w:rFonts w:asciiTheme="majorHAnsi" w:eastAsiaTheme="minorHAnsi" w:hAnsiTheme="majorHAnsi" w:cstheme="minorBidi"/>
          <w:b/>
          <w:bCs/>
          <w:sz w:val="24"/>
          <w:szCs w:val="24"/>
        </w:rPr>
        <w:t>6</w:t>
      </w:r>
      <w:r w:rsidR="0039053B" w:rsidRPr="00663751">
        <w:rPr>
          <w:rFonts w:asciiTheme="majorHAnsi" w:eastAsiaTheme="minorHAnsi" w:hAnsiTheme="majorHAnsi" w:cstheme="minorBidi"/>
          <w:b/>
          <w:bCs/>
          <w:sz w:val="24"/>
          <w:szCs w:val="24"/>
        </w:rPr>
        <w:t>84</w:t>
      </w:r>
      <w:r w:rsidR="00862606" w:rsidRPr="00663751">
        <w:rPr>
          <w:rFonts w:asciiTheme="majorHAnsi" w:eastAsiaTheme="minorHAnsi" w:hAnsiTheme="majorHAnsi" w:cstheme="minorBidi"/>
          <w:sz w:val="24"/>
          <w:szCs w:val="24"/>
        </w:rPr>
        <w:t xml:space="preserve"> for ages 13- 20</w:t>
      </w:r>
      <w:r w:rsidR="001B3394" w:rsidRPr="00663751">
        <w:rPr>
          <w:rFonts w:asciiTheme="majorHAnsi" w:eastAsiaTheme="minorHAnsi" w:hAnsiTheme="majorHAnsi" w:cstheme="minorBidi"/>
          <w:sz w:val="24"/>
          <w:szCs w:val="24"/>
        </w:rPr>
        <w:t xml:space="preserve"> years. </w:t>
      </w:r>
    </w:p>
    <w:bookmarkEnd w:id="1"/>
    <w:p w14:paraId="0BC4C238" w14:textId="77777777" w:rsidR="008706F3" w:rsidRPr="00663751" w:rsidRDefault="008706F3" w:rsidP="00D85F76">
      <w:pPr>
        <w:pStyle w:val="ListParagraph"/>
        <w:spacing w:after="0" w:line="240" w:lineRule="auto"/>
        <w:ind w:left="1080"/>
        <w:rPr>
          <w:rFonts w:asciiTheme="majorHAnsi" w:eastAsiaTheme="minorHAnsi" w:hAnsiTheme="majorHAnsi" w:cstheme="minorBidi"/>
          <w:sz w:val="24"/>
          <w:szCs w:val="24"/>
        </w:rPr>
      </w:pPr>
    </w:p>
    <w:p w14:paraId="165B98B7" w14:textId="72401486" w:rsidR="00D85F76" w:rsidRPr="00591676" w:rsidRDefault="008715A8" w:rsidP="00D85F76">
      <w:pPr>
        <w:pStyle w:val="ListParagraph"/>
        <w:spacing w:after="0" w:line="240" w:lineRule="auto"/>
        <w:ind w:left="1080"/>
        <w:rPr>
          <w:rFonts w:asciiTheme="majorHAnsi" w:hAnsiTheme="majorHAnsi" w:cs="Arial"/>
          <w:sz w:val="24"/>
          <w:szCs w:val="24"/>
        </w:rPr>
      </w:pPr>
      <w:r w:rsidRPr="00663751">
        <w:rPr>
          <w:rFonts w:asciiTheme="majorHAnsi" w:eastAsiaTheme="minorHAnsi" w:hAnsiTheme="majorHAnsi" w:cstheme="minorBidi"/>
          <w:sz w:val="24"/>
          <w:szCs w:val="24"/>
        </w:rPr>
        <w:t xml:space="preserve">In FY20, MassHealth issued </w:t>
      </w:r>
      <w:r w:rsidRPr="00663751">
        <w:rPr>
          <w:rFonts w:asciiTheme="majorHAnsi" w:eastAsiaTheme="minorHAnsi" w:hAnsiTheme="majorHAnsi" w:cstheme="minorBidi"/>
          <w:b/>
          <w:bCs/>
          <w:sz w:val="24"/>
          <w:szCs w:val="24"/>
        </w:rPr>
        <w:t>36</w:t>
      </w:r>
      <w:r w:rsidRPr="00663751">
        <w:rPr>
          <w:rFonts w:asciiTheme="majorHAnsi" w:eastAsiaTheme="minorHAnsi" w:hAnsiTheme="majorHAnsi" w:cstheme="minorBidi"/>
          <w:sz w:val="24"/>
          <w:szCs w:val="24"/>
        </w:rPr>
        <w:t xml:space="preserve"> dedicated speech generating devices (SGDs) and </w:t>
      </w:r>
      <w:r w:rsidRPr="00663751">
        <w:rPr>
          <w:rFonts w:asciiTheme="majorHAnsi" w:eastAsiaTheme="minorHAnsi" w:hAnsiTheme="majorHAnsi" w:cstheme="minorBidi"/>
          <w:b/>
          <w:bCs/>
          <w:sz w:val="24"/>
          <w:szCs w:val="24"/>
        </w:rPr>
        <w:t>3</w:t>
      </w:r>
      <w:r w:rsidRPr="00663751">
        <w:rPr>
          <w:rFonts w:asciiTheme="majorHAnsi" w:eastAsiaTheme="minorHAnsi" w:hAnsiTheme="majorHAnsi" w:cstheme="minorBidi"/>
          <w:sz w:val="24"/>
          <w:szCs w:val="24"/>
        </w:rPr>
        <w:t xml:space="preserve"> non-dedicated devices. To date, in FY21 MassHealth has issued </w:t>
      </w:r>
      <w:r w:rsidRPr="00663751">
        <w:rPr>
          <w:rFonts w:asciiTheme="majorHAnsi" w:eastAsiaTheme="minorHAnsi" w:hAnsiTheme="majorHAnsi" w:cstheme="minorBidi"/>
          <w:b/>
          <w:bCs/>
          <w:sz w:val="24"/>
          <w:szCs w:val="24"/>
        </w:rPr>
        <w:t>21</w:t>
      </w:r>
      <w:r w:rsidRPr="00663751">
        <w:rPr>
          <w:rFonts w:asciiTheme="majorHAnsi" w:eastAsiaTheme="minorHAnsi" w:hAnsiTheme="majorHAnsi" w:cstheme="minorBidi"/>
          <w:sz w:val="24"/>
          <w:szCs w:val="24"/>
        </w:rPr>
        <w:t xml:space="preserve"> dedicated SGDs and has </w:t>
      </w:r>
      <w:r w:rsidRPr="00663751">
        <w:rPr>
          <w:rFonts w:asciiTheme="majorHAnsi" w:eastAsiaTheme="minorHAnsi" w:hAnsiTheme="majorHAnsi" w:cstheme="minorBidi"/>
          <w:b/>
          <w:bCs/>
          <w:sz w:val="24"/>
          <w:szCs w:val="24"/>
        </w:rPr>
        <w:t>2</w:t>
      </w:r>
      <w:r w:rsidRPr="00663751">
        <w:rPr>
          <w:rFonts w:asciiTheme="majorHAnsi" w:eastAsiaTheme="minorHAnsi" w:hAnsiTheme="majorHAnsi" w:cstheme="minorBidi"/>
          <w:sz w:val="24"/>
          <w:szCs w:val="24"/>
        </w:rPr>
        <w:t xml:space="preserve"> pending requests for non-dedicated devices. MassHealth plans to conduct a training for all SLPs that are enrolled in MassHealth, and to create a support line for consumers.</w:t>
      </w:r>
      <w:r>
        <w:rPr>
          <w:rFonts w:asciiTheme="majorHAnsi" w:eastAsiaTheme="minorHAnsi" w:hAnsiTheme="majorHAnsi" w:cstheme="minorBidi"/>
          <w:sz w:val="24"/>
          <w:szCs w:val="24"/>
        </w:rPr>
        <w:t xml:space="preserve"> </w:t>
      </w:r>
      <w:r w:rsidR="0089613A" w:rsidRPr="00132DE6">
        <w:rPr>
          <w:rFonts w:asciiTheme="majorHAnsi" w:eastAsiaTheme="minorHAnsi" w:hAnsiTheme="majorHAnsi" w:cstheme="minorBidi"/>
          <w:sz w:val="24"/>
          <w:szCs w:val="24"/>
        </w:rPr>
        <w:t xml:space="preserve">MassHealth will work with the AIRC and MAC to identify and resolve </w:t>
      </w:r>
      <w:r w:rsidR="00A259F0" w:rsidRPr="00132DE6">
        <w:rPr>
          <w:rFonts w:asciiTheme="majorHAnsi" w:eastAsiaTheme="minorHAnsi" w:hAnsiTheme="majorHAnsi" w:cstheme="minorBidi"/>
          <w:sz w:val="24"/>
          <w:szCs w:val="24"/>
        </w:rPr>
        <w:t>any</w:t>
      </w:r>
      <w:r w:rsidR="0089613A" w:rsidRPr="00132DE6">
        <w:rPr>
          <w:rFonts w:asciiTheme="majorHAnsi" w:eastAsiaTheme="minorHAnsi" w:hAnsiTheme="majorHAnsi" w:cstheme="minorBidi"/>
          <w:sz w:val="24"/>
          <w:szCs w:val="24"/>
        </w:rPr>
        <w:t xml:space="preserve"> barriers with the processes for approval and issuance of non-dedicated devices</w:t>
      </w:r>
      <w:r w:rsidR="00E73748" w:rsidRPr="00132DE6">
        <w:rPr>
          <w:rFonts w:asciiTheme="majorHAnsi" w:eastAsiaTheme="minorHAnsi" w:hAnsiTheme="majorHAnsi" w:cstheme="minorBidi"/>
          <w:sz w:val="24"/>
          <w:szCs w:val="24"/>
        </w:rPr>
        <w:t xml:space="preserve"> (medical necessity criteria, evaluations, procurement and delivery)</w:t>
      </w:r>
      <w:r w:rsidR="0089613A" w:rsidRPr="00132DE6">
        <w:rPr>
          <w:rFonts w:asciiTheme="majorHAnsi" w:eastAsiaTheme="minorHAnsi" w:hAnsiTheme="majorHAnsi" w:cstheme="minorBidi"/>
          <w:sz w:val="24"/>
          <w:szCs w:val="24"/>
        </w:rPr>
        <w:t>, including any adverse impacts based on race, ethnicity, and primary language.</w:t>
      </w:r>
    </w:p>
    <w:bookmarkEnd w:id="2"/>
    <w:p w14:paraId="52FE6B10" w14:textId="77777777" w:rsidR="00D85F76" w:rsidRPr="00591676" w:rsidRDefault="00D85F76" w:rsidP="00D85F76">
      <w:pPr>
        <w:pStyle w:val="ListParagraph"/>
        <w:rPr>
          <w:rFonts w:asciiTheme="majorHAnsi" w:eastAsiaTheme="minorHAnsi" w:hAnsiTheme="majorHAnsi" w:cstheme="minorBidi"/>
          <w:sz w:val="24"/>
          <w:szCs w:val="24"/>
        </w:rPr>
      </w:pPr>
    </w:p>
    <w:p w14:paraId="055E22B4" w14:textId="77777777" w:rsidR="00D85F76" w:rsidRPr="0010556C" w:rsidRDefault="00D85F76" w:rsidP="00D85F76">
      <w:pPr>
        <w:pStyle w:val="ListParagraph"/>
        <w:numPr>
          <w:ilvl w:val="0"/>
          <w:numId w:val="1"/>
        </w:numPr>
        <w:spacing w:after="0" w:line="240" w:lineRule="auto"/>
        <w:rPr>
          <w:rFonts w:asciiTheme="majorHAnsi" w:hAnsiTheme="majorHAnsi" w:cs="Arial"/>
          <w:sz w:val="24"/>
          <w:szCs w:val="24"/>
        </w:rPr>
      </w:pPr>
      <w:r w:rsidRPr="0062386C">
        <w:rPr>
          <w:rFonts w:asciiTheme="majorHAnsi" w:hAnsiTheme="majorHAnsi" w:cs="Arial"/>
          <w:sz w:val="24"/>
          <w:szCs w:val="24"/>
          <w:u w:val="single"/>
        </w:rPr>
        <w:t>DDS and the Department of Mental Health (“DMH”)</w:t>
      </w:r>
      <w:r w:rsidRPr="0062386C">
        <w:rPr>
          <w:rFonts w:asciiTheme="majorHAnsi" w:hAnsiTheme="majorHAnsi" w:cs="Arial"/>
          <w:sz w:val="24"/>
          <w:szCs w:val="24"/>
        </w:rPr>
        <w:t xml:space="preserve">. </w:t>
      </w:r>
      <w:r w:rsidRPr="00DD4B29">
        <w:rPr>
          <w:rFonts w:asciiTheme="majorHAnsi" w:hAnsiTheme="majorHAnsi" w:cs="Arial"/>
          <w:b/>
          <w:sz w:val="24"/>
          <w:szCs w:val="24"/>
        </w:rPr>
        <w:t>Implemented and On-going</w:t>
      </w:r>
      <w:r>
        <w:rPr>
          <w:rFonts w:asciiTheme="majorHAnsi" w:hAnsiTheme="majorHAnsi" w:cs="Arial"/>
          <w:sz w:val="24"/>
          <w:szCs w:val="24"/>
        </w:rPr>
        <w:t xml:space="preserve">. </w:t>
      </w:r>
      <w:r w:rsidRPr="0062386C">
        <w:rPr>
          <w:rFonts w:asciiTheme="majorHAnsi" w:hAnsiTheme="majorHAnsi" w:cs="Arial"/>
          <w:sz w:val="24"/>
          <w:szCs w:val="24"/>
        </w:rPr>
        <w:t xml:space="preserve">DDS and DMH were required to develop a plan to provide services to individuals who have both a mental illness </w:t>
      </w:r>
      <w:r w:rsidRPr="0062386C">
        <w:rPr>
          <w:rFonts w:asciiTheme="majorHAnsi" w:hAnsiTheme="majorHAnsi" w:cs="Arial"/>
          <w:sz w:val="24"/>
          <w:szCs w:val="24"/>
          <w:u w:val="single"/>
        </w:rPr>
        <w:t>and</w:t>
      </w:r>
      <w:r w:rsidRPr="0062386C">
        <w:rPr>
          <w:rFonts w:asciiTheme="majorHAnsi" w:hAnsiTheme="majorHAnsi" w:cs="Arial"/>
          <w:sz w:val="24"/>
          <w:szCs w:val="24"/>
        </w:rPr>
        <w:t xml:space="preserve"> a developmental disability.  DDS and DMH entered into an Inter-Agency Agreement to collaborate in the development and funding of supports and services to individuals who are eligible for services from both agencies.  </w:t>
      </w:r>
      <w:r w:rsidRPr="0062386C">
        <w:rPr>
          <w:rFonts w:asciiTheme="majorHAnsi" w:eastAsia="Times New Roman" w:hAnsiTheme="majorHAnsi" w:cs="Arial"/>
          <w:color w:val="000000"/>
          <w:sz w:val="24"/>
          <w:szCs w:val="24"/>
        </w:rPr>
        <w:t>The agencies are engaged in regular meetings and joint trainings. DDS and DMH have an Inter-Agency Agreement which expanded clinical expertise through 3 Fellowships since July 2016, one at UMass Medical, one at Mass General Hospital and one at Boston Medical Center. The fellowships ha</w:t>
      </w:r>
      <w:r w:rsidR="0010556C">
        <w:rPr>
          <w:rFonts w:asciiTheme="majorHAnsi" w:eastAsia="Times New Roman" w:hAnsiTheme="majorHAnsi" w:cs="Arial"/>
          <w:color w:val="000000"/>
          <w:sz w:val="24"/>
          <w:szCs w:val="24"/>
        </w:rPr>
        <w:t>d</w:t>
      </w:r>
      <w:r w:rsidRPr="0062386C">
        <w:rPr>
          <w:rFonts w:asciiTheme="majorHAnsi" w:eastAsia="Times New Roman" w:hAnsiTheme="majorHAnsi" w:cs="Arial"/>
          <w:color w:val="000000"/>
          <w:sz w:val="24"/>
          <w:szCs w:val="24"/>
        </w:rPr>
        <w:t xml:space="preserve"> provided </w:t>
      </w:r>
      <w:r w:rsidR="004720DB">
        <w:rPr>
          <w:rFonts w:asciiTheme="majorHAnsi" w:eastAsia="Times New Roman" w:hAnsiTheme="majorHAnsi" w:cs="Arial"/>
          <w:b/>
          <w:color w:val="000000"/>
          <w:sz w:val="24"/>
          <w:szCs w:val="24"/>
        </w:rPr>
        <w:t>81</w:t>
      </w:r>
      <w:r w:rsidRPr="003B214D">
        <w:rPr>
          <w:rFonts w:asciiTheme="majorHAnsi" w:eastAsia="Times New Roman" w:hAnsiTheme="majorHAnsi" w:cs="Arial"/>
          <w:b/>
          <w:color w:val="000000"/>
          <w:sz w:val="24"/>
          <w:szCs w:val="24"/>
        </w:rPr>
        <w:t xml:space="preserve"> consultations</w:t>
      </w:r>
      <w:r w:rsidRPr="0062386C">
        <w:rPr>
          <w:rFonts w:asciiTheme="majorHAnsi" w:eastAsia="Times New Roman" w:hAnsiTheme="majorHAnsi" w:cs="Arial"/>
          <w:color w:val="000000"/>
          <w:sz w:val="24"/>
          <w:szCs w:val="24"/>
        </w:rPr>
        <w:t xml:space="preserve"> to date resulting in diagnostic clarification, service needs, and treatment planning suggestions for individuals with ASD and mental health issues.  </w:t>
      </w:r>
    </w:p>
    <w:p w14:paraId="0765F75C" w14:textId="77777777" w:rsidR="0010556C" w:rsidRDefault="0010556C" w:rsidP="0010556C">
      <w:pPr>
        <w:spacing w:after="0" w:line="240" w:lineRule="auto"/>
        <w:rPr>
          <w:rFonts w:asciiTheme="majorHAnsi" w:hAnsiTheme="majorHAnsi" w:cs="Arial"/>
          <w:sz w:val="24"/>
          <w:szCs w:val="24"/>
        </w:rPr>
      </w:pPr>
    </w:p>
    <w:p w14:paraId="6DCF3F17" w14:textId="6353D91C" w:rsidR="0010556C" w:rsidRPr="0010556C" w:rsidRDefault="0010556C" w:rsidP="0010556C">
      <w:pPr>
        <w:spacing w:after="0" w:line="240" w:lineRule="auto"/>
        <w:ind w:left="1080"/>
        <w:rPr>
          <w:rFonts w:ascii="Cambria" w:hAnsi="Cambria" w:cstheme="majorHAnsi"/>
          <w:sz w:val="24"/>
          <w:szCs w:val="28"/>
        </w:rPr>
      </w:pPr>
      <w:r w:rsidRPr="00663751">
        <w:rPr>
          <w:rFonts w:ascii="Cambria" w:hAnsi="Cambria" w:cstheme="majorHAnsi"/>
          <w:color w:val="212121"/>
          <w:sz w:val="24"/>
          <w:szCs w:val="28"/>
          <w:shd w:val="clear" w:color="auto" w:fill="FFFFFF"/>
        </w:rPr>
        <w:t xml:space="preserve">Update: For the 2019-2020 academic year (July to June): Combined, the sites recorded </w:t>
      </w:r>
      <w:r w:rsidRPr="00663751">
        <w:rPr>
          <w:rFonts w:ascii="Cambria" w:hAnsi="Cambria" w:cstheme="majorHAnsi"/>
          <w:b/>
          <w:bCs/>
          <w:color w:val="212121"/>
          <w:sz w:val="24"/>
          <w:szCs w:val="28"/>
          <w:shd w:val="clear" w:color="auto" w:fill="FFFFFF"/>
        </w:rPr>
        <w:t>21 evaluations of DDS/DMH clients</w:t>
      </w:r>
      <w:r w:rsidRPr="00663751">
        <w:rPr>
          <w:rFonts w:ascii="Cambria" w:hAnsi="Cambria" w:cstheme="majorHAnsi"/>
          <w:color w:val="212121"/>
          <w:sz w:val="24"/>
          <w:szCs w:val="28"/>
          <w:shd w:val="clear" w:color="auto" w:fill="FFFFFF"/>
        </w:rPr>
        <w:t xml:space="preserve"> resulting in diagnostic clarification, service needs and treatment planning suggestions for individuals with ASD and mental health issues.</w:t>
      </w:r>
      <w:r w:rsidRPr="0010556C">
        <w:rPr>
          <w:rFonts w:ascii="Cambria" w:hAnsi="Cambria" w:cstheme="majorHAnsi"/>
          <w:color w:val="212121"/>
          <w:sz w:val="24"/>
          <w:szCs w:val="28"/>
        </w:rPr>
        <w:br/>
      </w:r>
      <w:r w:rsidRPr="0010556C">
        <w:rPr>
          <w:rFonts w:ascii="Cambria" w:hAnsi="Cambria" w:cstheme="majorHAnsi"/>
          <w:color w:val="212121"/>
          <w:sz w:val="24"/>
          <w:szCs w:val="28"/>
        </w:rPr>
        <w:br/>
      </w:r>
      <w:r>
        <w:rPr>
          <w:rFonts w:ascii="Cambria" w:hAnsi="Cambria" w:cstheme="majorHAnsi"/>
          <w:color w:val="212121"/>
          <w:sz w:val="24"/>
          <w:szCs w:val="28"/>
          <w:shd w:val="clear" w:color="auto" w:fill="FFFFFF"/>
        </w:rPr>
        <w:t>T</w:t>
      </w:r>
      <w:r w:rsidRPr="0010556C">
        <w:rPr>
          <w:rFonts w:ascii="Cambria" w:hAnsi="Cambria" w:cstheme="majorHAnsi"/>
          <w:color w:val="212121"/>
          <w:sz w:val="24"/>
          <w:szCs w:val="28"/>
          <w:shd w:val="clear" w:color="auto" w:fill="FFFFFF"/>
        </w:rPr>
        <w:t>he Fellows are located at very active clinics and participate in additional evaluations and follow-up along with clinic staff. In addition, they have opportunities to participate in conferences, various publications, book chapters and presentations with other senior staff members, giving them significant clinical and research experience as part of the Fellowship.</w:t>
      </w:r>
    </w:p>
    <w:p w14:paraId="42B437D0" w14:textId="77777777" w:rsidR="0010556C" w:rsidRPr="0010556C" w:rsidRDefault="0010556C" w:rsidP="0010556C">
      <w:pPr>
        <w:spacing w:after="0" w:line="240" w:lineRule="auto"/>
        <w:rPr>
          <w:rFonts w:ascii="Cambria" w:hAnsi="Cambria" w:cs="Arial"/>
          <w:sz w:val="24"/>
          <w:szCs w:val="24"/>
        </w:rPr>
      </w:pPr>
    </w:p>
    <w:p w14:paraId="16CDF41E" w14:textId="77777777" w:rsidR="00D85F76" w:rsidRPr="00C42F3E" w:rsidRDefault="00D85F76" w:rsidP="00D85F76">
      <w:pPr>
        <w:pStyle w:val="ListParagraph"/>
        <w:spacing w:after="0" w:line="240" w:lineRule="auto"/>
        <w:ind w:left="1080"/>
        <w:rPr>
          <w:rFonts w:asciiTheme="majorHAnsi" w:hAnsiTheme="majorHAnsi" w:cs="Arial"/>
          <w:sz w:val="24"/>
          <w:szCs w:val="24"/>
        </w:rPr>
      </w:pPr>
    </w:p>
    <w:p w14:paraId="761AD64C" w14:textId="77777777" w:rsidR="00D85F76" w:rsidRDefault="00D85F76" w:rsidP="00D85F76">
      <w:pPr>
        <w:pStyle w:val="ListParagraph"/>
        <w:numPr>
          <w:ilvl w:val="0"/>
          <w:numId w:val="1"/>
        </w:numPr>
        <w:spacing w:after="0" w:line="240" w:lineRule="auto"/>
        <w:rPr>
          <w:rFonts w:asciiTheme="majorHAnsi" w:hAnsiTheme="majorHAnsi" w:cs="Arial"/>
          <w:sz w:val="24"/>
          <w:szCs w:val="24"/>
        </w:rPr>
      </w:pPr>
      <w:r>
        <w:rPr>
          <w:rFonts w:asciiTheme="majorHAnsi" w:hAnsiTheme="majorHAnsi" w:cs="Arial"/>
          <w:sz w:val="24"/>
          <w:szCs w:val="24"/>
          <w:u w:val="single"/>
        </w:rPr>
        <w:t>Further Investigations and Studies by the Commission</w:t>
      </w:r>
      <w:r w:rsidRPr="00BB2C47">
        <w:rPr>
          <w:rFonts w:asciiTheme="majorHAnsi" w:hAnsiTheme="majorHAnsi" w:cs="Arial"/>
          <w:sz w:val="24"/>
          <w:szCs w:val="24"/>
        </w:rPr>
        <w:t>.</w:t>
      </w:r>
      <w:r>
        <w:rPr>
          <w:rFonts w:asciiTheme="majorHAnsi" w:hAnsiTheme="majorHAnsi" w:cs="Arial"/>
          <w:sz w:val="24"/>
          <w:szCs w:val="24"/>
        </w:rPr>
        <w:t xml:space="preserve">  </w:t>
      </w:r>
    </w:p>
    <w:p w14:paraId="7E9C12AC" w14:textId="77777777" w:rsidR="00D85F76" w:rsidRDefault="00D85F76" w:rsidP="00D85F76">
      <w:pPr>
        <w:pStyle w:val="ListParagraph"/>
        <w:spacing w:after="0" w:line="240" w:lineRule="auto"/>
        <w:ind w:left="1080"/>
        <w:rPr>
          <w:rFonts w:asciiTheme="majorHAnsi" w:hAnsiTheme="majorHAnsi" w:cs="Arial"/>
          <w:sz w:val="24"/>
          <w:szCs w:val="24"/>
        </w:rPr>
      </w:pPr>
    </w:p>
    <w:p w14:paraId="4485546F" w14:textId="77777777" w:rsidR="00D85F76" w:rsidRPr="0027461F" w:rsidRDefault="00D85F76" w:rsidP="00D85F76">
      <w:pPr>
        <w:pStyle w:val="ListParagraph"/>
        <w:numPr>
          <w:ilvl w:val="0"/>
          <w:numId w:val="2"/>
        </w:numPr>
        <w:spacing w:after="0" w:line="240" w:lineRule="auto"/>
        <w:rPr>
          <w:rFonts w:asciiTheme="majorHAnsi" w:hAnsiTheme="majorHAnsi" w:cs="Arial"/>
          <w:sz w:val="24"/>
          <w:szCs w:val="24"/>
        </w:rPr>
      </w:pPr>
      <w:r w:rsidRPr="00DD4B29">
        <w:rPr>
          <w:rFonts w:asciiTheme="majorHAnsi" w:hAnsiTheme="majorHAnsi" w:cs="Arial"/>
          <w:b/>
          <w:sz w:val="24"/>
          <w:szCs w:val="24"/>
        </w:rPr>
        <w:t>On-going</w:t>
      </w:r>
      <w:r>
        <w:rPr>
          <w:rFonts w:asciiTheme="majorHAnsi" w:hAnsiTheme="majorHAnsi" w:cs="Arial"/>
          <w:b/>
          <w:sz w:val="24"/>
          <w:szCs w:val="24"/>
        </w:rPr>
        <w:t xml:space="preserve"> Work</w:t>
      </w:r>
      <w:r w:rsidRPr="00DD4B29">
        <w:rPr>
          <w:rFonts w:asciiTheme="majorHAnsi" w:hAnsiTheme="majorHAnsi" w:cs="Arial"/>
          <w:b/>
          <w:sz w:val="24"/>
          <w:szCs w:val="24"/>
        </w:rPr>
        <w:t>.</w:t>
      </w:r>
      <w:r>
        <w:rPr>
          <w:rFonts w:asciiTheme="majorHAnsi" w:hAnsiTheme="majorHAnsi" w:cs="Arial"/>
          <w:sz w:val="24"/>
          <w:szCs w:val="24"/>
        </w:rPr>
        <w:t xml:space="preserve"> The Omnibus Law also required the Commission to further investigate and study the higher education opportunities, employment training opportunities, and employment opportunities available to person with autism spectrum disorder, and to determine the current status of such higher education opportunities, employment training opportunities and employment opportunities, but not limited to vocational training programs for teen-aged and young adult persons with ASD and make recommendations for providing appropriate higher education, employment training and employment opportunities for the population of residents in the commonwealth diagnosed with ASD. </w:t>
      </w:r>
      <w:r w:rsidRPr="00AE7828">
        <w:rPr>
          <w:rFonts w:asciiTheme="majorHAnsi" w:eastAsia="Times New Roman" w:hAnsiTheme="majorHAnsi"/>
          <w:sz w:val="24"/>
          <w:szCs w:val="24"/>
        </w:rPr>
        <w:t xml:space="preserve">Additionally, the </w:t>
      </w:r>
      <w:r>
        <w:rPr>
          <w:rFonts w:asciiTheme="majorHAnsi" w:eastAsia="Times New Roman" w:hAnsiTheme="majorHAnsi"/>
          <w:sz w:val="24"/>
          <w:szCs w:val="24"/>
        </w:rPr>
        <w:t>Commission</w:t>
      </w:r>
      <w:r w:rsidRPr="00AE7828">
        <w:rPr>
          <w:rFonts w:asciiTheme="majorHAnsi" w:eastAsia="Times New Roman" w:hAnsiTheme="majorHAnsi"/>
          <w:sz w:val="24"/>
          <w:szCs w:val="24"/>
        </w:rPr>
        <w:t xml:space="preserve"> shall review the rise in the prevalence of autism spectrum disorder diagnoses among children in the past 30 years and shall make estimates of the number of children, aged 21 or younger, with autism spectrum disorder who will become adults in the coming decades and the resulting need for employment training and employment opportunities for those individuals and shall recommend a plan-of-action for the commonwealth in regard thereto.</w:t>
      </w:r>
    </w:p>
    <w:p w14:paraId="4A04FB38" w14:textId="77777777" w:rsidR="00D85F76" w:rsidRPr="00AE7828" w:rsidRDefault="00D85F76" w:rsidP="00D85F76">
      <w:pPr>
        <w:spacing w:after="0" w:line="240" w:lineRule="auto"/>
        <w:ind w:left="1260"/>
        <w:rPr>
          <w:rFonts w:asciiTheme="majorHAnsi" w:hAnsiTheme="majorHAnsi" w:cs="Arial"/>
          <w:sz w:val="24"/>
          <w:szCs w:val="24"/>
        </w:rPr>
      </w:pPr>
    </w:p>
    <w:p w14:paraId="3C266577" w14:textId="77777777" w:rsidR="00D85F76" w:rsidRPr="00221A3D" w:rsidRDefault="00D85F76" w:rsidP="00757741">
      <w:pPr>
        <w:numPr>
          <w:ilvl w:val="0"/>
          <w:numId w:val="5"/>
        </w:numPr>
        <w:spacing w:after="0" w:line="240" w:lineRule="auto"/>
        <w:rPr>
          <w:rFonts w:asciiTheme="majorHAnsi" w:eastAsia="Times New Roman" w:hAnsiTheme="majorHAnsi"/>
          <w:sz w:val="24"/>
          <w:szCs w:val="24"/>
        </w:rPr>
      </w:pPr>
      <w:r w:rsidRPr="00FB12B2">
        <w:rPr>
          <w:rFonts w:asciiTheme="majorHAnsi" w:hAnsiTheme="majorHAnsi" w:cs="Arial"/>
          <w:sz w:val="24"/>
          <w:szCs w:val="24"/>
        </w:rPr>
        <w:t xml:space="preserve">The 14-22/employment subcommittee of the Commission has been examining the higher education opportunities, employment trainings opportunities and employment opportunities for persons with ASD.  The 14-22/ employment subcommittee is continuing its work on the need for higher education opportunities, employment trainings opportunities and employment opportunities to recommend a plan of action to the Autism Commission. </w:t>
      </w:r>
      <w:r w:rsidRPr="00FB12B2">
        <w:rPr>
          <w:rFonts w:ascii="Cambria" w:hAnsi="Cambria"/>
          <w:sz w:val="24"/>
          <w:szCs w:val="24"/>
        </w:rPr>
        <w:t xml:space="preserve">The 14-22/employment subcommittee of the Commission has begun to study the higher education opportunities, employment trainings opportunities and employment opportunities for persons with ASD. </w:t>
      </w:r>
    </w:p>
    <w:p w14:paraId="280F6312" w14:textId="77777777" w:rsidR="00134B73" w:rsidRPr="00757741" w:rsidRDefault="00134B73" w:rsidP="00221A3D">
      <w:pPr>
        <w:spacing w:after="0" w:line="240" w:lineRule="auto"/>
        <w:ind w:left="1620"/>
        <w:rPr>
          <w:rFonts w:asciiTheme="majorHAnsi" w:eastAsia="Times New Roman" w:hAnsiTheme="majorHAnsi"/>
          <w:sz w:val="24"/>
          <w:szCs w:val="24"/>
        </w:rPr>
      </w:pPr>
    </w:p>
    <w:p w14:paraId="71585F09" w14:textId="0A0562DD" w:rsidR="00134B73" w:rsidRPr="00663751" w:rsidRDefault="00757741" w:rsidP="00757741">
      <w:pPr>
        <w:numPr>
          <w:ilvl w:val="0"/>
          <w:numId w:val="5"/>
        </w:numPr>
        <w:spacing w:after="0" w:line="240" w:lineRule="auto"/>
        <w:rPr>
          <w:rFonts w:ascii="Cambria" w:eastAsia="Times New Roman" w:hAnsi="Cambria" w:cs="Calibri"/>
          <w:color w:val="000000"/>
          <w:sz w:val="24"/>
          <w:szCs w:val="24"/>
        </w:rPr>
      </w:pPr>
      <w:r w:rsidRPr="00663751">
        <w:rPr>
          <w:rFonts w:ascii="Cambria" w:hAnsi="Cambria" w:cs="Calibri"/>
          <w:sz w:val="24"/>
          <w:szCs w:val="24"/>
        </w:rPr>
        <w:t xml:space="preserve">In FY20, MRC served </w:t>
      </w:r>
      <w:r w:rsidRPr="00663751">
        <w:rPr>
          <w:rFonts w:ascii="Cambria" w:hAnsi="Cambria" w:cs="Calibri"/>
          <w:b/>
          <w:bCs/>
          <w:sz w:val="24"/>
          <w:szCs w:val="24"/>
        </w:rPr>
        <w:t xml:space="preserve">372 VR consumers with ASD </w:t>
      </w:r>
      <w:r w:rsidRPr="00663751">
        <w:rPr>
          <w:rFonts w:ascii="Cambria" w:hAnsi="Cambria" w:cs="Calibri"/>
          <w:sz w:val="24"/>
          <w:szCs w:val="24"/>
        </w:rPr>
        <w:t xml:space="preserve">enrolled in post-secondary education.  In terms of race and ethnicity these 372 are broken down as 326 white, 32 </w:t>
      </w:r>
      <w:r w:rsidR="008715A8" w:rsidRPr="00663751">
        <w:rPr>
          <w:rFonts w:ascii="Cambria" w:hAnsi="Cambria" w:cs="Calibri"/>
          <w:sz w:val="24"/>
          <w:szCs w:val="24"/>
        </w:rPr>
        <w:t>African American</w:t>
      </w:r>
      <w:r w:rsidRPr="00663751">
        <w:rPr>
          <w:rFonts w:ascii="Cambria" w:hAnsi="Cambria" w:cs="Calibri"/>
          <w:sz w:val="24"/>
          <w:szCs w:val="24"/>
        </w:rPr>
        <w:t xml:space="preserve">, 3 Native American, 119 Asian/Pacific Islander, and 18 Hispanic </w:t>
      </w:r>
      <w:r w:rsidR="004060A8" w:rsidRPr="00663751">
        <w:rPr>
          <w:rFonts w:ascii="Cambria" w:hAnsi="Cambria" w:cs="Calibri"/>
          <w:sz w:val="24"/>
          <w:szCs w:val="24"/>
        </w:rPr>
        <w:t>ethnicities</w:t>
      </w:r>
      <w:r w:rsidR="00134B73" w:rsidRPr="00663751">
        <w:rPr>
          <w:rFonts w:ascii="Cambria" w:hAnsi="Cambria" w:cs="Calibri"/>
          <w:sz w:val="24"/>
          <w:szCs w:val="24"/>
        </w:rPr>
        <w:t>.</w:t>
      </w:r>
      <w:r w:rsidR="00134B73" w:rsidRPr="00663751">
        <w:rPr>
          <w:rFonts w:ascii="Cambria" w:hAnsi="Cambria" w:cs="Calibri"/>
          <w:sz w:val="24"/>
          <w:szCs w:val="24"/>
        </w:rPr>
        <w:br/>
      </w:r>
    </w:p>
    <w:p w14:paraId="6642D0A2" w14:textId="66B03035" w:rsidR="00757741" w:rsidRPr="00134B73" w:rsidRDefault="00757741" w:rsidP="00134B73">
      <w:pPr>
        <w:numPr>
          <w:ilvl w:val="0"/>
          <w:numId w:val="5"/>
        </w:numPr>
        <w:spacing w:after="0" w:line="240" w:lineRule="auto"/>
        <w:rPr>
          <w:rFonts w:ascii="Cambria" w:eastAsia="Times New Roman" w:hAnsi="Cambria" w:cs="Calibri"/>
          <w:color w:val="000000"/>
          <w:sz w:val="24"/>
          <w:szCs w:val="24"/>
        </w:rPr>
      </w:pPr>
      <w:r w:rsidRPr="00663751">
        <w:rPr>
          <w:rFonts w:ascii="Cambria" w:hAnsi="Cambria" w:cs="Calibri"/>
          <w:sz w:val="24"/>
          <w:szCs w:val="24"/>
        </w:rPr>
        <w:t xml:space="preserve">MRC has 35 providers of pre-employment services (Pre-ETS), which provide job exploration counseling, workplace readiness trainings, workplace learning experiences, counseling in post-secondary training opportunities and self-advocacy. </w:t>
      </w:r>
      <w:bookmarkStart w:id="3" w:name="_Hlk56703337"/>
      <w:r w:rsidRPr="00663751">
        <w:rPr>
          <w:rFonts w:ascii="Cambria" w:hAnsi="Cambria" w:cs="Calibri"/>
          <w:sz w:val="24"/>
          <w:szCs w:val="24"/>
        </w:rPr>
        <w:t xml:space="preserve">In </w:t>
      </w:r>
      <w:r w:rsidRPr="00663751">
        <w:rPr>
          <w:rFonts w:ascii="Cambria" w:hAnsi="Cambria" w:cs="Calibri"/>
          <w:bCs/>
          <w:sz w:val="24"/>
          <w:szCs w:val="24"/>
        </w:rPr>
        <w:t xml:space="preserve">FY20 MRC referred </w:t>
      </w:r>
      <w:r w:rsidRPr="00663751">
        <w:rPr>
          <w:rFonts w:ascii="Cambria" w:hAnsi="Cambria" w:cs="Calibri"/>
          <w:b/>
          <w:bCs/>
          <w:sz w:val="24"/>
          <w:szCs w:val="24"/>
        </w:rPr>
        <w:t xml:space="preserve">790 Vocational Rehabilitation consumers with ASD </w:t>
      </w:r>
      <w:r w:rsidRPr="00663751">
        <w:rPr>
          <w:rFonts w:ascii="Cambria" w:hAnsi="Cambria" w:cs="Calibri"/>
          <w:b/>
          <w:sz w:val="24"/>
          <w:szCs w:val="24"/>
        </w:rPr>
        <w:t>to its Pre-ETS vendors</w:t>
      </w:r>
      <w:r w:rsidRPr="00663751">
        <w:rPr>
          <w:rFonts w:ascii="Cambria" w:hAnsi="Cambria" w:cs="Calibri"/>
          <w:sz w:val="24"/>
          <w:szCs w:val="24"/>
        </w:rPr>
        <w:t>.  In</w:t>
      </w:r>
      <w:r w:rsidRPr="00134B73">
        <w:rPr>
          <w:rFonts w:ascii="Cambria" w:hAnsi="Cambria" w:cs="Calibri"/>
          <w:sz w:val="24"/>
          <w:szCs w:val="24"/>
        </w:rPr>
        <w:t xml:space="preserve"> terms of race and ethnicity these 790 are broken down as 677 white, 91 </w:t>
      </w:r>
      <w:r w:rsidR="008715A8" w:rsidRPr="00134B73">
        <w:rPr>
          <w:rFonts w:ascii="Cambria" w:hAnsi="Cambria" w:cs="Calibri"/>
          <w:sz w:val="24"/>
          <w:szCs w:val="24"/>
        </w:rPr>
        <w:t>African American</w:t>
      </w:r>
      <w:r w:rsidRPr="00134B73">
        <w:rPr>
          <w:rFonts w:ascii="Cambria" w:hAnsi="Cambria" w:cs="Calibri"/>
          <w:sz w:val="24"/>
          <w:szCs w:val="24"/>
        </w:rPr>
        <w:t xml:space="preserve">, 5 Native American, 32 Asian/Pacific Islander, and 58 Hispanic </w:t>
      </w:r>
      <w:r w:rsidR="004060A8" w:rsidRPr="00134B73">
        <w:rPr>
          <w:rFonts w:ascii="Cambria" w:hAnsi="Cambria" w:cs="Calibri"/>
          <w:sz w:val="24"/>
          <w:szCs w:val="24"/>
        </w:rPr>
        <w:t>ethnicities</w:t>
      </w:r>
      <w:r w:rsidRPr="00134B73">
        <w:rPr>
          <w:rFonts w:ascii="Cambria" w:hAnsi="Cambria" w:cs="Calibri"/>
          <w:sz w:val="24"/>
          <w:szCs w:val="24"/>
        </w:rPr>
        <w:t>.  During FY20, 344 individuals achieved successful employment outcomes during FY19, and 95.6% of individuals retained employment after placement to successful employment outcomes.</w:t>
      </w:r>
    </w:p>
    <w:bookmarkEnd w:id="3"/>
    <w:p w14:paraId="2C4AB424" w14:textId="77777777" w:rsidR="00757741" w:rsidRPr="000832D8" w:rsidRDefault="00757741" w:rsidP="00757741">
      <w:pPr>
        <w:pStyle w:val="ListParagraph"/>
        <w:ind w:left="1620"/>
        <w:rPr>
          <w:rFonts w:ascii="Cambria" w:hAnsi="Cambria" w:cstheme="minorHAnsi"/>
          <w:sz w:val="24"/>
          <w:szCs w:val="24"/>
        </w:rPr>
      </w:pPr>
    </w:p>
    <w:p w14:paraId="48ED8206" w14:textId="5BF94EC4" w:rsidR="00757741" w:rsidRPr="00663751" w:rsidRDefault="00757741" w:rsidP="00757741">
      <w:pPr>
        <w:pStyle w:val="ListParagraph"/>
        <w:numPr>
          <w:ilvl w:val="0"/>
          <w:numId w:val="2"/>
        </w:numPr>
        <w:rPr>
          <w:rFonts w:ascii="Cambria" w:hAnsi="Cambria" w:cstheme="minorHAnsi"/>
          <w:bCs/>
          <w:sz w:val="24"/>
          <w:szCs w:val="24"/>
        </w:rPr>
      </w:pPr>
      <w:r w:rsidRPr="00663751">
        <w:rPr>
          <w:rFonts w:ascii="Cambria" w:hAnsi="Cambria" w:cstheme="minorHAnsi"/>
          <w:sz w:val="24"/>
          <w:szCs w:val="24"/>
        </w:rPr>
        <w:t xml:space="preserve">In FY20, MRC </w:t>
      </w:r>
      <w:r w:rsidRPr="00663751">
        <w:rPr>
          <w:rFonts w:ascii="Cambria" w:hAnsi="Cambria" w:cstheme="minorHAnsi"/>
          <w:b/>
          <w:bCs/>
          <w:sz w:val="24"/>
          <w:szCs w:val="24"/>
        </w:rPr>
        <w:t xml:space="preserve">received 63 referrals through the 688 process </w:t>
      </w:r>
      <w:r w:rsidRPr="00663751">
        <w:rPr>
          <w:rFonts w:ascii="Cambria" w:hAnsi="Cambria" w:cstheme="minorHAnsi"/>
          <w:sz w:val="24"/>
          <w:szCs w:val="24"/>
        </w:rPr>
        <w:t xml:space="preserve">for individuals with </w:t>
      </w:r>
      <w:r w:rsidR="004060A8" w:rsidRPr="00663751">
        <w:rPr>
          <w:rFonts w:ascii="Cambria" w:hAnsi="Cambria" w:cstheme="minorHAnsi"/>
          <w:bCs/>
          <w:sz w:val="24"/>
          <w:szCs w:val="24"/>
        </w:rPr>
        <w:t>ASD</w:t>
      </w:r>
      <w:r w:rsidR="004060A8" w:rsidRPr="00663751">
        <w:rPr>
          <w:rFonts w:ascii="Cambria" w:hAnsi="Cambria" w:cstheme="minorHAnsi"/>
          <w:sz w:val="24"/>
          <w:szCs w:val="24"/>
        </w:rPr>
        <w:t xml:space="preserve"> and</w:t>
      </w:r>
      <w:r w:rsidRPr="00663751">
        <w:rPr>
          <w:rFonts w:ascii="Cambria" w:hAnsi="Cambria" w:cstheme="minorHAnsi"/>
          <w:sz w:val="24"/>
          <w:szCs w:val="24"/>
        </w:rPr>
        <w:t xml:space="preserve"> served </w:t>
      </w:r>
      <w:r w:rsidRPr="00663751">
        <w:rPr>
          <w:rFonts w:ascii="Cambria" w:hAnsi="Cambria" w:cstheme="minorHAnsi"/>
          <w:b/>
          <w:bCs/>
          <w:sz w:val="24"/>
          <w:szCs w:val="24"/>
        </w:rPr>
        <w:t>265 individuals with ASD</w:t>
      </w:r>
      <w:r w:rsidRPr="00663751">
        <w:rPr>
          <w:rFonts w:ascii="Cambria" w:hAnsi="Cambria" w:cstheme="minorHAnsi"/>
          <w:sz w:val="24"/>
          <w:szCs w:val="24"/>
        </w:rPr>
        <w:t xml:space="preserve"> in its Transition to Adulthood (TAP) program.   </w:t>
      </w:r>
    </w:p>
    <w:p w14:paraId="5AA1FBD1" w14:textId="77777777" w:rsidR="00757741" w:rsidRDefault="00757741" w:rsidP="00757741">
      <w:pPr>
        <w:spacing w:after="0" w:line="240" w:lineRule="auto"/>
        <w:ind w:left="720"/>
        <w:rPr>
          <w:rFonts w:asciiTheme="majorHAnsi" w:eastAsia="Times New Roman" w:hAnsiTheme="majorHAnsi"/>
          <w:sz w:val="24"/>
          <w:szCs w:val="24"/>
        </w:rPr>
      </w:pPr>
    </w:p>
    <w:p w14:paraId="13466063" w14:textId="1BA85F73" w:rsidR="00D85F76" w:rsidRDefault="00D85F76" w:rsidP="00D85F76">
      <w:pPr>
        <w:pStyle w:val="ListParagraph"/>
        <w:numPr>
          <w:ilvl w:val="0"/>
          <w:numId w:val="2"/>
        </w:numPr>
        <w:spacing w:after="0" w:line="240" w:lineRule="auto"/>
        <w:rPr>
          <w:rFonts w:asciiTheme="majorHAnsi" w:eastAsia="Times New Roman" w:hAnsiTheme="majorHAnsi"/>
          <w:sz w:val="24"/>
          <w:szCs w:val="24"/>
        </w:rPr>
      </w:pPr>
      <w:r w:rsidRPr="003C0562">
        <w:rPr>
          <w:rFonts w:asciiTheme="majorHAnsi" w:hAnsiTheme="majorHAnsi" w:cs="Arial"/>
          <w:b/>
          <w:sz w:val="24"/>
          <w:szCs w:val="24"/>
        </w:rPr>
        <w:t>On-going Work.</w:t>
      </w:r>
      <w:r w:rsidRPr="003C0562">
        <w:rPr>
          <w:rFonts w:asciiTheme="majorHAnsi" w:hAnsiTheme="majorHAnsi" w:cs="Arial"/>
          <w:sz w:val="24"/>
          <w:szCs w:val="24"/>
        </w:rPr>
        <w:t xml:space="preserve"> </w:t>
      </w:r>
      <w:r w:rsidRPr="003C0562">
        <w:rPr>
          <w:rFonts w:asciiTheme="majorHAnsi" w:eastAsia="Times New Roman" w:hAnsiTheme="majorHAnsi"/>
          <w:sz w:val="24"/>
          <w:szCs w:val="24"/>
        </w:rPr>
        <w:t>The Commission on autism shall make an investigation and study of the present, and anticipated future, statewide affordable supportive housing needs for the commonwealth's population of persons with autism spectrum disorder.  The Commission shall develop and conduct a statewide housing survey to determine the current status of affordable supportive housing stock for adults with autism spectrum disorder and shall make</w:t>
      </w:r>
      <w:r>
        <w:rPr>
          <w:rFonts w:asciiTheme="majorHAnsi" w:eastAsia="Times New Roman" w:hAnsiTheme="majorHAnsi"/>
          <w:sz w:val="24"/>
          <w:szCs w:val="24"/>
        </w:rPr>
        <w:t xml:space="preserve"> </w:t>
      </w:r>
      <w:r w:rsidRPr="003C0562">
        <w:rPr>
          <w:rFonts w:asciiTheme="majorHAnsi" w:eastAsia="Times New Roman" w:hAnsiTheme="majorHAnsi"/>
          <w:sz w:val="24"/>
          <w:szCs w:val="24"/>
        </w:rPr>
        <w:t>recommendations in regard thereto.</w:t>
      </w:r>
      <w:r w:rsidRPr="003C0562">
        <w:rPr>
          <w:rFonts w:ascii="Times New Roman" w:eastAsia="Times New Roman" w:hAnsi="Times New Roman"/>
          <w:sz w:val="32"/>
          <w:szCs w:val="32"/>
        </w:rPr>
        <w:t> </w:t>
      </w:r>
      <w:r w:rsidRPr="003C0562">
        <w:rPr>
          <w:rFonts w:asciiTheme="majorHAnsi" w:eastAsia="Times New Roman" w:hAnsiTheme="majorHAnsi"/>
          <w:sz w:val="24"/>
          <w:szCs w:val="24"/>
        </w:rPr>
        <w:t>Additionally, the Commission shall review the rise in the prevalence of autism spectrum disorder diagnoses among children in the past 30 years and shall make estimates of the number of children, aged 21 or younger, with autism spectrum disorder who will become adults in the coming decades and the resulting need for affordable supportive housing for those individuals and shall recommend a plan-of-action for the commonwealth in regard thereto.</w:t>
      </w:r>
    </w:p>
    <w:p w14:paraId="4F9E10B2" w14:textId="77777777" w:rsidR="00374530" w:rsidRPr="00374530" w:rsidRDefault="00374530" w:rsidP="00374530">
      <w:pPr>
        <w:pStyle w:val="ListParagraph"/>
        <w:rPr>
          <w:rFonts w:asciiTheme="majorHAnsi" w:eastAsia="Times New Roman" w:hAnsiTheme="majorHAnsi"/>
          <w:sz w:val="24"/>
          <w:szCs w:val="24"/>
        </w:rPr>
      </w:pPr>
    </w:p>
    <w:p w14:paraId="256272EE" w14:textId="388DC3DF" w:rsidR="00374530" w:rsidRPr="003C0562" w:rsidRDefault="00374530" w:rsidP="00374530">
      <w:pPr>
        <w:pStyle w:val="ListParagraph"/>
        <w:spacing w:after="0" w:line="240" w:lineRule="auto"/>
        <w:ind w:left="1620"/>
        <w:rPr>
          <w:rFonts w:asciiTheme="majorHAnsi" w:eastAsia="Times New Roman" w:hAnsiTheme="majorHAnsi"/>
          <w:sz w:val="24"/>
          <w:szCs w:val="24"/>
        </w:rPr>
      </w:pPr>
      <w:r w:rsidRPr="00132DE6">
        <w:rPr>
          <w:rFonts w:asciiTheme="majorHAnsi" w:eastAsia="Times New Roman" w:hAnsiTheme="majorHAnsi"/>
          <w:sz w:val="24"/>
          <w:szCs w:val="24"/>
        </w:rPr>
        <w:t xml:space="preserve">Based on the most recent 2020 prevalence data by the CDC of 1 in 54 and the 2019 Massachusetts census data, it is estimated that the number of individuals with autism who may need affordable supportive housing in the coming decades over the age of 18 could be 102,527. </w:t>
      </w:r>
      <w:r w:rsidR="00503A33" w:rsidRPr="00132DE6">
        <w:rPr>
          <w:rFonts w:asciiTheme="majorHAnsi" w:eastAsia="Times New Roman" w:hAnsiTheme="majorHAnsi"/>
          <w:sz w:val="24"/>
          <w:szCs w:val="24"/>
        </w:rPr>
        <w:t xml:space="preserve"> It should be noted that Massachusetts was not included in the CDC study on prevalence</w:t>
      </w:r>
      <w:r w:rsidR="004060A8" w:rsidRPr="00132DE6">
        <w:rPr>
          <w:rFonts w:asciiTheme="majorHAnsi" w:eastAsia="Times New Roman" w:hAnsiTheme="majorHAnsi"/>
          <w:sz w:val="24"/>
          <w:szCs w:val="24"/>
        </w:rPr>
        <w:t xml:space="preserve"> for autism</w:t>
      </w:r>
      <w:r w:rsidR="00503A33" w:rsidRPr="00132DE6">
        <w:rPr>
          <w:rFonts w:asciiTheme="majorHAnsi" w:eastAsia="Times New Roman" w:hAnsiTheme="majorHAnsi"/>
          <w:sz w:val="24"/>
          <w:szCs w:val="24"/>
        </w:rPr>
        <w:t xml:space="preserve">. Massachusetts data from the Department of Elementary and Secondary Education for 2003-2015 show that the number of individuals with autism enrolled in </w:t>
      </w:r>
      <w:r w:rsidR="004060A8" w:rsidRPr="00132DE6">
        <w:rPr>
          <w:rFonts w:asciiTheme="majorHAnsi" w:eastAsia="Times New Roman" w:hAnsiTheme="majorHAnsi"/>
          <w:sz w:val="24"/>
          <w:szCs w:val="24"/>
        </w:rPr>
        <w:t>special education</w:t>
      </w:r>
      <w:r w:rsidR="00503A33" w:rsidRPr="00132DE6">
        <w:rPr>
          <w:rFonts w:asciiTheme="majorHAnsi" w:eastAsia="Times New Roman" w:hAnsiTheme="majorHAnsi"/>
          <w:sz w:val="24"/>
          <w:szCs w:val="24"/>
        </w:rPr>
        <w:t xml:space="preserve"> rose </w:t>
      </w:r>
      <w:r w:rsidR="004060A8" w:rsidRPr="00132DE6">
        <w:rPr>
          <w:rFonts w:asciiTheme="majorHAnsi" w:eastAsia="Times New Roman" w:hAnsiTheme="majorHAnsi"/>
          <w:sz w:val="24"/>
          <w:szCs w:val="24"/>
        </w:rPr>
        <w:t xml:space="preserve">during that 12-year period </w:t>
      </w:r>
      <w:r w:rsidR="00503A33" w:rsidRPr="00132DE6">
        <w:rPr>
          <w:rFonts w:asciiTheme="majorHAnsi" w:eastAsia="Times New Roman" w:hAnsiTheme="majorHAnsi"/>
          <w:sz w:val="24"/>
          <w:szCs w:val="24"/>
        </w:rPr>
        <w:t>from 4,876 in 2003 to 18,572 in 2015</w:t>
      </w:r>
      <w:r w:rsidR="004060A8" w:rsidRPr="00132DE6">
        <w:rPr>
          <w:rFonts w:asciiTheme="majorHAnsi" w:eastAsia="Times New Roman" w:hAnsiTheme="majorHAnsi"/>
          <w:sz w:val="24"/>
          <w:szCs w:val="24"/>
        </w:rPr>
        <w:t>.</w:t>
      </w:r>
      <w:r w:rsidR="004060A8">
        <w:rPr>
          <w:rFonts w:asciiTheme="majorHAnsi" w:eastAsia="Times New Roman" w:hAnsiTheme="majorHAnsi"/>
          <w:sz w:val="24"/>
          <w:szCs w:val="24"/>
        </w:rPr>
        <w:t xml:space="preserve"> </w:t>
      </w:r>
    </w:p>
    <w:p w14:paraId="0DEC792E" w14:textId="77777777" w:rsidR="00D85F76" w:rsidRDefault="00D85F76" w:rsidP="00D85F76">
      <w:pPr>
        <w:pStyle w:val="ListParagraph"/>
        <w:spacing w:after="0" w:line="240" w:lineRule="auto"/>
        <w:ind w:left="1620"/>
        <w:rPr>
          <w:rFonts w:ascii="Times New Roman" w:eastAsia="Times New Roman" w:hAnsi="Times New Roman"/>
          <w:sz w:val="32"/>
          <w:szCs w:val="32"/>
        </w:rPr>
      </w:pPr>
    </w:p>
    <w:p w14:paraId="43F18A90" w14:textId="3ABDBA7F" w:rsidR="00D85F76" w:rsidRPr="00BD446C" w:rsidRDefault="00D85F76" w:rsidP="00D85F76">
      <w:pPr>
        <w:spacing w:after="0" w:line="240" w:lineRule="auto"/>
        <w:ind w:left="1620"/>
        <w:rPr>
          <w:rFonts w:asciiTheme="majorHAnsi" w:hAnsiTheme="majorHAnsi" w:cs="Arial"/>
          <w:sz w:val="24"/>
          <w:szCs w:val="24"/>
        </w:rPr>
      </w:pPr>
      <w:r w:rsidRPr="00AE7828">
        <w:rPr>
          <w:rFonts w:asciiTheme="majorHAnsi" w:hAnsiTheme="majorHAnsi" w:cs="Arial"/>
          <w:sz w:val="24"/>
          <w:szCs w:val="24"/>
        </w:rPr>
        <w:t xml:space="preserve">The Housing Subcommittee </w:t>
      </w:r>
      <w:r>
        <w:rPr>
          <w:rFonts w:asciiTheme="majorHAnsi" w:hAnsiTheme="majorHAnsi" w:cs="Arial"/>
          <w:sz w:val="24"/>
          <w:szCs w:val="24"/>
        </w:rPr>
        <w:t>Commission</w:t>
      </w:r>
      <w:r w:rsidRPr="00AE7828">
        <w:rPr>
          <w:rFonts w:asciiTheme="majorHAnsi" w:hAnsiTheme="majorHAnsi" w:cs="Arial"/>
          <w:sz w:val="24"/>
          <w:szCs w:val="24"/>
        </w:rPr>
        <w:t xml:space="preserve">ed a state-wide housing survey by Technical Assistance Collaborative (TAC), </w:t>
      </w:r>
      <w:r>
        <w:rPr>
          <w:rFonts w:asciiTheme="majorHAnsi" w:hAnsiTheme="majorHAnsi" w:cs="Arial"/>
          <w:sz w:val="24"/>
          <w:szCs w:val="24"/>
        </w:rPr>
        <w:t xml:space="preserve">as well as, reviewed </w:t>
      </w:r>
      <w:r w:rsidRPr="00AE7828">
        <w:rPr>
          <w:rFonts w:asciiTheme="majorHAnsi" w:hAnsiTheme="majorHAnsi" w:cs="Arial"/>
          <w:sz w:val="24"/>
          <w:szCs w:val="24"/>
        </w:rPr>
        <w:t xml:space="preserve">information provided by the Housing Think Tank and other resources will provide the framework for the housing subcommittee to develop recommendations for the Autism </w:t>
      </w:r>
      <w:r>
        <w:rPr>
          <w:rFonts w:asciiTheme="majorHAnsi" w:hAnsiTheme="majorHAnsi" w:cs="Arial"/>
          <w:sz w:val="24"/>
          <w:szCs w:val="24"/>
        </w:rPr>
        <w:t>Commission</w:t>
      </w:r>
      <w:r w:rsidRPr="00AE7828">
        <w:rPr>
          <w:rFonts w:asciiTheme="majorHAnsi" w:hAnsiTheme="majorHAnsi" w:cs="Arial"/>
          <w:sz w:val="24"/>
          <w:szCs w:val="24"/>
        </w:rPr>
        <w:t xml:space="preserve">.  </w:t>
      </w:r>
      <w:r>
        <w:rPr>
          <w:rFonts w:asciiTheme="majorHAnsi" w:hAnsiTheme="majorHAnsi" w:cs="Arial"/>
          <w:sz w:val="24"/>
          <w:szCs w:val="24"/>
        </w:rPr>
        <w:t>The Housing subcommittee is continuing its work on the need for affordable supportive housing</w:t>
      </w:r>
      <w:r w:rsidR="00BD446C">
        <w:rPr>
          <w:rFonts w:asciiTheme="majorHAnsi" w:hAnsiTheme="majorHAnsi" w:cs="Arial"/>
          <w:sz w:val="24"/>
          <w:szCs w:val="24"/>
        </w:rPr>
        <w:t>. T</w:t>
      </w:r>
      <w:r w:rsidR="00BD446C" w:rsidRPr="00BD446C">
        <w:rPr>
          <w:rFonts w:asciiTheme="majorHAnsi" w:hAnsiTheme="majorHAnsi"/>
          <w:sz w:val="24"/>
          <w:szCs w:val="24"/>
        </w:rPr>
        <w:t xml:space="preserve">he Housing subcommittee </w:t>
      </w:r>
      <w:r w:rsidR="00BD446C">
        <w:rPr>
          <w:rFonts w:asciiTheme="majorHAnsi" w:hAnsiTheme="majorHAnsi"/>
          <w:sz w:val="24"/>
          <w:szCs w:val="24"/>
        </w:rPr>
        <w:t xml:space="preserve">also </w:t>
      </w:r>
      <w:r w:rsidR="00BD446C" w:rsidRPr="00BD446C">
        <w:rPr>
          <w:rFonts w:asciiTheme="majorHAnsi" w:hAnsiTheme="majorHAnsi"/>
          <w:sz w:val="24"/>
          <w:szCs w:val="24"/>
        </w:rPr>
        <w:t>reviewed with the DHCD representative on the subcommittee the design specifications on two projects underway on Cape Cod and discussed potential design additions to meet the needs of individuals with autism spectrum disorder.</w:t>
      </w:r>
      <w:r w:rsidR="00374530">
        <w:rPr>
          <w:rFonts w:asciiTheme="majorHAnsi" w:hAnsiTheme="majorHAnsi"/>
          <w:sz w:val="24"/>
          <w:szCs w:val="24"/>
        </w:rPr>
        <w:t xml:space="preserve"> </w:t>
      </w:r>
    </w:p>
    <w:p w14:paraId="245DA0A3" w14:textId="77777777" w:rsidR="00BD446C" w:rsidRPr="00AE7828" w:rsidRDefault="00BD446C" w:rsidP="00D85F76">
      <w:pPr>
        <w:spacing w:after="0" w:line="240" w:lineRule="auto"/>
        <w:ind w:left="1620"/>
        <w:rPr>
          <w:rFonts w:asciiTheme="majorHAnsi" w:hAnsiTheme="majorHAnsi" w:cs="Arial"/>
          <w:sz w:val="24"/>
          <w:szCs w:val="24"/>
        </w:rPr>
      </w:pPr>
    </w:p>
    <w:p w14:paraId="437483F1" w14:textId="77777777" w:rsidR="00E73748" w:rsidRDefault="00E73748" w:rsidP="00BD446C">
      <w:pPr>
        <w:pStyle w:val="ListParagraph"/>
        <w:spacing w:after="0" w:line="240" w:lineRule="auto"/>
        <w:ind w:left="0"/>
        <w:rPr>
          <w:rFonts w:asciiTheme="majorHAnsi" w:eastAsia="Times New Roman" w:hAnsiTheme="majorHAnsi"/>
          <w:sz w:val="24"/>
          <w:szCs w:val="24"/>
        </w:rPr>
      </w:pPr>
    </w:p>
    <w:p w14:paraId="1E5970F9" w14:textId="77777777" w:rsidR="00D85F76" w:rsidRPr="00463ADA" w:rsidRDefault="00445C5E" w:rsidP="00D85F76">
      <w:pPr>
        <w:pStyle w:val="NoSpacing"/>
        <w:rPr>
          <w:rFonts w:asciiTheme="majorHAnsi" w:hAnsiTheme="majorHAnsi"/>
          <w:b/>
          <w:i/>
          <w:sz w:val="24"/>
          <w:szCs w:val="24"/>
          <w:u w:val="single"/>
        </w:rPr>
      </w:pPr>
      <w:r>
        <w:rPr>
          <w:rFonts w:asciiTheme="majorHAnsi" w:hAnsiTheme="majorHAnsi"/>
          <w:b/>
          <w:i/>
          <w:sz w:val="24"/>
          <w:szCs w:val="24"/>
          <w:u w:val="single"/>
        </w:rPr>
        <w:t xml:space="preserve">Updates on the </w:t>
      </w:r>
      <w:r w:rsidR="00D85F76" w:rsidRPr="00463ADA">
        <w:rPr>
          <w:rFonts w:asciiTheme="majorHAnsi" w:hAnsiTheme="majorHAnsi"/>
          <w:b/>
          <w:i/>
          <w:sz w:val="24"/>
          <w:szCs w:val="24"/>
          <w:u w:val="single"/>
        </w:rPr>
        <w:t xml:space="preserve">2018 Recommendations of the Autism </w:t>
      </w:r>
      <w:r w:rsidR="00D85F76">
        <w:rPr>
          <w:rFonts w:asciiTheme="majorHAnsi" w:hAnsiTheme="majorHAnsi"/>
          <w:b/>
          <w:i/>
          <w:sz w:val="24"/>
          <w:szCs w:val="24"/>
          <w:u w:val="single"/>
        </w:rPr>
        <w:t>Commission</w:t>
      </w:r>
      <w:r>
        <w:rPr>
          <w:rFonts w:asciiTheme="majorHAnsi" w:hAnsiTheme="majorHAnsi"/>
          <w:b/>
          <w:i/>
          <w:sz w:val="24"/>
          <w:szCs w:val="24"/>
          <w:u w:val="single"/>
        </w:rPr>
        <w:t xml:space="preserve"> </w:t>
      </w:r>
    </w:p>
    <w:p w14:paraId="684FC4B7" w14:textId="77777777" w:rsidR="00D85F76" w:rsidRDefault="00D85F76" w:rsidP="00D85F76">
      <w:pPr>
        <w:pStyle w:val="NoSpacing"/>
        <w:rPr>
          <w:rFonts w:asciiTheme="majorHAnsi" w:hAnsiTheme="majorHAnsi"/>
          <w:sz w:val="24"/>
          <w:szCs w:val="24"/>
        </w:rPr>
      </w:pPr>
    </w:p>
    <w:p w14:paraId="573A8C87" w14:textId="77777777" w:rsidR="00D85F76" w:rsidRPr="00ED7A9F" w:rsidRDefault="00D85F76" w:rsidP="00D85F76">
      <w:pPr>
        <w:pStyle w:val="NoSpacing"/>
        <w:rPr>
          <w:rFonts w:asciiTheme="majorHAnsi" w:hAnsiTheme="majorHAnsi"/>
          <w:sz w:val="24"/>
          <w:szCs w:val="24"/>
        </w:rPr>
      </w:pPr>
      <w:r w:rsidRPr="00ED7A9F">
        <w:rPr>
          <w:rFonts w:asciiTheme="majorHAnsi" w:hAnsiTheme="majorHAnsi"/>
          <w:sz w:val="24"/>
          <w:szCs w:val="24"/>
        </w:rPr>
        <w:t xml:space="preserve">The Autism Commission developed new recommendations in </w:t>
      </w:r>
      <w:r w:rsidR="00445C5E">
        <w:rPr>
          <w:rFonts w:asciiTheme="majorHAnsi" w:hAnsiTheme="majorHAnsi"/>
          <w:sz w:val="24"/>
          <w:szCs w:val="24"/>
        </w:rPr>
        <w:t>2018</w:t>
      </w:r>
      <w:r w:rsidRPr="00ED7A9F">
        <w:rPr>
          <w:rFonts w:asciiTheme="majorHAnsi" w:hAnsiTheme="majorHAnsi"/>
          <w:sz w:val="24"/>
          <w:szCs w:val="24"/>
        </w:rPr>
        <w:t>,</w:t>
      </w:r>
      <w:r w:rsidR="00445C5E">
        <w:rPr>
          <w:rFonts w:asciiTheme="majorHAnsi" w:hAnsiTheme="majorHAnsi"/>
          <w:sz w:val="24"/>
          <w:szCs w:val="24"/>
        </w:rPr>
        <w:t xml:space="preserve"> updates are set forth below</w:t>
      </w:r>
      <w:r w:rsidRPr="00ED7A9F">
        <w:rPr>
          <w:rFonts w:asciiTheme="majorHAnsi" w:hAnsiTheme="majorHAnsi"/>
          <w:sz w:val="24"/>
          <w:szCs w:val="24"/>
        </w:rPr>
        <w:t>.  The Autism Commission notes that there are recommendations included in the 2013 report of the Special Commission Relative to Autism</w:t>
      </w:r>
      <w:r w:rsidRPr="00ED7A9F">
        <w:rPr>
          <w:rStyle w:val="apple-converted-space"/>
          <w:rFonts w:asciiTheme="majorHAnsi" w:hAnsiTheme="majorHAnsi"/>
          <w:sz w:val="24"/>
          <w:szCs w:val="24"/>
        </w:rPr>
        <w:t> </w:t>
      </w:r>
      <w:r w:rsidRPr="00ED7A9F">
        <w:rPr>
          <w:rFonts w:asciiTheme="majorHAnsi" w:hAnsiTheme="majorHAnsi"/>
          <w:sz w:val="24"/>
          <w:szCs w:val="24"/>
        </w:rPr>
        <w:t>that are not included in this report.</w:t>
      </w:r>
    </w:p>
    <w:p w14:paraId="7C2DEE08" w14:textId="77777777" w:rsidR="00D85F76" w:rsidRPr="00495D3D" w:rsidRDefault="00D85F76" w:rsidP="00D85F76">
      <w:pPr>
        <w:pStyle w:val="NoSpacing"/>
        <w:rPr>
          <w:rFonts w:asciiTheme="majorHAnsi" w:hAnsiTheme="majorHAnsi"/>
          <w:sz w:val="24"/>
          <w:szCs w:val="24"/>
        </w:rPr>
      </w:pPr>
    </w:p>
    <w:p w14:paraId="0911A4B1" w14:textId="77777777" w:rsidR="00D85F76" w:rsidRDefault="00D85F76" w:rsidP="00D85F76">
      <w:pPr>
        <w:rPr>
          <w:rFonts w:asciiTheme="majorHAnsi" w:hAnsiTheme="majorHAnsi"/>
          <w:sz w:val="24"/>
          <w:szCs w:val="24"/>
        </w:rPr>
      </w:pPr>
      <w:r w:rsidRPr="00495D3D">
        <w:rPr>
          <w:rFonts w:asciiTheme="majorHAnsi" w:hAnsiTheme="majorHAnsi"/>
          <w:sz w:val="24"/>
          <w:szCs w:val="24"/>
        </w:rPr>
        <w:t>1.</w:t>
      </w:r>
      <w:r w:rsidRPr="00495D3D">
        <w:rPr>
          <w:rFonts w:asciiTheme="majorHAnsi" w:hAnsiTheme="majorHAnsi"/>
          <w:sz w:val="24"/>
          <w:szCs w:val="24"/>
        </w:rPr>
        <w:tab/>
        <w:t>The Birth to 14 Subcommittee will collaborate with the Department of Elementary and Secondary Education (“</w:t>
      </w:r>
      <w:r>
        <w:rPr>
          <w:rFonts w:asciiTheme="majorHAnsi" w:hAnsiTheme="majorHAnsi"/>
          <w:sz w:val="24"/>
          <w:szCs w:val="24"/>
        </w:rPr>
        <w:t>D</w:t>
      </w:r>
      <w:r w:rsidRPr="00495D3D">
        <w:rPr>
          <w:rFonts w:asciiTheme="majorHAnsi" w:hAnsiTheme="majorHAnsi"/>
          <w:sz w:val="24"/>
          <w:szCs w:val="24"/>
        </w:rPr>
        <w:t>ESE”) on its development of their new electronic IEP to address issues that relate to students with autism spectrum disorder</w:t>
      </w:r>
      <w:r w:rsidRPr="0067686D">
        <w:rPr>
          <w:rFonts w:asciiTheme="minorHAnsi" w:hAnsiTheme="minorHAnsi"/>
        </w:rPr>
        <w:t xml:space="preserve"> </w:t>
      </w:r>
      <w:r w:rsidRPr="0067686D">
        <w:rPr>
          <w:rFonts w:asciiTheme="majorHAnsi" w:hAnsiTheme="majorHAnsi"/>
          <w:sz w:val="24"/>
          <w:szCs w:val="24"/>
        </w:rPr>
        <w:t>focusing on considerations of culture, race, linguistics, gender identity and socio-economic status.</w:t>
      </w:r>
      <w:r>
        <w:rPr>
          <w:rFonts w:asciiTheme="majorHAnsi" w:hAnsiTheme="majorHAnsi"/>
          <w:sz w:val="24"/>
          <w:szCs w:val="24"/>
        </w:rPr>
        <w:t xml:space="preserve"> </w:t>
      </w:r>
    </w:p>
    <w:p w14:paraId="04E7D07A" w14:textId="77777777" w:rsidR="00445C5E" w:rsidRPr="00445C5E" w:rsidRDefault="00445C5E" w:rsidP="00445C5E">
      <w:pPr>
        <w:pStyle w:val="ListParagraph"/>
        <w:numPr>
          <w:ilvl w:val="0"/>
          <w:numId w:val="6"/>
        </w:numPr>
        <w:spacing w:after="0" w:line="240" w:lineRule="auto"/>
        <w:rPr>
          <w:rFonts w:asciiTheme="majorHAnsi" w:hAnsiTheme="majorHAnsi"/>
          <w:i/>
          <w:sz w:val="24"/>
          <w:szCs w:val="24"/>
        </w:rPr>
      </w:pPr>
      <w:r w:rsidRPr="00445C5E">
        <w:rPr>
          <w:rFonts w:asciiTheme="majorHAnsi" w:hAnsiTheme="majorHAnsi"/>
          <w:i/>
          <w:sz w:val="24"/>
          <w:szCs w:val="24"/>
        </w:rPr>
        <w:t xml:space="preserve">The Subcommittee will continue to keep this an ongoing recommendation for the upcoming year, as the IEP project is still in process. DESE will continue to keep the Autism Commission advised about the progress of the project. </w:t>
      </w:r>
    </w:p>
    <w:p w14:paraId="4C35984F" w14:textId="77777777" w:rsidR="00D85F76" w:rsidRPr="00495D3D" w:rsidRDefault="00D85F76" w:rsidP="00D85F76">
      <w:pPr>
        <w:pStyle w:val="NoSpacing"/>
        <w:rPr>
          <w:rFonts w:asciiTheme="majorHAnsi" w:hAnsiTheme="majorHAnsi"/>
          <w:sz w:val="24"/>
          <w:szCs w:val="24"/>
        </w:rPr>
      </w:pPr>
    </w:p>
    <w:p w14:paraId="3F20ED2F" w14:textId="77777777" w:rsidR="00D85F76" w:rsidRPr="00445C5E" w:rsidRDefault="00D85F76" w:rsidP="00D85F76">
      <w:pPr>
        <w:rPr>
          <w:rFonts w:asciiTheme="majorHAnsi" w:hAnsiTheme="majorHAnsi"/>
          <w:sz w:val="24"/>
          <w:szCs w:val="24"/>
        </w:rPr>
      </w:pPr>
      <w:r>
        <w:rPr>
          <w:rFonts w:asciiTheme="majorHAnsi" w:hAnsiTheme="majorHAnsi"/>
          <w:sz w:val="24"/>
          <w:szCs w:val="24"/>
        </w:rPr>
        <w:t xml:space="preserve">2. </w:t>
      </w:r>
      <w:r>
        <w:rPr>
          <w:rFonts w:asciiTheme="majorHAnsi" w:hAnsiTheme="majorHAnsi"/>
          <w:sz w:val="24"/>
          <w:szCs w:val="24"/>
        </w:rPr>
        <w:tab/>
      </w:r>
      <w:r w:rsidRPr="00495D3D">
        <w:rPr>
          <w:rFonts w:asciiTheme="majorHAnsi" w:hAnsiTheme="majorHAnsi"/>
          <w:sz w:val="24"/>
          <w:szCs w:val="24"/>
        </w:rPr>
        <w:t>MRC, D</w:t>
      </w:r>
      <w:r w:rsidR="00692C93">
        <w:rPr>
          <w:rFonts w:asciiTheme="majorHAnsi" w:hAnsiTheme="majorHAnsi"/>
          <w:sz w:val="24"/>
          <w:szCs w:val="24"/>
        </w:rPr>
        <w:t>D</w:t>
      </w:r>
      <w:r w:rsidRPr="00495D3D">
        <w:rPr>
          <w:rFonts w:asciiTheme="majorHAnsi" w:hAnsiTheme="majorHAnsi"/>
          <w:sz w:val="24"/>
          <w:szCs w:val="24"/>
        </w:rPr>
        <w:t>S, and their respective employment providers will commit to strengthening their data collection processes to include retention data of one year for all individuals they serve with autism spectrum disorder (ASD</w:t>
      </w:r>
      <w:r w:rsidRPr="0067686D">
        <w:rPr>
          <w:rFonts w:asciiTheme="majorHAnsi" w:hAnsiTheme="majorHAnsi"/>
          <w:sz w:val="24"/>
          <w:szCs w:val="24"/>
        </w:rPr>
        <w:t>) focusing on considerations of culture, race, linguistics, gender identity and socio-economic status.</w:t>
      </w:r>
      <w:r>
        <w:rPr>
          <w:rFonts w:asciiTheme="majorHAnsi" w:hAnsiTheme="majorHAnsi"/>
          <w:sz w:val="24"/>
          <w:szCs w:val="24"/>
        </w:rPr>
        <w:t xml:space="preserve"> </w:t>
      </w:r>
    </w:p>
    <w:p w14:paraId="6D37FFC9" w14:textId="7D31E660" w:rsidR="00757741" w:rsidRPr="00663751" w:rsidRDefault="00757741" w:rsidP="00692C93">
      <w:pPr>
        <w:spacing w:line="240" w:lineRule="auto"/>
        <w:ind w:left="720"/>
        <w:rPr>
          <w:rFonts w:asciiTheme="majorHAnsi" w:eastAsia="Times New Roman" w:hAnsiTheme="majorHAnsi"/>
          <w:i/>
          <w:color w:val="000000"/>
          <w:sz w:val="24"/>
          <w:szCs w:val="24"/>
        </w:rPr>
      </w:pPr>
      <w:r w:rsidRPr="00663751">
        <w:rPr>
          <w:rFonts w:asciiTheme="majorHAnsi" w:eastAsia="Times New Roman" w:hAnsiTheme="majorHAnsi" w:cstheme="minorHAnsi"/>
          <w:i/>
          <w:color w:val="000000"/>
          <w:sz w:val="24"/>
          <w:szCs w:val="24"/>
        </w:rPr>
        <w:lastRenderedPageBreak/>
        <w:t xml:space="preserve">Update: Ongoing. In FY20 MRC referred 790 Vocational Rehabilitation consumers with ASD to its Pre-ETS vendors.  In terms of race and ethnicity these 790 are broken down as 677 white, 91 </w:t>
      </w:r>
      <w:r w:rsidR="008715A8" w:rsidRPr="00663751">
        <w:rPr>
          <w:rFonts w:asciiTheme="majorHAnsi" w:eastAsia="Times New Roman" w:hAnsiTheme="majorHAnsi" w:cstheme="minorHAnsi"/>
          <w:i/>
          <w:color w:val="000000"/>
          <w:sz w:val="24"/>
          <w:szCs w:val="24"/>
        </w:rPr>
        <w:t>African American</w:t>
      </w:r>
      <w:r w:rsidRPr="00663751">
        <w:rPr>
          <w:rFonts w:asciiTheme="majorHAnsi" w:eastAsia="Times New Roman" w:hAnsiTheme="majorHAnsi" w:cstheme="minorHAnsi"/>
          <w:i/>
          <w:color w:val="000000"/>
          <w:sz w:val="24"/>
          <w:szCs w:val="24"/>
        </w:rPr>
        <w:t xml:space="preserve">, 5 Native American, 32 Asian/Pacific Islander, and 58 Hispanic </w:t>
      </w:r>
      <w:r w:rsidR="004060A8" w:rsidRPr="00663751">
        <w:rPr>
          <w:rFonts w:asciiTheme="majorHAnsi" w:eastAsia="Times New Roman" w:hAnsiTheme="majorHAnsi" w:cstheme="minorHAnsi"/>
          <w:i/>
          <w:color w:val="000000"/>
          <w:sz w:val="24"/>
          <w:szCs w:val="24"/>
        </w:rPr>
        <w:t>ethnicities</w:t>
      </w:r>
      <w:r w:rsidRPr="00663751">
        <w:rPr>
          <w:rFonts w:asciiTheme="majorHAnsi" w:eastAsia="Times New Roman" w:hAnsiTheme="majorHAnsi" w:cstheme="minorHAnsi"/>
          <w:i/>
          <w:color w:val="000000"/>
          <w:sz w:val="24"/>
          <w:szCs w:val="24"/>
        </w:rPr>
        <w:t>.  During FY20, 344 individuals achieved successful employment outcomes during FY19, and 95.6% of individuals retained employment after placement to successful employment outcomes</w:t>
      </w:r>
      <w:r w:rsidRPr="00663751">
        <w:rPr>
          <w:rFonts w:asciiTheme="majorHAnsi" w:eastAsia="Times New Roman" w:hAnsiTheme="majorHAnsi"/>
          <w:i/>
          <w:color w:val="000000"/>
          <w:sz w:val="24"/>
          <w:szCs w:val="24"/>
        </w:rPr>
        <w:t>.</w:t>
      </w:r>
    </w:p>
    <w:p w14:paraId="35B702F1" w14:textId="454C0D4D" w:rsidR="004F19ED" w:rsidRPr="00E73748" w:rsidRDefault="004F19ED" w:rsidP="00E73748">
      <w:pPr>
        <w:spacing w:after="0" w:line="240" w:lineRule="auto"/>
        <w:ind w:left="720"/>
        <w:rPr>
          <w:rFonts w:ascii="Cambria" w:eastAsia="Times New Roman" w:hAnsi="Cambria"/>
          <w:i/>
          <w:iCs/>
          <w:color w:val="000000"/>
          <w:sz w:val="24"/>
          <w:szCs w:val="24"/>
        </w:rPr>
      </w:pPr>
      <w:r w:rsidRPr="00663751">
        <w:rPr>
          <w:rFonts w:ascii="Cambria" w:hAnsi="Cambria" w:cs="Calibri Light"/>
          <w:i/>
          <w:iCs/>
          <w:color w:val="000000"/>
          <w:sz w:val="24"/>
          <w:szCs w:val="28"/>
          <w:shd w:val="clear" w:color="auto" w:fill="FFFFFF"/>
        </w:rPr>
        <w:t>DDS reported on data received from providers from April 2019 data that there were 2,462 individuals working in individual integrated jobs. The employment retention rate remained at 86% (employed 10 of last 12 months.)</w:t>
      </w:r>
      <w:r w:rsidRPr="00663751">
        <w:rPr>
          <w:rFonts w:ascii="Cambria" w:eastAsia="Times New Roman" w:hAnsi="Cambria" w:cs="Calibri"/>
          <w:i/>
          <w:iCs/>
          <w:color w:val="000000"/>
          <w:sz w:val="24"/>
          <w:szCs w:val="24"/>
        </w:rPr>
        <w:t xml:space="preserve"> </w:t>
      </w:r>
      <w:r w:rsidRPr="00663751">
        <w:rPr>
          <w:rFonts w:ascii="Cambria" w:eastAsia="Times New Roman" w:hAnsi="Cambria" w:cs="Calibri Light"/>
          <w:i/>
          <w:iCs/>
          <w:color w:val="000000"/>
          <w:sz w:val="24"/>
          <w:szCs w:val="28"/>
        </w:rPr>
        <w:t>Recently DDS completed a shortened version of an employment snapshot report to get a better sense of the impact of COVID, which is being finalized now. Based on the reports of 83 providers, there were 2,708 individuals employed in individual integrated jobs as of March 1st, 2020. DDS is unable to compare retention due to the impact of COVID because of the impact on numbers furloughed or laid off.</w:t>
      </w:r>
      <w:r w:rsidRPr="00663751">
        <w:rPr>
          <w:rFonts w:ascii="Cambria" w:eastAsia="Times New Roman" w:hAnsi="Cambria"/>
          <w:i/>
          <w:iCs/>
          <w:color w:val="000000"/>
          <w:sz w:val="24"/>
          <w:szCs w:val="28"/>
        </w:rPr>
        <w:t xml:space="preserve"> DDS data does not currently differentiate by type of disability</w:t>
      </w:r>
      <w:r w:rsidRPr="00663751">
        <w:rPr>
          <w:rFonts w:ascii="Cambria" w:eastAsia="Times New Roman" w:hAnsi="Cambria"/>
          <w:i/>
          <w:iCs/>
          <w:color w:val="000000"/>
          <w:sz w:val="24"/>
          <w:szCs w:val="24"/>
        </w:rPr>
        <w:t>.</w:t>
      </w:r>
    </w:p>
    <w:p w14:paraId="48F8B61C" w14:textId="77777777" w:rsidR="00D85F76" w:rsidRPr="00495D3D" w:rsidRDefault="00D85F76" w:rsidP="004F19ED">
      <w:pPr>
        <w:spacing w:after="0" w:line="240" w:lineRule="auto"/>
        <w:ind w:left="720"/>
        <w:rPr>
          <w:rFonts w:asciiTheme="majorHAnsi" w:hAnsiTheme="majorHAnsi"/>
          <w:sz w:val="24"/>
          <w:szCs w:val="24"/>
        </w:rPr>
      </w:pPr>
      <w:r w:rsidRPr="00495D3D">
        <w:rPr>
          <w:rFonts w:asciiTheme="majorHAnsi" w:hAnsiTheme="majorHAnsi"/>
          <w:i/>
          <w:iCs/>
          <w:sz w:val="24"/>
          <w:szCs w:val="24"/>
        </w:rPr>
        <w:t> </w:t>
      </w:r>
    </w:p>
    <w:p w14:paraId="086F32DB" w14:textId="77777777" w:rsidR="00D85F76" w:rsidRDefault="00D85F76" w:rsidP="00D85F76">
      <w:pPr>
        <w:pStyle w:val="NoSpacing"/>
        <w:rPr>
          <w:rFonts w:asciiTheme="majorHAnsi" w:hAnsiTheme="majorHAnsi"/>
          <w:sz w:val="24"/>
          <w:szCs w:val="24"/>
        </w:rPr>
      </w:pPr>
      <w:r>
        <w:rPr>
          <w:rFonts w:asciiTheme="majorHAnsi" w:hAnsiTheme="majorHAnsi"/>
          <w:sz w:val="24"/>
          <w:szCs w:val="24"/>
        </w:rPr>
        <w:t>3</w:t>
      </w:r>
      <w:r w:rsidRPr="00495D3D">
        <w:rPr>
          <w:rFonts w:asciiTheme="majorHAnsi" w:hAnsiTheme="majorHAnsi"/>
          <w:sz w:val="24"/>
          <w:szCs w:val="24"/>
        </w:rPr>
        <w:t xml:space="preserve">.     Additional and on-going trainings, </w:t>
      </w:r>
      <w:r w:rsidRPr="0067686D">
        <w:rPr>
          <w:rFonts w:asciiTheme="majorHAnsi" w:hAnsiTheme="majorHAnsi"/>
          <w:sz w:val="24"/>
          <w:szCs w:val="24"/>
        </w:rPr>
        <w:t>focusing on considerations of culture, race, linguistics, gender identity and socio-economic status</w:t>
      </w:r>
      <w:r w:rsidRPr="00495D3D">
        <w:rPr>
          <w:rFonts w:asciiTheme="majorHAnsi" w:hAnsiTheme="majorHAnsi"/>
          <w:sz w:val="24"/>
          <w:szCs w:val="24"/>
        </w:rPr>
        <w:t xml:space="preserve"> for MRC, DDS and their providers to support adult individuals with ASD</w:t>
      </w:r>
      <w:r>
        <w:rPr>
          <w:rFonts w:asciiTheme="majorHAnsi" w:hAnsiTheme="majorHAnsi"/>
          <w:sz w:val="24"/>
          <w:szCs w:val="24"/>
        </w:rPr>
        <w:t xml:space="preserve"> </w:t>
      </w:r>
      <w:r w:rsidRPr="0067686D">
        <w:rPr>
          <w:rFonts w:asciiTheme="majorHAnsi" w:hAnsiTheme="majorHAnsi"/>
          <w:sz w:val="24"/>
          <w:szCs w:val="24"/>
        </w:rPr>
        <w:t>focusing on considerations of culture, race, linguistics, gender identity and socio-economic status</w:t>
      </w:r>
      <w:r w:rsidRPr="002631E9">
        <w:rPr>
          <w:rFonts w:asciiTheme="majorHAnsi" w:hAnsiTheme="majorHAnsi"/>
          <w:sz w:val="24"/>
          <w:szCs w:val="24"/>
        </w:rPr>
        <w:t>,</w:t>
      </w:r>
      <w:r w:rsidRPr="00495D3D">
        <w:rPr>
          <w:rFonts w:asciiTheme="majorHAnsi" w:hAnsiTheme="majorHAnsi"/>
          <w:sz w:val="24"/>
          <w:szCs w:val="24"/>
        </w:rPr>
        <w:t xml:space="preserve"> including those who present with more challenging behaviors, to enable these individuals to work and be in their community with the proper supports.</w:t>
      </w:r>
    </w:p>
    <w:p w14:paraId="2CFEB781" w14:textId="77777777" w:rsidR="00445C5E" w:rsidRDefault="00445C5E" w:rsidP="00D85F76">
      <w:pPr>
        <w:pStyle w:val="NoSpacing"/>
        <w:rPr>
          <w:rFonts w:asciiTheme="majorHAnsi" w:hAnsiTheme="majorHAnsi"/>
          <w:sz w:val="24"/>
          <w:szCs w:val="24"/>
        </w:rPr>
      </w:pPr>
    </w:p>
    <w:p w14:paraId="42D28F54" w14:textId="77777777" w:rsidR="00445C5E" w:rsidRPr="00445C5E" w:rsidRDefault="00445C5E" w:rsidP="00692C93">
      <w:pPr>
        <w:pStyle w:val="NormalWeb"/>
        <w:rPr>
          <w:rFonts w:asciiTheme="majorHAnsi" w:hAnsiTheme="majorHAnsi"/>
          <w:i/>
          <w:color w:val="000000"/>
        </w:rPr>
      </w:pPr>
      <w:r w:rsidRPr="00445C5E">
        <w:rPr>
          <w:rFonts w:asciiTheme="majorHAnsi" w:hAnsiTheme="majorHAnsi"/>
          <w:i/>
          <w:color w:val="000000"/>
        </w:rPr>
        <w:t xml:space="preserve">Update: Ongoing. </w:t>
      </w:r>
    </w:p>
    <w:p w14:paraId="22D15D96" w14:textId="77777777" w:rsidR="00D85F76" w:rsidRPr="00495D3D" w:rsidRDefault="00D85F76" w:rsidP="00D85F76">
      <w:pPr>
        <w:pStyle w:val="NoSpacing"/>
        <w:rPr>
          <w:rFonts w:asciiTheme="majorHAnsi" w:hAnsiTheme="majorHAnsi"/>
          <w:sz w:val="24"/>
          <w:szCs w:val="24"/>
        </w:rPr>
      </w:pPr>
      <w:r>
        <w:rPr>
          <w:rFonts w:asciiTheme="majorHAnsi" w:hAnsiTheme="majorHAnsi"/>
          <w:sz w:val="24"/>
          <w:szCs w:val="24"/>
        </w:rPr>
        <w:t xml:space="preserve">  </w:t>
      </w:r>
      <w:r w:rsidRPr="00495D3D">
        <w:rPr>
          <w:rFonts w:asciiTheme="majorHAnsi" w:hAnsiTheme="majorHAnsi"/>
          <w:sz w:val="24"/>
          <w:szCs w:val="24"/>
        </w:rPr>
        <w:t> </w:t>
      </w:r>
    </w:p>
    <w:p w14:paraId="550015B0" w14:textId="4ED12693" w:rsidR="00D85F76" w:rsidRPr="00495D3D" w:rsidRDefault="00D85F76" w:rsidP="00D85F76">
      <w:pPr>
        <w:pStyle w:val="NoSpacing"/>
        <w:rPr>
          <w:rFonts w:asciiTheme="majorHAnsi" w:hAnsiTheme="majorHAnsi"/>
          <w:sz w:val="24"/>
          <w:szCs w:val="24"/>
        </w:rPr>
      </w:pPr>
      <w:r>
        <w:rPr>
          <w:rFonts w:asciiTheme="majorHAnsi" w:hAnsiTheme="majorHAnsi"/>
          <w:sz w:val="24"/>
          <w:szCs w:val="24"/>
        </w:rPr>
        <w:t>4</w:t>
      </w:r>
      <w:r w:rsidRPr="00495D3D">
        <w:rPr>
          <w:rFonts w:asciiTheme="majorHAnsi" w:hAnsiTheme="majorHAnsi"/>
          <w:sz w:val="24"/>
          <w:szCs w:val="24"/>
        </w:rPr>
        <w:t>.    ESE and DDS will identify best practices for educational and family supports</w:t>
      </w:r>
      <w:r>
        <w:rPr>
          <w:rFonts w:asciiTheme="majorHAnsi" w:hAnsiTheme="majorHAnsi"/>
          <w:sz w:val="24"/>
          <w:szCs w:val="24"/>
        </w:rPr>
        <w:t xml:space="preserve"> </w:t>
      </w:r>
      <w:r w:rsidRPr="0067686D">
        <w:rPr>
          <w:rFonts w:asciiTheme="majorHAnsi" w:hAnsiTheme="majorHAnsi"/>
          <w:sz w:val="24"/>
          <w:szCs w:val="24"/>
        </w:rPr>
        <w:t>focusing on considerations of culture, race, linguistics, gender identity and socio-economic status</w:t>
      </w:r>
      <w:r w:rsidRPr="00495D3D">
        <w:rPr>
          <w:rFonts w:asciiTheme="majorHAnsi" w:hAnsiTheme="majorHAnsi"/>
          <w:sz w:val="24"/>
          <w:szCs w:val="24"/>
        </w:rPr>
        <w:t xml:space="preserve"> for transitioned aged youth with autism, including those who are behaviorally challenging and those who have co-occurring diagnoses through</w:t>
      </w:r>
      <w:r w:rsidR="004060A8">
        <w:rPr>
          <w:rFonts w:asciiTheme="majorHAnsi" w:hAnsiTheme="majorHAnsi"/>
          <w:sz w:val="24"/>
          <w:szCs w:val="24"/>
        </w:rPr>
        <w:t xml:space="preserve"> the following</w:t>
      </w:r>
      <w:r w:rsidRPr="00495D3D">
        <w:rPr>
          <w:rFonts w:asciiTheme="majorHAnsi" w:hAnsiTheme="majorHAnsi"/>
          <w:sz w:val="24"/>
          <w:szCs w:val="24"/>
        </w:rPr>
        <w:t>;</w:t>
      </w:r>
    </w:p>
    <w:p w14:paraId="7F4CE4BD" w14:textId="77777777" w:rsidR="00445C5E" w:rsidRPr="00445C5E" w:rsidRDefault="00D85F76" w:rsidP="00445C5E">
      <w:pPr>
        <w:pStyle w:val="NormalWeb"/>
        <w:rPr>
          <w:rFonts w:asciiTheme="majorHAnsi" w:hAnsiTheme="majorHAnsi"/>
          <w:i/>
          <w:color w:val="000000"/>
        </w:rPr>
      </w:pPr>
      <w:r w:rsidRPr="00445C5E">
        <w:rPr>
          <w:rFonts w:asciiTheme="majorHAnsi" w:hAnsiTheme="majorHAnsi"/>
          <w:i/>
        </w:rPr>
        <w:t> </w:t>
      </w:r>
      <w:r w:rsidR="00445C5E" w:rsidRPr="00445C5E">
        <w:rPr>
          <w:rFonts w:asciiTheme="majorHAnsi" w:hAnsiTheme="majorHAnsi"/>
          <w:i/>
          <w:color w:val="000000"/>
        </w:rPr>
        <w:t>Update: Partially Achieve and Ongoing.</w:t>
      </w:r>
    </w:p>
    <w:p w14:paraId="43F024C4" w14:textId="77777777" w:rsidR="00445C5E" w:rsidRPr="00445C5E" w:rsidRDefault="00445C5E" w:rsidP="00445C5E">
      <w:pPr>
        <w:numPr>
          <w:ilvl w:val="1"/>
          <w:numId w:val="8"/>
        </w:numPr>
        <w:spacing w:before="100" w:beforeAutospacing="1" w:after="100" w:afterAutospacing="1" w:line="240" w:lineRule="auto"/>
        <w:rPr>
          <w:rFonts w:asciiTheme="majorHAnsi" w:eastAsia="Times New Roman" w:hAnsiTheme="majorHAnsi"/>
          <w:i/>
          <w:color w:val="000000"/>
          <w:sz w:val="24"/>
          <w:szCs w:val="24"/>
        </w:rPr>
      </w:pPr>
      <w:r w:rsidRPr="00445C5E">
        <w:rPr>
          <w:rFonts w:asciiTheme="majorHAnsi" w:eastAsia="Times New Roman" w:hAnsiTheme="majorHAnsi"/>
          <w:b/>
          <w:bCs/>
          <w:i/>
          <w:color w:val="000000"/>
          <w:sz w:val="24"/>
          <w:szCs w:val="24"/>
        </w:rPr>
        <w:t>Achieved. </w:t>
      </w:r>
      <w:r w:rsidRPr="00445C5E">
        <w:rPr>
          <w:rFonts w:asciiTheme="majorHAnsi" w:eastAsia="Times New Roman" w:hAnsiTheme="majorHAnsi"/>
          <w:i/>
          <w:color w:val="000000"/>
          <w:sz w:val="24"/>
          <w:szCs w:val="24"/>
        </w:rPr>
        <w:t xml:space="preserve">Expanding the DESE/DDS residential prevention program. Additional funding has been provided to expand this program in FY20 from $6.5 mil to $10.5 mil. </w:t>
      </w:r>
    </w:p>
    <w:p w14:paraId="6EBF41A7" w14:textId="77777777" w:rsidR="00445C5E" w:rsidRPr="00445C5E" w:rsidRDefault="00445C5E" w:rsidP="00445C5E">
      <w:pPr>
        <w:numPr>
          <w:ilvl w:val="1"/>
          <w:numId w:val="8"/>
        </w:numPr>
        <w:spacing w:before="100" w:beforeAutospacing="1" w:after="100" w:afterAutospacing="1" w:line="240" w:lineRule="auto"/>
        <w:rPr>
          <w:rFonts w:asciiTheme="majorHAnsi" w:eastAsia="Times New Roman" w:hAnsiTheme="majorHAnsi"/>
          <w:i/>
          <w:color w:val="000000"/>
          <w:sz w:val="24"/>
          <w:szCs w:val="24"/>
        </w:rPr>
      </w:pPr>
      <w:r w:rsidRPr="00445C5E">
        <w:rPr>
          <w:rFonts w:asciiTheme="majorHAnsi" w:eastAsia="Times New Roman" w:hAnsiTheme="majorHAnsi"/>
          <w:i/>
          <w:color w:val="000000"/>
          <w:sz w:val="24"/>
          <w:szCs w:val="24"/>
        </w:rPr>
        <w:t xml:space="preserve">Ongoing. Developing specialized curriculums to address the need for comprehensive sexual education. </w:t>
      </w:r>
      <w:r w:rsidRPr="00445C5E">
        <w:rPr>
          <w:rFonts w:asciiTheme="majorHAnsi" w:eastAsia="Times New Roman" w:hAnsiTheme="majorHAnsi"/>
          <w:bCs/>
          <w:i/>
          <w:color w:val="000000"/>
          <w:sz w:val="24"/>
          <w:szCs w:val="24"/>
        </w:rPr>
        <w:t>We will continue to collect data and work closely with DESE.</w:t>
      </w:r>
    </w:p>
    <w:p w14:paraId="3A468453" w14:textId="77777777" w:rsidR="00445C5E" w:rsidRPr="00445C5E" w:rsidRDefault="00B10037" w:rsidP="00445C5E">
      <w:pPr>
        <w:numPr>
          <w:ilvl w:val="1"/>
          <w:numId w:val="8"/>
        </w:numPr>
        <w:spacing w:before="100" w:beforeAutospacing="1" w:after="100" w:afterAutospacing="1" w:line="240" w:lineRule="auto"/>
        <w:rPr>
          <w:rFonts w:asciiTheme="majorHAnsi" w:eastAsia="Times New Roman" w:hAnsiTheme="majorHAnsi"/>
          <w:i/>
          <w:color w:val="000000"/>
          <w:sz w:val="24"/>
          <w:szCs w:val="24"/>
        </w:rPr>
      </w:pPr>
      <w:r w:rsidRPr="00445C5E">
        <w:rPr>
          <w:rFonts w:asciiTheme="majorHAnsi" w:eastAsia="Times New Roman" w:hAnsiTheme="majorHAnsi"/>
          <w:i/>
          <w:color w:val="000000"/>
          <w:sz w:val="24"/>
          <w:szCs w:val="24"/>
        </w:rPr>
        <w:t>Ongoing</w:t>
      </w:r>
      <w:r w:rsidRPr="00445C5E">
        <w:rPr>
          <w:rFonts w:asciiTheme="majorHAnsi" w:eastAsia="Times New Roman" w:hAnsiTheme="majorHAnsi"/>
          <w:i/>
          <w:iCs/>
          <w:color w:val="000000"/>
          <w:sz w:val="24"/>
          <w:szCs w:val="24"/>
        </w:rPr>
        <w:t>. Strengthening</w:t>
      </w:r>
      <w:r w:rsidR="00445C5E" w:rsidRPr="00445C5E">
        <w:rPr>
          <w:rFonts w:asciiTheme="majorHAnsi" w:eastAsia="Times New Roman" w:hAnsiTheme="majorHAnsi"/>
          <w:i/>
          <w:iCs/>
          <w:color w:val="000000"/>
          <w:sz w:val="24"/>
          <w:szCs w:val="24"/>
        </w:rPr>
        <w:t xml:space="preserve"> linkages among state agencies (including DDS, MRC, DMH, DCF and DESE) and their community partners in order to coordinate and compliment services provided.</w:t>
      </w:r>
    </w:p>
    <w:p w14:paraId="02E175BD" w14:textId="7D6C7832" w:rsidR="00D85F76" w:rsidRPr="00E73748" w:rsidRDefault="00445C5E" w:rsidP="00E73748">
      <w:pPr>
        <w:numPr>
          <w:ilvl w:val="1"/>
          <w:numId w:val="8"/>
        </w:numPr>
        <w:spacing w:before="100" w:beforeAutospacing="1" w:after="100" w:afterAutospacing="1" w:line="240" w:lineRule="auto"/>
        <w:rPr>
          <w:rFonts w:asciiTheme="majorHAnsi" w:hAnsiTheme="majorHAnsi"/>
          <w:i/>
          <w:sz w:val="24"/>
          <w:szCs w:val="24"/>
        </w:rPr>
      </w:pPr>
      <w:r w:rsidRPr="00445C5E">
        <w:rPr>
          <w:rFonts w:asciiTheme="majorHAnsi" w:eastAsia="Times New Roman" w:hAnsiTheme="majorHAnsi"/>
          <w:i/>
          <w:color w:val="000000"/>
          <w:sz w:val="24"/>
          <w:szCs w:val="24"/>
        </w:rPr>
        <w:lastRenderedPageBreak/>
        <w:t>Ongoing</w:t>
      </w:r>
      <w:r w:rsidRPr="00445C5E">
        <w:rPr>
          <w:rFonts w:asciiTheme="majorHAnsi" w:eastAsia="Times New Roman" w:hAnsiTheme="majorHAnsi"/>
          <w:i/>
          <w:iCs/>
          <w:color w:val="000000"/>
          <w:sz w:val="24"/>
          <w:szCs w:val="24"/>
        </w:rPr>
        <w:t xml:space="preserve">. Exploring the possibility of implementing a “checklist” for the special education transition planning process to ensure the unique transition needs of the student are addressed. </w:t>
      </w:r>
    </w:p>
    <w:p w14:paraId="1E6E9560" w14:textId="77777777" w:rsidR="00D85F76" w:rsidRPr="00495D3D" w:rsidRDefault="00D85F76" w:rsidP="00D85F76">
      <w:pPr>
        <w:pStyle w:val="NoSpacing"/>
        <w:rPr>
          <w:rFonts w:asciiTheme="majorHAnsi" w:hAnsiTheme="majorHAnsi"/>
          <w:sz w:val="24"/>
          <w:szCs w:val="24"/>
        </w:rPr>
      </w:pPr>
      <w:r>
        <w:rPr>
          <w:rFonts w:asciiTheme="majorHAnsi" w:hAnsiTheme="majorHAnsi"/>
          <w:sz w:val="24"/>
          <w:szCs w:val="24"/>
        </w:rPr>
        <w:t>5.</w:t>
      </w:r>
      <w:r>
        <w:rPr>
          <w:rFonts w:asciiTheme="majorHAnsi" w:hAnsiTheme="majorHAnsi"/>
          <w:sz w:val="24"/>
          <w:szCs w:val="24"/>
        </w:rPr>
        <w:tab/>
      </w:r>
      <w:r w:rsidRPr="00663751">
        <w:rPr>
          <w:rFonts w:asciiTheme="majorHAnsi" w:hAnsiTheme="majorHAnsi"/>
          <w:sz w:val="24"/>
          <w:szCs w:val="24"/>
        </w:rPr>
        <w:t xml:space="preserve">Families of 20 to </w:t>
      </w:r>
      <w:r w:rsidR="00B10037" w:rsidRPr="00663751">
        <w:rPr>
          <w:rFonts w:asciiTheme="majorHAnsi" w:hAnsiTheme="majorHAnsi"/>
          <w:sz w:val="24"/>
          <w:szCs w:val="24"/>
        </w:rPr>
        <w:t>30-year-old</w:t>
      </w:r>
      <w:r w:rsidRPr="00663751">
        <w:rPr>
          <w:rFonts w:asciiTheme="majorHAnsi" w:hAnsiTheme="majorHAnsi"/>
          <w:sz w:val="24"/>
          <w:szCs w:val="24"/>
        </w:rPr>
        <w:t xml:space="preserve"> individuals with ASD (and no ID) who self-isolate in the family home need assistance and consultation services to help their adult family members to engage in their communities. D</w:t>
      </w:r>
      <w:r w:rsidRPr="00495D3D">
        <w:rPr>
          <w:rFonts w:asciiTheme="majorHAnsi" w:hAnsiTheme="majorHAnsi"/>
          <w:sz w:val="24"/>
          <w:szCs w:val="24"/>
        </w:rPr>
        <w:t>DS in collaboration with DMH develop and implement a family consultation initiative to address that need</w:t>
      </w:r>
      <w:r>
        <w:rPr>
          <w:rFonts w:asciiTheme="majorHAnsi" w:hAnsiTheme="majorHAnsi"/>
          <w:sz w:val="24"/>
          <w:szCs w:val="24"/>
        </w:rPr>
        <w:t xml:space="preserve"> </w:t>
      </w:r>
      <w:r w:rsidRPr="0067686D">
        <w:rPr>
          <w:rFonts w:asciiTheme="majorHAnsi" w:hAnsiTheme="majorHAnsi"/>
          <w:sz w:val="24"/>
          <w:szCs w:val="24"/>
        </w:rPr>
        <w:t>focusing on considerations of culture, race, linguistics, gender identity and socio-economic status</w:t>
      </w:r>
      <w:r w:rsidRPr="00495D3D">
        <w:rPr>
          <w:rFonts w:asciiTheme="majorHAnsi" w:hAnsiTheme="majorHAnsi"/>
          <w:sz w:val="24"/>
          <w:szCs w:val="24"/>
        </w:rPr>
        <w:t xml:space="preserve"> </w:t>
      </w:r>
      <w:r w:rsidRPr="0067686D">
        <w:rPr>
          <w:rFonts w:asciiTheme="majorHAnsi" w:hAnsiTheme="majorHAnsi"/>
          <w:sz w:val="24"/>
          <w:szCs w:val="24"/>
        </w:rPr>
        <w:t>focusing on considerations of culture, race, linguistics, gender identity and socio-economic status</w:t>
      </w:r>
      <w:r w:rsidRPr="00495D3D">
        <w:rPr>
          <w:rFonts w:asciiTheme="majorHAnsi" w:hAnsiTheme="majorHAnsi"/>
          <w:sz w:val="24"/>
          <w:szCs w:val="24"/>
        </w:rPr>
        <w:t xml:space="preserve">. This initiative would allow families and individuals with ASD, regardless of DDS or DMH eligibility, to have access to specialized expertise and technical assistance to address the needs of this segment of the ASD population.  DDS and DMH will report annually to the Autism </w:t>
      </w:r>
      <w:r>
        <w:rPr>
          <w:rFonts w:asciiTheme="majorHAnsi" w:hAnsiTheme="majorHAnsi"/>
          <w:sz w:val="24"/>
          <w:szCs w:val="24"/>
        </w:rPr>
        <w:t>Commission</w:t>
      </w:r>
      <w:r w:rsidRPr="00495D3D">
        <w:rPr>
          <w:rFonts w:asciiTheme="majorHAnsi" w:hAnsiTheme="majorHAnsi"/>
          <w:sz w:val="24"/>
          <w:szCs w:val="24"/>
        </w:rPr>
        <w:t xml:space="preserve"> on the implementation of this initiative. </w:t>
      </w:r>
    </w:p>
    <w:p w14:paraId="136542D2" w14:textId="77777777" w:rsidR="00445C5E" w:rsidRDefault="00D85F76" w:rsidP="00445C5E">
      <w:pPr>
        <w:pStyle w:val="NoSpacing"/>
        <w:rPr>
          <w:rFonts w:asciiTheme="majorHAnsi" w:hAnsiTheme="majorHAnsi"/>
          <w:i/>
          <w:sz w:val="24"/>
          <w:szCs w:val="24"/>
        </w:rPr>
      </w:pPr>
      <w:r w:rsidRPr="007F72A7">
        <w:rPr>
          <w:rFonts w:asciiTheme="majorHAnsi" w:hAnsiTheme="majorHAnsi"/>
          <w:i/>
          <w:sz w:val="24"/>
          <w:szCs w:val="24"/>
        </w:rPr>
        <w:t> </w:t>
      </w:r>
    </w:p>
    <w:p w14:paraId="2EC12C96" w14:textId="77777777" w:rsidR="00445C5E" w:rsidRPr="00BD446C" w:rsidRDefault="00445C5E" w:rsidP="00BD446C">
      <w:pPr>
        <w:pStyle w:val="NoSpacing"/>
        <w:rPr>
          <w:rFonts w:asciiTheme="majorHAnsi" w:hAnsiTheme="majorHAnsi" w:cs="Times New Roman"/>
          <w:i/>
          <w:sz w:val="24"/>
          <w:szCs w:val="24"/>
        </w:rPr>
      </w:pPr>
      <w:r w:rsidRPr="00BD446C">
        <w:rPr>
          <w:rFonts w:asciiTheme="majorHAnsi" w:hAnsiTheme="majorHAnsi"/>
          <w:i/>
          <w:sz w:val="24"/>
          <w:szCs w:val="24"/>
        </w:rPr>
        <w:t xml:space="preserve">Update: This work is on-going. DDS and DMH conducted a pilot program from January 2019-June 2019, to address the needs of 8 individuals (5 males and 3 females) with ASD who were self-isolating at home, each individual received up to 10 hours a week of services.  </w:t>
      </w:r>
      <w:r w:rsidR="004F19ED">
        <w:rPr>
          <w:rFonts w:asciiTheme="majorHAnsi" w:hAnsiTheme="majorHAnsi"/>
          <w:i/>
          <w:sz w:val="24"/>
          <w:szCs w:val="24"/>
        </w:rPr>
        <w:t xml:space="preserve">Individuals made both small and larger gains due to the impact of pre-coaching services many of which are not easily quantified but clearly qualitatively real. </w:t>
      </w:r>
      <w:r w:rsidRPr="00BD446C">
        <w:rPr>
          <w:rFonts w:asciiTheme="majorHAnsi" w:hAnsiTheme="majorHAnsi" w:cs="Times New Roman"/>
          <w:i/>
          <w:sz w:val="24"/>
          <w:szCs w:val="24"/>
        </w:rPr>
        <w:t xml:space="preserve">These include: </w:t>
      </w:r>
    </w:p>
    <w:p w14:paraId="43D8361B" w14:textId="77777777" w:rsidR="00BD446C" w:rsidRPr="00BD446C" w:rsidRDefault="00BD446C" w:rsidP="00BD446C">
      <w:pPr>
        <w:pStyle w:val="NoSpacing"/>
        <w:rPr>
          <w:rFonts w:asciiTheme="majorHAnsi" w:hAnsiTheme="majorHAnsi" w:cs="Times New Roman"/>
          <w:sz w:val="24"/>
          <w:szCs w:val="24"/>
        </w:rPr>
      </w:pPr>
    </w:p>
    <w:p w14:paraId="58A08BD0" w14:textId="77777777" w:rsidR="00445C5E" w:rsidRPr="00445C5E" w:rsidRDefault="00445C5E" w:rsidP="00445C5E">
      <w:pPr>
        <w:numPr>
          <w:ilvl w:val="0"/>
          <w:numId w:val="9"/>
        </w:numPr>
        <w:spacing w:after="0" w:line="240" w:lineRule="auto"/>
        <w:contextualSpacing/>
        <w:rPr>
          <w:rFonts w:asciiTheme="majorHAnsi" w:hAnsiTheme="majorHAnsi"/>
          <w:i/>
          <w:sz w:val="24"/>
          <w:szCs w:val="24"/>
        </w:rPr>
      </w:pPr>
      <w:r w:rsidRPr="00445C5E">
        <w:rPr>
          <w:rFonts w:asciiTheme="majorHAnsi" w:hAnsiTheme="majorHAnsi"/>
          <w:i/>
          <w:sz w:val="24"/>
          <w:szCs w:val="24"/>
        </w:rPr>
        <w:t>Acquisition of coping skills for anxiety</w:t>
      </w:r>
    </w:p>
    <w:p w14:paraId="22209AE2" w14:textId="77777777" w:rsidR="00445C5E" w:rsidRPr="00445C5E" w:rsidRDefault="00445C5E" w:rsidP="00445C5E">
      <w:pPr>
        <w:numPr>
          <w:ilvl w:val="0"/>
          <w:numId w:val="9"/>
        </w:numPr>
        <w:spacing w:after="0" w:line="240" w:lineRule="auto"/>
        <w:contextualSpacing/>
        <w:rPr>
          <w:rFonts w:asciiTheme="majorHAnsi" w:hAnsiTheme="majorHAnsi"/>
          <w:i/>
          <w:sz w:val="24"/>
          <w:szCs w:val="24"/>
        </w:rPr>
      </w:pPr>
      <w:r w:rsidRPr="00445C5E">
        <w:rPr>
          <w:rFonts w:asciiTheme="majorHAnsi" w:hAnsiTheme="majorHAnsi"/>
          <w:i/>
          <w:sz w:val="24"/>
          <w:szCs w:val="24"/>
        </w:rPr>
        <w:t>Increased interest in social activities and positive community interactions</w:t>
      </w:r>
    </w:p>
    <w:p w14:paraId="57E28E4A" w14:textId="77777777" w:rsidR="00445C5E" w:rsidRPr="00445C5E" w:rsidRDefault="00445C5E" w:rsidP="00445C5E">
      <w:pPr>
        <w:numPr>
          <w:ilvl w:val="0"/>
          <w:numId w:val="9"/>
        </w:numPr>
        <w:spacing w:after="0" w:line="240" w:lineRule="auto"/>
        <w:contextualSpacing/>
        <w:rPr>
          <w:rFonts w:asciiTheme="majorHAnsi" w:hAnsiTheme="majorHAnsi"/>
          <w:i/>
          <w:sz w:val="24"/>
          <w:szCs w:val="24"/>
        </w:rPr>
      </w:pPr>
      <w:r w:rsidRPr="00445C5E">
        <w:rPr>
          <w:rFonts w:asciiTheme="majorHAnsi" w:hAnsiTheme="majorHAnsi"/>
          <w:i/>
          <w:sz w:val="24"/>
          <w:szCs w:val="24"/>
        </w:rPr>
        <w:t>Self-advocacy</w:t>
      </w:r>
    </w:p>
    <w:p w14:paraId="2979A3F2" w14:textId="77777777" w:rsidR="00445C5E" w:rsidRPr="00445C5E" w:rsidRDefault="00445C5E" w:rsidP="00445C5E">
      <w:pPr>
        <w:numPr>
          <w:ilvl w:val="0"/>
          <w:numId w:val="9"/>
        </w:numPr>
        <w:spacing w:after="0" w:line="240" w:lineRule="auto"/>
        <w:contextualSpacing/>
        <w:rPr>
          <w:rFonts w:asciiTheme="majorHAnsi" w:hAnsiTheme="majorHAnsi"/>
          <w:i/>
          <w:sz w:val="24"/>
          <w:szCs w:val="24"/>
        </w:rPr>
      </w:pPr>
      <w:r w:rsidRPr="00445C5E">
        <w:rPr>
          <w:rFonts w:asciiTheme="majorHAnsi" w:hAnsiTheme="majorHAnsi"/>
          <w:i/>
          <w:sz w:val="24"/>
          <w:szCs w:val="24"/>
        </w:rPr>
        <w:t>Applying for job including resume writing</w:t>
      </w:r>
    </w:p>
    <w:p w14:paraId="3A934671" w14:textId="77777777" w:rsidR="00445C5E" w:rsidRPr="00445C5E" w:rsidRDefault="00445C5E" w:rsidP="00445C5E">
      <w:pPr>
        <w:numPr>
          <w:ilvl w:val="0"/>
          <w:numId w:val="9"/>
        </w:numPr>
        <w:spacing w:after="0" w:line="240" w:lineRule="auto"/>
        <w:contextualSpacing/>
        <w:rPr>
          <w:rFonts w:asciiTheme="majorHAnsi" w:hAnsiTheme="majorHAnsi"/>
          <w:i/>
          <w:sz w:val="24"/>
          <w:szCs w:val="24"/>
        </w:rPr>
      </w:pPr>
      <w:r w:rsidRPr="00445C5E">
        <w:rPr>
          <w:rFonts w:asciiTheme="majorHAnsi" w:hAnsiTheme="majorHAnsi"/>
          <w:i/>
          <w:sz w:val="24"/>
          <w:szCs w:val="24"/>
        </w:rPr>
        <w:t>Increase awareness of public safety</w:t>
      </w:r>
    </w:p>
    <w:p w14:paraId="3F023A7D" w14:textId="77777777" w:rsidR="00445C5E" w:rsidRDefault="00445C5E" w:rsidP="00445C5E">
      <w:pPr>
        <w:numPr>
          <w:ilvl w:val="0"/>
          <w:numId w:val="9"/>
        </w:numPr>
        <w:spacing w:after="0" w:line="240" w:lineRule="auto"/>
        <w:contextualSpacing/>
        <w:rPr>
          <w:rFonts w:asciiTheme="majorHAnsi" w:hAnsiTheme="majorHAnsi"/>
          <w:i/>
          <w:sz w:val="24"/>
          <w:szCs w:val="24"/>
        </w:rPr>
      </w:pPr>
      <w:r w:rsidRPr="00445C5E">
        <w:rPr>
          <w:rFonts w:asciiTheme="majorHAnsi" w:hAnsiTheme="majorHAnsi"/>
          <w:i/>
          <w:sz w:val="24"/>
          <w:szCs w:val="24"/>
        </w:rPr>
        <w:t>Increase in appropriate social skills including appropriate greetings and engagement in small talk</w:t>
      </w:r>
    </w:p>
    <w:p w14:paraId="538A944B" w14:textId="77777777" w:rsidR="004F19ED" w:rsidRDefault="004F19ED" w:rsidP="004F19ED">
      <w:pPr>
        <w:spacing w:after="0" w:line="240" w:lineRule="auto"/>
        <w:contextualSpacing/>
        <w:rPr>
          <w:rFonts w:asciiTheme="majorHAnsi" w:hAnsiTheme="majorHAnsi"/>
          <w:i/>
          <w:sz w:val="24"/>
          <w:szCs w:val="24"/>
        </w:rPr>
      </w:pPr>
    </w:p>
    <w:p w14:paraId="0667D4A5" w14:textId="77777777" w:rsidR="004F19ED" w:rsidRPr="00445C5E" w:rsidRDefault="004F19ED" w:rsidP="004F19ED">
      <w:pPr>
        <w:spacing w:after="0" w:line="240" w:lineRule="auto"/>
        <w:contextualSpacing/>
        <w:rPr>
          <w:rFonts w:asciiTheme="majorHAnsi" w:hAnsiTheme="majorHAnsi"/>
          <w:i/>
          <w:sz w:val="24"/>
          <w:szCs w:val="24"/>
        </w:rPr>
      </w:pPr>
      <w:r w:rsidRPr="00663751">
        <w:rPr>
          <w:rFonts w:asciiTheme="majorHAnsi" w:hAnsiTheme="majorHAnsi"/>
          <w:i/>
          <w:sz w:val="24"/>
          <w:szCs w:val="24"/>
        </w:rPr>
        <w:t>Based on the success of the pilot, DDS is going to procure a more expansive coaching service, consisting of three components: Pre-engagement, coaching, and college navigation. Due to Covid-19, DDS will reopen the procurement in the winter of 2021 with a start date in FY23. DDS has extended the current coaching contracts through 6/30/21.</w:t>
      </w:r>
    </w:p>
    <w:p w14:paraId="585577C9" w14:textId="77777777" w:rsidR="00D85F76" w:rsidRPr="00495D3D" w:rsidRDefault="00D85F76" w:rsidP="00445C5E">
      <w:pPr>
        <w:pStyle w:val="NoSpacing"/>
        <w:rPr>
          <w:rFonts w:asciiTheme="majorHAnsi" w:hAnsiTheme="majorHAnsi"/>
          <w:sz w:val="24"/>
          <w:szCs w:val="24"/>
        </w:rPr>
      </w:pPr>
    </w:p>
    <w:p w14:paraId="61E13C8C" w14:textId="77777777" w:rsidR="00D85F76" w:rsidRDefault="00D85F76" w:rsidP="00D85F76">
      <w:pPr>
        <w:pStyle w:val="NoSpacing"/>
        <w:rPr>
          <w:rFonts w:asciiTheme="majorHAnsi" w:hAnsiTheme="majorHAnsi"/>
          <w:sz w:val="24"/>
          <w:szCs w:val="24"/>
        </w:rPr>
      </w:pPr>
      <w:r>
        <w:rPr>
          <w:rFonts w:asciiTheme="majorHAnsi" w:hAnsiTheme="majorHAnsi"/>
          <w:sz w:val="24"/>
          <w:szCs w:val="24"/>
        </w:rPr>
        <w:t>6</w:t>
      </w:r>
      <w:r w:rsidRPr="00495D3D">
        <w:rPr>
          <w:rFonts w:asciiTheme="majorHAnsi" w:hAnsiTheme="majorHAnsi"/>
          <w:sz w:val="24"/>
          <w:szCs w:val="24"/>
        </w:rPr>
        <w:t>.    The Adult Subcommittee will work with the Executive Office of Elder Affairs (EOEA) to gather information regarding that agency’s involvement with aging individuals presenting with ASD</w:t>
      </w:r>
      <w:r w:rsidRPr="0067686D">
        <w:rPr>
          <w:rFonts w:asciiTheme="majorHAnsi" w:hAnsiTheme="majorHAnsi"/>
          <w:sz w:val="24"/>
          <w:szCs w:val="24"/>
        </w:rPr>
        <w:t xml:space="preserve"> focusing on considerations of culture, race, linguistics, gender identity and socio-economic status</w:t>
      </w:r>
      <w:r w:rsidRPr="00495D3D">
        <w:rPr>
          <w:rFonts w:asciiTheme="majorHAnsi" w:hAnsiTheme="majorHAnsi"/>
          <w:sz w:val="24"/>
          <w:szCs w:val="24"/>
        </w:rPr>
        <w:t>, and collaborate with EOEA to ascertain if individuals with ASD known to or served by EOEA</w:t>
      </w:r>
      <w:r>
        <w:rPr>
          <w:rFonts w:asciiTheme="majorHAnsi" w:hAnsiTheme="majorHAnsi"/>
          <w:sz w:val="24"/>
          <w:szCs w:val="24"/>
        </w:rPr>
        <w:t xml:space="preserve"> and/or their aging caregivers</w:t>
      </w:r>
      <w:r w:rsidRPr="00495D3D">
        <w:rPr>
          <w:rFonts w:asciiTheme="majorHAnsi" w:hAnsiTheme="majorHAnsi"/>
          <w:sz w:val="24"/>
          <w:szCs w:val="24"/>
        </w:rPr>
        <w:t xml:space="preserve"> are aware of other services that may be available to individuals with ASD, and to ensure that EOEA’s network of services are aware of the needs of individuals with ASD and receive training on how to address these needs.</w:t>
      </w:r>
    </w:p>
    <w:p w14:paraId="18DCC198" w14:textId="77777777" w:rsidR="00445C5E" w:rsidRDefault="00445C5E" w:rsidP="00D85F76">
      <w:pPr>
        <w:pStyle w:val="NoSpacing"/>
        <w:rPr>
          <w:rFonts w:asciiTheme="majorHAnsi" w:hAnsiTheme="majorHAnsi"/>
          <w:i/>
          <w:sz w:val="24"/>
          <w:szCs w:val="24"/>
        </w:rPr>
      </w:pPr>
    </w:p>
    <w:p w14:paraId="3CFF766B" w14:textId="7AF7AA85" w:rsidR="00445C5E" w:rsidRDefault="00445C5E" w:rsidP="00D85F76">
      <w:pPr>
        <w:pStyle w:val="NoSpacing"/>
        <w:rPr>
          <w:rFonts w:asciiTheme="majorHAnsi" w:hAnsiTheme="majorHAnsi"/>
          <w:i/>
          <w:sz w:val="24"/>
          <w:szCs w:val="24"/>
        </w:rPr>
      </w:pPr>
      <w:r w:rsidRPr="00445C5E">
        <w:rPr>
          <w:rFonts w:asciiTheme="majorHAnsi" w:hAnsiTheme="majorHAnsi"/>
          <w:i/>
          <w:sz w:val="24"/>
          <w:szCs w:val="24"/>
        </w:rPr>
        <w:t>Update:  This work is on-going. The Adult subcommittee continues to explore opportunities for collaboration with DDS and other state agencies with EOEA and to establish effective connections for older individuals with ASD and their aging caregivers.</w:t>
      </w:r>
    </w:p>
    <w:p w14:paraId="2F6EC01D" w14:textId="77777777" w:rsidR="00D85F76" w:rsidRPr="00456BFB" w:rsidRDefault="00D85F76" w:rsidP="00D85F76">
      <w:pPr>
        <w:pStyle w:val="NoSpacing"/>
        <w:rPr>
          <w:rFonts w:asciiTheme="majorHAnsi" w:hAnsiTheme="majorHAnsi"/>
          <w:i/>
          <w:sz w:val="24"/>
          <w:szCs w:val="24"/>
        </w:rPr>
      </w:pPr>
      <w:r w:rsidRPr="00456BFB">
        <w:rPr>
          <w:rFonts w:asciiTheme="majorHAnsi" w:hAnsiTheme="majorHAnsi"/>
          <w:i/>
          <w:sz w:val="24"/>
          <w:szCs w:val="24"/>
        </w:rPr>
        <w:lastRenderedPageBreak/>
        <w:t> </w:t>
      </w:r>
    </w:p>
    <w:p w14:paraId="46CCD8D3" w14:textId="77777777" w:rsidR="001B3394" w:rsidRDefault="00D85F76" w:rsidP="001B3394">
      <w:pPr>
        <w:spacing w:after="0" w:line="240" w:lineRule="auto"/>
        <w:rPr>
          <w:rFonts w:asciiTheme="minorHAnsi" w:eastAsiaTheme="minorHAnsi" w:hAnsiTheme="minorHAnsi" w:cstheme="minorBidi"/>
          <w:color w:val="000000"/>
        </w:rPr>
      </w:pPr>
      <w:r>
        <w:rPr>
          <w:rFonts w:asciiTheme="majorHAnsi" w:hAnsiTheme="majorHAnsi"/>
          <w:sz w:val="24"/>
          <w:szCs w:val="24"/>
        </w:rPr>
        <w:t> 7</w:t>
      </w:r>
      <w:r w:rsidRPr="00495D3D">
        <w:rPr>
          <w:rFonts w:asciiTheme="majorHAnsi" w:hAnsiTheme="majorHAnsi"/>
          <w:sz w:val="24"/>
          <w:szCs w:val="24"/>
        </w:rPr>
        <w:t xml:space="preserve">.    </w:t>
      </w:r>
      <w:r w:rsidR="001B3394">
        <w:rPr>
          <w:rFonts w:asciiTheme="majorHAnsi" w:eastAsiaTheme="minorHAnsi" w:hAnsiTheme="majorHAnsi" w:cstheme="minorBidi"/>
          <w:color w:val="000000"/>
          <w:sz w:val="24"/>
          <w:szCs w:val="24"/>
        </w:rPr>
        <w:t>DDS, in conjunction with DMH and MassHealth</w:t>
      </w:r>
      <w:r w:rsidR="001B3394">
        <w:rPr>
          <w:rFonts w:ascii="Arial" w:eastAsiaTheme="minorHAnsi" w:hAnsi="Arial" w:cs="Arial"/>
          <w:color w:val="000000"/>
          <w:sz w:val="24"/>
          <w:szCs w:val="24"/>
        </w:rPr>
        <w:t xml:space="preserve"> will</w:t>
      </w:r>
      <w:r w:rsidR="001B3394">
        <w:rPr>
          <w:rFonts w:asciiTheme="majorHAnsi" w:eastAsiaTheme="minorHAnsi" w:hAnsiTheme="majorHAnsi" w:cstheme="minorBidi"/>
          <w:color w:val="000000"/>
          <w:sz w:val="24"/>
          <w:szCs w:val="24"/>
        </w:rPr>
        <w:t> develop and establish specialty ASD adult services that are designed and staffed to meet the needs of adults with ASD who present with severe challenging behaviors</w:t>
      </w:r>
      <w:r w:rsidR="001B3394">
        <w:rPr>
          <w:rFonts w:ascii="Arial" w:eastAsiaTheme="minorHAnsi" w:hAnsi="Arial" w:cs="Arial"/>
          <w:color w:val="000000"/>
          <w:sz w:val="24"/>
          <w:szCs w:val="24"/>
        </w:rPr>
        <w:t>, </w:t>
      </w:r>
      <w:r w:rsidR="001B3394">
        <w:rPr>
          <w:rFonts w:ascii="Cambria" w:eastAsiaTheme="minorHAnsi" w:hAnsi="Cambria" w:cstheme="minorBidi"/>
          <w:color w:val="000000"/>
          <w:sz w:val="24"/>
          <w:szCs w:val="24"/>
        </w:rPr>
        <w:t>including but not limited to</w:t>
      </w:r>
      <w:r w:rsidR="001B3394">
        <w:rPr>
          <w:rFonts w:ascii="Arial" w:eastAsiaTheme="minorHAnsi" w:hAnsi="Arial" w:cs="Arial"/>
          <w:color w:val="000000"/>
          <w:sz w:val="24"/>
          <w:szCs w:val="24"/>
        </w:rPr>
        <w:t>:</w:t>
      </w:r>
      <w:r w:rsidR="001B3394">
        <w:rPr>
          <w:rFonts w:ascii="Cambria" w:eastAsiaTheme="minorHAnsi" w:hAnsi="Cambria" w:cstheme="minorBidi"/>
          <w:color w:val="000000"/>
          <w:sz w:val="24"/>
          <w:szCs w:val="24"/>
        </w:rPr>
        <w:t xml:space="preserve"> Day-Habilitation services, Community-Based Day Support services and other types of day services and specialized clinical support services necessary to effectively serve these adult individuals</w:t>
      </w:r>
      <w:r w:rsidR="001B3394">
        <w:rPr>
          <w:rFonts w:ascii="Arial" w:eastAsiaTheme="minorHAnsi" w:hAnsi="Arial" w:cs="Arial"/>
          <w:color w:val="000000"/>
          <w:sz w:val="24"/>
          <w:szCs w:val="24"/>
        </w:rPr>
        <w:t>, and </w:t>
      </w:r>
      <w:r w:rsidR="001B3394">
        <w:rPr>
          <w:rFonts w:ascii="Cambria" w:eastAsiaTheme="minorHAnsi" w:hAnsi="Cambria" w:cstheme="minorBidi"/>
          <w:color w:val="000000"/>
          <w:sz w:val="24"/>
          <w:szCs w:val="24"/>
        </w:rPr>
        <w:t>focusing on considerations of culture, race, linguistics, gender identity and socio-economic status. </w:t>
      </w:r>
    </w:p>
    <w:p w14:paraId="3BA6EAA6" w14:textId="77777777" w:rsidR="00445C5E" w:rsidRDefault="00445C5E" w:rsidP="00D85F76">
      <w:pPr>
        <w:pStyle w:val="NoSpacing"/>
        <w:rPr>
          <w:rFonts w:asciiTheme="majorHAnsi" w:hAnsiTheme="majorHAnsi"/>
          <w:sz w:val="24"/>
          <w:szCs w:val="24"/>
        </w:rPr>
      </w:pPr>
    </w:p>
    <w:p w14:paraId="36022255" w14:textId="67F69D26" w:rsidR="00445C5E" w:rsidRPr="00E73748" w:rsidRDefault="00445C5E" w:rsidP="00D85F76">
      <w:pPr>
        <w:pStyle w:val="NoSpacing"/>
        <w:rPr>
          <w:rFonts w:asciiTheme="majorHAnsi" w:hAnsiTheme="majorHAnsi"/>
          <w:i/>
          <w:sz w:val="24"/>
          <w:szCs w:val="24"/>
        </w:rPr>
      </w:pPr>
      <w:r w:rsidRPr="00445C5E">
        <w:rPr>
          <w:rFonts w:asciiTheme="majorHAnsi" w:hAnsiTheme="majorHAnsi"/>
          <w:i/>
          <w:sz w:val="24"/>
          <w:szCs w:val="24"/>
        </w:rPr>
        <w:t>Update: This work is on-going. The Adult subcommittee is continuing to examine the services currently available to service this population and current unmet needs.  Several adult service providers have presented to this subcommittee and DDS has been asked to present on services available through its state programs.</w:t>
      </w:r>
      <w:r w:rsidRPr="00445C5E">
        <w:rPr>
          <w:rFonts w:asciiTheme="majorHAnsi" w:hAnsiTheme="majorHAnsi" w:cs="Arial"/>
          <w:color w:val="000000"/>
          <w:sz w:val="24"/>
          <w:szCs w:val="24"/>
        </w:rPr>
        <w:t xml:space="preserve"> </w:t>
      </w:r>
      <w:r w:rsidRPr="00445C5E">
        <w:rPr>
          <w:rFonts w:asciiTheme="majorHAnsi" w:hAnsiTheme="majorHAnsi" w:cs="Arial"/>
          <w:i/>
          <w:color w:val="000000"/>
          <w:sz w:val="24"/>
          <w:szCs w:val="24"/>
        </w:rPr>
        <w:t>In the coming weeks, the subcommittee will focus on the potential for increased case management services.</w:t>
      </w:r>
    </w:p>
    <w:p w14:paraId="0AEBEE40" w14:textId="77777777" w:rsidR="00445C5E" w:rsidRDefault="00445C5E" w:rsidP="00D85F76">
      <w:pPr>
        <w:pStyle w:val="NoSpacing"/>
        <w:rPr>
          <w:rFonts w:asciiTheme="majorHAnsi" w:hAnsiTheme="majorHAnsi"/>
          <w:sz w:val="24"/>
          <w:szCs w:val="24"/>
        </w:rPr>
      </w:pPr>
    </w:p>
    <w:p w14:paraId="181FB8C9" w14:textId="77777777" w:rsidR="00D85F76" w:rsidRDefault="00D85F76" w:rsidP="00D85F76">
      <w:pPr>
        <w:pStyle w:val="NoSpacing"/>
        <w:rPr>
          <w:rFonts w:asciiTheme="majorHAnsi" w:hAnsiTheme="majorHAnsi"/>
          <w:sz w:val="24"/>
          <w:szCs w:val="24"/>
        </w:rPr>
      </w:pPr>
      <w:r>
        <w:rPr>
          <w:rFonts w:asciiTheme="majorHAnsi" w:hAnsiTheme="majorHAnsi"/>
          <w:sz w:val="24"/>
          <w:szCs w:val="24"/>
        </w:rPr>
        <w:t xml:space="preserve">8.     </w:t>
      </w:r>
      <w:r w:rsidRPr="00495D3D">
        <w:rPr>
          <w:rFonts w:asciiTheme="majorHAnsi" w:hAnsiTheme="majorHAnsi"/>
          <w:sz w:val="24"/>
          <w:szCs w:val="24"/>
        </w:rPr>
        <w:t xml:space="preserve">Extend Mass Health coverage of medically necessary treatments for persons over the age of 21 who are diagnosed with autism spectrum disorder by a licensed physician or a licensed psychologist, said coverage shall include but not limited to, applied behavior analysis supervised by a licensed applied behavior analyst.  </w:t>
      </w:r>
    </w:p>
    <w:p w14:paraId="1400BEF4" w14:textId="6D7D8BA3" w:rsidR="00221A3D" w:rsidRPr="0039053B" w:rsidRDefault="00D85F76" w:rsidP="00CE721E">
      <w:pPr>
        <w:pStyle w:val="ListParagraph"/>
        <w:spacing w:before="240" w:after="0" w:line="240" w:lineRule="auto"/>
        <w:ind w:left="1080"/>
        <w:rPr>
          <w:rFonts w:asciiTheme="majorHAnsi" w:eastAsiaTheme="minorHAnsi" w:hAnsiTheme="majorHAnsi" w:cstheme="minorBidi"/>
          <w:sz w:val="24"/>
          <w:szCs w:val="24"/>
        </w:rPr>
      </w:pPr>
      <w:bookmarkStart w:id="4" w:name="_Hlk58415104"/>
      <w:r w:rsidRPr="00221A3D">
        <w:rPr>
          <w:rFonts w:asciiTheme="majorHAnsi" w:hAnsiTheme="majorHAnsi"/>
          <w:i/>
          <w:sz w:val="24"/>
          <w:szCs w:val="24"/>
        </w:rPr>
        <w:t>(MassHealth reports that the number of members 18-20 years of age who received ABA during FY17 is 45.  MassHealth estimates the cost to expand ABA for individuals 21-26 years of age to range from $483,358 on the lower bound up to $4,189,105 on the upper bound.</w:t>
      </w:r>
      <w:r w:rsidR="00445C5E" w:rsidRPr="00221A3D">
        <w:rPr>
          <w:rFonts w:asciiTheme="majorHAnsi" w:hAnsiTheme="majorHAnsi"/>
          <w:i/>
          <w:sz w:val="24"/>
          <w:szCs w:val="24"/>
        </w:rPr>
        <w:t xml:space="preserve"> MassHealth does not have any current plan to extend coverage. </w:t>
      </w:r>
      <w:bookmarkEnd w:id="4"/>
      <w:r w:rsidR="00221A3D" w:rsidRPr="00221A3D">
        <w:rPr>
          <w:rFonts w:asciiTheme="majorHAnsi" w:eastAsiaTheme="minorHAnsi" w:hAnsiTheme="majorHAnsi" w:cstheme="minorBidi"/>
          <w:sz w:val="24"/>
          <w:szCs w:val="24"/>
        </w:rPr>
        <w:t xml:space="preserve">MassHealth FY20 spending on ABA, total spent by ABA codes </w:t>
      </w:r>
      <w:r w:rsidR="00221A3D" w:rsidRPr="00221A3D">
        <w:rPr>
          <w:rFonts w:asciiTheme="majorHAnsi" w:eastAsiaTheme="minorHAnsi" w:hAnsiTheme="majorHAnsi" w:cstheme="minorBidi"/>
          <w:b/>
          <w:sz w:val="24"/>
          <w:szCs w:val="24"/>
        </w:rPr>
        <w:t>$121,215,751</w:t>
      </w:r>
      <w:r w:rsidR="00221A3D" w:rsidRPr="00221A3D">
        <w:rPr>
          <w:rFonts w:asciiTheme="majorHAnsi" w:eastAsiaTheme="minorHAnsi" w:hAnsiTheme="majorHAnsi" w:cstheme="minorBidi"/>
          <w:sz w:val="24"/>
          <w:szCs w:val="24"/>
        </w:rPr>
        <w:t>.</w:t>
      </w:r>
      <w:r w:rsidR="00CE721E">
        <w:rPr>
          <w:rFonts w:asciiTheme="majorHAnsi" w:eastAsiaTheme="minorHAnsi" w:hAnsiTheme="majorHAnsi" w:cstheme="minorBidi"/>
          <w:sz w:val="24"/>
          <w:szCs w:val="24"/>
        </w:rPr>
        <w:t>)</w:t>
      </w:r>
      <w:r w:rsidR="00221A3D" w:rsidRPr="0039053B">
        <w:rPr>
          <w:rFonts w:asciiTheme="majorHAnsi" w:eastAsiaTheme="minorHAnsi" w:hAnsiTheme="majorHAnsi" w:cstheme="minorBidi"/>
          <w:sz w:val="24"/>
          <w:szCs w:val="24"/>
        </w:rPr>
        <w:t xml:space="preserve"> </w:t>
      </w:r>
    </w:p>
    <w:p w14:paraId="7BAA5880" w14:textId="77777777" w:rsidR="00D85F76" w:rsidRPr="00495D3D" w:rsidRDefault="00D85F76" w:rsidP="00D85F76">
      <w:pPr>
        <w:pStyle w:val="NoSpacing"/>
        <w:rPr>
          <w:rFonts w:asciiTheme="majorHAnsi" w:hAnsiTheme="majorHAnsi"/>
          <w:sz w:val="24"/>
          <w:szCs w:val="24"/>
        </w:rPr>
      </w:pPr>
    </w:p>
    <w:p w14:paraId="511219BD" w14:textId="77777777" w:rsidR="00D85F76" w:rsidRDefault="00D85F76" w:rsidP="00D85F76">
      <w:pPr>
        <w:pStyle w:val="NoSpacing"/>
        <w:rPr>
          <w:rFonts w:asciiTheme="majorHAnsi" w:hAnsiTheme="majorHAnsi"/>
          <w:sz w:val="24"/>
          <w:szCs w:val="24"/>
        </w:rPr>
      </w:pPr>
      <w:r>
        <w:rPr>
          <w:rFonts w:asciiTheme="majorHAnsi" w:hAnsiTheme="majorHAnsi"/>
          <w:sz w:val="24"/>
          <w:szCs w:val="24"/>
        </w:rPr>
        <w:t>9</w:t>
      </w:r>
      <w:r w:rsidRPr="00495D3D">
        <w:rPr>
          <w:rFonts w:asciiTheme="majorHAnsi" w:hAnsiTheme="majorHAnsi"/>
          <w:sz w:val="24"/>
          <w:szCs w:val="24"/>
        </w:rPr>
        <w:t>.   Expand training on autism spectrum disorders (ASD) and appropriate strategies for assisting individuals with ASD for health care providers</w:t>
      </w:r>
      <w:r>
        <w:rPr>
          <w:rFonts w:asciiTheme="majorHAnsi" w:hAnsiTheme="majorHAnsi"/>
          <w:sz w:val="24"/>
          <w:szCs w:val="24"/>
        </w:rPr>
        <w:t xml:space="preserve"> </w:t>
      </w:r>
      <w:r w:rsidRPr="0067686D">
        <w:rPr>
          <w:rFonts w:asciiTheme="majorHAnsi" w:hAnsiTheme="majorHAnsi"/>
          <w:sz w:val="24"/>
          <w:szCs w:val="24"/>
        </w:rPr>
        <w:t>focusing on considerations of culture, race, linguistics, gender identity and socio-economic status</w:t>
      </w:r>
      <w:r w:rsidRPr="00495D3D">
        <w:rPr>
          <w:rFonts w:asciiTheme="majorHAnsi" w:hAnsiTheme="majorHAnsi"/>
          <w:sz w:val="24"/>
          <w:szCs w:val="24"/>
        </w:rPr>
        <w:t xml:space="preserve">, including hospital emergency room personnel and residents. </w:t>
      </w:r>
    </w:p>
    <w:p w14:paraId="3E724F96" w14:textId="77777777" w:rsidR="00445C5E" w:rsidRDefault="00445C5E" w:rsidP="00D85F76">
      <w:pPr>
        <w:pStyle w:val="NoSpacing"/>
        <w:rPr>
          <w:rFonts w:asciiTheme="majorHAnsi" w:hAnsiTheme="majorHAnsi"/>
          <w:sz w:val="24"/>
          <w:szCs w:val="24"/>
        </w:rPr>
      </w:pPr>
    </w:p>
    <w:p w14:paraId="426404DC" w14:textId="77777777" w:rsidR="00445C5E" w:rsidRPr="00445C5E" w:rsidRDefault="00445C5E" w:rsidP="00445C5E">
      <w:pPr>
        <w:rPr>
          <w:rFonts w:asciiTheme="majorHAnsi" w:hAnsiTheme="majorHAnsi"/>
          <w:i/>
          <w:sz w:val="24"/>
          <w:szCs w:val="24"/>
        </w:rPr>
      </w:pPr>
      <w:r w:rsidRPr="00445C5E">
        <w:rPr>
          <w:rFonts w:asciiTheme="majorHAnsi" w:hAnsiTheme="majorHAnsi"/>
          <w:bCs/>
          <w:i/>
          <w:color w:val="000000"/>
          <w:sz w:val="24"/>
          <w:szCs w:val="24"/>
        </w:rPr>
        <w:t>Update – This remains a priority recommendation of the Subcommittee</w:t>
      </w:r>
      <w:r w:rsidRPr="00445C5E">
        <w:rPr>
          <w:rFonts w:asciiTheme="majorHAnsi" w:hAnsiTheme="majorHAnsi"/>
          <w:i/>
          <w:color w:val="000000"/>
          <w:sz w:val="24"/>
          <w:szCs w:val="24"/>
        </w:rPr>
        <w:t xml:space="preserve">. </w:t>
      </w:r>
      <w:r w:rsidRPr="00445C5E">
        <w:rPr>
          <w:rFonts w:asciiTheme="majorHAnsi" w:hAnsiTheme="majorHAnsi"/>
          <w:bCs/>
          <w:i/>
          <w:color w:val="000000"/>
          <w:sz w:val="24"/>
          <w:szCs w:val="24"/>
        </w:rPr>
        <w:t>A few hospitals have developed training programs and personnel that are promising models.</w:t>
      </w:r>
    </w:p>
    <w:p w14:paraId="121B3DD2" w14:textId="77777777" w:rsidR="00D85F76" w:rsidRPr="00495D3D" w:rsidRDefault="00D85F76" w:rsidP="00D85F76">
      <w:pPr>
        <w:pStyle w:val="NoSpacing"/>
        <w:rPr>
          <w:rFonts w:asciiTheme="majorHAnsi" w:hAnsiTheme="majorHAnsi"/>
          <w:sz w:val="24"/>
          <w:szCs w:val="24"/>
        </w:rPr>
      </w:pPr>
      <w:r w:rsidRPr="00495D3D">
        <w:rPr>
          <w:rFonts w:asciiTheme="majorHAnsi" w:hAnsiTheme="majorHAnsi"/>
          <w:sz w:val="24"/>
          <w:szCs w:val="24"/>
        </w:rPr>
        <w:t> </w:t>
      </w:r>
    </w:p>
    <w:p w14:paraId="3A1F6939" w14:textId="77777777" w:rsidR="00D85F76" w:rsidRDefault="00D85F76" w:rsidP="00D85F76">
      <w:pPr>
        <w:pStyle w:val="NoSpacing"/>
        <w:rPr>
          <w:rFonts w:asciiTheme="majorHAnsi" w:hAnsiTheme="majorHAnsi"/>
          <w:sz w:val="24"/>
          <w:szCs w:val="24"/>
        </w:rPr>
      </w:pPr>
      <w:r>
        <w:rPr>
          <w:rFonts w:asciiTheme="majorHAnsi" w:hAnsiTheme="majorHAnsi"/>
          <w:sz w:val="24"/>
          <w:szCs w:val="24"/>
        </w:rPr>
        <w:t>10</w:t>
      </w:r>
      <w:r w:rsidRPr="00495D3D">
        <w:rPr>
          <w:rFonts w:asciiTheme="majorHAnsi" w:hAnsiTheme="majorHAnsi"/>
          <w:sz w:val="24"/>
          <w:szCs w:val="24"/>
        </w:rPr>
        <w:t xml:space="preserve">.   </w:t>
      </w:r>
      <w:bookmarkStart w:id="5" w:name="_Hlk59113630"/>
      <w:r w:rsidRPr="00495D3D">
        <w:rPr>
          <w:rFonts w:asciiTheme="majorHAnsi" w:hAnsiTheme="majorHAnsi"/>
          <w:sz w:val="24"/>
          <w:szCs w:val="24"/>
        </w:rPr>
        <w:t xml:space="preserve">Expand Mental Health emergency and treatment services </w:t>
      </w:r>
      <w:r w:rsidRPr="0067686D">
        <w:rPr>
          <w:rFonts w:asciiTheme="majorHAnsi" w:hAnsiTheme="majorHAnsi"/>
          <w:sz w:val="24"/>
          <w:szCs w:val="24"/>
        </w:rPr>
        <w:t>focusing on considerations of culture, race, linguistics, gender identity and socio-economic status</w:t>
      </w:r>
      <w:r w:rsidRPr="00495D3D">
        <w:rPr>
          <w:rFonts w:asciiTheme="majorHAnsi" w:hAnsiTheme="majorHAnsi"/>
          <w:sz w:val="24"/>
          <w:szCs w:val="24"/>
        </w:rPr>
        <w:t xml:space="preserve"> to specifically address the needs of children and adults on the spectrum. </w:t>
      </w:r>
    </w:p>
    <w:p w14:paraId="62147191" w14:textId="77777777" w:rsidR="00445C5E" w:rsidRDefault="00445C5E" w:rsidP="00D85F76">
      <w:pPr>
        <w:pStyle w:val="NoSpacing"/>
        <w:rPr>
          <w:rFonts w:asciiTheme="majorHAnsi" w:hAnsiTheme="majorHAnsi"/>
          <w:sz w:val="24"/>
          <w:szCs w:val="24"/>
        </w:rPr>
      </w:pPr>
    </w:p>
    <w:p w14:paraId="5CBD7896" w14:textId="74140741" w:rsidR="00374530" w:rsidRPr="00132DE6" w:rsidRDefault="00445C5E" w:rsidP="00374530">
      <w:pPr>
        <w:rPr>
          <w:rFonts w:asciiTheme="majorHAnsi" w:eastAsia="Times New Roman" w:hAnsiTheme="majorHAnsi"/>
          <w:sz w:val="24"/>
          <w:szCs w:val="24"/>
        </w:rPr>
      </w:pPr>
      <w:r w:rsidRPr="00445C5E">
        <w:rPr>
          <w:rFonts w:asciiTheme="majorHAnsi" w:hAnsiTheme="majorHAnsi"/>
          <w:bCs/>
          <w:i/>
          <w:sz w:val="24"/>
          <w:szCs w:val="24"/>
        </w:rPr>
        <w:t xml:space="preserve">Update – </w:t>
      </w:r>
      <w:r w:rsidR="00374530" w:rsidRPr="00132DE6">
        <w:rPr>
          <w:rFonts w:asciiTheme="majorHAnsi" w:hAnsiTheme="majorHAnsi" w:cstheme="minorHAnsi"/>
          <w:bCs/>
          <w:i/>
          <w:color w:val="000000"/>
          <w:sz w:val="24"/>
          <w:szCs w:val="24"/>
        </w:rPr>
        <w:t xml:space="preserve">MassHealth developed and implemented an ASD/ID specialty consultation for individuals with ASD/ID up to age 26 in behavioral health crisis. This consultation allows Mobile Crisis Intervention (“MCI”)/ Emergency Services Providers (“ESPs”) and Emergency Department providers (“EDs”) to get consultation from a licensed ABA during initial crisis evaluation and during follow-up. The clinical team can also access next-day consultation from </w:t>
      </w:r>
      <w:r w:rsidR="00374530" w:rsidRPr="00132DE6">
        <w:rPr>
          <w:rFonts w:asciiTheme="majorHAnsi" w:hAnsiTheme="majorHAnsi" w:cstheme="minorHAnsi"/>
          <w:bCs/>
          <w:i/>
          <w:color w:val="000000"/>
          <w:sz w:val="24"/>
          <w:szCs w:val="24"/>
        </w:rPr>
        <w:lastRenderedPageBreak/>
        <w:t xml:space="preserve">a physician ASD expert. The program is managed by the Massachusetts Child Psychiatry Access Program (MCPAP) and provides 7-day per week coverage. </w:t>
      </w:r>
      <w:r w:rsidR="00374530" w:rsidRPr="00132DE6">
        <w:rPr>
          <w:rFonts w:asciiTheme="majorHAnsi" w:hAnsiTheme="majorHAnsi" w:cstheme="minorHAnsi"/>
          <w:bCs/>
          <w:i/>
          <w:sz w:val="24"/>
          <w:szCs w:val="24"/>
        </w:rPr>
        <w:t xml:space="preserve">Plans in 2021 include adding preventive consultation and outreach to families at high risk for crises. </w:t>
      </w:r>
    </w:p>
    <w:p w14:paraId="6BC7EA61" w14:textId="77777777" w:rsidR="00374530" w:rsidRPr="00374530" w:rsidRDefault="00374530" w:rsidP="00374530">
      <w:pPr>
        <w:rPr>
          <w:rFonts w:asciiTheme="majorHAnsi" w:hAnsiTheme="majorHAnsi" w:cstheme="minorHAnsi"/>
          <w:i/>
          <w:sz w:val="24"/>
          <w:szCs w:val="24"/>
        </w:rPr>
      </w:pPr>
      <w:r w:rsidRPr="00132DE6">
        <w:rPr>
          <w:rFonts w:asciiTheme="majorHAnsi" w:hAnsiTheme="majorHAnsi" w:cstheme="minorHAnsi"/>
          <w:bCs/>
          <w:i/>
          <w:color w:val="000000"/>
          <w:sz w:val="24"/>
          <w:szCs w:val="24"/>
        </w:rPr>
        <w:t>The goal of the program is to increase the capacity and expertise across the Commonwealth to support children, adolescents, and young adults with ASD/ID and their families when they are in crisis.</w:t>
      </w:r>
    </w:p>
    <w:bookmarkEnd w:id="5"/>
    <w:p w14:paraId="04F08ACA" w14:textId="77777777" w:rsidR="00D85F76" w:rsidRDefault="00445C5E" w:rsidP="00445C5E">
      <w:pPr>
        <w:rPr>
          <w:rFonts w:asciiTheme="majorHAnsi" w:hAnsiTheme="majorHAnsi"/>
          <w:sz w:val="24"/>
          <w:szCs w:val="24"/>
        </w:rPr>
      </w:pPr>
      <w:r w:rsidRPr="00BF363D">
        <w:rPr>
          <w:bCs/>
          <w:i/>
        </w:rPr>
        <w:t> </w:t>
      </w:r>
      <w:r w:rsidR="00D85F76">
        <w:rPr>
          <w:rFonts w:asciiTheme="majorHAnsi" w:hAnsiTheme="majorHAnsi"/>
          <w:sz w:val="24"/>
          <w:szCs w:val="24"/>
        </w:rPr>
        <w:t xml:space="preserve">11.   </w:t>
      </w:r>
      <w:r w:rsidR="00D85F76" w:rsidRPr="00495D3D">
        <w:rPr>
          <w:rFonts w:asciiTheme="majorHAnsi" w:hAnsiTheme="majorHAnsi"/>
          <w:sz w:val="24"/>
          <w:szCs w:val="24"/>
        </w:rPr>
        <w:t xml:space="preserve">The Housing Subcommittee of the Autism </w:t>
      </w:r>
      <w:r w:rsidR="00D85F76">
        <w:rPr>
          <w:rFonts w:asciiTheme="majorHAnsi" w:hAnsiTheme="majorHAnsi"/>
          <w:sz w:val="24"/>
          <w:szCs w:val="24"/>
        </w:rPr>
        <w:t>Commission</w:t>
      </w:r>
      <w:r w:rsidR="00D85F76" w:rsidRPr="00495D3D">
        <w:rPr>
          <w:rFonts w:asciiTheme="majorHAnsi" w:hAnsiTheme="majorHAnsi"/>
          <w:sz w:val="24"/>
          <w:szCs w:val="24"/>
        </w:rPr>
        <w:t xml:space="preserve"> will develop design guidelines that will meet the needs of individuals with autism spectrum disorder (ASD) to obtain and sustain tenancy in supportive affordable state funded housing units including those that; 1) currently exist; 2) are being rehabilitated; 3) and any newly developed units.  The Housing Subcommittee will work with the appropriate state agencies and other stakeholders to review existing design guidelines and to develop additional guidelines that are necessary to meet the needs of individuals with ASD.</w:t>
      </w:r>
    </w:p>
    <w:p w14:paraId="1B090A74" w14:textId="77777777" w:rsidR="00445C5E" w:rsidRPr="00445C5E" w:rsidRDefault="00445C5E" w:rsidP="00445C5E">
      <w:pPr>
        <w:rPr>
          <w:rFonts w:asciiTheme="majorHAnsi" w:hAnsiTheme="majorHAnsi"/>
          <w:i/>
          <w:sz w:val="24"/>
          <w:szCs w:val="24"/>
        </w:rPr>
      </w:pPr>
      <w:r w:rsidRPr="00BF363D">
        <w:rPr>
          <w:i/>
        </w:rPr>
        <w:t> </w:t>
      </w:r>
      <w:r w:rsidRPr="00445C5E">
        <w:rPr>
          <w:rFonts w:asciiTheme="majorHAnsi" w:hAnsiTheme="majorHAnsi"/>
          <w:i/>
          <w:sz w:val="24"/>
          <w:szCs w:val="24"/>
        </w:rPr>
        <w:t xml:space="preserve">Update: On-going. The Housing subcommittee reviewed with the DHCD representative on the subcommittee the design specifications on two projects underway on Cape Cod and discussed potential design additions to meet the needs of individuals with autism spectrum disorder. </w:t>
      </w:r>
    </w:p>
    <w:p w14:paraId="44E2B7EB" w14:textId="77777777" w:rsidR="00D85F76" w:rsidRPr="00495D3D" w:rsidRDefault="00D85F76" w:rsidP="00D85F76">
      <w:pPr>
        <w:pStyle w:val="NoSpacing"/>
        <w:rPr>
          <w:rFonts w:asciiTheme="majorHAnsi" w:hAnsiTheme="majorHAnsi"/>
          <w:sz w:val="24"/>
          <w:szCs w:val="24"/>
        </w:rPr>
      </w:pPr>
      <w:r w:rsidRPr="00495D3D">
        <w:rPr>
          <w:rFonts w:asciiTheme="majorHAnsi" w:hAnsiTheme="majorHAnsi"/>
          <w:sz w:val="24"/>
          <w:szCs w:val="24"/>
        </w:rPr>
        <w:t> </w:t>
      </w:r>
      <w:r>
        <w:rPr>
          <w:rFonts w:asciiTheme="majorHAnsi" w:hAnsiTheme="majorHAnsi"/>
          <w:sz w:val="24"/>
          <w:szCs w:val="24"/>
        </w:rPr>
        <w:t>1</w:t>
      </w:r>
      <w:r w:rsidRPr="00495D3D">
        <w:rPr>
          <w:rFonts w:asciiTheme="majorHAnsi" w:hAnsiTheme="majorHAnsi"/>
          <w:sz w:val="24"/>
          <w:szCs w:val="24"/>
        </w:rPr>
        <w:t xml:space="preserve">2.   Initiate a statewide outreach and data collection on homeless adults with ASD </w:t>
      </w:r>
      <w:r w:rsidRPr="0067686D">
        <w:rPr>
          <w:rFonts w:asciiTheme="majorHAnsi" w:hAnsiTheme="majorHAnsi"/>
          <w:sz w:val="24"/>
          <w:szCs w:val="24"/>
        </w:rPr>
        <w:t>focusing on considerations of culture, race, linguistics, gender identity and socio-economic status</w:t>
      </w:r>
      <w:r w:rsidRPr="00495D3D">
        <w:rPr>
          <w:rFonts w:asciiTheme="majorHAnsi" w:hAnsiTheme="majorHAnsi"/>
          <w:sz w:val="24"/>
          <w:szCs w:val="24"/>
        </w:rPr>
        <w:t>.  The Subcommittee will collaborate with stakeholders to identify the number of adults with ASD who may be living in shelters or on the street. These efforts include;</w:t>
      </w:r>
    </w:p>
    <w:p w14:paraId="48B6798E" w14:textId="77777777" w:rsidR="00D85F76" w:rsidRPr="00495D3D" w:rsidRDefault="00D85F76" w:rsidP="00D85F76">
      <w:pPr>
        <w:pStyle w:val="NoSpacing"/>
        <w:numPr>
          <w:ilvl w:val="1"/>
          <w:numId w:val="4"/>
        </w:numPr>
        <w:rPr>
          <w:rFonts w:asciiTheme="majorHAnsi" w:hAnsiTheme="majorHAnsi"/>
          <w:sz w:val="24"/>
          <w:szCs w:val="24"/>
        </w:rPr>
      </w:pPr>
      <w:r w:rsidRPr="00495D3D">
        <w:rPr>
          <w:rFonts w:asciiTheme="majorHAnsi" w:hAnsiTheme="majorHAnsi"/>
          <w:sz w:val="24"/>
          <w:szCs w:val="24"/>
        </w:rPr>
        <w:t xml:space="preserve">Contact Healthcare for the Homeless to request their assistance in identifying the number of adults with ASD living on the </w:t>
      </w:r>
      <w:r w:rsidR="00B10037" w:rsidRPr="00495D3D">
        <w:rPr>
          <w:rFonts w:asciiTheme="majorHAnsi" w:hAnsiTheme="majorHAnsi"/>
          <w:sz w:val="24"/>
          <w:szCs w:val="24"/>
        </w:rPr>
        <w:t>streets and</w:t>
      </w:r>
      <w:r w:rsidRPr="00495D3D">
        <w:rPr>
          <w:rFonts w:asciiTheme="majorHAnsi" w:hAnsiTheme="majorHAnsi"/>
          <w:sz w:val="24"/>
          <w:szCs w:val="24"/>
        </w:rPr>
        <w:t xml:space="preserve"> amending the HUD questionnaire to include questions about disability and ASD diagnosis.</w:t>
      </w:r>
    </w:p>
    <w:p w14:paraId="1B62057E" w14:textId="77777777" w:rsidR="00D85F76" w:rsidRPr="00495D3D" w:rsidRDefault="00D85F76" w:rsidP="00D85F76">
      <w:pPr>
        <w:pStyle w:val="NoSpacing"/>
        <w:numPr>
          <w:ilvl w:val="1"/>
          <w:numId w:val="4"/>
        </w:numPr>
        <w:rPr>
          <w:rFonts w:asciiTheme="majorHAnsi" w:hAnsiTheme="majorHAnsi"/>
          <w:sz w:val="24"/>
          <w:szCs w:val="24"/>
        </w:rPr>
      </w:pPr>
      <w:r w:rsidRPr="00495D3D">
        <w:rPr>
          <w:rFonts w:asciiTheme="majorHAnsi" w:hAnsiTheme="majorHAnsi"/>
          <w:sz w:val="24"/>
          <w:szCs w:val="24"/>
        </w:rPr>
        <w:t>Engage with the Inter-Agency Council on Homelessness to provide training on ASD and the states services that adults with ASD may be eligible to receive.</w:t>
      </w:r>
    </w:p>
    <w:p w14:paraId="1A798280" w14:textId="77777777" w:rsidR="00D85F76" w:rsidRPr="00495D3D" w:rsidRDefault="00D85F76" w:rsidP="00D85F76">
      <w:pPr>
        <w:pStyle w:val="NoSpacing"/>
        <w:numPr>
          <w:ilvl w:val="1"/>
          <w:numId w:val="4"/>
        </w:numPr>
        <w:rPr>
          <w:rFonts w:asciiTheme="majorHAnsi" w:hAnsiTheme="majorHAnsi"/>
          <w:sz w:val="24"/>
          <w:szCs w:val="24"/>
        </w:rPr>
      </w:pPr>
      <w:r w:rsidRPr="00495D3D">
        <w:rPr>
          <w:rFonts w:asciiTheme="majorHAnsi" w:hAnsiTheme="majorHAnsi"/>
          <w:sz w:val="24"/>
          <w:szCs w:val="24"/>
        </w:rPr>
        <w:t>Contact the Independent Living Centers to assess the number of adults with ASD utilizing this resource and their housing status.</w:t>
      </w:r>
    </w:p>
    <w:p w14:paraId="4290262B" w14:textId="77777777" w:rsidR="00D85F76" w:rsidRDefault="00D85F76" w:rsidP="00D85F76">
      <w:pPr>
        <w:pStyle w:val="NoSpacing"/>
        <w:numPr>
          <w:ilvl w:val="1"/>
          <w:numId w:val="4"/>
        </w:numPr>
        <w:rPr>
          <w:rFonts w:asciiTheme="majorHAnsi" w:hAnsiTheme="majorHAnsi"/>
          <w:sz w:val="24"/>
          <w:szCs w:val="24"/>
        </w:rPr>
      </w:pPr>
      <w:r w:rsidRPr="00495D3D">
        <w:rPr>
          <w:rFonts w:asciiTheme="majorHAnsi" w:hAnsiTheme="majorHAnsi"/>
          <w:sz w:val="24"/>
          <w:szCs w:val="24"/>
        </w:rPr>
        <w:t xml:space="preserve"> Conduct outreach to the Commonwealth’s Continuum of Care (COC) Programs to collect data on the number of homeless adults with ASD</w:t>
      </w:r>
    </w:p>
    <w:p w14:paraId="2F1505E8" w14:textId="77777777" w:rsidR="00D85F76" w:rsidRDefault="00D85F76" w:rsidP="00D85F76">
      <w:pPr>
        <w:pStyle w:val="NoSpacing"/>
        <w:ind w:left="1440"/>
        <w:rPr>
          <w:rFonts w:asciiTheme="majorHAnsi" w:hAnsiTheme="majorHAnsi"/>
          <w:sz w:val="24"/>
          <w:szCs w:val="24"/>
        </w:rPr>
      </w:pPr>
    </w:p>
    <w:p w14:paraId="5490574B" w14:textId="77777777" w:rsidR="00445C5E" w:rsidRPr="00445C5E" w:rsidRDefault="00445C5E" w:rsidP="00445C5E">
      <w:pPr>
        <w:tabs>
          <w:tab w:val="left" w:pos="720"/>
        </w:tabs>
        <w:rPr>
          <w:rFonts w:asciiTheme="majorHAnsi" w:hAnsiTheme="majorHAnsi"/>
          <w:i/>
          <w:sz w:val="24"/>
          <w:szCs w:val="24"/>
        </w:rPr>
      </w:pPr>
      <w:r w:rsidRPr="00445C5E">
        <w:rPr>
          <w:rFonts w:asciiTheme="majorHAnsi" w:hAnsiTheme="majorHAnsi"/>
          <w:i/>
          <w:sz w:val="24"/>
          <w:szCs w:val="24"/>
        </w:rPr>
        <w:t xml:space="preserve">Update: On-going.  The Subcommittee continues to explore the issues of individuals with autism spectrum disorder who are homeless and are accessing the shelter system on living on the streets.  The Executive Director of the Autism Commission and the Manager of Program development worked with the Pine Street in to provide training on autism for its outreach workers who may encounter individuals with ASD. Bridge over Trouble Waters has also been contacted about training for its workers interacting with homeless youth who may have ASD.  </w:t>
      </w:r>
    </w:p>
    <w:p w14:paraId="4071B30F" w14:textId="77777777" w:rsidR="00D85F76" w:rsidRDefault="00D85F76" w:rsidP="00D85F76">
      <w:pPr>
        <w:pStyle w:val="NoSpacing"/>
        <w:rPr>
          <w:rFonts w:asciiTheme="majorHAnsi" w:hAnsiTheme="majorHAnsi"/>
          <w:sz w:val="24"/>
          <w:szCs w:val="24"/>
        </w:rPr>
      </w:pPr>
    </w:p>
    <w:p w14:paraId="64EF25FB" w14:textId="77777777" w:rsidR="00D85F76" w:rsidRDefault="00D85F76" w:rsidP="00D85F76">
      <w:pPr>
        <w:pStyle w:val="NoSpacing"/>
        <w:rPr>
          <w:rFonts w:asciiTheme="majorHAnsi" w:hAnsiTheme="majorHAnsi"/>
          <w:sz w:val="24"/>
          <w:szCs w:val="24"/>
        </w:rPr>
      </w:pPr>
      <w:r>
        <w:rPr>
          <w:rFonts w:asciiTheme="majorHAnsi" w:hAnsiTheme="majorHAnsi"/>
          <w:sz w:val="24"/>
          <w:szCs w:val="24"/>
        </w:rPr>
        <w:lastRenderedPageBreak/>
        <w:t xml:space="preserve">13.   </w:t>
      </w:r>
      <w:r w:rsidRPr="00495D3D">
        <w:rPr>
          <w:rFonts w:asciiTheme="majorHAnsi" w:hAnsiTheme="majorHAnsi"/>
          <w:sz w:val="24"/>
          <w:szCs w:val="24"/>
        </w:rPr>
        <w:t xml:space="preserve">The Department of Developmental Services (DDS) will collect data on the number of individuals who have; 1) been admitted to </w:t>
      </w:r>
      <w:r>
        <w:rPr>
          <w:rFonts w:asciiTheme="majorHAnsi" w:hAnsiTheme="majorHAnsi"/>
          <w:sz w:val="24"/>
          <w:szCs w:val="24"/>
        </w:rPr>
        <w:t xml:space="preserve">the Emergency Stabilization Unit at </w:t>
      </w:r>
      <w:r w:rsidRPr="00495D3D">
        <w:rPr>
          <w:rFonts w:asciiTheme="majorHAnsi" w:hAnsiTheme="majorHAnsi"/>
          <w:sz w:val="24"/>
          <w:szCs w:val="24"/>
        </w:rPr>
        <w:t>Hogan from their group home, 2) whether that individual returned to their current group home or transferred to another group home; and 3)</w:t>
      </w:r>
      <w:r>
        <w:rPr>
          <w:rFonts w:asciiTheme="majorHAnsi" w:hAnsiTheme="majorHAnsi"/>
          <w:sz w:val="24"/>
          <w:szCs w:val="24"/>
        </w:rPr>
        <w:t xml:space="preserve"> length of stay</w:t>
      </w:r>
      <w:r w:rsidRPr="00495D3D">
        <w:rPr>
          <w:rFonts w:asciiTheme="majorHAnsi" w:hAnsiTheme="majorHAnsi"/>
          <w:sz w:val="24"/>
          <w:szCs w:val="24"/>
        </w:rPr>
        <w:t xml:space="preserve">.  DDS will report this data quarterly to the Housing Subcommittee of the Autism </w:t>
      </w:r>
      <w:r>
        <w:rPr>
          <w:rFonts w:asciiTheme="majorHAnsi" w:hAnsiTheme="majorHAnsi"/>
          <w:sz w:val="24"/>
          <w:szCs w:val="24"/>
        </w:rPr>
        <w:t>Commission</w:t>
      </w:r>
      <w:r w:rsidRPr="00495D3D">
        <w:rPr>
          <w:rFonts w:asciiTheme="majorHAnsi" w:hAnsiTheme="majorHAnsi"/>
          <w:sz w:val="24"/>
          <w:szCs w:val="24"/>
        </w:rPr>
        <w:t>.</w:t>
      </w:r>
    </w:p>
    <w:p w14:paraId="4590FEBA" w14:textId="77777777" w:rsidR="00445C5E" w:rsidRDefault="00445C5E" w:rsidP="00D85F76">
      <w:pPr>
        <w:pStyle w:val="NoSpacing"/>
        <w:rPr>
          <w:rFonts w:asciiTheme="majorHAnsi" w:hAnsiTheme="majorHAnsi"/>
          <w:sz w:val="24"/>
          <w:szCs w:val="24"/>
        </w:rPr>
      </w:pPr>
    </w:p>
    <w:p w14:paraId="6688F8AA" w14:textId="77777777" w:rsidR="00445C5E" w:rsidRDefault="00445C5E" w:rsidP="00F5523A">
      <w:pPr>
        <w:rPr>
          <w:rFonts w:asciiTheme="majorHAnsi" w:hAnsiTheme="majorHAnsi"/>
          <w:i/>
          <w:sz w:val="24"/>
          <w:szCs w:val="24"/>
        </w:rPr>
      </w:pPr>
      <w:r w:rsidRPr="00445C5E">
        <w:rPr>
          <w:rFonts w:asciiTheme="majorHAnsi" w:hAnsiTheme="majorHAnsi"/>
          <w:i/>
          <w:sz w:val="24"/>
          <w:szCs w:val="24"/>
        </w:rPr>
        <w:t>Update</w:t>
      </w:r>
      <w:r w:rsidR="00F5523A">
        <w:rPr>
          <w:rFonts w:asciiTheme="majorHAnsi" w:hAnsiTheme="majorHAnsi"/>
          <w:i/>
          <w:sz w:val="24"/>
          <w:szCs w:val="24"/>
        </w:rPr>
        <w:t>:</w:t>
      </w:r>
    </w:p>
    <w:p w14:paraId="2FB87C75" w14:textId="77777777" w:rsidR="00F5523A" w:rsidRPr="00F5523A" w:rsidRDefault="00F5523A" w:rsidP="00F5523A">
      <w:pPr>
        <w:rPr>
          <w:rFonts w:asciiTheme="majorHAnsi" w:hAnsiTheme="majorHAnsi" w:cstheme="majorHAnsi"/>
          <w:i/>
          <w:sz w:val="24"/>
          <w:szCs w:val="24"/>
        </w:rPr>
      </w:pPr>
      <w:r w:rsidRPr="00F5523A">
        <w:rPr>
          <w:rFonts w:asciiTheme="majorHAnsi" w:eastAsia="Times New Roman" w:hAnsiTheme="majorHAnsi" w:cstheme="majorHAnsi"/>
          <w:color w:val="212121"/>
          <w:sz w:val="24"/>
          <w:szCs w:val="24"/>
        </w:rPr>
        <w:t>Current List of the ESU individuals with Autism from September 9, 2019- March 2020</w:t>
      </w:r>
    </w:p>
    <w:tbl>
      <w:tblPr>
        <w:tblW w:w="0" w:type="auto"/>
        <w:shd w:val="clear" w:color="auto" w:fill="FFFFFF"/>
        <w:tblCellMar>
          <w:left w:w="0" w:type="dxa"/>
          <w:right w:w="0" w:type="dxa"/>
        </w:tblCellMar>
        <w:tblLook w:val="04A0" w:firstRow="1" w:lastRow="0" w:firstColumn="1" w:lastColumn="0" w:noHBand="0" w:noVBand="1"/>
      </w:tblPr>
      <w:tblGrid>
        <w:gridCol w:w="1055"/>
        <w:gridCol w:w="1276"/>
        <w:gridCol w:w="1772"/>
        <w:gridCol w:w="1301"/>
        <w:gridCol w:w="1405"/>
        <w:gridCol w:w="1208"/>
        <w:gridCol w:w="1323"/>
      </w:tblGrid>
      <w:tr w:rsidR="00F5523A" w:rsidRPr="003577DB" w14:paraId="64A68028" w14:textId="77777777" w:rsidTr="00D730E3">
        <w:trPr>
          <w:trHeight w:val="585"/>
        </w:trPr>
        <w:tc>
          <w:tcPr>
            <w:tcW w:w="105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8B6128"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Quarter</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51B0E67"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 Individuals </w:t>
            </w:r>
          </w:p>
        </w:tc>
        <w:tc>
          <w:tcPr>
            <w:tcW w:w="17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A045B37"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From</w:t>
            </w:r>
          </w:p>
        </w:tc>
        <w:tc>
          <w:tcPr>
            <w:tcW w:w="13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42BFFA2"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Discharge</w:t>
            </w:r>
          </w:p>
        </w:tc>
        <w:tc>
          <w:tcPr>
            <w:tcW w:w="14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6FABB9A"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Length of Stay</w:t>
            </w:r>
          </w:p>
        </w:tc>
        <w:tc>
          <w:tcPr>
            <w:tcW w:w="12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BFBBCF1"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To</w:t>
            </w:r>
          </w:p>
        </w:tc>
        <w:tc>
          <w:tcPr>
            <w:tcW w:w="13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38C33A7"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Other</w:t>
            </w:r>
          </w:p>
        </w:tc>
      </w:tr>
      <w:tr w:rsidR="00F5523A" w:rsidRPr="003577DB" w14:paraId="4AA0A6EA" w14:textId="77777777" w:rsidTr="00D730E3">
        <w:trPr>
          <w:trHeight w:val="505"/>
        </w:trPr>
        <w:tc>
          <w:tcPr>
            <w:tcW w:w="10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8F6D59"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9/10/19</w:t>
            </w:r>
          </w:p>
          <w:p w14:paraId="3362E1F9"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to</w:t>
            </w:r>
          </w:p>
          <w:p w14:paraId="7383E3D9"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12/31/19</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C8E63B"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2</w:t>
            </w:r>
          </w:p>
        </w:tc>
        <w:tc>
          <w:tcPr>
            <w:tcW w:w="1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353C94"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1 ER</w:t>
            </w:r>
          </w:p>
          <w:p w14:paraId="4061B6C2"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1 Grp Home</w:t>
            </w:r>
          </w:p>
        </w:tc>
        <w:tc>
          <w:tcPr>
            <w:tcW w:w="13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AD04C4"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No</w:t>
            </w:r>
          </w:p>
          <w:p w14:paraId="2B9CE0AB"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no</w:t>
            </w:r>
          </w:p>
        </w:tc>
        <w:tc>
          <w:tcPr>
            <w:tcW w:w="1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63D790"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 </w:t>
            </w:r>
          </w:p>
        </w:tc>
        <w:tc>
          <w:tcPr>
            <w:tcW w:w="1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51882D"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 </w:t>
            </w:r>
          </w:p>
        </w:tc>
        <w:tc>
          <w:tcPr>
            <w:tcW w:w="1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E21086"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 </w:t>
            </w:r>
          </w:p>
        </w:tc>
      </w:tr>
      <w:tr w:rsidR="00F5523A" w:rsidRPr="003577DB" w14:paraId="20BCB9DD" w14:textId="77777777" w:rsidTr="00D730E3">
        <w:trPr>
          <w:trHeight w:val="743"/>
        </w:trPr>
        <w:tc>
          <w:tcPr>
            <w:tcW w:w="10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304EBB"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1/1/20</w:t>
            </w:r>
          </w:p>
          <w:p w14:paraId="284908BE"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to 3/31/20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E12C54"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2</w:t>
            </w:r>
          </w:p>
        </w:tc>
        <w:tc>
          <w:tcPr>
            <w:tcW w:w="1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6E5B0C"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2 from Grp Home</w:t>
            </w:r>
          </w:p>
        </w:tc>
        <w:tc>
          <w:tcPr>
            <w:tcW w:w="13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A7AE9B"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No/No</w:t>
            </w:r>
          </w:p>
        </w:tc>
        <w:tc>
          <w:tcPr>
            <w:tcW w:w="1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E24295"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 </w:t>
            </w:r>
          </w:p>
        </w:tc>
        <w:tc>
          <w:tcPr>
            <w:tcW w:w="1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21128A"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 </w:t>
            </w:r>
          </w:p>
        </w:tc>
        <w:tc>
          <w:tcPr>
            <w:tcW w:w="1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D10BC0" w14:textId="77777777" w:rsidR="00F5523A" w:rsidRPr="003577DB" w:rsidRDefault="00F5523A" w:rsidP="00D730E3">
            <w:pPr>
              <w:spacing w:after="0" w:line="240" w:lineRule="auto"/>
              <w:rPr>
                <w:rFonts w:ascii="Segoe UI" w:eastAsia="Times New Roman" w:hAnsi="Segoe UI" w:cs="Segoe UI"/>
                <w:color w:val="212121"/>
                <w:sz w:val="23"/>
                <w:szCs w:val="23"/>
              </w:rPr>
            </w:pPr>
            <w:r w:rsidRPr="003577DB">
              <w:rPr>
                <w:rFonts w:eastAsia="Times New Roman" w:cs="Calibri"/>
                <w:color w:val="212121"/>
              </w:rPr>
              <w:t> </w:t>
            </w:r>
          </w:p>
        </w:tc>
      </w:tr>
    </w:tbl>
    <w:p w14:paraId="03332975" w14:textId="77777777" w:rsidR="00F5523A" w:rsidRDefault="00F5523A" w:rsidP="00F5523A">
      <w:pPr>
        <w:rPr>
          <w:rFonts w:asciiTheme="majorHAnsi" w:hAnsiTheme="majorHAnsi"/>
          <w:i/>
          <w:sz w:val="24"/>
          <w:szCs w:val="24"/>
        </w:rPr>
      </w:pPr>
    </w:p>
    <w:p w14:paraId="5CCA1CA2" w14:textId="77777777" w:rsidR="00F5523A" w:rsidRPr="00445C5E" w:rsidRDefault="00F5523A" w:rsidP="00F5523A">
      <w:pPr>
        <w:rPr>
          <w:rFonts w:asciiTheme="majorHAnsi" w:hAnsiTheme="majorHAnsi"/>
          <w:i/>
          <w:sz w:val="24"/>
          <w:szCs w:val="24"/>
        </w:rPr>
      </w:pPr>
    </w:p>
    <w:p w14:paraId="50B9565C" w14:textId="77777777" w:rsidR="00D85F76" w:rsidRDefault="00D85F76" w:rsidP="00D85F76">
      <w:pPr>
        <w:pStyle w:val="NoSpacing"/>
        <w:rPr>
          <w:rFonts w:asciiTheme="majorHAnsi" w:hAnsiTheme="majorHAnsi"/>
          <w:sz w:val="24"/>
          <w:szCs w:val="24"/>
        </w:rPr>
      </w:pPr>
      <w:r>
        <w:rPr>
          <w:rFonts w:asciiTheme="majorHAnsi" w:hAnsiTheme="majorHAnsi"/>
          <w:sz w:val="24"/>
          <w:szCs w:val="24"/>
        </w:rPr>
        <w:t xml:space="preserve">14.   </w:t>
      </w:r>
      <w:r w:rsidRPr="00495D3D">
        <w:rPr>
          <w:rFonts w:asciiTheme="majorHAnsi" w:hAnsiTheme="majorHAnsi"/>
          <w:sz w:val="24"/>
          <w:szCs w:val="24"/>
        </w:rPr>
        <w:t>The Workforce Development Subcommittee will work with the Board of Registration of Allied Mental Health and Human Services Professionals and the Division of Insurance to ensure that the licensure process for BCBAs and credentialing of LABAs by insurers is conducted in an efficient manner to enable LABAs the ability to provide approved services to families of individuals with autism spectrum disorder without unnecessary delay.</w:t>
      </w:r>
    </w:p>
    <w:p w14:paraId="7132DA4A" w14:textId="77777777" w:rsidR="00D85F76" w:rsidRPr="00495D3D" w:rsidRDefault="00D85F76" w:rsidP="00D85F76">
      <w:pPr>
        <w:pStyle w:val="NoSpacing"/>
        <w:rPr>
          <w:rFonts w:asciiTheme="majorHAnsi" w:hAnsiTheme="majorHAnsi"/>
          <w:sz w:val="24"/>
          <w:szCs w:val="24"/>
        </w:rPr>
      </w:pPr>
      <w:r w:rsidRPr="00495D3D">
        <w:rPr>
          <w:rFonts w:asciiTheme="majorHAnsi" w:hAnsiTheme="majorHAnsi"/>
          <w:sz w:val="24"/>
          <w:szCs w:val="24"/>
        </w:rPr>
        <w:t> </w:t>
      </w:r>
    </w:p>
    <w:p w14:paraId="67AAB6EC" w14:textId="233459E9" w:rsidR="008715A8" w:rsidRPr="00AF54F0" w:rsidRDefault="00D85F76" w:rsidP="00AF54F0">
      <w:pPr>
        <w:pStyle w:val="NoSpacing"/>
        <w:rPr>
          <w:rFonts w:asciiTheme="majorHAnsi" w:hAnsiTheme="majorHAnsi"/>
          <w:sz w:val="24"/>
          <w:szCs w:val="24"/>
        </w:rPr>
      </w:pPr>
      <w:r>
        <w:rPr>
          <w:rFonts w:asciiTheme="majorHAnsi" w:hAnsiTheme="majorHAnsi"/>
          <w:sz w:val="24"/>
          <w:szCs w:val="24"/>
        </w:rPr>
        <w:t>15</w:t>
      </w:r>
      <w:r w:rsidRPr="00495D3D">
        <w:rPr>
          <w:rFonts w:asciiTheme="majorHAnsi" w:hAnsiTheme="majorHAnsi"/>
          <w:sz w:val="24"/>
          <w:szCs w:val="24"/>
        </w:rPr>
        <w:t>.    The Workforce Development Subcommittee will work with the Executive Office of Labor and Workforce Development and the Office of Immigrants and Refugees to promote employment opportunities at the EOLWD’s Career Centers for direct care workers, and explore with the Department of Higher Education and the 15 MA Community Colleges the possibility of a loan forgiveness program for direct care workers to further support the need to increase the direct care workforce</w:t>
      </w:r>
      <w:bookmarkStart w:id="6" w:name="_Hlk58416747"/>
    </w:p>
    <w:p w14:paraId="1B3857F9" w14:textId="6C514CE5" w:rsidR="008715A8" w:rsidRDefault="008715A8" w:rsidP="008715A8">
      <w:pPr>
        <w:rPr>
          <w:rFonts w:ascii="Cambria" w:hAnsi="Cambria" w:cs="Arial"/>
          <w:b/>
          <w:i/>
          <w:sz w:val="24"/>
          <w:szCs w:val="24"/>
          <w:u w:val="single"/>
        </w:rPr>
      </w:pPr>
      <w:r w:rsidRPr="002866BE">
        <w:rPr>
          <w:rFonts w:ascii="Cambria" w:hAnsi="Cambria" w:cs="Arial"/>
          <w:b/>
          <w:i/>
          <w:sz w:val="24"/>
          <w:szCs w:val="24"/>
          <w:u w:val="single"/>
        </w:rPr>
        <w:t>Other Priorities</w:t>
      </w:r>
    </w:p>
    <w:p w14:paraId="05FFE934" w14:textId="45A214AE" w:rsidR="00AF54F0" w:rsidRDefault="00AF54F0" w:rsidP="008715A8">
      <w:pPr>
        <w:rPr>
          <w:rFonts w:ascii="Cambria" w:hAnsi="Cambria" w:cs="Arial"/>
          <w:b/>
          <w:i/>
          <w:sz w:val="24"/>
          <w:szCs w:val="24"/>
          <w:u w:val="single"/>
        </w:rPr>
      </w:pPr>
    </w:p>
    <w:p w14:paraId="7600382A" w14:textId="02EE9799" w:rsidR="00AF54F0" w:rsidRPr="002866BE" w:rsidRDefault="00AF54F0" w:rsidP="008715A8">
      <w:pPr>
        <w:rPr>
          <w:rFonts w:ascii="Cambria" w:hAnsi="Cambria" w:cs="Arial"/>
          <w:b/>
          <w:i/>
          <w:sz w:val="24"/>
          <w:szCs w:val="24"/>
          <w:u w:val="single"/>
        </w:rPr>
      </w:pPr>
      <w:r>
        <w:rPr>
          <w:rFonts w:ascii="Cambria" w:hAnsi="Cambria" w:cs="Arial"/>
          <w:b/>
          <w:i/>
          <w:sz w:val="24"/>
          <w:szCs w:val="24"/>
          <w:u w:val="single"/>
        </w:rPr>
        <w:t>Birth to Fourteen Subcommittee</w:t>
      </w:r>
    </w:p>
    <w:p w14:paraId="5B93B5EF" w14:textId="77777777" w:rsidR="008715A8" w:rsidRPr="002866BE" w:rsidRDefault="008715A8" w:rsidP="008715A8">
      <w:pPr>
        <w:pStyle w:val="ListParagraph"/>
        <w:numPr>
          <w:ilvl w:val="0"/>
          <w:numId w:val="12"/>
        </w:numPr>
        <w:rPr>
          <w:rFonts w:ascii="Cambria" w:hAnsi="Cambria"/>
          <w:i/>
          <w:sz w:val="24"/>
          <w:szCs w:val="24"/>
        </w:rPr>
      </w:pPr>
      <w:r w:rsidRPr="002866BE">
        <w:rPr>
          <w:rFonts w:ascii="Cambria" w:hAnsi="Cambria"/>
          <w:sz w:val="24"/>
          <w:szCs w:val="24"/>
        </w:rPr>
        <w:t>The priority of the Birth to Fourteen Subcommittee</w:t>
      </w:r>
      <w:r w:rsidRPr="002866BE">
        <w:rPr>
          <w:rFonts w:ascii="Cambria" w:hAnsi="Cambria"/>
          <w:i/>
          <w:sz w:val="24"/>
          <w:szCs w:val="24"/>
        </w:rPr>
        <w:t xml:space="preserve"> </w:t>
      </w:r>
      <w:r w:rsidRPr="002866BE">
        <w:rPr>
          <w:rFonts w:ascii="Cambria" w:hAnsi="Cambria"/>
          <w:sz w:val="24"/>
          <w:szCs w:val="24"/>
        </w:rPr>
        <w:t xml:space="preserve">was </w:t>
      </w:r>
      <w:r w:rsidRPr="002866BE">
        <w:rPr>
          <w:rFonts w:ascii="Cambria" w:hAnsi="Cambria"/>
          <w:bCs/>
          <w:sz w:val="24"/>
          <w:szCs w:val="24"/>
        </w:rPr>
        <w:t>to improve recruitment and retention strategies of BCBA’s and related behavior therapists in public education Settings</w:t>
      </w:r>
      <w:r w:rsidRPr="002866BE">
        <w:rPr>
          <w:rFonts w:ascii="Cambria" w:hAnsi="Cambria"/>
          <w:sz w:val="24"/>
          <w:szCs w:val="24"/>
        </w:rPr>
        <w:t xml:space="preserve">. </w:t>
      </w:r>
      <w:r w:rsidRPr="002866BE">
        <w:rPr>
          <w:rFonts w:ascii="Cambria" w:hAnsi="Cambria"/>
          <w:i/>
          <w:sz w:val="24"/>
          <w:szCs w:val="24"/>
        </w:rPr>
        <w:t>This work is on-going.</w:t>
      </w:r>
    </w:p>
    <w:p w14:paraId="4CB780CB" w14:textId="77777777" w:rsidR="008715A8" w:rsidRPr="002866BE" w:rsidRDefault="008715A8" w:rsidP="008715A8">
      <w:pPr>
        <w:pStyle w:val="ListParagraph"/>
        <w:rPr>
          <w:rFonts w:ascii="Cambria" w:hAnsi="Cambria"/>
          <w:i/>
          <w:sz w:val="24"/>
          <w:szCs w:val="24"/>
        </w:rPr>
      </w:pPr>
    </w:p>
    <w:p w14:paraId="36D4C5F6" w14:textId="163A6AC1" w:rsidR="008715A8" w:rsidRDefault="008715A8" w:rsidP="008715A8">
      <w:pPr>
        <w:pStyle w:val="ListParagraph"/>
        <w:numPr>
          <w:ilvl w:val="0"/>
          <w:numId w:val="12"/>
        </w:numPr>
        <w:rPr>
          <w:rFonts w:ascii="Cambria" w:hAnsi="Cambria"/>
          <w:i/>
          <w:sz w:val="24"/>
          <w:szCs w:val="24"/>
        </w:rPr>
      </w:pPr>
      <w:r w:rsidRPr="002866BE">
        <w:rPr>
          <w:rFonts w:ascii="Cambria" w:hAnsi="Cambria"/>
          <w:sz w:val="24"/>
          <w:szCs w:val="24"/>
        </w:rPr>
        <w:t>The second priority of the Birth to Fourteen Subcommittee</w:t>
      </w:r>
      <w:r w:rsidRPr="002866BE">
        <w:rPr>
          <w:rFonts w:ascii="Cambria" w:hAnsi="Cambria"/>
          <w:i/>
          <w:sz w:val="24"/>
          <w:szCs w:val="24"/>
        </w:rPr>
        <w:t xml:space="preserve"> </w:t>
      </w:r>
      <w:r w:rsidRPr="002866BE">
        <w:rPr>
          <w:rFonts w:ascii="Cambria" w:hAnsi="Cambria"/>
          <w:sz w:val="24"/>
          <w:szCs w:val="24"/>
        </w:rPr>
        <w:t xml:space="preserve">was </w:t>
      </w:r>
      <w:r w:rsidRPr="002866BE">
        <w:rPr>
          <w:rFonts w:ascii="Cambria" w:hAnsi="Cambria"/>
          <w:bCs/>
          <w:sz w:val="24"/>
          <w:szCs w:val="24"/>
        </w:rPr>
        <w:t>to reduce wait times for evaluation and diagnosis of ASD</w:t>
      </w:r>
      <w:r w:rsidRPr="002866BE">
        <w:rPr>
          <w:rFonts w:ascii="Cambria" w:hAnsi="Cambria"/>
          <w:b/>
          <w:bCs/>
          <w:sz w:val="24"/>
          <w:szCs w:val="24"/>
        </w:rPr>
        <w:t xml:space="preserve">. </w:t>
      </w:r>
      <w:r w:rsidRPr="002866BE">
        <w:rPr>
          <w:rFonts w:ascii="Cambria" w:hAnsi="Cambria"/>
          <w:i/>
          <w:sz w:val="24"/>
          <w:szCs w:val="24"/>
        </w:rPr>
        <w:t>This work is on-going.</w:t>
      </w:r>
    </w:p>
    <w:p w14:paraId="4FFE91E9" w14:textId="77777777" w:rsidR="00AF54F0" w:rsidRPr="00AF54F0" w:rsidRDefault="00AF54F0" w:rsidP="00AF54F0">
      <w:pPr>
        <w:pStyle w:val="ListParagraph"/>
        <w:rPr>
          <w:rFonts w:ascii="Cambria" w:hAnsi="Cambria"/>
          <w:i/>
          <w:sz w:val="24"/>
          <w:szCs w:val="24"/>
        </w:rPr>
      </w:pPr>
    </w:p>
    <w:p w14:paraId="5A1E1AFF" w14:textId="3C7B6AFC" w:rsidR="00AF54F0" w:rsidRPr="00AF54F0" w:rsidRDefault="00AF54F0" w:rsidP="00AF54F0">
      <w:pPr>
        <w:rPr>
          <w:rFonts w:ascii="Cambria" w:hAnsi="Cambria"/>
          <w:b/>
          <w:bCs/>
          <w:i/>
          <w:sz w:val="24"/>
          <w:szCs w:val="24"/>
          <w:u w:val="single"/>
        </w:rPr>
      </w:pPr>
      <w:r w:rsidRPr="00AF54F0">
        <w:rPr>
          <w:rFonts w:ascii="Cambria" w:hAnsi="Cambria"/>
          <w:b/>
          <w:bCs/>
          <w:i/>
          <w:sz w:val="24"/>
          <w:szCs w:val="24"/>
          <w:u w:val="single"/>
        </w:rPr>
        <w:t>Adult Subcommittee</w:t>
      </w:r>
    </w:p>
    <w:p w14:paraId="09CE2EB2" w14:textId="77777777" w:rsidR="00AF54F0" w:rsidRPr="0011118C" w:rsidRDefault="00AF54F0" w:rsidP="00AF54F0">
      <w:pPr>
        <w:pStyle w:val="Normal1"/>
        <w:numPr>
          <w:ilvl w:val="0"/>
          <w:numId w:val="12"/>
        </w:numPr>
        <w:spacing w:after="0"/>
        <w:rPr>
          <w:rFonts w:asciiTheme="majorHAnsi" w:eastAsia="Lustria" w:hAnsiTheme="majorHAnsi" w:cs="Lustria"/>
          <w:sz w:val="24"/>
          <w:szCs w:val="24"/>
        </w:rPr>
      </w:pPr>
      <w:r w:rsidRPr="0011118C">
        <w:rPr>
          <w:rFonts w:asciiTheme="majorHAnsi" w:eastAsia="Lustria" w:hAnsiTheme="majorHAnsi" w:cs="Lustria"/>
          <w:sz w:val="24"/>
          <w:szCs w:val="24"/>
        </w:rPr>
        <w:t>Continue to examine technological innovations to serve autistic adults receiving MassHealth and DDS services.  Brainstorm pilots and activities, including discussions of stories from the community about uses of new technologies (here and in other states).  Consider apps, use of robots, remote monitoring, and other technological advancements to enhance services, particularly in the context of work force crisis, the need to support aging caregivers in families, and development of independence.  Review lessons from delivery of services during the pandemic should be discussed.</w:t>
      </w:r>
    </w:p>
    <w:p w14:paraId="45E21D7C" w14:textId="77777777" w:rsidR="00AF54F0" w:rsidRPr="0011118C" w:rsidRDefault="00AF54F0" w:rsidP="00AF54F0">
      <w:pPr>
        <w:pStyle w:val="Normal1"/>
        <w:spacing w:after="0"/>
        <w:ind w:left="270"/>
        <w:rPr>
          <w:rFonts w:asciiTheme="majorHAnsi" w:eastAsia="Lustria" w:hAnsiTheme="majorHAnsi" w:cs="Lustria"/>
          <w:sz w:val="24"/>
          <w:szCs w:val="24"/>
        </w:rPr>
      </w:pPr>
    </w:p>
    <w:p w14:paraId="0E91E814" w14:textId="77777777" w:rsidR="00AF54F0" w:rsidRPr="0011118C" w:rsidRDefault="00AF54F0" w:rsidP="00AF54F0">
      <w:pPr>
        <w:pStyle w:val="Normal1"/>
        <w:numPr>
          <w:ilvl w:val="0"/>
          <w:numId w:val="12"/>
        </w:numPr>
        <w:spacing w:after="0"/>
        <w:rPr>
          <w:rFonts w:asciiTheme="majorHAnsi" w:eastAsia="Lustria" w:hAnsiTheme="majorHAnsi" w:cs="Lustria"/>
          <w:sz w:val="24"/>
          <w:szCs w:val="24"/>
        </w:rPr>
      </w:pPr>
      <w:r w:rsidRPr="0011118C">
        <w:rPr>
          <w:rFonts w:asciiTheme="majorHAnsi" w:eastAsia="Lustria" w:hAnsiTheme="majorHAnsi" w:cs="Lustria"/>
          <w:sz w:val="24"/>
          <w:szCs w:val="24"/>
        </w:rPr>
        <w:t>Discussion of how well the Individual Service Plan (ISP) process currently works for individuals served by DDS who are “autism only.”   In particular, consider how some of the assessments, visioning statement and goal setting parts of the ISP process might require adjustment to better serve this population, and what appropriate time frames/cycles and levels of engagement of individuals and service coordinators might be. Discuss the results of the DDS North East Region pilot program for ISP process for this population (planned to end on 6/30/21) and approaches and experiences that other DDS regions are developing and testing.</w:t>
      </w:r>
    </w:p>
    <w:p w14:paraId="0E810C6E" w14:textId="77777777" w:rsidR="00AF54F0" w:rsidRPr="0011118C" w:rsidRDefault="00AF54F0" w:rsidP="00AF54F0">
      <w:pPr>
        <w:pStyle w:val="Normal1"/>
        <w:spacing w:after="0"/>
        <w:rPr>
          <w:rFonts w:asciiTheme="majorHAnsi" w:eastAsia="Lustria" w:hAnsiTheme="majorHAnsi" w:cs="Lustria"/>
          <w:sz w:val="24"/>
          <w:szCs w:val="24"/>
        </w:rPr>
      </w:pPr>
    </w:p>
    <w:p w14:paraId="07C67E2E" w14:textId="77777777" w:rsidR="00AF54F0" w:rsidRPr="0011118C" w:rsidRDefault="00AF54F0" w:rsidP="00AF54F0">
      <w:pPr>
        <w:pStyle w:val="ListParagraph"/>
        <w:numPr>
          <w:ilvl w:val="0"/>
          <w:numId w:val="12"/>
        </w:numPr>
        <w:spacing w:before="240" w:line="240" w:lineRule="auto"/>
        <w:rPr>
          <w:rFonts w:asciiTheme="majorHAnsi" w:eastAsia="Times New Roman" w:hAnsiTheme="majorHAnsi"/>
          <w:sz w:val="24"/>
          <w:szCs w:val="24"/>
        </w:rPr>
      </w:pPr>
      <w:r w:rsidRPr="0011118C">
        <w:rPr>
          <w:rFonts w:asciiTheme="majorHAnsi" w:eastAsia="Lustria" w:hAnsiTheme="majorHAnsi" w:cs="Lustria"/>
          <w:sz w:val="24"/>
          <w:szCs w:val="24"/>
        </w:rPr>
        <w:t xml:space="preserve">Discuss status of DDS coaching services RFR, including </w:t>
      </w:r>
      <w:r w:rsidRPr="0011118C">
        <w:rPr>
          <w:rFonts w:asciiTheme="majorHAnsi" w:eastAsia="Times New Roman" w:hAnsiTheme="majorHAnsi"/>
          <w:sz w:val="24"/>
          <w:szCs w:val="24"/>
          <w:shd w:val="clear" w:color="auto" w:fill="FFFFFF"/>
        </w:rPr>
        <w:t>updates about the selection of providers and suggested data collection efforts about what may be meaningful to measure. R</w:t>
      </w:r>
      <w:r w:rsidRPr="0011118C">
        <w:rPr>
          <w:rFonts w:asciiTheme="majorHAnsi" w:eastAsia="Lustria" w:hAnsiTheme="majorHAnsi" w:cs="Lustria"/>
          <w:sz w:val="24"/>
          <w:szCs w:val="24"/>
        </w:rPr>
        <w:t>evisit the discussion of what was learned from 2019 pilot for self-isolating autistic young adults living with their families.</w:t>
      </w:r>
    </w:p>
    <w:p w14:paraId="64E35040" w14:textId="77777777" w:rsidR="00AF54F0" w:rsidRPr="0011118C" w:rsidRDefault="00AF54F0" w:rsidP="00AF54F0">
      <w:pPr>
        <w:pStyle w:val="Normal1"/>
        <w:numPr>
          <w:ilvl w:val="0"/>
          <w:numId w:val="12"/>
        </w:numPr>
        <w:spacing w:after="0"/>
        <w:rPr>
          <w:rFonts w:asciiTheme="majorHAnsi" w:eastAsia="Lustria" w:hAnsiTheme="majorHAnsi" w:cs="Lustria"/>
          <w:sz w:val="24"/>
          <w:szCs w:val="24"/>
        </w:rPr>
      </w:pPr>
      <w:r w:rsidRPr="0011118C">
        <w:rPr>
          <w:rFonts w:asciiTheme="majorHAnsi" w:eastAsia="Lustria" w:hAnsiTheme="majorHAnsi" w:cs="Lustria"/>
          <w:sz w:val="24"/>
          <w:szCs w:val="24"/>
        </w:rPr>
        <w:t>Present what was learned from the DDS/DMH RFI concerning supports for autistic adults with mental health needs, including a discussion of case management needs and intensive wraparound services and other clinical support needs. Focus discussion on coping and resiliency strategies to prepare for social changes out of individual control (e.g., Pandemic). Review and discuss programmatic supports that can be put in place to maintain social-emotional learning whether virtual or in person.  Include discussion of anxiety and depression issues exacerbated by the COVID-19 pandemic or other isolating societal events.</w:t>
      </w:r>
    </w:p>
    <w:p w14:paraId="7F8A8129" w14:textId="77777777" w:rsidR="00AF54F0" w:rsidRPr="0011118C" w:rsidRDefault="00AF54F0" w:rsidP="00AF54F0">
      <w:pPr>
        <w:pStyle w:val="Normal1"/>
        <w:spacing w:after="0"/>
        <w:ind w:left="630"/>
        <w:rPr>
          <w:rFonts w:asciiTheme="majorHAnsi" w:eastAsia="Lustria" w:hAnsiTheme="majorHAnsi" w:cs="Lustria"/>
          <w:sz w:val="24"/>
          <w:szCs w:val="24"/>
        </w:rPr>
      </w:pPr>
    </w:p>
    <w:p w14:paraId="7F8A00E5" w14:textId="77777777" w:rsidR="00AF54F0" w:rsidRPr="0011118C" w:rsidRDefault="00AF54F0" w:rsidP="00AF54F0">
      <w:pPr>
        <w:pStyle w:val="Normal1"/>
        <w:numPr>
          <w:ilvl w:val="0"/>
          <w:numId w:val="12"/>
        </w:numPr>
        <w:spacing w:after="0"/>
        <w:rPr>
          <w:rFonts w:asciiTheme="majorHAnsi" w:eastAsia="Lustria" w:hAnsiTheme="majorHAnsi" w:cs="Lustria"/>
          <w:sz w:val="24"/>
          <w:szCs w:val="24"/>
        </w:rPr>
      </w:pPr>
      <w:r w:rsidRPr="0011118C">
        <w:rPr>
          <w:rFonts w:asciiTheme="majorHAnsi" w:eastAsia="Lustria" w:hAnsiTheme="majorHAnsi" w:cs="Lustria"/>
          <w:sz w:val="24"/>
          <w:szCs w:val="24"/>
        </w:rPr>
        <w:t>Revisit the Information Card Initiative developed by DDS for better communication with the healthcare delivery system especially when presenting to the ED or in crisis. There will be a presentation of follow-up information about the implementation and use of these cards/forms in hospital emergency departments, an initiative developed by this subcommittee in prior years. This will serve as reminder for using these Information Cards.</w:t>
      </w:r>
    </w:p>
    <w:p w14:paraId="1BBB3C85" w14:textId="75434623" w:rsidR="008715A8" w:rsidRDefault="008715A8" w:rsidP="008715A8">
      <w:pPr>
        <w:ind w:left="360"/>
        <w:rPr>
          <w:rFonts w:ascii="Cambria" w:hAnsi="Cambria" w:cs="Arial"/>
          <w:b/>
          <w:sz w:val="24"/>
          <w:szCs w:val="24"/>
          <w:u w:val="single"/>
        </w:rPr>
      </w:pPr>
    </w:p>
    <w:p w14:paraId="30E6976A" w14:textId="77777777" w:rsidR="00132DE6" w:rsidRPr="002866BE" w:rsidRDefault="00132DE6" w:rsidP="008715A8">
      <w:pPr>
        <w:ind w:left="360"/>
        <w:rPr>
          <w:rFonts w:ascii="Cambria" w:hAnsi="Cambria" w:cs="Arial"/>
          <w:b/>
          <w:sz w:val="24"/>
          <w:szCs w:val="24"/>
          <w:u w:val="single"/>
        </w:rPr>
      </w:pPr>
    </w:p>
    <w:p w14:paraId="15D1D88C" w14:textId="001EE72B" w:rsidR="008715A8" w:rsidRPr="00132DE6" w:rsidRDefault="008715A8" w:rsidP="00132DE6">
      <w:pPr>
        <w:ind w:left="360"/>
        <w:rPr>
          <w:rFonts w:ascii="Cambria" w:hAnsi="Cambria" w:cs="Arial"/>
          <w:b/>
          <w:sz w:val="24"/>
          <w:szCs w:val="24"/>
          <w:u w:val="single"/>
        </w:rPr>
      </w:pPr>
      <w:r w:rsidRPr="002866BE">
        <w:rPr>
          <w:rFonts w:ascii="Cambria" w:hAnsi="Cambria" w:cs="Arial"/>
          <w:b/>
          <w:sz w:val="24"/>
          <w:szCs w:val="24"/>
          <w:u w:val="single"/>
        </w:rPr>
        <w:lastRenderedPageBreak/>
        <w:t>New Recommendations</w:t>
      </w:r>
    </w:p>
    <w:p w14:paraId="07B3502E" w14:textId="77777777" w:rsidR="00132DE6" w:rsidRDefault="00132DE6" w:rsidP="00132DE6">
      <w:pPr>
        <w:pStyle w:val="NormalWeb"/>
        <w:numPr>
          <w:ilvl w:val="0"/>
          <w:numId w:val="15"/>
        </w:numPr>
        <w:rPr>
          <w:rFonts w:ascii="Cambria" w:hAnsi="Cambria"/>
          <w:b/>
          <w:color w:val="000000"/>
        </w:rPr>
      </w:pPr>
      <w:r w:rsidRPr="002866BE">
        <w:rPr>
          <w:rFonts w:ascii="Cambria" w:hAnsi="Cambria"/>
          <w:b/>
          <w:color w:val="000000"/>
        </w:rPr>
        <w:t>Covid Impact and Recovery Issues</w:t>
      </w:r>
    </w:p>
    <w:p w14:paraId="05179888" w14:textId="77777777" w:rsidR="00132DE6" w:rsidRPr="002866BE" w:rsidRDefault="00132DE6" w:rsidP="00132DE6">
      <w:pPr>
        <w:pStyle w:val="NormalWeb"/>
        <w:ind w:left="810"/>
        <w:rPr>
          <w:rFonts w:ascii="Cambria" w:hAnsi="Cambria"/>
          <w:b/>
          <w:i/>
          <w:iCs/>
          <w:color w:val="000000"/>
        </w:rPr>
      </w:pPr>
      <w:r w:rsidRPr="002866BE">
        <w:rPr>
          <w:rFonts w:ascii="Cambria" w:hAnsi="Cambria"/>
          <w:bCs/>
          <w:color w:val="000000"/>
        </w:rPr>
        <w:t>The Autism Commission</w:t>
      </w:r>
      <w:r>
        <w:rPr>
          <w:rFonts w:ascii="Cambria" w:hAnsi="Cambria"/>
          <w:bCs/>
          <w:color w:val="000000"/>
        </w:rPr>
        <w:t xml:space="preserve"> through its subcommittees examine the service delivery impacts of Covid-19 and recovery efforts needed, to maintain services that were beneficial to individuals with ASD and their families (i.e., Telehealth, remote ABA services, family engagement), and to address adverse impacts to services (i.e., increased behavioral needs and hospitalizations, resource issues for PPE, internet access and remote challenges, need for adjustment to services to address regression and loss of skills), </w:t>
      </w:r>
      <w:r w:rsidRPr="00132DE6">
        <w:rPr>
          <w:rFonts w:ascii="Cambria" w:hAnsi="Cambria"/>
          <w:bCs/>
          <w:color w:val="000000"/>
        </w:rPr>
        <w:t>including inequitable impacts related to race, ethnicity, or primary language across age groups.</w:t>
      </w:r>
      <w:r>
        <w:rPr>
          <w:rFonts w:ascii="Cambria" w:hAnsi="Cambria"/>
          <w:bCs/>
          <w:color w:val="000000"/>
        </w:rPr>
        <w:t xml:space="preserve"> </w:t>
      </w:r>
    </w:p>
    <w:p w14:paraId="0A384055" w14:textId="77777777" w:rsidR="00132DE6" w:rsidRDefault="00132DE6" w:rsidP="00132DE6">
      <w:pPr>
        <w:pStyle w:val="ListParagraph"/>
        <w:spacing w:after="0" w:line="240" w:lineRule="auto"/>
        <w:ind w:left="810"/>
        <w:rPr>
          <w:rFonts w:ascii="Cambria" w:hAnsi="Cambria"/>
          <w:b/>
          <w:bCs/>
          <w:sz w:val="24"/>
          <w:szCs w:val="24"/>
        </w:rPr>
      </w:pPr>
    </w:p>
    <w:p w14:paraId="2E6D2D14" w14:textId="1E039357" w:rsidR="008715A8" w:rsidRPr="002866BE" w:rsidRDefault="008715A8" w:rsidP="008715A8">
      <w:pPr>
        <w:pStyle w:val="ListParagraph"/>
        <w:numPr>
          <w:ilvl w:val="0"/>
          <w:numId w:val="15"/>
        </w:numPr>
        <w:spacing w:after="0" w:line="240" w:lineRule="auto"/>
        <w:rPr>
          <w:rFonts w:ascii="Cambria" w:hAnsi="Cambria"/>
          <w:b/>
          <w:bCs/>
          <w:sz w:val="24"/>
          <w:szCs w:val="24"/>
        </w:rPr>
      </w:pPr>
      <w:r w:rsidRPr="002866BE">
        <w:rPr>
          <w:rFonts w:ascii="Cambria" w:hAnsi="Cambria"/>
          <w:b/>
          <w:bCs/>
          <w:sz w:val="24"/>
          <w:szCs w:val="24"/>
        </w:rPr>
        <w:t>Access to Augmentative/Alternative Communication Devices for Children with ASD</w:t>
      </w:r>
    </w:p>
    <w:p w14:paraId="2D673747" w14:textId="77777777" w:rsidR="008715A8" w:rsidRPr="002866BE" w:rsidRDefault="008715A8" w:rsidP="00221A3D">
      <w:pPr>
        <w:pStyle w:val="NoSpacing"/>
        <w:ind w:left="810"/>
        <w:rPr>
          <w:rFonts w:ascii="Cambria" w:hAnsi="Cambria"/>
          <w:i/>
          <w:iCs/>
          <w:sz w:val="24"/>
          <w:szCs w:val="24"/>
        </w:rPr>
      </w:pPr>
      <w:r w:rsidRPr="002866BE">
        <w:rPr>
          <w:rFonts w:ascii="Cambria" w:hAnsi="Cambria"/>
          <w:sz w:val="24"/>
          <w:szCs w:val="24"/>
        </w:rPr>
        <w:t xml:space="preserve">That the Autism Commission request MassHealth to provide data about children who have received dedicated and non-dedicated AAC devices, broken down by race and language spoken in the home.  </w:t>
      </w:r>
      <w:r w:rsidRPr="002866BE">
        <w:rPr>
          <w:rFonts w:ascii="Cambria" w:hAnsi="Cambria"/>
          <w:i/>
          <w:iCs/>
          <w:sz w:val="24"/>
          <w:szCs w:val="24"/>
        </w:rPr>
        <w:t>This work is ongoing.</w:t>
      </w:r>
    </w:p>
    <w:p w14:paraId="6BC05E8E" w14:textId="77777777" w:rsidR="008715A8" w:rsidRPr="002866BE" w:rsidRDefault="008715A8" w:rsidP="008715A8">
      <w:pPr>
        <w:pStyle w:val="ListParagraph"/>
        <w:rPr>
          <w:rFonts w:ascii="Cambria" w:hAnsi="Cambria"/>
          <w:sz w:val="24"/>
          <w:szCs w:val="24"/>
        </w:rPr>
      </w:pPr>
    </w:p>
    <w:p w14:paraId="4DF85D87" w14:textId="77777777" w:rsidR="008715A8" w:rsidRPr="002866BE" w:rsidRDefault="008715A8" w:rsidP="008715A8">
      <w:pPr>
        <w:pStyle w:val="ListParagraph"/>
        <w:numPr>
          <w:ilvl w:val="0"/>
          <w:numId w:val="15"/>
        </w:numPr>
        <w:rPr>
          <w:rFonts w:ascii="Cambria" w:hAnsi="Cambria"/>
          <w:sz w:val="24"/>
          <w:szCs w:val="24"/>
        </w:rPr>
      </w:pPr>
      <w:r w:rsidRPr="002866BE">
        <w:rPr>
          <w:rFonts w:ascii="Cambria" w:hAnsi="Cambria"/>
          <w:b/>
          <w:bCs/>
          <w:sz w:val="24"/>
          <w:szCs w:val="24"/>
        </w:rPr>
        <w:t>Inclusion for Students with ASD</w:t>
      </w:r>
    </w:p>
    <w:p w14:paraId="4C28EC45" w14:textId="77777777" w:rsidR="008715A8" w:rsidRPr="002866BE" w:rsidRDefault="008715A8" w:rsidP="00134B73">
      <w:pPr>
        <w:pStyle w:val="NoSpacing"/>
        <w:ind w:left="810"/>
        <w:rPr>
          <w:rFonts w:ascii="Cambria" w:hAnsi="Cambria"/>
          <w:i/>
          <w:iCs/>
          <w:sz w:val="24"/>
          <w:szCs w:val="24"/>
        </w:rPr>
      </w:pPr>
      <w:r w:rsidRPr="002866BE">
        <w:rPr>
          <w:rFonts w:ascii="Cambria" w:hAnsi="Cambria"/>
          <w:sz w:val="24"/>
          <w:szCs w:val="24"/>
        </w:rPr>
        <w:t xml:space="preserve">That the Autism Commission request that DESE provide data broken down by race, language spoken in the home and level of inclusion (full/partial/substantially separate) for students with ASD. </w:t>
      </w:r>
      <w:r w:rsidRPr="002866BE">
        <w:rPr>
          <w:rFonts w:ascii="Cambria" w:hAnsi="Cambria"/>
          <w:i/>
          <w:iCs/>
          <w:sz w:val="24"/>
          <w:szCs w:val="24"/>
        </w:rPr>
        <w:t>This work is ongoing.</w:t>
      </w:r>
    </w:p>
    <w:p w14:paraId="58FCDFF1" w14:textId="77777777" w:rsidR="008715A8" w:rsidRPr="002866BE" w:rsidRDefault="008715A8" w:rsidP="00134B73">
      <w:pPr>
        <w:ind w:left="810"/>
        <w:rPr>
          <w:rFonts w:ascii="Cambria" w:hAnsi="Cambria"/>
          <w:sz w:val="24"/>
          <w:szCs w:val="24"/>
        </w:rPr>
      </w:pPr>
    </w:p>
    <w:p w14:paraId="78280853" w14:textId="77777777" w:rsidR="008715A8" w:rsidRPr="002866BE" w:rsidRDefault="008715A8" w:rsidP="008715A8">
      <w:pPr>
        <w:pStyle w:val="ListParagraph"/>
        <w:numPr>
          <w:ilvl w:val="0"/>
          <w:numId w:val="15"/>
        </w:numPr>
        <w:spacing w:after="0" w:line="240" w:lineRule="auto"/>
        <w:rPr>
          <w:rFonts w:ascii="Cambria" w:hAnsi="Cambria"/>
          <w:b/>
          <w:bCs/>
          <w:sz w:val="24"/>
          <w:szCs w:val="24"/>
        </w:rPr>
      </w:pPr>
      <w:r w:rsidRPr="002866BE">
        <w:rPr>
          <w:rFonts w:ascii="Cambria" w:hAnsi="Cambria"/>
          <w:b/>
          <w:bCs/>
          <w:sz w:val="24"/>
          <w:szCs w:val="24"/>
        </w:rPr>
        <w:t>Children with ASD in DCF Care</w:t>
      </w:r>
    </w:p>
    <w:p w14:paraId="32D447F2" w14:textId="77777777" w:rsidR="008715A8" w:rsidRPr="002866BE" w:rsidRDefault="008715A8" w:rsidP="00134B73">
      <w:pPr>
        <w:pStyle w:val="ListParagraph"/>
        <w:ind w:left="810"/>
        <w:rPr>
          <w:rFonts w:ascii="Cambria" w:hAnsi="Cambria"/>
          <w:i/>
          <w:iCs/>
          <w:sz w:val="24"/>
          <w:szCs w:val="24"/>
        </w:rPr>
      </w:pPr>
      <w:r w:rsidRPr="002866BE">
        <w:rPr>
          <w:rFonts w:ascii="Cambria" w:hAnsi="Cambria"/>
          <w:sz w:val="24"/>
          <w:szCs w:val="24"/>
        </w:rPr>
        <w:t xml:space="preserve">That the Autism Commission request that DDS and DCF work to develop trainings for DCF staff about ASD.  </w:t>
      </w:r>
      <w:r w:rsidRPr="002866BE">
        <w:rPr>
          <w:rFonts w:ascii="Cambria" w:hAnsi="Cambria"/>
          <w:i/>
          <w:iCs/>
          <w:sz w:val="24"/>
          <w:szCs w:val="24"/>
        </w:rPr>
        <w:t>The subcommittee has invited DCF to participate in its subcommittee meetings to discuss the individuals with ASD in involved with DCF or in DCF custody.</w:t>
      </w:r>
    </w:p>
    <w:p w14:paraId="14D8E90E" w14:textId="77777777" w:rsidR="008715A8" w:rsidRPr="002866BE" w:rsidRDefault="008715A8" w:rsidP="008715A8">
      <w:pPr>
        <w:pStyle w:val="ListParagraph"/>
        <w:rPr>
          <w:rFonts w:ascii="Cambria" w:hAnsi="Cambria"/>
          <w:sz w:val="24"/>
          <w:szCs w:val="24"/>
        </w:rPr>
      </w:pPr>
    </w:p>
    <w:p w14:paraId="60718544" w14:textId="77777777" w:rsidR="008715A8" w:rsidRPr="002866BE" w:rsidRDefault="008715A8" w:rsidP="008715A8">
      <w:pPr>
        <w:pStyle w:val="ListParagraph"/>
        <w:numPr>
          <w:ilvl w:val="0"/>
          <w:numId w:val="15"/>
        </w:numPr>
        <w:spacing w:after="0" w:line="240" w:lineRule="auto"/>
        <w:rPr>
          <w:rFonts w:ascii="Cambria" w:hAnsi="Cambria"/>
          <w:b/>
          <w:sz w:val="24"/>
          <w:szCs w:val="24"/>
        </w:rPr>
      </w:pPr>
      <w:r w:rsidRPr="002866BE">
        <w:rPr>
          <w:rFonts w:ascii="Cambria" w:hAnsi="Cambria"/>
          <w:b/>
          <w:sz w:val="24"/>
          <w:szCs w:val="24"/>
        </w:rPr>
        <w:t>Age of diagnosis data</w:t>
      </w:r>
    </w:p>
    <w:p w14:paraId="30AFC23B" w14:textId="13D27D02" w:rsidR="00AF54F0" w:rsidRPr="00AF54F0" w:rsidRDefault="008715A8" w:rsidP="00AF54F0">
      <w:pPr>
        <w:pStyle w:val="ListParagraph"/>
        <w:spacing w:after="0" w:line="240" w:lineRule="auto"/>
        <w:ind w:left="810"/>
        <w:rPr>
          <w:rFonts w:ascii="Cambria" w:hAnsi="Cambria"/>
          <w:i/>
          <w:iCs/>
          <w:sz w:val="24"/>
          <w:szCs w:val="24"/>
        </w:rPr>
      </w:pPr>
      <w:r w:rsidRPr="002866BE">
        <w:rPr>
          <w:rFonts w:ascii="Cambria" w:hAnsi="Cambria"/>
          <w:sz w:val="24"/>
          <w:szCs w:val="24"/>
        </w:rPr>
        <w:t xml:space="preserve">The Autism Commission develop solutions so that data can be collected and reported on regarding the age of diagnosis of ASD broken down by race and primary language.  </w:t>
      </w:r>
      <w:r w:rsidRPr="002866BE">
        <w:rPr>
          <w:rFonts w:ascii="Cambria" w:hAnsi="Cambria"/>
          <w:i/>
          <w:iCs/>
          <w:sz w:val="24"/>
          <w:szCs w:val="24"/>
        </w:rPr>
        <w:t>This work is ongoing.</w:t>
      </w:r>
    </w:p>
    <w:p w14:paraId="64808DB6" w14:textId="77777777" w:rsidR="00AF54F0" w:rsidRPr="002866BE" w:rsidRDefault="00AF54F0" w:rsidP="008715A8">
      <w:pPr>
        <w:pStyle w:val="ListParagraph"/>
        <w:spacing w:after="0" w:line="240" w:lineRule="auto"/>
        <w:rPr>
          <w:rFonts w:ascii="Cambria" w:hAnsi="Cambria"/>
          <w:i/>
          <w:iCs/>
          <w:sz w:val="24"/>
          <w:szCs w:val="24"/>
        </w:rPr>
      </w:pPr>
    </w:p>
    <w:p w14:paraId="16B693B7" w14:textId="77777777" w:rsidR="008715A8" w:rsidRPr="002866BE" w:rsidRDefault="008715A8" w:rsidP="008715A8">
      <w:pPr>
        <w:pStyle w:val="NormalWeb"/>
        <w:numPr>
          <w:ilvl w:val="0"/>
          <w:numId w:val="15"/>
        </w:numPr>
        <w:rPr>
          <w:rFonts w:ascii="Cambria" w:hAnsi="Cambria"/>
          <w:b/>
          <w:i/>
          <w:iCs/>
          <w:color w:val="000000"/>
        </w:rPr>
      </w:pPr>
      <w:r w:rsidRPr="002866BE">
        <w:rPr>
          <w:rFonts w:ascii="Cambria" w:hAnsi="Cambria"/>
          <w:b/>
          <w:iCs/>
          <w:color w:val="000000"/>
        </w:rPr>
        <w:t xml:space="preserve">ASD students receiving extended school day services.  </w:t>
      </w:r>
    </w:p>
    <w:p w14:paraId="754D87ED" w14:textId="77777777" w:rsidR="008715A8" w:rsidRPr="002866BE" w:rsidRDefault="008715A8" w:rsidP="008715A8">
      <w:pPr>
        <w:pStyle w:val="NormalWeb"/>
        <w:ind w:left="810"/>
        <w:rPr>
          <w:rFonts w:ascii="Cambria" w:hAnsi="Cambria"/>
          <w:i/>
          <w:iCs/>
          <w:color w:val="000000"/>
        </w:rPr>
      </w:pPr>
      <w:r w:rsidRPr="002866BE">
        <w:rPr>
          <w:rFonts w:ascii="Cambria" w:hAnsi="Cambria"/>
          <w:iCs/>
          <w:color w:val="000000"/>
        </w:rPr>
        <w:t>The 14-22/Employment Subcommittee will review any available data on extended school day services for individuals with ASD, access to after-school programs by individuals with ASD, and the number of school aged individuals with ASD accessing other out of school time services (DDS/DESE program).  </w:t>
      </w:r>
      <w:r w:rsidRPr="002866BE">
        <w:rPr>
          <w:rFonts w:ascii="Cambria" w:hAnsi="Cambria"/>
          <w:i/>
          <w:iCs/>
          <w:color w:val="000000"/>
        </w:rPr>
        <w:br/>
      </w:r>
      <w:r w:rsidRPr="002866BE">
        <w:rPr>
          <w:rFonts w:ascii="Cambria" w:hAnsi="Cambria"/>
          <w:i/>
          <w:iCs/>
          <w:color w:val="000000"/>
        </w:rPr>
        <w:lastRenderedPageBreak/>
        <w:br/>
        <w:t xml:space="preserve">The subcommittee will consider whether recommendations should be made regarding the potential role of extended day opportunities after-school and on the weekends in providing options in lieu of residential placements when appropriate and in preparing transition-age youth diagnosed with ASD for life in the workplace and community after their school eligibility ends at 22. The 14-22/Employment Subcommittee will evaluate ways to provide information to parents, self-advocates, and school districts related to the rights to extended day </w:t>
      </w:r>
      <w:r w:rsidRPr="00AF54F0">
        <w:rPr>
          <w:rFonts w:ascii="Cambria" w:hAnsi="Cambria"/>
          <w:color w:val="000000"/>
        </w:rPr>
        <w:t>programming</w:t>
      </w:r>
      <w:r w:rsidRPr="002866BE">
        <w:rPr>
          <w:rFonts w:ascii="Cambria" w:hAnsi="Cambria"/>
          <w:i/>
          <w:iCs/>
          <w:color w:val="000000"/>
        </w:rPr>
        <w:t>.</w:t>
      </w:r>
    </w:p>
    <w:p w14:paraId="3A6494FF" w14:textId="77777777" w:rsidR="008715A8" w:rsidRPr="002866BE" w:rsidRDefault="008715A8" w:rsidP="008715A8">
      <w:pPr>
        <w:pStyle w:val="NormalWeb"/>
        <w:numPr>
          <w:ilvl w:val="0"/>
          <w:numId w:val="15"/>
        </w:numPr>
        <w:rPr>
          <w:rFonts w:ascii="Cambria" w:hAnsi="Cambria"/>
          <w:b/>
          <w:iCs/>
          <w:color w:val="000000"/>
        </w:rPr>
      </w:pPr>
      <w:r w:rsidRPr="002866BE">
        <w:rPr>
          <w:rFonts w:ascii="Cambria" w:hAnsi="Cambria"/>
          <w:b/>
          <w:iCs/>
          <w:color w:val="000000"/>
        </w:rPr>
        <w:t>Licensure and Oversight of ABA Center-Based Programs</w:t>
      </w:r>
    </w:p>
    <w:p w14:paraId="3FB4C4E4" w14:textId="32C97282" w:rsidR="008715A8" w:rsidRDefault="008715A8" w:rsidP="008715A8">
      <w:pPr>
        <w:pStyle w:val="NormalWeb"/>
        <w:ind w:left="810"/>
        <w:rPr>
          <w:rFonts w:ascii="Cambria" w:hAnsi="Cambria"/>
          <w:color w:val="000000"/>
        </w:rPr>
      </w:pPr>
      <w:r w:rsidRPr="002866BE">
        <w:rPr>
          <w:rFonts w:ascii="Cambria" w:hAnsi="Cambria"/>
          <w:color w:val="000000"/>
        </w:rPr>
        <w:t xml:space="preserve">The Autism Commission recommends, for programs that are not otherwise already licensed by the state, that the state implement health and safety oversight, including possible licensure requirements and/or regulations, for ABA Center-Based programs operating in the Commonwealth. </w:t>
      </w:r>
    </w:p>
    <w:p w14:paraId="753AB493" w14:textId="5237036D" w:rsidR="00AF54F0" w:rsidRPr="00AF54F0" w:rsidRDefault="00AF54F0" w:rsidP="008715A8">
      <w:pPr>
        <w:pStyle w:val="NormalWeb"/>
        <w:ind w:left="810"/>
        <w:rPr>
          <w:rFonts w:ascii="Cambria" w:hAnsi="Cambria"/>
          <w:i/>
          <w:iCs/>
          <w:color w:val="000000"/>
        </w:rPr>
      </w:pPr>
      <w:r w:rsidRPr="00663751">
        <w:rPr>
          <w:rFonts w:ascii="Cambria" w:hAnsi="Cambria"/>
          <w:i/>
          <w:iCs/>
          <w:color w:val="000000"/>
        </w:rPr>
        <w:t>The Autism Commission sent out a survey to known ABA service providers on December 10, 2020, regarding ABA center-based programs to inform this work.</w:t>
      </w:r>
    </w:p>
    <w:p w14:paraId="14F238E5" w14:textId="77777777" w:rsidR="008715A8" w:rsidRPr="002866BE" w:rsidRDefault="008715A8" w:rsidP="008715A8">
      <w:pPr>
        <w:rPr>
          <w:rFonts w:ascii="Cambria" w:hAnsi="Cambria"/>
          <w:sz w:val="24"/>
          <w:szCs w:val="24"/>
        </w:rPr>
      </w:pPr>
    </w:p>
    <w:bookmarkEnd w:id="6"/>
    <w:p w14:paraId="2B7D6968" w14:textId="77777777" w:rsidR="008715A8" w:rsidRPr="002866BE" w:rsidRDefault="008715A8" w:rsidP="008715A8">
      <w:pPr>
        <w:rPr>
          <w:rFonts w:ascii="Cambria" w:hAnsi="Cambria"/>
          <w:sz w:val="24"/>
          <w:szCs w:val="24"/>
        </w:rPr>
      </w:pPr>
    </w:p>
    <w:sectPr w:rsidR="008715A8" w:rsidRPr="002866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B3C68" w14:textId="77777777" w:rsidR="0063101A" w:rsidRDefault="0063101A" w:rsidP="00D85F76">
      <w:pPr>
        <w:spacing w:after="0" w:line="240" w:lineRule="auto"/>
      </w:pPr>
      <w:r>
        <w:separator/>
      </w:r>
    </w:p>
  </w:endnote>
  <w:endnote w:type="continuationSeparator" w:id="0">
    <w:p w14:paraId="6BD3887A" w14:textId="77777777" w:rsidR="0063101A" w:rsidRDefault="0063101A" w:rsidP="00D8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ustri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209AA" w14:textId="77777777" w:rsidR="003C266E" w:rsidRDefault="003C2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5725191"/>
      <w:docPartObj>
        <w:docPartGallery w:val="Page Numbers (Bottom of Page)"/>
        <w:docPartUnique/>
      </w:docPartObj>
    </w:sdtPr>
    <w:sdtEndPr>
      <w:rPr>
        <w:noProof/>
      </w:rPr>
    </w:sdtEndPr>
    <w:sdtContent>
      <w:p w14:paraId="5B90C74B" w14:textId="77777777" w:rsidR="00366270" w:rsidRDefault="00287645">
        <w:pPr>
          <w:pStyle w:val="Footer"/>
          <w:jc w:val="center"/>
        </w:pPr>
        <w:r>
          <w:fldChar w:fldCharType="begin"/>
        </w:r>
        <w:r>
          <w:instrText xml:space="preserve"> PAGE   \* MERGEFORMAT </w:instrText>
        </w:r>
        <w:r>
          <w:fldChar w:fldCharType="separate"/>
        </w:r>
        <w:r w:rsidR="00134B73">
          <w:rPr>
            <w:noProof/>
          </w:rPr>
          <w:t>14</w:t>
        </w:r>
        <w:r>
          <w:rPr>
            <w:noProof/>
          </w:rPr>
          <w:fldChar w:fldCharType="end"/>
        </w:r>
      </w:p>
    </w:sdtContent>
  </w:sdt>
  <w:p w14:paraId="5C3A74E4" w14:textId="77777777" w:rsidR="00366270" w:rsidRDefault="006F1B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25058" w14:textId="77777777" w:rsidR="003C266E" w:rsidRDefault="003C2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7F666" w14:textId="77777777" w:rsidR="0063101A" w:rsidRDefault="0063101A" w:rsidP="00D85F76">
      <w:pPr>
        <w:spacing w:after="0" w:line="240" w:lineRule="auto"/>
      </w:pPr>
      <w:r>
        <w:separator/>
      </w:r>
    </w:p>
  </w:footnote>
  <w:footnote w:type="continuationSeparator" w:id="0">
    <w:p w14:paraId="29FA5748" w14:textId="77777777" w:rsidR="0063101A" w:rsidRDefault="0063101A" w:rsidP="00D85F76">
      <w:pPr>
        <w:spacing w:after="0" w:line="240" w:lineRule="auto"/>
      </w:pPr>
      <w:r>
        <w:continuationSeparator/>
      </w:r>
    </w:p>
  </w:footnote>
  <w:footnote w:id="1">
    <w:p w14:paraId="0218AC68" w14:textId="77777777" w:rsidR="00D85F76" w:rsidRDefault="00D85F76" w:rsidP="00D85F76">
      <w:pPr>
        <w:pStyle w:val="FootnoteText"/>
      </w:pPr>
      <w:r>
        <w:rPr>
          <w:rStyle w:val="FootnoteReference"/>
        </w:rPr>
        <w:footnoteRef/>
      </w:r>
      <w:r>
        <w:t xml:space="preserve"> Chapter 226 of the Acts of 2014, Section 1(c)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7422" w14:textId="2FF33396" w:rsidR="00B10037" w:rsidRDefault="00FF7936">
    <w:pPr>
      <w:pStyle w:val="Header"/>
    </w:pPr>
    <w:r>
      <w:rPr>
        <w:noProof/>
      </w:rPr>
      <mc:AlternateContent>
        <mc:Choice Requires="wps">
          <w:drawing>
            <wp:anchor distT="0" distB="0" distL="114300" distR="114300" simplePos="0" relativeHeight="251656704" behindDoc="1" locked="0" layoutInCell="0" allowOverlap="1" wp14:anchorId="185D8EEA" wp14:editId="312175A7">
              <wp:simplePos x="0" y="0"/>
              <wp:positionH relativeFrom="margin">
                <wp:align>center</wp:align>
              </wp:positionH>
              <wp:positionV relativeFrom="margin">
                <wp:align>center</wp:align>
              </wp:positionV>
              <wp:extent cx="5237480" cy="3142615"/>
              <wp:effectExtent l="0" t="1143000" r="0" b="657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D7CD7B" w14:textId="77777777" w:rsidR="00FF7936" w:rsidRDefault="00FF7936" w:rsidP="00FF7936">
                          <w:pPr>
                            <w:jc w:val="center"/>
                            <w:rPr>
                              <w:sz w:val="24"/>
                              <w:szCs w:val="24"/>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5D8EEA" id="_x0000_t202" coordsize="21600,21600" o:spt="202" path="m,l,21600r21600,l21600,xe">
              <v:stroke joinstyle="miter"/>
              <v:path gradientshapeok="t" o:connecttype="rect"/>
            </v:shapetype>
            <v:shape id="WordArt 2" o:spid="_x0000_s1026" type="#_x0000_t202" style="position:absolute;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" o:allowincell="f" filled="f" stroked="f">
              <v:stroke joinstyle="round"/>
              <o:lock v:ext="edit" shapetype="t"/>
              <v:textbox style="mso-fit-shape-to-text:t">
                <w:txbxContent>
                  <w:p w14:paraId="39D7CD7B" w14:textId="77777777" w:rsidR="00FF7936" w:rsidRDefault="00FF7936" w:rsidP="00FF7936">
                    <w:pPr>
                      <w:jc w:val="center"/>
                      <w:rPr>
                        <w:sz w:val="24"/>
                        <w:szCs w:val="24"/>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0003C" w14:textId="200ED809" w:rsidR="00B10037" w:rsidRDefault="00FF7936">
    <w:pPr>
      <w:pStyle w:val="Header"/>
    </w:pPr>
    <w:r>
      <w:rPr>
        <w:noProof/>
      </w:rPr>
      <mc:AlternateContent>
        <mc:Choice Requires="wps">
          <w:drawing>
            <wp:anchor distT="0" distB="0" distL="114300" distR="114300" simplePos="0" relativeHeight="251657728" behindDoc="1" locked="0" layoutInCell="0" allowOverlap="1" wp14:anchorId="58405384" wp14:editId="5FB16AF3">
              <wp:simplePos x="0" y="0"/>
              <wp:positionH relativeFrom="margin">
                <wp:align>center</wp:align>
              </wp:positionH>
              <wp:positionV relativeFrom="margin">
                <wp:align>center</wp:align>
              </wp:positionV>
              <wp:extent cx="5237480" cy="3142615"/>
              <wp:effectExtent l="0" t="1143000" r="0" b="65786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5A6ACE" w14:textId="77777777" w:rsidR="00FF7936" w:rsidRDefault="00FF7936" w:rsidP="00FF7936">
                          <w:pPr>
                            <w:jc w:val="center"/>
                            <w:rPr>
                              <w:sz w:val="24"/>
                              <w:szCs w:val="24"/>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405384" id="_x0000_t202" coordsize="21600,21600" o:spt="202" path="m,l,21600r21600,l21600,xe">
              <v:stroke joinstyle="miter"/>
              <v:path gradientshapeok="t" o:connecttype="rect"/>
            </v:shapetype>
            <v:shape id="WordArt 3" o:spid="_x0000_s1027"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" o:allowincell="f" filled="f" stroked="f">
              <v:stroke joinstyle="round"/>
              <o:lock v:ext="edit" shapetype="t"/>
              <v:textbox style="mso-fit-shape-to-text:t">
                <w:txbxContent>
                  <w:p w14:paraId="395A6ACE" w14:textId="77777777" w:rsidR="00FF7936" w:rsidRDefault="00FF7936" w:rsidP="00FF7936">
                    <w:pPr>
                      <w:jc w:val="center"/>
                      <w:rPr>
                        <w:sz w:val="24"/>
                        <w:szCs w:val="24"/>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9A0B5" w14:textId="74490289" w:rsidR="00B10037" w:rsidRDefault="00B10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A0E74"/>
    <w:multiLevelType w:val="hybridMultilevel"/>
    <w:tmpl w:val="813C4D18"/>
    <w:lvl w:ilvl="0" w:tplc="7EE6B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46934"/>
    <w:multiLevelType w:val="hybridMultilevel"/>
    <w:tmpl w:val="45543A38"/>
    <w:lvl w:ilvl="0" w:tplc="469C3FF0">
      <w:start w:val="2019"/>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D776A"/>
    <w:multiLevelType w:val="hybridMultilevel"/>
    <w:tmpl w:val="7BEC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47067"/>
    <w:multiLevelType w:val="hybridMultilevel"/>
    <w:tmpl w:val="0CC8A9A2"/>
    <w:lvl w:ilvl="0" w:tplc="56BE2758">
      <w:start w:val="1"/>
      <w:numFmt w:val="lowerLetter"/>
      <w:lvlText w:val="%1)"/>
      <w:lvlJc w:val="left"/>
      <w:pPr>
        <w:ind w:left="1620" w:hanging="360"/>
      </w:pPr>
      <w:rPr>
        <w:rFonts w:asciiTheme="majorHAnsi" w:hAnsiTheme="majorHAnsi"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5D145F"/>
    <w:multiLevelType w:val="hybridMultilevel"/>
    <w:tmpl w:val="3F3C4D60"/>
    <w:lvl w:ilvl="0" w:tplc="EFC4EFE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43B1D7A"/>
    <w:multiLevelType w:val="hybridMultilevel"/>
    <w:tmpl w:val="155A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73E93"/>
    <w:multiLevelType w:val="hybridMultilevel"/>
    <w:tmpl w:val="52C0E04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44412D64"/>
    <w:multiLevelType w:val="multilevel"/>
    <w:tmpl w:val="34EC9ACC"/>
    <w:lvl w:ilvl="0">
      <w:start w:val="1"/>
      <w:numFmt w:val="bullet"/>
      <w:lvlText w:val=""/>
      <w:lvlJc w:val="left"/>
      <w:pPr>
        <w:tabs>
          <w:tab w:val="num" w:pos="1620"/>
        </w:tabs>
        <w:ind w:left="1620" w:hanging="360"/>
      </w:pPr>
      <w:rPr>
        <w:rFonts w:ascii="Symbol" w:hAnsi="Symbol" w:hint="default"/>
        <w:sz w:val="20"/>
      </w:rPr>
    </w:lvl>
    <w:lvl w:ilvl="1">
      <w:start w:val="1"/>
      <w:numFmt w:val="bullet"/>
      <w:lvlText w:val=""/>
      <w:lvlJc w:val="left"/>
      <w:pPr>
        <w:tabs>
          <w:tab w:val="num" w:pos="2340"/>
        </w:tabs>
        <w:ind w:left="2340" w:hanging="360"/>
      </w:pPr>
      <w:rPr>
        <w:rFonts w:ascii="Symbol" w:hAnsi="Symbol" w:hint="default"/>
        <w:sz w:val="20"/>
      </w:rPr>
    </w:lvl>
    <w:lvl w:ilvl="2">
      <w:start w:val="1"/>
      <w:numFmt w:val="bullet"/>
      <w:lvlText w:val=""/>
      <w:lvlJc w:val="left"/>
      <w:pPr>
        <w:tabs>
          <w:tab w:val="num" w:pos="3060"/>
        </w:tabs>
        <w:ind w:left="3060" w:hanging="360"/>
      </w:pPr>
      <w:rPr>
        <w:rFonts w:ascii="Symbol" w:hAnsi="Symbol" w:hint="default"/>
        <w:sz w:val="20"/>
      </w:rPr>
    </w:lvl>
    <w:lvl w:ilvl="3">
      <w:start w:val="1"/>
      <w:numFmt w:val="bullet"/>
      <w:lvlText w:val=""/>
      <w:lvlJc w:val="left"/>
      <w:pPr>
        <w:tabs>
          <w:tab w:val="num" w:pos="3780"/>
        </w:tabs>
        <w:ind w:left="3780" w:hanging="360"/>
      </w:pPr>
      <w:rPr>
        <w:rFonts w:ascii="Symbol" w:hAnsi="Symbol" w:hint="default"/>
        <w:sz w:val="20"/>
      </w:rPr>
    </w:lvl>
    <w:lvl w:ilvl="4">
      <w:start w:val="1"/>
      <w:numFmt w:val="bullet"/>
      <w:lvlText w:val=""/>
      <w:lvlJc w:val="left"/>
      <w:pPr>
        <w:tabs>
          <w:tab w:val="num" w:pos="4500"/>
        </w:tabs>
        <w:ind w:left="4500" w:hanging="360"/>
      </w:pPr>
      <w:rPr>
        <w:rFonts w:ascii="Symbol" w:hAnsi="Symbol" w:hint="default"/>
        <w:sz w:val="20"/>
      </w:rPr>
    </w:lvl>
    <w:lvl w:ilvl="5">
      <w:start w:val="1"/>
      <w:numFmt w:val="bullet"/>
      <w:lvlText w:val=""/>
      <w:lvlJc w:val="left"/>
      <w:pPr>
        <w:tabs>
          <w:tab w:val="num" w:pos="5220"/>
        </w:tabs>
        <w:ind w:left="5220" w:hanging="360"/>
      </w:pPr>
      <w:rPr>
        <w:rFonts w:ascii="Symbol" w:hAnsi="Symbol" w:hint="default"/>
        <w:sz w:val="20"/>
      </w:rPr>
    </w:lvl>
    <w:lvl w:ilvl="6">
      <w:start w:val="1"/>
      <w:numFmt w:val="bullet"/>
      <w:lvlText w:val=""/>
      <w:lvlJc w:val="left"/>
      <w:pPr>
        <w:tabs>
          <w:tab w:val="num" w:pos="5940"/>
        </w:tabs>
        <w:ind w:left="5940" w:hanging="360"/>
      </w:pPr>
      <w:rPr>
        <w:rFonts w:ascii="Symbol" w:hAnsi="Symbol" w:hint="default"/>
        <w:sz w:val="20"/>
      </w:rPr>
    </w:lvl>
    <w:lvl w:ilvl="7">
      <w:start w:val="1"/>
      <w:numFmt w:val="bullet"/>
      <w:lvlText w:val=""/>
      <w:lvlJc w:val="left"/>
      <w:pPr>
        <w:tabs>
          <w:tab w:val="num" w:pos="6660"/>
        </w:tabs>
        <w:ind w:left="6660" w:hanging="360"/>
      </w:pPr>
      <w:rPr>
        <w:rFonts w:ascii="Symbol" w:hAnsi="Symbol" w:hint="default"/>
        <w:sz w:val="20"/>
      </w:rPr>
    </w:lvl>
    <w:lvl w:ilvl="8">
      <w:start w:val="1"/>
      <w:numFmt w:val="bullet"/>
      <w:lvlText w:val=""/>
      <w:lvlJc w:val="left"/>
      <w:pPr>
        <w:tabs>
          <w:tab w:val="num" w:pos="7380"/>
        </w:tabs>
        <w:ind w:left="7380" w:hanging="360"/>
      </w:pPr>
      <w:rPr>
        <w:rFonts w:ascii="Symbol" w:hAnsi="Symbol" w:hint="default"/>
        <w:sz w:val="20"/>
      </w:rPr>
    </w:lvl>
  </w:abstractNum>
  <w:abstractNum w:abstractNumId="8" w15:restartNumberingAfterBreak="0">
    <w:nsid w:val="4E247FC9"/>
    <w:multiLevelType w:val="hybridMultilevel"/>
    <w:tmpl w:val="0896E33A"/>
    <w:lvl w:ilvl="0" w:tplc="D2C6737E">
      <w:start w:val="1"/>
      <w:numFmt w:val="decimal"/>
      <w:lvlText w:val="%1."/>
      <w:lvlJc w:val="left"/>
      <w:pPr>
        <w:ind w:left="810" w:hanging="360"/>
      </w:pPr>
      <w:rPr>
        <w:rFonts w:asciiTheme="majorHAnsi" w:hAnsiTheme="maj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E7193"/>
    <w:multiLevelType w:val="hybridMultilevel"/>
    <w:tmpl w:val="E6A85116"/>
    <w:lvl w:ilvl="0" w:tplc="1C647EA0">
      <w:start w:val="1"/>
      <w:numFmt w:val="upperRoman"/>
      <w:lvlText w:val="%1."/>
      <w:lvlJc w:val="left"/>
      <w:pPr>
        <w:ind w:left="1080" w:hanging="72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904E0"/>
    <w:multiLevelType w:val="hybridMultilevel"/>
    <w:tmpl w:val="F108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8943C5"/>
    <w:multiLevelType w:val="hybridMultilevel"/>
    <w:tmpl w:val="A604758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634E46"/>
    <w:multiLevelType w:val="multilevel"/>
    <w:tmpl w:val="276014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851AC5"/>
    <w:multiLevelType w:val="multilevel"/>
    <w:tmpl w:val="63A049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7B3EFC"/>
    <w:multiLevelType w:val="hybridMultilevel"/>
    <w:tmpl w:val="04F6D33A"/>
    <w:lvl w:ilvl="0" w:tplc="04A8DE7C">
      <w:start w:val="1"/>
      <w:numFmt w:val="bullet"/>
      <w:lvlText w:val=""/>
      <w:lvlJc w:val="left"/>
      <w:pPr>
        <w:tabs>
          <w:tab w:val="num" w:pos="720"/>
        </w:tabs>
        <w:ind w:left="720" w:hanging="360"/>
      </w:pPr>
      <w:rPr>
        <w:rFonts w:ascii="Wingdings" w:hAnsi="Wingdings" w:hint="default"/>
      </w:rPr>
    </w:lvl>
    <w:lvl w:ilvl="1" w:tplc="D81EAA6A">
      <w:start w:val="1"/>
      <w:numFmt w:val="bullet"/>
      <w:lvlText w:val=""/>
      <w:lvlJc w:val="left"/>
      <w:pPr>
        <w:tabs>
          <w:tab w:val="num" w:pos="1440"/>
        </w:tabs>
        <w:ind w:left="1440" w:hanging="360"/>
      </w:pPr>
      <w:rPr>
        <w:rFonts w:ascii="Wingdings" w:hAnsi="Wingdings" w:hint="default"/>
      </w:rPr>
    </w:lvl>
    <w:lvl w:ilvl="2" w:tplc="451484E8" w:tentative="1">
      <w:start w:val="1"/>
      <w:numFmt w:val="bullet"/>
      <w:lvlText w:val=""/>
      <w:lvlJc w:val="left"/>
      <w:pPr>
        <w:tabs>
          <w:tab w:val="num" w:pos="2160"/>
        </w:tabs>
        <w:ind w:left="2160" w:hanging="360"/>
      </w:pPr>
      <w:rPr>
        <w:rFonts w:ascii="Wingdings" w:hAnsi="Wingdings" w:hint="default"/>
      </w:rPr>
    </w:lvl>
    <w:lvl w:ilvl="3" w:tplc="2EF6FE98" w:tentative="1">
      <w:start w:val="1"/>
      <w:numFmt w:val="bullet"/>
      <w:lvlText w:val=""/>
      <w:lvlJc w:val="left"/>
      <w:pPr>
        <w:tabs>
          <w:tab w:val="num" w:pos="2880"/>
        </w:tabs>
        <w:ind w:left="2880" w:hanging="360"/>
      </w:pPr>
      <w:rPr>
        <w:rFonts w:ascii="Wingdings" w:hAnsi="Wingdings" w:hint="default"/>
      </w:rPr>
    </w:lvl>
    <w:lvl w:ilvl="4" w:tplc="BD54C06A" w:tentative="1">
      <w:start w:val="1"/>
      <w:numFmt w:val="bullet"/>
      <w:lvlText w:val=""/>
      <w:lvlJc w:val="left"/>
      <w:pPr>
        <w:tabs>
          <w:tab w:val="num" w:pos="3600"/>
        </w:tabs>
        <w:ind w:left="3600" w:hanging="360"/>
      </w:pPr>
      <w:rPr>
        <w:rFonts w:ascii="Wingdings" w:hAnsi="Wingdings" w:hint="default"/>
      </w:rPr>
    </w:lvl>
    <w:lvl w:ilvl="5" w:tplc="2A0EBF54" w:tentative="1">
      <w:start w:val="1"/>
      <w:numFmt w:val="bullet"/>
      <w:lvlText w:val=""/>
      <w:lvlJc w:val="left"/>
      <w:pPr>
        <w:tabs>
          <w:tab w:val="num" w:pos="4320"/>
        </w:tabs>
        <w:ind w:left="4320" w:hanging="360"/>
      </w:pPr>
      <w:rPr>
        <w:rFonts w:ascii="Wingdings" w:hAnsi="Wingdings" w:hint="default"/>
      </w:rPr>
    </w:lvl>
    <w:lvl w:ilvl="6" w:tplc="8B92E7E8" w:tentative="1">
      <w:start w:val="1"/>
      <w:numFmt w:val="bullet"/>
      <w:lvlText w:val=""/>
      <w:lvlJc w:val="left"/>
      <w:pPr>
        <w:tabs>
          <w:tab w:val="num" w:pos="5040"/>
        </w:tabs>
        <w:ind w:left="5040" w:hanging="360"/>
      </w:pPr>
      <w:rPr>
        <w:rFonts w:ascii="Wingdings" w:hAnsi="Wingdings" w:hint="default"/>
      </w:rPr>
    </w:lvl>
    <w:lvl w:ilvl="7" w:tplc="668A1406" w:tentative="1">
      <w:start w:val="1"/>
      <w:numFmt w:val="bullet"/>
      <w:lvlText w:val=""/>
      <w:lvlJc w:val="left"/>
      <w:pPr>
        <w:tabs>
          <w:tab w:val="num" w:pos="5760"/>
        </w:tabs>
        <w:ind w:left="5760" w:hanging="360"/>
      </w:pPr>
      <w:rPr>
        <w:rFonts w:ascii="Wingdings" w:hAnsi="Wingdings" w:hint="default"/>
      </w:rPr>
    </w:lvl>
    <w:lvl w:ilvl="8" w:tplc="791220C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BB75CB"/>
    <w:multiLevelType w:val="hybridMultilevel"/>
    <w:tmpl w:val="811443C4"/>
    <w:lvl w:ilvl="0" w:tplc="34B8C14E">
      <w:start w:val="1"/>
      <w:numFmt w:val="bullet"/>
      <w:lvlText w:val="•"/>
      <w:lvlJc w:val="left"/>
      <w:pPr>
        <w:tabs>
          <w:tab w:val="num" w:pos="720"/>
        </w:tabs>
        <w:ind w:left="720" w:hanging="360"/>
      </w:pPr>
      <w:rPr>
        <w:rFonts w:ascii="Times New Roman" w:hAnsi="Times New Roman" w:hint="default"/>
      </w:rPr>
    </w:lvl>
    <w:lvl w:ilvl="1" w:tplc="659211E6">
      <w:start w:val="1"/>
      <w:numFmt w:val="bullet"/>
      <w:lvlText w:val="•"/>
      <w:lvlJc w:val="left"/>
      <w:pPr>
        <w:tabs>
          <w:tab w:val="num" w:pos="1440"/>
        </w:tabs>
        <w:ind w:left="1440" w:hanging="360"/>
      </w:pPr>
      <w:rPr>
        <w:rFonts w:ascii="Times New Roman" w:hAnsi="Times New Roman" w:hint="default"/>
      </w:rPr>
    </w:lvl>
    <w:lvl w:ilvl="2" w:tplc="1BFA90C2">
      <w:start w:val="1"/>
      <w:numFmt w:val="bullet"/>
      <w:lvlText w:val="•"/>
      <w:lvlJc w:val="left"/>
      <w:pPr>
        <w:tabs>
          <w:tab w:val="num" w:pos="2160"/>
        </w:tabs>
        <w:ind w:left="2160" w:hanging="360"/>
      </w:pPr>
      <w:rPr>
        <w:rFonts w:ascii="Times New Roman" w:hAnsi="Times New Roman" w:hint="default"/>
      </w:rPr>
    </w:lvl>
    <w:lvl w:ilvl="3" w:tplc="E3282E7A" w:tentative="1">
      <w:start w:val="1"/>
      <w:numFmt w:val="bullet"/>
      <w:lvlText w:val="•"/>
      <w:lvlJc w:val="left"/>
      <w:pPr>
        <w:tabs>
          <w:tab w:val="num" w:pos="2880"/>
        </w:tabs>
        <w:ind w:left="2880" w:hanging="360"/>
      </w:pPr>
      <w:rPr>
        <w:rFonts w:ascii="Times New Roman" w:hAnsi="Times New Roman" w:hint="default"/>
      </w:rPr>
    </w:lvl>
    <w:lvl w:ilvl="4" w:tplc="7CC628CA" w:tentative="1">
      <w:start w:val="1"/>
      <w:numFmt w:val="bullet"/>
      <w:lvlText w:val="•"/>
      <w:lvlJc w:val="left"/>
      <w:pPr>
        <w:tabs>
          <w:tab w:val="num" w:pos="3600"/>
        </w:tabs>
        <w:ind w:left="3600" w:hanging="360"/>
      </w:pPr>
      <w:rPr>
        <w:rFonts w:ascii="Times New Roman" w:hAnsi="Times New Roman" w:hint="default"/>
      </w:rPr>
    </w:lvl>
    <w:lvl w:ilvl="5" w:tplc="57C0B41C" w:tentative="1">
      <w:start w:val="1"/>
      <w:numFmt w:val="bullet"/>
      <w:lvlText w:val="•"/>
      <w:lvlJc w:val="left"/>
      <w:pPr>
        <w:tabs>
          <w:tab w:val="num" w:pos="4320"/>
        </w:tabs>
        <w:ind w:left="4320" w:hanging="360"/>
      </w:pPr>
      <w:rPr>
        <w:rFonts w:ascii="Times New Roman" w:hAnsi="Times New Roman" w:hint="default"/>
      </w:rPr>
    </w:lvl>
    <w:lvl w:ilvl="6" w:tplc="354E75E2" w:tentative="1">
      <w:start w:val="1"/>
      <w:numFmt w:val="bullet"/>
      <w:lvlText w:val="•"/>
      <w:lvlJc w:val="left"/>
      <w:pPr>
        <w:tabs>
          <w:tab w:val="num" w:pos="5040"/>
        </w:tabs>
        <w:ind w:left="5040" w:hanging="360"/>
      </w:pPr>
      <w:rPr>
        <w:rFonts w:ascii="Times New Roman" w:hAnsi="Times New Roman" w:hint="default"/>
      </w:rPr>
    </w:lvl>
    <w:lvl w:ilvl="7" w:tplc="FA3E9F06" w:tentative="1">
      <w:start w:val="1"/>
      <w:numFmt w:val="bullet"/>
      <w:lvlText w:val="•"/>
      <w:lvlJc w:val="left"/>
      <w:pPr>
        <w:tabs>
          <w:tab w:val="num" w:pos="5760"/>
        </w:tabs>
        <w:ind w:left="5760" w:hanging="360"/>
      </w:pPr>
      <w:rPr>
        <w:rFonts w:ascii="Times New Roman" w:hAnsi="Times New Roman" w:hint="default"/>
      </w:rPr>
    </w:lvl>
    <w:lvl w:ilvl="8" w:tplc="336C062E"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3"/>
  </w:num>
  <w:num w:numId="3">
    <w:abstractNumId w:val="5"/>
  </w:num>
  <w:num w:numId="4">
    <w:abstractNumId w:val="14"/>
  </w:num>
  <w:num w:numId="5">
    <w:abstractNumId w:val="7"/>
  </w:num>
  <w:num w:numId="6">
    <w:abstractNumId w:val="2"/>
  </w:num>
  <w:num w:numId="7">
    <w:abstractNumId w:val="13"/>
  </w:num>
  <w:num w:numId="8">
    <w:abstractNumId w:val="12"/>
    <w:lvlOverride w:ilvl="0"/>
    <w:lvlOverride w:ilvl="1">
      <w:startOverride w:val="1"/>
    </w:lvlOverride>
    <w:lvlOverride w:ilvl="2"/>
    <w:lvlOverride w:ilvl="3"/>
    <w:lvlOverride w:ilvl="4"/>
    <w:lvlOverride w:ilvl="5"/>
    <w:lvlOverride w:ilvl="6"/>
    <w:lvlOverride w:ilvl="7"/>
    <w:lvlOverride w:ilvl="8"/>
  </w:num>
  <w:num w:numId="9">
    <w:abstractNumId w:val="6"/>
  </w:num>
  <w:num w:numId="10">
    <w:abstractNumId w:val="0"/>
  </w:num>
  <w:num w:numId="11">
    <w:abstractNumId w:val="15"/>
  </w:num>
  <w:num w:numId="12">
    <w:abstractNumId w:val="11"/>
  </w:num>
  <w:num w:numId="13">
    <w:abstractNumId w:val="10"/>
  </w:num>
  <w:num w:numId="14">
    <w:abstractNumId w:val="1"/>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76"/>
    <w:rsid w:val="00030C86"/>
    <w:rsid w:val="00035F01"/>
    <w:rsid w:val="000969EB"/>
    <w:rsid w:val="0010556C"/>
    <w:rsid w:val="00132DE6"/>
    <w:rsid w:val="00134B73"/>
    <w:rsid w:val="001B3394"/>
    <w:rsid w:val="001F7F91"/>
    <w:rsid w:val="00203C55"/>
    <w:rsid w:val="00216B27"/>
    <w:rsid w:val="00221A3D"/>
    <w:rsid w:val="00283C6E"/>
    <w:rsid w:val="00287645"/>
    <w:rsid w:val="002A7002"/>
    <w:rsid w:val="002B5DCE"/>
    <w:rsid w:val="002D35A0"/>
    <w:rsid w:val="002F0F0B"/>
    <w:rsid w:val="00306DE1"/>
    <w:rsid w:val="003731D7"/>
    <w:rsid w:val="00374530"/>
    <w:rsid w:val="0039053B"/>
    <w:rsid w:val="003C266E"/>
    <w:rsid w:val="003E4F78"/>
    <w:rsid w:val="004060A8"/>
    <w:rsid w:val="00433D74"/>
    <w:rsid w:val="00436A07"/>
    <w:rsid w:val="00443CE3"/>
    <w:rsid w:val="00445C5E"/>
    <w:rsid w:val="004720DB"/>
    <w:rsid w:val="004F19ED"/>
    <w:rsid w:val="00503A33"/>
    <w:rsid w:val="00515715"/>
    <w:rsid w:val="00521A0A"/>
    <w:rsid w:val="005308F8"/>
    <w:rsid w:val="00547BAD"/>
    <w:rsid w:val="00576EAB"/>
    <w:rsid w:val="005775C5"/>
    <w:rsid w:val="005A4E21"/>
    <w:rsid w:val="005A758D"/>
    <w:rsid w:val="0063101A"/>
    <w:rsid w:val="00663751"/>
    <w:rsid w:val="00692C93"/>
    <w:rsid w:val="006B1D6F"/>
    <w:rsid w:val="006F1B11"/>
    <w:rsid w:val="007046D7"/>
    <w:rsid w:val="007268B4"/>
    <w:rsid w:val="007554DF"/>
    <w:rsid w:val="00757741"/>
    <w:rsid w:val="007635F1"/>
    <w:rsid w:val="007A77B3"/>
    <w:rsid w:val="007D68A6"/>
    <w:rsid w:val="00862606"/>
    <w:rsid w:val="008706F3"/>
    <w:rsid w:val="008715A8"/>
    <w:rsid w:val="0089613A"/>
    <w:rsid w:val="008E50EB"/>
    <w:rsid w:val="00934CA4"/>
    <w:rsid w:val="009B6EAF"/>
    <w:rsid w:val="00A259F0"/>
    <w:rsid w:val="00A4571D"/>
    <w:rsid w:val="00A7552A"/>
    <w:rsid w:val="00A84D67"/>
    <w:rsid w:val="00A95E0F"/>
    <w:rsid w:val="00AB2FB5"/>
    <w:rsid w:val="00AB37FE"/>
    <w:rsid w:val="00AF54F0"/>
    <w:rsid w:val="00B10037"/>
    <w:rsid w:val="00B41BF5"/>
    <w:rsid w:val="00B55920"/>
    <w:rsid w:val="00BD446C"/>
    <w:rsid w:val="00BF31AC"/>
    <w:rsid w:val="00BF4234"/>
    <w:rsid w:val="00C2105A"/>
    <w:rsid w:val="00C2322D"/>
    <w:rsid w:val="00C9320F"/>
    <w:rsid w:val="00CC1A85"/>
    <w:rsid w:val="00CE0A17"/>
    <w:rsid w:val="00CE721E"/>
    <w:rsid w:val="00D41F00"/>
    <w:rsid w:val="00D85F76"/>
    <w:rsid w:val="00D85F7E"/>
    <w:rsid w:val="00D87B16"/>
    <w:rsid w:val="00DA35CD"/>
    <w:rsid w:val="00DC0ACD"/>
    <w:rsid w:val="00DF4B88"/>
    <w:rsid w:val="00E50C97"/>
    <w:rsid w:val="00E73748"/>
    <w:rsid w:val="00E9291B"/>
    <w:rsid w:val="00E96E73"/>
    <w:rsid w:val="00EA2B72"/>
    <w:rsid w:val="00EB790F"/>
    <w:rsid w:val="00EE280A"/>
    <w:rsid w:val="00F008DD"/>
    <w:rsid w:val="00F5523A"/>
    <w:rsid w:val="00F71F3A"/>
    <w:rsid w:val="00F92125"/>
    <w:rsid w:val="00FA57E0"/>
    <w:rsid w:val="00FB12B2"/>
    <w:rsid w:val="00FF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0C5FDDB"/>
  <w15:docId w15:val="{48CA8C5B-3A12-46BD-BBC0-3522DF68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F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5F7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D85F76"/>
    <w:rPr>
      <w:b/>
      <w:bCs/>
    </w:rPr>
  </w:style>
  <w:style w:type="character" w:styleId="Emphasis">
    <w:name w:val="Emphasis"/>
    <w:basedOn w:val="DefaultParagraphFont"/>
    <w:uiPriority w:val="20"/>
    <w:qFormat/>
    <w:rsid w:val="00D85F76"/>
    <w:rPr>
      <w:i/>
      <w:iCs/>
    </w:rPr>
  </w:style>
  <w:style w:type="paragraph" w:styleId="NoSpacing">
    <w:name w:val="No Spacing"/>
    <w:uiPriority w:val="1"/>
    <w:qFormat/>
    <w:rsid w:val="00D85F76"/>
    <w:pPr>
      <w:spacing w:after="0" w:line="240" w:lineRule="auto"/>
    </w:pPr>
  </w:style>
  <w:style w:type="paragraph" w:styleId="FootnoteText">
    <w:name w:val="footnote text"/>
    <w:basedOn w:val="Normal"/>
    <w:link w:val="FootnoteTextChar"/>
    <w:uiPriority w:val="99"/>
    <w:semiHidden/>
    <w:unhideWhenUsed/>
    <w:rsid w:val="00D85F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F7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85F76"/>
    <w:rPr>
      <w:vertAlign w:val="superscript"/>
    </w:rPr>
  </w:style>
  <w:style w:type="paragraph" w:styleId="ListParagraph">
    <w:name w:val="List Paragraph"/>
    <w:basedOn w:val="Normal"/>
    <w:uiPriority w:val="34"/>
    <w:qFormat/>
    <w:rsid w:val="00D85F76"/>
    <w:pPr>
      <w:ind w:left="720"/>
      <w:contextualSpacing/>
    </w:pPr>
  </w:style>
  <w:style w:type="paragraph" w:styleId="Header">
    <w:name w:val="header"/>
    <w:basedOn w:val="Normal"/>
    <w:link w:val="HeaderChar"/>
    <w:uiPriority w:val="99"/>
    <w:unhideWhenUsed/>
    <w:rsid w:val="00D85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F76"/>
    <w:rPr>
      <w:rFonts w:ascii="Calibri" w:eastAsia="Calibri" w:hAnsi="Calibri" w:cs="Times New Roman"/>
    </w:rPr>
  </w:style>
  <w:style w:type="paragraph" w:styleId="Footer">
    <w:name w:val="footer"/>
    <w:basedOn w:val="Normal"/>
    <w:link w:val="FooterChar"/>
    <w:uiPriority w:val="99"/>
    <w:unhideWhenUsed/>
    <w:rsid w:val="00D85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F76"/>
    <w:rPr>
      <w:rFonts w:ascii="Calibri" w:eastAsia="Calibri" w:hAnsi="Calibri" w:cs="Times New Roman"/>
    </w:rPr>
  </w:style>
  <w:style w:type="character" w:customStyle="1" w:styleId="apple-converted-space">
    <w:name w:val="apple-converted-space"/>
    <w:basedOn w:val="DefaultParagraphFont"/>
    <w:rsid w:val="00D85F76"/>
  </w:style>
  <w:style w:type="paragraph" w:styleId="BalloonText">
    <w:name w:val="Balloon Text"/>
    <w:basedOn w:val="Normal"/>
    <w:link w:val="BalloonTextChar"/>
    <w:uiPriority w:val="99"/>
    <w:semiHidden/>
    <w:unhideWhenUsed/>
    <w:rsid w:val="00445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C5E"/>
    <w:rPr>
      <w:rFonts w:ascii="Tahoma" w:eastAsia="Calibri" w:hAnsi="Tahoma" w:cs="Tahoma"/>
      <w:sz w:val="16"/>
      <w:szCs w:val="16"/>
    </w:rPr>
  </w:style>
  <w:style w:type="table" w:styleId="TableGrid">
    <w:name w:val="Table Grid"/>
    <w:basedOn w:val="TableNormal"/>
    <w:uiPriority w:val="59"/>
    <w:rsid w:val="00445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4B73"/>
    <w:rPr>
      <w:sz w:val="16"/>
      <w:szCs w:val="16"/>
    </w:rPr>
  </w:style>
  <w:style w:type="paragraph" w:styleId="CommentText">
    <w:name w:val="annotation text"/>
    <w:basedOn w:val="Normal"/>
    <w:link w:val="CommentTextChar"/>
    <w:uiPriority w:val="99"/>
    <w:semiHidden/>
    <w:unhideWhenUsed/>
    <w:rsid w:val="00134B73"/>
    <w:pPr>
      <w:spacing w:line="240" w:lineRule="auto"/>
    </w:pPr>
    <w:rPr>
      <w:sz w:val="20"/>
      <w:szCs w:val="20"/>
    </w:rPr>
  </w:style>
  <w:style w:type="character" w:customStyle="1" w:styleId="CommentTextChar">
    <w:name w:val="Comment Text Char"/>
    <w:basedOn w:val="DefaultParagraphFont"/>
    <w:link w:val="CommentText"/>
    <w:uiPriority w:val="99"/>
    <w:semiHidden/>
    <w:rsid w:val="00134B7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B73"/>
    <w:rPr>
      <w:b/>
      <w:bCs/>
    </w:rPr>
  </w:style>
  <w:style w:type="character" w:customStyle="1" w:styleId="CommentSubjectChar">
    <w:name w:val="Comment Subject Char"/>
    <w:basedOn w:val="CommentTextChar"/>
    <w:link w:val="CommentSubject"/>
    <w:uiPriority w:val="99"/>
    <w:semiHidden/>
    <w:rsid w:val="00134B73"/>
    <w:rPr>
      <w:rFonts w:ascii="Calibri" w:eastAsia="Calibri" w:hAnsi="Calibri" w:cs="Times New Roman"/>
      <w:b/>
      <w:bCs/>
      <w:sz w:val="20"/>
      <w:szCs w:val="20"/>
    </w:rPr>
  </w:style>
  <w:style w:type="paragraph" w:customStyle="1" w:styleId="Normal1">
    <w:name w:val="Normal1"/>
    <w:rsid w:val="00AF54F0"/>
    <w:pPr>
      <w:spacing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052520">
      <w:bodyDiv w:val="1"/>
      <w:marLeft w:val="0"/>
      <w:marRight w:val="0"/>
      <w:marTop w:val="0"/>
      <w:marBottom w:val="0"/>
      <w:divBdr>
        <w:top w:val="none" w:sz="0" w:space="0" w:color="auto"/>
        <w:left w:val="none" w:sz="0" w:space="0" w:color="auto"/>
        <w:bottom w:val="none" w:sz="0" w:space="0" w:color="auto"/>
        <w:right w:val="none" w:sz="0" w:space="0" w:color="auto"/>
      </w:divBdr>
    </w:div>
    <w:div w:id="201209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B0DE7-E221-4E73-8331-804E12C2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5565</Words>
  <Characters>31724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Kain, Carolyn (EHS)</dc:creator>
  <cp:lastModifiedBy>Allan Stern</cp:lastModifiedBy>
  <cp:revision>2</cp:revision>
  <cp:lastPrinted>2019-12-02T20:37:00Z</cp:lastPrinted>
  <dcterms:created xsi:type="dcterms:W3CDTF">2021-02-05T22:21:00Z</dcterms:created>
  <dcterms:modified xsi:type="dcterms:W3CDTF">2021-02-05T22:21:00Z</dcterms:modified>
</cp:coreProperties>
</file>