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EF583" w14:textId="479CF348" w:rsidR="00D631B8" w:rsidRPr="008E0170" w:rsidRDefault="05466C08" w:rsidP="00871E4E">
      <w:pPr>
        <w:rPr>
          <w:b/>
          <w:bCs/>
        </w:rPr>
      </w:pPr>
      <w:r w:rsidRPr="008E0170">
        <w:rPr>
          <w:b/>
          <w:bCs/>
        </w:rPr>
        <w:t>202</w:t>
      </w:r>
      <w:r w:rsidR="00E841D1">
        <w:rPr>
          <w:b/>
          <w:bCs/>
        </w:rPr>
        <w:t>3</w:t>
      </w:r>
      <w:r w:rsidRPr="008E0170">
        <w:rPr>
          <w:b/>
          <w:bCs/>
        </w:rPr>
        <w:t xml:space="preserve"> </w:t>
      </w:r>
      <w:r w:rsidR="00744259" w:rsidRPr="008E0170">
        <w:rPr>
          <w:b/>
          <w:bCs/>
        </w:rPr>
        <w:t xml:space="preserve">Massachusetts </w:t>
      </w:r>
      <w:r w:rsidRPr="008E0170">
        <w:rPr>
          <w:b/>
          <w:bCs/>
        </w:rPr>
        <w:t>Integrated HIV, ST</w:t>
      </w:r>
      <w:r w:rsidR="006C2768">
        <w:rPr>
          <w:b/>
          <w:bCs/>
        </w:rPr>
        <w:t>I</w:t>
      </w:r>
      <w:r w:rsidRPr="008E0170">
        <w:rPr>
          <w:b/>
          <w:bCs/>
        </w:rPr>
        <w:t>, and Viral Hepatitis Surveillance Report</w:t>
      </w:r>
      <w:r w:rsidR="60FC7873" w:rsidRPr="008E0170">
        <w:rPr>
          <w:b/>
          <w:bCs/>
        </w:rPr>
        <w:t xml:space="preserve">, </w:t>
      </w:r>
    </w:p>
    <w:p w14:paraId="170F7EBC" w14:textId="093A5243" w:rsidR="00464482" w:rsidRPr="008E0170" w:rsidRDefault="00464482" w:rsidP="00464482">
      <w:pPr>
        <w:spacing w:after="120"/>
        <w:rPr>
          <w:b/>
          <w:bCs/>
        </w:rPr>
      </w:pPr>
      <w:r w:rsidRPr="008E0170">
        <w:rPr>
          <w:b/>
          <w:bCs/>
        </w:rPr>
        <w:t xml:space="preserve">Accessible Version, optimized for screen reader </w:t>
      </w:r>
      <w:r w:rsidR="009408D5" w:rsidRPr="008E0170">
        <w:rPr>
          <w:b/>
          <w:bCs/>
        </w:rPr>
        <w:t>use.</w:t>
      </w:r>
    </w:p>
    <w:p w14:paraId="1F1ABB19" w14:textId="2B8C26E1" w:rsidR="034BCDF2" w:rsidRPr="008E0170" w:rsidRDefault="00464482" w:rsidP="00464482">
      <w:pPr>
        <w:spacing w:after="120"/>
        <w:rPr>
          <w:i/>
          <w:iCs/>
        </w:rPr>
      </w:pPr>
      <w:r w:rsidRPr="008E0170">
        <w:rPr>
          <w:i/>
          <w:iCs/>
        </w:rPr>
        <w:t>Please note that while the content of this report is the same as the pdf version, the format and pagination have been modified significantly to optimize use with screen readers to ensure access for blind or visually impaired audiences.</w:t>
      </w:r>
    </w:p>
    <w:p w14:paraId="78491310" w14:textId="77777777" w:rsidR="00871E4E" w:rsidRPr="008E0170" w:rsidRDefault="00871E4E" w:rsidP="00871E4E">
      <w:pPr>
        <w:rPr>
          <w:szCs w:val="24"/>
        </w:rPr>
      </w:pPr>
      <w:r w:rsidRPr="008E0170">
        <w:rPr>
          <w:szCs w:val="24"/>
        </w:rPr>
        <w:t>Massachusetts Department of Public Health</w:t>
      </w:r>
    </w:p>
    <w:p w14:paraId="266D3467" w14:textId="77777777" w:rsidR="00871E4E" w:rsidRPr="008E0170" w:rsidRDefault="00871E4E" w:rsidP="00871E4E">
      <w:pPr>
        <w:rPr>
          <w:szCs w:val="24"/>
        </w:rPr>
      </w:pPr>
      <w:r w:rsidRPr="008E0170">
        <w:rPr>
          <w:szCs w:val="24"/>
        </w:rPr>
        <w:t>Bureau of Infectious Disease and Laboratory Sciences</w:t>
      </w:r>
    </w:p>
    <w:p w14:paraId="46801EB9" w14:textId="20B9A5C2" w:rsidR="00871E4E" w:rsidRPr="008E0170" w:rsidRDefault="00871E4E" w:rsidP="00871E4E">
      <w:pPr>
        <w:spacing w:after="120"/>
        <w:rPr>
          <w:szCs w:val="24"/>
        </w:rPr>
      </w:pPr>
      <w:r w:rsidRPr="008E0170">
        <w:rPr>
          <w:szCs w:val="24"/>
        </w:rPr>
        <w:t>December 202</w:t>
      </w:r>
      <w:r w:rsidR="00E841D1">
        <w:rPr>
          <w:szCs w:val="24"/>
        </w:rPr>
        <w:t>4</w:t>
      </w:r>
    </w:p>
    <w:p w14:paraId="058ADAF8" w14:textId="207EC2E8" w:rsidR="00871E4E" w:rsidRPr="008E0170" w:rsidRDefault="00871E4E" w:rsidP="00871E4E">
      <w:pPr>
        <w:rPr>
          <w:szCs w:val="24"/>
        </w:rPr>
      </w:pPr>
      <w:r w:rsidRPr="008E0170">
        <w:rPr>
          <w:b/>
          <w:bCs/>
          <w:szCs w:val="24"/>
        </w:rPr>
        <w:t>Suggested citation:</w:t>
      </w:r>
    </w:p>
    <w:p w14:paraId="67FF0EF3" w14:textId="5557F2A9" w:rsidR="00871E4E" w:rsidRPr="008E0170" w:rsidRDefault="00871E4E" w:rsidP="00871E4E">
      <w:pPr>
        <w:spacing w:after="120"/>
        <w:rPr>
          <w:szCs w:val="24"/>
        </w:rPr>
      </w:pPr>
      <w:r w:rsidRPr="008E0170">
        <w:rPr>
          <w:szCs w:val="24"/>
        </w:rPr>
        <w:t>Massachusetts Department of Public Health, Bureau of Infectious Disease and Laboratory Sciences. 202</w:t>
      </w:r>
      <w:r w:rsidR="00E841D1">
        <w:rPr>
          <w:szCs w:val="24"/>
        </w:rPr>
        <w:t>3</w:t>
      </w:r>
      <w:r w:rsidRPr="008E0170">
        <w:rPr>
          <w:szCs w:val="24"/>
        </w:rPr>
        <w:t xml:space="preserve"> </w:t>
      </w:r>
      <w:r w:rsidR="00744259" w:rsidRPr="008E0170">
        <w:rPr>
          <w:szCs w:val="24"/>
        </w:rPr>
        <w:t xml:space="preserve">Massachusetts </w:t>
      </w:r>
      <w:r w:rsidRPr="008E0170">
        <w:rPr>
          <w:szCs w:val="24"/>
        </w:rPr>
        <w:t xml:space="preserve">Integrated HIV, </w:t>
      </w:r>
      <w:r w:rsidR="00285320">
        <w:rPr>
          <w:szCs w:val="24"/>
        </w:rPr>
        <w:t>STI</w:t>
      </w:r>
      <w:r w:rsidRPr="008E0170">
        <w:rPr>
          <w:szCs w:val="24"/>
        </w:rPr>
        <w:t xml:space="preserve"> and Viral Hepatitis Surveillance Report, </w:t>
      </w:r>
      <w:hyperlink r:id="rId11" w:history="1">
        <w:r w:rsidR="00E841D1" w:rsidRPr="00E841D1">
          <w:rPr>
            <w:rStyle w:val="Hyperlink"/>
            <w:color w:val="3333FF"/>
            <w:szCs w:val="24"/>
          </w:rPr>
          <w:t>https://www.mass.gov/doc/2023-integrated-hiv-std-and-viral-hepatitis-report-pdf/download</w:t>
        </w:r>
      </w:hyperlink>
      <w:r w:rsidR="008E0170" w:rsidRPr="00E841D1">
        <w:rPr>
          <w:color w:val="3333FF"/>
          <w:szCs w:val="24"/>
        </w:rPr>
        <w:t xml:space="preserve"> </w:t>
      </w:r>
      <w:r w:rsidRPr="008E0170">
        <w:rPr>
          <w:szCs w:val="24"/>
        </w:rPr>
        <w:t>Published December 202</w:t>
      </w:r>
      <w:r w:rsidR="00E841D1">
        <w:rPr>
          <w:szCs w:val="24"/>
        </w:rPr>
        <w:t>4</w:t>
      </w:r>
      <w:r w:rsidRPr="008E0170">
        <w:rPr>
          <w:szCs w:val="24"/>
        </w:rPr>
        <w:t>. Accessed [date].</w:t>
      </w:r>
    </w:p>
    <w:p w14:paraId="3EED5D44" w14:textId="5E342CC0" w:rsidR="00871E4E" w:rsidRPr="008E0170" w:rsidRDefault="00871E4E" w:rsidP="00871E4E">
      <w:pPr>
        <w:rPr>
          <w:szCs w:val="24"/>
        </w:rPr>
      </w:pPr>
      <w:r w:rsidRPr="008E0170">
        <w:rPr>
          <w:b/>
          <w:bCs/>
          <w:szCs w:val="24"/>
        </w:rPr>
        <w:t>Bureau of Infectious Disease and Laboratory Sciences</w:t>
      </w:r>
      <w:r w:rsidRPr="008E0170">
        <w:rPr>
          <w:szCs w:val="24"/>
        </w:rPr>
        <w:br/>
      </w:r>
      <w:r w:rsidRPr="008E0170">
        <w:rPr>
          <w:b/>
          <w:bCs/>
          <w:szCs w:val="24"/>
        </w:rPr>
        <w:t>Massachusetts Department of Public Health</w:t>
      </w:r>
    </w:p>
    <w:p w14:paraId="331FBD24" w14:textId="77777777" w:rsidR="00871E4E" w:rsidRPr="008E0170" w:rsidRDefault="00871E4E" w:rsidP="00871E4E">
      <w:pPr>
        <w:rPr>
          <w:szCs w:val="24"/>
        </w:rPr>
      </w:pPr>
      <w:r w:rsidRPr="008E0170">
        <w:rPr>
          <w:b/>
          <w:bCs/>
          <w:szCs w:val="24"/>
        </w:rPr>
        <w:t>Jamaica Plain Campus/State Public Health Laboratory</w:t>
      </w:r>
    </w:p>
    <w:p w14:paraId="63A7D3D6" w14:textId="77777777" w:rsidR="00871E4E" w:rsidRPr="008E0170" w:rsidRDefault="00871E4E" w:rsidP="00871E4E">
      <w:pPr>
        <w:spacing w:after="120"/>
        <w:rPr>
          <w:szCs w:val="24"/>
        </w:rPr>
      </w:pPr>
      <w:r w:rsidRPr="008E0170">
        <w:rPr>
          <w:szCs w:val="24"/>
        </w:rPr>
        <w:t>305 South Street</w:t>
      </w:r>
      <w:r w:rsidRPr="008E0170">
        <w:rPr>
          <w:szCs w:val="24"/>
        </w:rPr>
        <w:br/>
        <w:t>Jamaica Plain, MA 02130</w:t>
      </w:r>
    </w:p>
    <w:p w14:paraId="387696B4" w14:textId="783D2B48" w:rsidR="00871E4E" w:rsidRPr="008E0170" w:rsidRDefault="00871E4E" w:rsidP="00871E4E">
      <w:pPr>
        <w:rPr>
          <w:szCs w:val="24"/>
        </w:rPr>
      </w:pPr>
      <w:r w:rsidRPr="008E0170">
        <w:rPr>
          <w:b/>
          <w:bCs/>
          <w:szCs w:val="24"/>
        </w:rPr>
        <w:t>Questions about this report</w:t>
      </w:r>
    </w:p>
    <w:p w14:paraId="388048B0" w14:textId="77777777" w:rsidR="00871E4E" w:rsidRPr="008E0170" w:rsidRDefault="35267A6C" w:rsidP="00871E4E">
      <w:pPr>
        <w:spacing w:after="120"/>
        <w:rPr>
          <w:szCs w:val="24"/>
        </w:rPr>
      </w:pPr>
      <w:r w:rsidRPr="008E0170">
        <w:t>Tel: (617) 983-6560</w:t>
      </w:r>
    </w:p>
    <w:p w14:paraId="1F04A6D0" w14:textId="26D90B3B" w:rsidR="5B4FBE4D" w:rsidRPr="008E0170" w:rsidRDefault="53600D4D" w:rsidP="76F421E0">
      <w:pPr>
        <w:rPr>
          <w:rFonts w:ascii="Calibri" w:eastAsia="Calibri" w:hAnsi="Calibri" w:cs="Calibri"/>
          <w:b/>
          <w:bCs/>
          <w:lang w:val="en"/>
        </w:rPr>
      </w:pPr>
      <w:r w:rsidRPr="008E0170">
        <w:rPr>
          <w:rFonts w:ascii="Calibri" w:eastAsia="Calibri" w:hAnsi="Calibri" w:cs="Calibri"/>
          <w:b/>
          <w:bCs/>
          <w:lang w:val="en"/>
        </w:rPr>
        <w:t>To reach the Reporting and Partner Services Line</w:t>
      </w:r>
      <w:r w:rsidR="5B4FBE4D" w:rsidRPr="008E0170">
        <w:rPr>
          <w:rStyle w:val="FootnoteReference"/>
          <w:rFonts w:ascii="Calibri" w:eastAsia="Calibri" w:hAnsi="Calibri" w:cs="Calibri"/>
          <w:b/>
          <w:bCs/>
          <w:lang w:val="en"/>
        </w:rPr>
        <w:footnoteReference w:id="2"/>
      </w:r>
    </w:p>
    <w:p w14:paraId="0B3AF08E" w14:textId="104E9A50" w:rsidR="5B4FBE4D" w:rsidRPr="008E0170" w:rsidRDefault="53600D4D" w:rsidP="76F421E0">
      <w:pPr>
        <w:rPr>
          <w:rFonts w:ascii="Calibri" w:eastAsia="Calibri" w:hAnsi="Calibri" w:cs="Calibri"/>
          <w:lang w:val="en"/>
        </w:rPr>
      </w:pPr>
      <w:r w:rsidRPr="008E0170">
        <w:rPr>
          <w:rFonts w:ascii="Calibri" w:eastAsia="Calibri" w:hAnsi="Calibri" w:cs="Calibri"/>
          <w:lang w:val="en"/>
        </w:rPr>
        <w:t>Tel: (617) 983-6999</w:t>
      </w:r>
    </w:p>
    <w:p w14:paraId="4DF536C3" w14:textId="35050592" w:rsidR="6DABE1AC" w:rsidRPr="008E0170" w:rsidRDefault="6DABE1AC" w:rsidP="6DABE1AC">
      <w:pPr>
        <w:rPr>
          <w:rFonts w:ascii="Calibri" w:eastAsia="Calibri" w:hAnsi="Calibri" w:cs="Calibri"/>
          <w:b/>
          <w:bCs/>
          <w:szCs w:val="24"/>
          <w:lang w:val="en"/>
        </w:rPr>
      </w:pPr>
    </w:p>
    <w:p w14:paraId="2C7164DA" w14:textId="77777777" w:rsidR="00871E4E" w:rsidRPr="008E0170" w:rsidRDefault="00871E4E" w:rsidP="00871E4E">
      <w:pPr>
        <w:rPr>
          <w:szCs w:val="24"/>
        </w:rPr>
      </w:pPr>
      <w:r w:rsidRPr="008E0170">
        <w:rPr>
          <w:b/>
          <w:bCs/>
          <w:szCs w:val="24"/>
        </w:rPr>
        <w:t xml:space="preserve">To speak to the on-call epidemiologist </w:t>
      </w:r>
    </w:p>
    <w:p w14:paraId="1536BBAA" w14:textId="77777777" w:rsidR="00871E4E" w:rsidRPr="008E0170" w:rsidRDefault="00871E4E" w:rsidP="00871E4E">
      <w:pPr>
        <w:spacing w:after="120"/>
        <w:rPr>
          <w:szCs w:val="24"/>
        </w:rPr>
      </w:pPr>
      <w:r w:rsidRPr="008E0170">
        <w:rPr>
          <w:szCs w:val="24"/>
        </w:rPr>
        <w:t xml:space="preserve">Tel: (617) 983-6800 </w:t>
      </w:r>
    </w:p>
    <w:p w14:paraId="6FCA32A2" w14:textId="77777777" w:rsidR="00871E4E" w:rsidRPr="008E0170" w:rsidRDefault="00871E4E" w:rsidP="00871E4E">
      <w:pPr>
        <w:rPr>
          <w:szCs w:val="24"/>
        </w:rPr>
      </w:pPr>
      <w:r w:rsidRPr="008E0170">
        <w:rPr>
          <w:b/>
          <w:bCs/>
          <w:szCs w:val="24"/>
        </w:rPr>
        <w:t>Questions about infectious disease reporting</w:t>
      </w:r>
    </w:p>
    <w:p w14:paraId="3B0574CD" w14:textId="77777777" w:rsidR="00871E4E" w:rsidRPr="008E0170" w:rsidRDefault="00871E4E" w:rsidP="00871E4E">
      <w:pPr>
        <w:spacing w:after="120"/>
        <w:rPr>
          <w:szCs w:val="24"/>
        </w:rPr>
      </w:pPr>
      <w:r w:rsidRPr="008E0170">
        <w:rPr>
          <w:szCs w:val="24"/>
        </w:rPr>
        <w:t>Tel: (617) 983-6801</w:t>
      </w:r>
    </w:p>
    <w:p w14:paraId="5B5EB15D" w14:textId="77777777" w:rsidR="00871E4E" w:rsidRPr="008E0170" w:rsidRDefault="00871E4E" w:rsidP="00871E4E">
      <w:pPr>
        <w:rPr>
          <w:szCs w:val="24"/>
        </w:rPr>
      </w:pPr>
      <w:r w:rsidRPr="008E0170">
        <w:rPr>
          <w:b/>
          <w:bCs/>
          <w:szCs w:val="24"/>
        </w:rPr>
        <w:t>Requests for additional data</w:t>
      </w:r>
    </w:p>
    <w:p w14:paraId="5AC73545" w14:textId="77777777" w:rsidR="00871E4E" w:rsidRPr="008E0170" w:rsidRDefault="00871E4E" w:rsidP="00871E4E">
      <w:pPr>
        <w:spacing w:after="120"/>
        <w:rPr>
          <w:color w:val="3333FF"/>
          <w:szCs w:val="24"/>
        </w:rPr>
      </w:pPr>
      <w:hyperlink r:id="rId12" w:history="1">
        <w:r w:rsidRPr="008E0170">
          <w:rPr>
            <w:rStyle w:val="Hyperlink"/>
            <w:color w:val="3333FF"/>
            <w:szCs w:val="24"/>
          </w:rPr>
          <w:t>https://www.mass.gov/lists/infectious-disease-data-reports-and-requests</w:t>
        </w:r>
      </w:hyperlink>
      <w:r w:rsidRPr="008E0170">
        <w:rPr>
          <w:color w:val="3333FF"/>
          <w:szCs w:val="24"/>
        </w:rPr>
        <w:t xml:space="preserve"> </w:t>
      </w:r>
    </w:p>
    <w:p w14:paraId="275374E8" w14:textId="759589BD" w:rsidR="00871E4E" w:rsidRPr="008E0170" w:rsidRDefault="00871E4E" w:rsidP="00871E4E">
      <w:pPr>
        <w:rPr>
          <w:szCs w:val="24"/>
        </w:rPr>
      </w:pPr>
      <w:r w:rsidRPr="008E0170">
        <w:rPr>
          <w:b/>
          <w:bCs/>
          <w:szCs w:val="24"/>
        </w:rPr>
        <w:t>Slide set for 202</w:t>
      </w:r>
      <w:r w:rsidR="00E3068B">
        <w:rPr>
          <w:b/>
          <w:bCs/>
          <w:szCs w:val="24"/>
        </w:rPr>
        <w:t>3</w:t>
      </w:r>
      <w:r w:rsidRPr="008E0170">
        <w:rPr>
          <w:b/>
          <w:bCs/>
          <w:szCs w:val="24"/>
        </w:rPr>
        <w:t xml:space="preserve"> Integrated Report</w:t>
      </w:r>
    </w:p>
    <w:p w14:paraId="47B89DC8" w14:textId="77777777" w:rsidR="00871E4E" w:rsidRPr="008E0170" w:rsidRDefault="00871E4E" w:rsidP="00871E4E">
      <w:pPr>
        <w:spacing w:after="120"/>
        <w:rPr>
          <w:color w:val="3333FF"/>
          <w:szCs w:val="24"/>
        </w:rPr>
      </w:pPr>
      <w:hyperlink r:id="rId13" w:history="1">
        <w:r w:rsidRPr="008E0170">
          <w:rPr>
            <w:rStyle w:val="Hyperlink"/>
            <w:color w:val="3333FF"/>
            <w:szCs w:val="24"/>
          </w:rPr>
          <w:t>https://www.mass.gov/lists/std-data-and-reports</w:t>
        </w:r>
      </w:hyperlink>
    </w:p>
    <w:p w14:paraId="07012742" w14:textId="20A6C6FB" w:rsidR="00A360E9" w:rsidRPr="00EC1AAE" w:rsidRDefault="00871E4E" w:rsidP="00871E4E">
      <w:pPr>
        <w:spacing w:after="120"/>
        <w:rPr>
          <w:color w:val="3333FF"/>
          <w:szCs w:val="24"/>
        </w:rPr>
      </w:pPr>
      <w:r w:rsidRPr="008E0170">
        <w:rPr>
          <w:b/>
          <w:bCs/>
          <w:color w:val="000000" w:themeColor="text1"/>
          <w:szCs w:val="24"/>
        </w:rPr>
        <w:t xml:space="preserve">For additional contact information see </w:t>
      </w:r>
      <w:hyperlink w:anchor="_HIV,_STD,_AND_1" w:history="1">
        <w:r w:rsidR="001A56F5" w:rsidRPr="00042408">
          <w:rPr>
            <w:rStyle w:val="Hyperlink"/>
            <w:color w:val="3333FF"/>
            <w:szCs w:val="24"/>
          </w:rPr>
          <w:t xml:space="preserve">HIV, </w:t>
        </w:r>
        <w:r w:rsidR="00285320">
          <w:rPr>
            <w:rStyle w:val="Hyperlink"/>
            <w:color w:val="3333FF"/>
            <w:szCs w:val="24"/>
          </w:rPr>
          <w:t>STI</w:t>
        </w:r>
        <w:r w:rsidR="001A56F5" w:rsidRPr="00042408">
          <w:rPr>
            <w:rStyle w:val="Hyperlink"/>
            <w:color w:val="3333FF"/>
            <w:szCs w:val="24"/>
          </w:rPr>
          <w:t>, and Viral Hepatitis Program Staff Contact Information</w:t>
        </w:r>
      </w:hyperlink>
      <w:r w:rsidR="00A360E9" w:rsidRPr="00042408">
        <w:rPr>
          <w:color w:val="FF0000"/>
          <w:szCs w:val="24"/>
        </w:rPr>
        <w:br w:type="page"/>
      </w:r>
    </w:p>
    <w:p w14:paraId="4153B87F" w14:textId="77777777" w:rsidR="00871E4E" w:rsidRPr="00F716E7" w:rsidRDefault="00871E4E" w:rsidP="00871E4E"/>
    <w:p w14:paraId="47FEE060" w14:textId="4F84FCFB" w:rsidR="00F716E7" w:rsidRPr="00F716E7" w:rsidRDefault="00F716E7" w:rsidP="00871E4E">
      <w:pPr>
        <w:rPr>
          <w:b/>
          <w:bCs/>
        </w:rPr>
      </w:pPr>
      <w:r w:rsidRPr="00F716E7">
        <w:rPr>
          <w:b/>
          <w:bCs/>
        </w:rPr>
        <w:t>ACKNOWLEDGMENTS</w:t>
      </w:r>
    </w:p>
    <w:p w14:paraId="1C408652" w14:textId="77777777" w:rsidR="00F716E7" w:rsidRPr="00F716E7" w:rsidRDefault="00F716E7" w:rsidP="00871E4E"/>
    <w:p w14:paraId="70DA286A" w14:textId="003BD58A" w:rsidR="000A384E" w:rsidRDefault="000A384E" w:rsidP="000A384E">
      <w:pPr>
        <w:rPr>
          <w:szCs w:val="24"/>
        </w:rPr>
      </w:pPr>
      <w:r>
        <w:rPr>
          <w:szCs w:val="24"/>
        </w:rPr>
        <w:t>We are grateful to healthcare providers and laboratories across the Commonwealth who report HIV, STI, and viral hepatitis diagnoses and corresponding clinical information to the Massachusetts Department of Health (</w:t>
      </w:r>
      <w:r w:rsidR="00D3661F">
        <w:rPr>
          <w:szCs w:val="24"/>
        </w:rPr>
        <w:t>DPH</w:t>
      </w:r>
      <w:r>
        <w:rPr>
          <w:szCs w:val="24"/>
        </w:rPr>
        <w:t>), Bureau of Infectious Disease and Laboratory Sciences (BIDLS). These reports are essential to perform timely epidemiologic investigations and to inform an effective public health response. We also wish to acknowledge the contributions of the many program staff within BIDLS who collect, manage, maintain, and analyze this information and who reviewed draft sections relevant to their areas of expertise. </w:t>
      </w:r>
    </w:p>
    <w:p w14:paraId="537852DF" w14:textId="77777777" w:rsidR="00F716E7" w:rsidRPr="00F716E7" w:rsidRDefault="00F716E7" w:rsidP="00871E4E"/>
    <w:p w14:paraId="1D7EC278" w14:textId="77777777" w:rsidR="00F716E7" w:rsidRDefault="00F716E7" w:rsidP="00871E4E">
      <w:pPr>
        <w:rPr>
          <w:color w:val="FF0000"/>
        </w:rPr>
      </w:pPr>
    </w:p>
    <w:p w14:paraId="7F7649F0" w14:textId="77777777" w:rsidR="00F716E7" w:rsidRPr="00991A6F" w:rsidRDefault="00F716E7" w:rsidP="00F716E7">
      <w:pPr>
        <w:rPr>
          <w:color w:val="FF0000"/>
        </w:rPr>
        <w:sectPr w:rsidR="00F716E7" w:rsidRPr="00991A6F" w:rsidSect="00E966E3">
          <w:footerReference w:type="default" r:id="rId14"/>
          <w:pgSz w:w="12240" w:h="15840"/>
          <w:pgMar w:top="1440" w:right="1440" w:bottom="1440" w:left="1440" w:header="720" w:footer="720" w:gutter="0"/>
          <w:cols w:space="720"/>
          <w:titlePg/>
          <w:docGrid w:linePitch="360"/>
        </w:sectPr>
      </w:pPr>
    </w:p>
    <w:p w14:paraId="0241CBF8" w14:textId="77FF6B01" w:rsidR="0016095F" w:rsidRPr="00991A6F" w:rsidRDefault="0016095F" w:rsidP="00871E4E">
      <w:pPr>
        <w:rPr>
          <w:color w:val="FF0000"/>
        </w:rPr>
      </w:pPr>
    </w:p>
    <w:sdt>
      <w:sdtPr>
        <w:rPr>
          <w:rFonts w:asciiTheme="minorHAnsi" w:eastAsiaTheme="minorEastAsia" w:hAnsiTheme="minorHAnsi" w:cstheme="minorBidi"/>
          <w:b w:val="0"/>
          <w:color w:val="2B579A"/>
          <w:sz w:val="24"/>
          <w:szCs w:val="24"/>
          <w:shd w:val="clear" w:color="auto" w:fill="E6E6E6"/>
        </w:rPr>
        <w:id w:val="953004417"/>
        <w:docPartObj>
          <w:docPartGallery w:val="Table of Contents"/>
          <w:docPartUnique/>
        </w:docPartObj>
      </w:sdtPr>
      <w:sdtEndPr>
        <w:rPr>
          <w:color w:val="auto"/>
          <w:shd w:val="clear" w:color="auto" w:fill="auto"/>
        </w:rPr>
      </w:sdtEndPr>
      <w:sdtContent>
        <w:p w14:paraId="1F5A6DB3" w14:textId="5A7953AE" w:rsidR="00871E4E" w:rsidRPr="00B302F2" w:rsidRDefault="00871E4E">
          <w:pPr>
            <w:pStyle w:val="TOCHeading"/>
          </w:pPr>
          <w:r>
            <w:t>Contents</w:t>
          </w:r>
        </w:p>
        <w:p w14:paraId="1ED44C5E" w14:textId="01B6E864" w:rsidR="00F72AE2" w:rsidRDefault="00CE6C24" w:rsidP="00476273">
          <w:pPr>
            <w:pStyle w:val="TOC1"/>
            <w:tabs>
              <w:tab w:val="right" w:leader="dot" w:pos="9345"/>
            </w:tabs>
            <w:rPr>
              <w:rStyle w:val="Hyperlink"/>
              <w:rFonts w:asciiTheme="majorHAnsi" w:eastAsiaTheme="majorEastAsia" w:hAnsiTheme="majorHAnsi" w:cstheme="majorBidi"/>
              <w:b/>
              <w:noProof/>
              <w:kern w:val="2"/>
              <w:sz w:val="32"/>
              <w:szCs w:val="32"/>
              <w14:ligatures w14:val="standardContextual"/>
            </w:rPr>
          </w:pPr>
          <w:r>
            <w:rPr>
              <w:color w:val="2B579A"/>
              <w:shd w:val="clear" w:color="auto" w:fill="E6E6E6"/>
            </w:rPr>
            <w:fldChar w:fldCharType="begin"/>
          </w:r>
          <w:r>
            <w:instrText>TOC \o "1-3" \z \u \h</w:instrText>
          </w:r>
          <w:r>
            <w:rPr>
              <w:color w:val="2B579A"/>
              <w:shd w:val="clear" w:color="auto" w:fill="E6E6E6"/>
            </w:rPr>
            <w:fldChar w:fldCharType="separate"/>
          </w:r>
          <w:hyperlink w:anchor="_Toc328725452">
            <w:r w:rsidR="1D5D99FC" w:rsidRPr="1D5D99FC">
              <w:rPr>
                <w:rStyle w:val="Hyperlink"/>
              </w:rPr>
              <w:t>LIST OF COMMONLY USED ACRONYMS</w:t>
            </w:r>
            <w:r>
              <w:tab/>
            </w:r>
            <w:r>
              <w:rPr>
                <w:color w:val="2B579A"/>
                <w:shd w:val="clear" w:color="auto" w:fill="E6E6E6"/>
              </w:rPr>
              <w:fldChar w:fldCharType="begin"/>
            </w:r>
            <w:r>
              <w:instrText>PAGEREF _Toc328725452 \h</w:instrText>
            </w:r>
            <w:r>
              <w:rPr>
                <w:color w:val="2B579A"/>
                <w:shd w:val="clear" w:color="auto" w:fill="E6E6E6"/>
              </w:rPr>
            </w:r>
            <w:r>
              <w:rPr>
                <w:color w:val="2B579A"/>
                <w:shd w:val="clear" w:color="auto" w:fill="E6E6E6"/>
              </w:rPr>
              <w:fldChar w:fldCharType="separate"/>
            </w:r>
            <w:r w:rsidR="1D5D99FC" w:rsidRPr="1D5D99FC">
              <w:rPr>
                <w:rStyle w:val="Hyperlink"/>
              </w:rPr>
              <w:t>3</w:t>
            </w:r>
            <w:r>
              <w:rPr>
                <w:color w:val="2B579A"/>
                <w:shd w:val="clear" w:color="auto" w:fill="E6E6E6"/>
              </w:rPr>
              <w:fldChar w:fldCharType="end"/>
            </w:r>
          </w:hyperlink>
        </w:p>
        <w:p w14:paraId="51828385" w14:textId="47945BFF" w:rsidR="00F72AE2" w:rsidRDefault="1D5D99FC" w:rsidP="00476273">
          <w:pPr>
            <w:pStyle w:val="TOC1"/>
            <w:tabs>
              <w:tab w:val="right" w:leader="dot" w:pos="9345"/>
            </w:tabs>
            <w:rPr>
              <w:rStyle w:val="Hyperlink"/>
              <w:noProof/>
              <w:kern w:val="2"/>
              <w14:ligatures w14:val="standardContextual"/>
            </w:rPr>
          </w:pPr>
          <w:hyperlink w:anchor="_Toc774818612">
            <w:r w:rsidRPr="1D5D99FC">
              <w:rPr>
                <w:rStyle w:val="Hyperlink"/>
              </w:rPr>
              <w:t>KEY HIGHLIGHTS</w:t>
            </w:r>
            <w:r w:rsidR="00CE6C24">
              <w:tab/>
            </w:r>
            <w:r w:rsidR="00CE6C24">
              <w:rPr>
                <w:color w:val="2B579A"/>
                <w:shd w:val="clear" w:color="auto" w:fill="E6E6E6"/>
              </w:rPr>
              <w:fldChar w:fldCharType="begin"/>
            </w:r>
            <w:r w:rsidR="00CE6C24">
              <w:instrText>PAGEREF _Toc774818612 \h</w:instrText>
            </w:r>
            <w:r w:rsidR="00CE6C24">
              <w:rPr>
                <w:color w:val="2B579A"/>
                <w:shd w:val="clear" w:color="auto" w:fill="E6E6E6"/>
              </w:rPr>
            </w:r>
            <w:r w:rsidR="00CE6C24">
              <w:rPr>
                <w:color w:val="2B579A"/>
                <w:shd w:val="clear" w:color="auto" w:fill="E6E6E6"/>
              </w:rPr>
              <w:fldChar w:fldCharType="separate"/>
            </w:r>
            <w:r w:rsidRPr="1D5D99FC">
              <w:rPr>
                <w:rStyle w:val="Hyperlink"/>
              </w:rPr>
              <w:t>4</w:t>
            </w:r>
            <w:r w:rsidR="00CE6C24">
              <w:rPr>
                <w:color w:val="2B579A"/>
                <w:shd w:val="clear" w:color="auto" w:fill="E6E6E6"/>
              </w:rPr>
              <w:fldChar w:fldCharType="end"/>
            </w:r>
          </w:hyperlink>
        </w:p>
        <w:p w14:paraId="16FC6933" w14:textId="0FFAC8FF" w:rsidR="00F72AE2" w:rsidRDefault="1D5D99FC" w:rsidP="00476273">
          <w:pPr>
            <w:pStyle w:val="TOC1"/>
            <w:tabs>
              <w:tab w:val="right" w:leader="dot" w:pos="9345"/>
            </w:tabs>
            <w:rPr>
              <w:rStyle w:val="Hyperlink"/>
              <w:noProof/>
              <w:kern w:val="2"/>
              <w14:ligatures w14:val="standardContextual"/>
            </w:rPr>
          </w:pPr>
          <w:hyperlink w:anchor="_Toc15495676">
            <w:r w:rsidRPr="1D5D99FC">
              <w:rPr>
                <w:rStyle w:val="Hyperlink"/>
              </w:rPr>
              <w:t>CHLAMYDIA</w:t>
            </w:r>
            <w:r w:rsidR="00CE6C24">
              <w:tab/>
            </w:r>
            <w:r w:rsidR="00CE6C24">
              <w:rPr>
                <w:color w:val="2B579A"/>
                <w:shd w:val="clear" w:color="auto" w:fill="E6E6E6"/>
              </w:rPr>
              <w:fldChar w:fldCharType="begin"/>
            </w:r>
            <w:r w:rsidR="00CE6C24">
              <w:instrText>PAGEREF _Toc15495676 \h</w:instrText>
            </w:r>
            <w:r w:rsidR="00CE6C24">
              <w:rPr>
                <w:color w:val="2B579A"/>
                <w:shd w:val="clear" w:color="auto" w:fill="E6E6E6"/>
              </w:rPr>
            </w:r>
            <w:r w:rsidR="00CE6C24">
              <w:rPr>
                <w:color w:val="2B579A"/>
                <w:shd w:val="clear" w:color="auto" w:fill="E6E6E6"/>
              </w:rPr>
              <w:fldChar w:fldCharType="separate"/>
            </w:r>
            <w:r w:rsidRPr="1D5D99FC">
              <w:rPr>
                <w:rStyle w:val="Hyperlink"/>
              </w:rPr>
              <w:t>8</w:t>
            </w:r>
            <w:r w:rsidR="00CE6C24">
              <w:rPr>
                <w:color w:val="2B579A"/>
                <w:shd w:val="clear" w:color="auto" w:fill="E6E6E6"/>
              </w:rPr>
              <w:fldChar w:fldCharType="end"/>
            </w:r>
          </w:hyperlink>
        </w:p>
        <w:p w14:paraId="6C5C81DF" w14:textId="660C7AA4" w:rsidR="00F72AE2" w:rsidRDefault="1D5D99FC" w:rsidP="00476273">
          <w:pPr>
            <w:pStyle w:val="TOC2"/>
            <w:tabs>
              <w:tab w:val="right" w:leader="dot" w:pos="9345"/>
            </w:tabs>
            <w:rPr>
              <w:rStyle w:val="Hyperlink"/>
              <w:noProof/>
              <w:kern w:val="2"/>
              <w14:ligatures w14:val="standardContextual"/>
            </w:rPr>
          </w:pPr>
          <w:hyperlink w:anchor="_Toc967236646">
            <w:r w:rsidRPr="1D5D99FC">
              <w:rPr>
                <w:rStyle w:val="Hyperlink"/>
              </w:rPr>
              <w:t>CHLAMYDIA BY GENDER</w:t>
            </w:r>
            <w:r w:rsidR="00CE6C24">
              <w:tab/>
            </w:r>
            <w:r w:rsidR="00CE6C24">
              <w:rPr>
                <w:color w:val="2B579A"/>
                <w:shd w:val="clear" w:color="auto" w:fill="E6E6E6"/>
              </w:rPr>
              <w:fldChar w:fldCharType="begin"/>
            </w:r>
            <w:r w:rsidR="00CE6C24">
              <w:instrText>PAGEREF _Toc967236646 \h</w:instrText>
            </w:r>
            <w:r w:rsidR="00CE6C24">
              <w:rPr>
                <w:color w:val="2B579A"/>
                <w:shd w:val="clear" w:color="auto" w:fill="E6E6E6"/>
              </w:rPr>
            </w:r>
            <w:r w:rsidR="00CE6C24">
              <w:rPr>
                <w:color w:val="2B579A"/>
                <w:shd w:val="clear" w:color="auto" w:fill="E6E6E6"/>
              </w:rPr>
              <w:fldChar w:fldCharType="separate"/>
            </w:r>
            <w:r w:rsidRPr="1D5D99FC">
              <w:rPr>
                <w:rStyle w:val="Hyperlink"/>
              </w:rPr>
              <w:t>9</w:t>
            </w:r>
            <w:r w:rsidR="00CE6C24">
              <w:rPr>
                <w:color w:val="2B579A"/>
                <w:shd w:val="clear" w:color="auto" w:fill="E6E6E6"/>
              </w:rPr>
              <w:fldChar w:fldCharType="end"/>
            </w:r>
          </w:hyperlink>
        </w:p>
        <w:p w14:paraId="33EF38A1" w14:textId="67715CA5" w:rsidR="00F72AE2" w:rsidRDefault="1D5D99FC" w:rsidP="00476273">
          <w:pPr>
            <w:pStyle w:val="TOC2"/>
            <w:tabs>
              <w:tab w:val="right" w:leader="dot" w:pos="9345"/>
            </w:tabs>
            <w:rPr>
              <w:rStyle w:val="Hyperlink"/>
              <w:noProof/>
              <w:kern w:val="2"/>
              <w14:ligatures w14:val="standardContextual"/>
            </w:rPr>
          </w:pPr>
          <w:hyperlink w:anchor="_Toc2118416913">
            <w:r w:rsidRPr="1D5D99FC">
              <w:rPr>
                <w:rStyle w:val="Hyperlink"/>
              </w:rPr>
              <w:t>CHLAMYDIA BY AGE</w:t>
            </w:r>
            <w:r w:rsidR="00CE6C24">
              <w:tab/>
            </w:r>
            <w:r w:rsidR="00CE6C24">
              <w:rPr>
                <w:color w:val="2B579A"/>
                <w:shd w:val="clear" w:color="auto" w:fill="E6E6E6"/>
              </w:rPr>
              <w:fldChar w:fldCharType="begin"/>
            </w:r>
            <w:r w:rsidR="00CE6C24">
              <w:instrText>PAGEREF _Toc2118416913 \h</w:instrText>
            </w:r>
            <w:r w:rsidR="00CE6C24">
              <w:rPr>
                <w:color w:val="2B579A"/>
                <w:shd w:val="clear" w:color="auto" w:fill="E6E6E6"/>
              </w:rPr>
            </w:r>
            <w:r w:rsidR="00CE6C24">
              <w:rPr>
                <w:color w:val="2B579A"/>
                <w:shd w:val="clear" w:color="auto" w:fill="E6E6E6"/>
              </w:rPr>
              <w:fldChar w:fldCharType="separate"/>
            </w:r>
            <w:r w:rsidRPr="1D5D99FC">
              <w:rPr>
                <w:rStyle w:val="Hyperlink"/>
              </w:rPr>
              <w:t>10</w:t>
            </w:r>
            <w:r w:rsidR="00CE6C24">
              <w:rPr>
                <w:color w:val="2B579A"/>
                <w:shd w:val="clear" w:color="auto" w:fill="E6E6E6"/>
              </w:rPr>
              <w:fldChar w:fldCharType="end"/>
            </w:r>
          </w:hyperlink>
        </w:p>
        <w:p w14:paraId="7B5C52A0" w14:textId="5B0D6936" w:rsidR="00F72AE2" w:rsidRDefault="1D5D99FC" w:rsidP="00476273">
          <w:pPr>
            <w:pStyle w:val="TOC2"/>
            <w:tabs>
              <w:tab w:val="right" w:leader="dot" w:pos="9345"/>
            </w:tabs>
            <w:rPr>
              <w:rStyle w:val="Hyperlink"/>
              <w:noProof/>
              <w:kern w:val="2"/>
              <w14:ligatures w14:val="standardContextual"/>
            </w:rPr>
          </w:pPr>
          <w:hyperlink w:anchor="_Toc1621656580">
            <w:r w:rsidRPr="1D5D99FC">
              <w:rPr>
                <w:rStyle w:val="Hyperlink"/>
              </w:rPr>
              <w:t>CHLAMYDIA BY AVERAGE AGE AND GENDER</w:t>
            </w:r>
            <w:r w:rsidR="00CE6C24">
              <w:tab/>
            </w:r>
            <w:r w:rsidR="00CE6C24">
              <w:rPr>
                <w:color w:val="2B579A"/>
                <w:shd w:val="clear" w:color="auto" w:fill="E6E6E6"/>
              </w:rPr>
              <w:fldChar w:fldCharType="begin"/>
            </w:r>
            <w:r w:rsidR="00CE6C24">
              <w:instrText>PAGEREF _Toc1621656580 \h</w:instrText>
            </w:r>
            <w:r w:rsidR="00CE6C24">
              <w:rPr>
                <w:color w:val="2B579A"/>
                <w:shd w:val="clear" w:color="auto" w:fill="E6E6E6"/>
              </w:rPr>
            </w:r>
            <w:r w:rsidR="00CE6C24">
              <w:rPr>
                <w:color w:val="2B579A"/>
                <w:shd w:val="clear" w:color="auto" w:fill="E6E6E6"/>
              </w:rPr>
              <w:fldChar w:fldCharType="separate"/>
            </w:r>
            <w:r w:rsidRPr="1D5D99FC">
              <w:rPr>
                <w:rStyle w:val="Hyperlink"/>
              </w:rPr>
              <w:t>11</w:t>
            </w:r>
            <w:r w:rsidR="00CE6C24">
              <w:rPr>
                <w:color w:val="2B579A"/>
                <w:shd w:val="clear" w:color="auto" w:fill="E6E6E6"/>
              </w:rPr>
              <w:fldChar w:fldCharType="end"/>
            </w:r>
          </w:hyperlink>
        </w:p>
        <w:p w14:paraId="1FDAB1AC" w14:textId="59C8F45E" w:rsidR="00F72AE2" w:rsidRDefault="1D5D99FC" w:rsidP="00476273">
          <w:pPr>
            <w:pStyle w:val="TOC2"/>
            <w:tabs>
              <w:tab w:val="right" w:leader="dot" w:pos="9345"/>
            </w:tabs>
            <w:rPr>
              <w:rStyle w:val="Hyperlink"/>
              <w:noProof/>
              <w:kern w:val="2"/>
              <w14:ligatures w14:val="standardContextual"/>
            </w:rPr>
          </w:pPr>
          <w:hyperlink w:anchor="_Toc790179784">
            <w:r w:rsidRPr="1D5D99FC">
              <w:rPr>
                <w:rStyle w:val="Hyperlink"/>
              </w:rPr>
              <w:t>CHLAMYDIA BY CITY/TOWN</w:t>
            </w:r>
            <w:r w:rsidR="00CE6C24">
              <w:tab/>
            </w:r>
            <w:r w:rsidR="00CE6C24">
              <w:rPr>
                <w:color w:val="2B579A"/>
                <w:shd w:val="clear" w:color="auto" w:fill="E6E6E6"/>
              </w:rPr>
              <w:fldChar w:fldCharType="begin"/>
            </w:r>
            <w:r w:rsidR="00CE6C24">
              <w:instrText>PAGEREF _Toc790179784 \h</w:instrText>
            </w:r>
            <w:r w:rsidR="00CE6C24">
              <w:rPr>
                <w:color w:val="2B579A"/>
                <w:shd w:val="clear" w:color="auto" w:fill="E6E6E6"/>
              </w:rPr>
            </w:r>
            <w:r w:rsidR="00CE6C24">
              <w:rPr>
                <w:color w:val="2B579A"/>
                <w:shd w:val="clear" w:color="auto" w:fill="E6E6E6"/>
              </w:rPr>
              <w:fldChar w:fldCharType="separate"/>
            </w:r>
            <w:r w:rsidRPr="1D5D99FC">
              <w:rPr>
                <w:rStyle w:val="Hyperlink"/>
              </w:rPr>
              <w:t>12</w:t>
            </w:r>
            <w:r w:rsidR="00CE6C24">
              <w:rPr>
                <w:color w:val="2B579A"/>
                <w:shd w:val="clear" w:color="auto" w:fill="E6E6E6"/>
              </w:rPr>
              <w:fldChar w:fldCharType="end"/>
            </w:r>
          </w:hyperlink>
        </w:p>
        <w:p w14:paraId="23DEDC8B" w14:textId="77032AD8" w:rsidR="00F72AE2" w:rsidRDefault="1D5D99FC" w:rsidP="00476273">
          <w:pPr>
            <w:pStyle w:val="TOC2"/>
            <w:tabs>
              <w:tab w:val="right" w:leader="dot" w:pos="9345"/>
            </w:tabs>
            <w:rPr>
              <w:rStyle w:val="Hyperlink"/>
              <w:noProof/>
              <w:kern w:val="2"/>
              <w14:ligatures w14:val="standardContextual"/>
            </w:rPr>
          </w:pPr>
          <w:hyperlink w:anchor="_Toc1697339963">
            <w:r w:rsidRPr="1D5D99FC">
              <w:rPr>
                <w:rStyle w:val="Hyperlink"/>
              </w:rPr>
              <w:t>SVI AMONG CHLAMYDIA CASES BY CITY/TOWN</w:t>
            </w:r>
            <w:r w:rsidR="00CE6C24">
              <w:tab/>
            </w:r>
            <w:r w:rsidR="00CE6C24">
              <w:rPr>
                <w:color w:val="2B579A"/>
                <w:shd w:val="clear" w:color="auto" w:fill="E6E6E6"/>
              </w:rPr>
              <w:fldChar w:fldCharType="begin"/>
            </w:r>
            <w:r w:rsidR="00CE6C24">
              <w:instrText>PAGEREF _Toc1697339963 \h</w:instrText>
            </w:r>
            <w:r w:rsidR="00CE6C24">
              <w:rPr>
                <w:color w:val="2B579A"/>
                <w:shd w:val="clear" w:color="auto" w:fill="E6E6E6"/>
              </w:rPr>
            </w:r>
            <w:r w:rsidR="00CE6C24">
              <w:rPr>
                <w:color w:val="2B579A"/>
                <w:shd w:val="clear" w:color="auto" w:fill="E6E6E6"/>
              </w:rPr>
              <w:fldChar w:fldCharType="separate"/>
            </w:r>
            <w:r w:rsidRPr="1D5D99FC">
              <w:rPr>
                <w:rStyle w:val="Hyperlink"/>
              </w:rPr>
              <w:t>14</w:t>
            </w:r>
            <w:r w:rsidR="00CE6C24">
              <w:rPr>
                <w:color w:val="2B579A"/>
                <w:shd w:val="clear" w:color="auto" w:fill="E6E6E6"/>
              </w:rPr>
              <w:fldChar w:fldCharType="end"/>
            </w:r>
          </w:hyperlink>
        </w:p>
        <w:p w14:paraId="37BF77CB" w14:textId="7E3BE1F5" w:rsidR="00F72AE2" w:rsidRDefault="1D5D99FC" w:rsidP="00476273">
          <w:pPr>
            <w:pStyle w:val="TOC1"/>
            <w:tabs>
              <w:tab w:val="right" w:leader="dot" w:pos="9345"/>
            </w:tabs>
            <w:rPr>
              <w:rStyle w:val="Hyperlink"/>
              <w:noProof/>
              <w:kern w:val="2"/>
              <w14:ligatures w14:val="standardContextual"/>
            </w:rPr>
          </w:pPr>
          <w:hyperlink w:anchor="_Toc576845658">
            <w:r w:rsidRPr="1D5D99FC">
              <w:rPr>
                <w:rStyle w:val="Hyperlink"/>
              </w:rPr>
              <w:t>GONORRHEA</w:t>
            </w:r>
            <w:r w:rsidR="00CE6C24">
              <w:tab/>
            </w:r>
            <w:r w:rsidR="00CE6C24">
              <w:rPr>
                <w:color w:val="2B579A"/>
                <w:shd w:val="clear" w:color="auto" w:fill="E6E6E6"/>
              </w:rPr>
              <w:fldChar w:fldCharType="begin"/>
            </w:r>
            <w:r w:rsidR="00CE6C24">
              <w:instrText>PAGEREF _Toc576845658 \h</w:instrText>
            </w:r>
            <w:r w:rsidR="00CE6C24">
              <w:rPr>
                <w:color w:val="2B579A"/>
                <w:shd w:val="clear" w:color="auto" w:fill="E6E6E6"/>
              </w:rPr>
            </w:r>
            <w:r w:rsidR="00CE6C24">
              <w:rPr>
                <w:color w:val="2B579A"/>
                <w:shd w:val="clear" w:color="auto" w:fill="E6E6E6"/>
              </w:rPr>
              <w:fldChar w:fldCharType="separate"/>
            </w:r>
            <w:r w:rsidRPr="1D5D99FC">
              <w:rPr>
                <w:rStyle w:val="Hyperlink"/>
              </w:rPr>
              <w:t>16</w:t>
            </w:r>
            <w:r w:rsidR="00CE6C24">
              <w:rPr>
                <w:color w:val="2B579A"/>
                <w:shd w:val="clear" w:color="auto" w:fill="E6E6E6"/>
              </w:rPr>
              <w:fldChar w:fldCharType="end"/>
            </w:r>
          </w:hyperlink>
        </w:p>
        <w:p w14:paraId="47638288" w14:textId="1E3643E9" w:rsidR="00F72AE2" w:rsidRDefault="1D5D99FC" w:rsidP="00476273">
          <w:pPr>
            <w:pStyle w:val="TOC2"/>
            <w:tabs>
              <w:tab w:val="right" w:leader="dot" w:pos="9345"/>
            </w:tabs>
            <w:rPr>
              <w:rStyle w:val="Hyperlink"/>
              <w:noProof/>
              <w:kern w:val="2"/>
              <w14:ligatures w14:val="standardContextual"/>
            </w:rPr>
          </w:pPr>
          <w:hyperlink w:anchor="_Toc182242962">
            <w:r w:rsidRPr="1D5D99FC">
              <w:rPr>
                <w:rStyle w:val="Hyperlink"/>
              </w:rPr>
              <w:t>GONORRHEA BY GENDER</w:t>
            </w:r>
            <w:r w:rsidR="00CE6C24">
              <w:tab/>
            </w:r>
            <w:r w:rsidR="00CE6C24">
              <w:rPr>
                <w:color w:val="2B579A"/>
                <w:shd w:val="clear" w:color="auto" w:fill="E6E6E6"/>
              </w:rPr>
              <w:fldChar w:fldCharType="begin"/>
            </w:r>
            <w:r w:rsidR="00CE6C24">
              <w:instrText>PAGEREF _Toc182242962 \h</w:instrText>
            </w:r>
            <w:r w:rsidR="00CE6C24">
              <w:rPr>
                <w:color w:val="2B579A"/>
                <w:shd w:val="clear" w:color="auto" w:fill="E6E6E6"/>
              </w:rPr>
            </w:r>
            <w:r w:rsidR="00CE6C24">
              <w:rPr>
                <w:color w:val="2B579A"/>
                <w:shd w:val="clear" w:color="auto" w:fill="E6E6E6"/>
              </w:rPr>
              <w:fldChar w:fldCharType="separate"/>
            </w:r>
            <w:r w:rsidRPr="1D5D99FC">
              <w:rPr>
                <w:rStyle w:val="Hyperlink"/>
              </w:rPr>
              <w:t>16</w:t>
            </w:r>
            <w:r w:rsidR="00CE6C24">
              <w:rPr>
                <w:color w:val="2B579A"/>
                <w:shd w:val="clear" w:color="auto" w:fill="E6E6E6"/>
              </w:rPr>
              <w:fldChar w:fldCharType="end"/>
            </w:r>
          </w:hyperlink>
        </w:p>
        <w:p w14:paraId="4F9388CD" w14:textId="5EA82FE2" w:rsidR="00F72AE2" w:rsidRDefault="1D5D99FC" w:rsidP="00476273">
          <w:pPr>
            <w:pStyle w:val="TOC2"/>
            <w:tabs>
              <w:tab w:val="right" w:leader="dot" w:pos="9345"/>
            </w:tabs>
            <w:rPr>
              <w:rStyle w:val="Hyperlink"/>
              <w:noProof/>
              <w:kern w:val="2"/>
              <w14:ligatures w14:val="standardContextual"/>
            </w:rPr>
          </w:pPr>
          <w:hyperlink w:anchor="_Toc1118899615">
            <w:r w:rsidRPr="1D5D99FC">
              <w:rPr>
                <w:rStyle w:val="Hyperlink"/>
              </w:rPr>
              <w:t>GONORRHEA BY AGE</w:t>
            </w:r>
            <w:r w:rsidR="00CE6C24">
              <w:tab/>
            </w:r>
            <w:r w:rsidR="00CE6C24">
              <w:rPr>
                <w:color w:val="2B579A"/>
                <w:shd w:val="clear" w:color="auto" w:fill="E6E6E6"/>
              </w:rPr>
              <w:fldChar w:fldCharType="begin"/>
            </w:r>
            <w:r w:rsidR="00CE6C24">
              <w:instrText>PAGEREF _Toc1118899615 \h</w:instrText>
            </w:r>
            <w:r w:rsidR="00CE6C24">
              <w:rPr>
                <w:color w:val="2B579A"/>
                <w:shd w:val="clear" w:color="auto" w:fill="E6E6E6"/>
              </w:rPr>
            </w:r>
            <w:r w:rsidR="00CE6C24">
              <w:rPr>
                <w:color w:val="2B579A"/>
                <w:shd w:val="clear" w:color="auto" w:fill="E6E6E6"/>
              </w:rPr>
              <w:fldChar w:fldCharType="separate"/>
            </w:r>
            <w:r w:rsidRPr="1D5D99FC">
              <w:rPr>
                <w:rStyle w:val="Hyperlink"/>
              </w:rPr>
              <w:t>17</w:t>
            </w:r>
            <w:r w:rsidR="00CE6C24">
              <w:rPr>
                <w:color w:val="2B579A"/>
                <w:shd w:val="clear" w:color="auto" w:fill="E6E6E6"/>
              </w:rPr>
              <w:fldChar w:fldCharType="end"/>
            </w:r>
          </w:hyperlink>
        </w:p>
        <w:p w14:paraId="69F401CD" w14:textId="636EC178" w:rsidR="00F72AE2" w:rsidRDefault="1D5D99FC" w:rsidP="00476273">
          <w:pPr>
            <w:pStyle w:val="TOC2"/>
            <w:tabs>
              <w:tab w:val="right" w:leader="dot" w:pos="9345"/>
            </w:tabs>
            <w:rPr>
              <w:rStyle w:val="Hyperlink"/>
              <w:noProof/>
              <w:kern w:val="2"/>
              <w14:ligatures w14:val="standardContextual"/>
            </w:rPr>
          </w:pPr>
          <w:hyperlink w:anchor="_Toc424949548">
            <w:r w:rsidRPr="1D5D99FC">
              <w:rPr>
                <w:rStyle w:val="Hyperlink"/>
              </w:rPr>
              <w:t>GONORRHEA BY CITY/TOWN</w:t>
            </w:r>
            <w:r w:rsidR="00CE6C24">
              <w:tab/>
            </w:r>
            <w:r w:rsidR="00CE6C24">
              <w:rPr>
                <w:color w:val="2B579A"/>
                <w:shd w:val="clear" w:color="auto" w:fill="E6E6E6"/>
              </w:rPr>
              <w:fldChar w:fldCharType="begin"/>
            </w:r>
            <w:r w:rsidR="00CE6C24">
              <w:instrText>PAGEREF _Toc424949548 \h</w:instrText>
            </w:r>
            <w:r w:rsidR="00CE6C24">
              <w:rPr>
                <w:color w:val="2B579A"/>
                <w:shd w:val="clear" w:color="auto" w:fill="E6E6E6"/>
              </w:rPr>
            </w:r>
            <w:r w:rsidR="00CE6C24">
              <w:rPr>
                <w:color w:val="2B579A"/>
                <w:shd w:val="clear" w:color="auto" w:fill="E6E6E6"/>
              </w:rPr>
              <w:fldChar w:fldCharType="separate"/>
            </w:r>
            <w:r w:rsidRPr="1D5D99FC">
              <w:rPr>
                <w:rStyle w:val="Hyperlink"/>
              </w:rPr>
              <w:t>18</w:t>
            </w:r>
            <w:r w:rsidR="00CE6C24">
              <w:rPr>
                <w:color w:val="2B579A"/>
                <w:shd w:val="clear" w:color="auto" w:fill="E6E6E6"/>
              </w:rPr>
              <w:fldChar w:fldCharType="end"/>
            </w:r>
          </w:hyperlink>
        </w:p>
        <w:p w14:paraId="50F613CD" w14:textId="266C6E72" w:rsidR="00F72AE2" w:rsidRDefault="1D5D99FC" w:rsidP="00476273">
          <w:pPr>
            <w:pStyle w:val="TOC2"/>
            <w:tabs>
              <w:tab w:val="right" w:leader="dot" w:pos="9345"/>
            </w:tabs>
            <w:rPr>
              <w:rStyle w:val="Hyperlink"/>
              <w:noProof/>
              <w:kern w:val="2"/>
              <w14:ligatures w14:val="standardContextual"/>
            </w:rPr>
          </w:pPr>
          <w:hyperlink w:anchor="_Toc231739001">
            <w:r w:rsidRPr="1D5D99FC">
              <w:rPr>
                <w:rStyle w:val="Hyperlink"/>
              </w:rPr>
              <w:t>SVI AMONG GONORRHEA CASES BY CITY/TOWN</w:t>
            </w:r>
            <w:r w:rsidR="00CE6C24">
              <w:tab/>
            </w:r>
            <w:r w:rsidR="00CE6C24">
              <w:rPr>
                <w:color w:val="2B579A"/>
                <w:shd w:val="clear" w:color="auto" w:fill="E6E6E6"/>
              </w:rPr>
              <w:fldChar w:fldCharType="begin"/>
            </w:r>
            <w:r w:rsidR="00CE6C24">
              <w:instrText>PAGEREF _Toc231739001 \h</w:instrText>
            </w:r>
            <w:r w:rsidR="00CE6C24">
              <w:rPr>
                <w:color w:val="2B579A"/>
                <w:shd w:val="clear" w:color="auto" w:fill="E6E6E6"/>
              </w:rPr>
            </w:r>
            <w:r w:rsidR="00CE6C24">
              <w:rPr>
                <w:color w:val="2B579A"/>
                <w:shd w:val="clear" w:color="auto" w:fill="E6E6E6"/>
              </w:rPr>
              <w:fldChar w:fldCharType="separate"/>
            </w:r>
            <w:r w:rsidRPr="1D5D99FC">
              <w:rPr>
                <w:rStyle w:val="Hyperlink"/>
              </w:rPr>
              <w:t>20</w:t>
            </w:r>
            <w:r w:rsidR="00CE6C24">
              <w:rPr>
                <w:color w:val="2B579A"/>
                <w:shd w:val="clear" w:color="auto" w:fill="E6E6E6"/>
              </w:rPr>
              <w:fldChar w:fldCharType="end"/>
            </w:r>
          </w:hyperlink>
        </w:p>
        <w:p w14:paraId="0B6282C2" w14:textId="60FDE183" w:rsidR="00F72AE2" w:rsidRDefault="1D5D99FC" w:rsidP="00476273">
          <w:pPr>
            <w:pStyle w:val="TOC1"/>
            <w:tabs>
              <w:tab w:val="right" w:leader="dot" w:pos="9345"/>
            </w:tabs>
            <w:rPr>
              <w:rStyle w:val="Hyperlink"/>
              <w:noProof/>
              <w:kern w:val="2"/>
              <w14:ligatures w14:val="standardContextual"/>
            </w:rPr>
          </w:pPr>
          <w:hyperlink w:anchor="_Toc1161395594">
            <w:r w:rsidRPr="1D5D99FC">
              <w:rPr>
                <w:rStyle w:val="Hyperlink"/>
              </w:rPr>
              <w:t>SYPHILIS</w:t>
            </w:r>
            <w:r w:rsidR="00CE6C24">
              <w:tab/>
            </w:r>
            <w:r w:rsidR="00CE6C24">
              <w:rPr>
                <w:color w:val="2B579A"/>
                <w:shd w:val="clear" w:color="auto" w:fill="E6E6E6"/>
              </w:rPr>
              <w:fldChar w:fldCharType="begin"/>
            </w:r>
            <w:r w:rsidR="00CE6C24">
              <w:instrText>PAGEREF _Toc1161395594 \h</w:instrText>
            </w:r>
            <w:r w:rsidR="00CE6C24">
              <w:rPr>
                <w:color w:val="2B579A"/>
                <w:shd w:val="clear" w:color="auto" w:fill="E6E6E6"/>
              </w:rPr>
            </w:r>
            <w:r w:rsidR="00CE6C24">
              <w:rPr>
                <w:color w:val="2B579A"/>
                <w:shd w:val="clear" w:color="auto" w:fill="E6E6E6"/>
              </w:rPr>
              <w:fldChar w:fldCharType="separate"/>
            </w:r>
            <w:r w:rsidRPr="1D5D99FC">
              <w:rPr>
                <w:rStyle w:val="Hyperlink"/>
              </w:rPr>
              <w:t>21</w:t>
            </w:r>
            <w:r w:rsidR="00CE6C24">
              <w:rPr>
                <w:color w:val="2B579A"/>
                <w:shd w:val="clear" w:color="auto" w:fill="E6E6E6"/>
              </w:rPr>
              <w:fldChar w:fldCharType="end"/>
            </w:r>
          </w:hyperlink>
        </w:p>
        <w:p w14:paraId="5D3EF370" w14:textId="0A231C13" w:rsidR="00F72AE2" w:rsidRDefault="1D5D99FC" w:rsidP="00476273">
          <w:pPr>
            <w:pStyle w:val="TOC2"/>
            <w:tabs>
              <w:tab w:val="right" w:leader="dot" w:pos="9345"/>
            </w:tabs>
            <w:rPr>
              <w:rStyle w:val="Hyperlink"/>
              <w:noProof/>
              <w:kern w:val="2"/>
              <w14:ligatures w14:val="standardContextual"/>
            </w:rPr>
          </w:pPr>
          <w:hyperlink w:anchor="_Toc1877476778">
            <w:r w:rsidRPr="1D5D99FC">
              <w:rPr>
                <w:rStyle w:val="Hyperlink"/>
              </w:rPr>
              <w:t>SYPHILIS BY GENDER</w:t>
            </w:r>
            <w:r w:rsidR="00CE6C24">
              <w:tab/>
            </w:r>
            <w:r w:rsidR="00CE6C24">
              <w:rPr>
                <w:color w:val="2B579A"/>
                <w:shd w:val="clear" w:color="auto" w:fill="E6E6E6"/>
              </w:rPr>
              <w:fldChar w:fldCharType="begin"/>
            </w:r>
            <w:r w:rsidR="00CE6C24">
              <w:instrText>PAGEREF _Toc1877476778 \h</w:instrText>
            </w:r>
            <w:r w:rsidR="00CE6C24">
              <w:rPr>
                <w:color w:val="2B579A"/>
                <w:shd w:val="clear" w:color="auto" w:fill="E6E6E6"/>
              </w:rPr>
            </w:r>
            <w:r w:rsidR="00CE6C24">
              <w:rPr>
                <w:color w:val="2B579A"/>
                <w:shd w:val="clear" w:color="auto" w:fill="E6E6E6"/>
              </w:rPr>
              <w:fldChar w:fldCharType="separate"/>
            </w:r>
            <w:r w:rsidRPr="1D5D99FC">
              <w:rPr>
                <w:rStyle w:val="Hyperlink"/>
              </w:rPr>
              <w:t>22</w:t>
            </w:r>
            <w:r w:rsidR="00CE6C24">
              <w:rPr>
                <w:color w:val="2B579A"/>
                <w:shd w:val="clear" w:color="auto" w:fill="E6E6E6"/>
              </w:rPr>
              <w:fldChar w:fldCharType="end"/>
            </w:r>
          </w:hyperlink>
        </w:p>
        <w:p w14:paraId="530DFAE9" w14:textId="5415FFCC" w:rsidR="00F72AE2" w:rsidRDefault="1D5D99FC" w:rsidP="00476273">
          <w:pPr>
            <w:pStyle w:val="TOC2"/>
            <w:tabs>
              <w:tab w:val="right" w:leader="dot" w:pos="9345"/>
            </w:tabs>
            <w:rPr>
              <w:rStyle w:val="Hyperlink"/>
              <w:noProof/>
              <w:kern w:val="2"/>
              <w14:ligatures w14:val="standardContextual"/>
            </w:rPr>
          </w:pPr>
          <w:hyperlink w:anchor="_Toc1585710730">
            <w:r w:rsidRPr="1D5D99FC">
              <w:rPr>
                <w:rStyle w:val="Hyperlink"/>
              </w:rPr>
              <w:t>SYPHILIS BY AGE</w:t>
            </w:r>
            <w:r w:rsidR="00CE6C24">
              <w:tab/>
            </w:r>
            <w:r w:rsidR="00CE6C24">
              <w:rPr>
                <w:color w:val="2B579A"/>
                <w:shd w:val="clear" w:color="auto" w:fill="E6E6E6"/>
              </w:rPr>
              <w:fldChar w:fldCharType="begin"/>
            </w:r>
            <w:r w:rsidR="00CE6C24">
              <w:instrText>PAGEREF _Toc1585710730 \h</w:instrText>
            </w:r>
            <w:r w:rsidR="00CE6C24">
              <w:rPr>
                <w:color w:val="2B579A"/>
                <w:shd w:val="clear" w:color="auto" w:fill="E6E6E6"/>
              </w:rPr>
            </w:r>
            <w:r w:rsidR="00CE6C24">
              <w:rPr>
                <w:color w:val="2B579A"/>
                <w:shd w:val="clear" w:color="auto" w:fill="E6E6E6"/>
              </w:rPr>
              <w:fldChar w:fldCharType="separate"/>
            </w:r>
            <w:r w:rsidRPr="1D5D99FC">
              <w:rPr>
                <w:rStyle w:val="Hyperlink"/>
              </w:rPr>
              <w:t>23</w:t>
            </w:r>
            <w:r w:rsidR="00CE6C24">
              <w:rPr>
                <w:color w:val="2B579A"/>
                <w:shd w:val="clear" w:color="auto" w:fill="E6E6E6"/>
              </w:rPr>
              <w:fldChar w:fldCharType="end"/>
            </w:r>
          </w:hyperlink>
        </w:p>
        <w:p w14:paraId="5A5F93B6" w14:textId="0B3220F3" w:rsidR="00F72AE2" w:rsidRDefault="1D5D99FC" w:rsidP="00476273">
          <w:pPr>
            <w:pStyle w:val="TOC2"/>
            <w:tabs>
              <w:tab w:val="right" w:leader="dot" w:pos="9345"/>
            </w:tabs>
            <w:rPr>
              <w:rStyle w:val="Hyperlink"/>
              <w:noProof/>
              <w:kern w:val="2"/>
              <w14:ligatures w14:val="standardContextual"/>
            </w:rPr>
          </w:pPr>
          <w:hyperlink w:anchor="_Toc2011940708">
            <w:r w:rsidRPr="1D5D99FC">
              <w:rPr>
                <w:rStyle w:val="Hyperlink"/>
              </w:rPr>
              <w:t>SYPHILIS BY CITY/TOWN</w:t>
            </w:r>
            <w:r w:rsidR="00CE6C24">
              <w:tab/>
            </w:r>
            <w:r w:rsidR="00CE6C24">
              <w:rPr>
                <w:color w:val="2B579A"/>
                <w:shd w:val="clear" w:color="auto" w:fill="E6E6E6"/>
              </w:rPr>
              <w:fldChar w:fldCharType="begin"/>
            </w:r>
            <w:r w:rsidR="00CE6C24">
              <w:instrText>PAGEREF _Toc2011940708 \h</w:instrText>
            </w:r>
            <w:r w:rsidR="00CE6C24">
              <w:rPr>
                <w:color w:val="2B579A"/>
                <w:shd w:val="clear" w:color="auto" w:fill="E6E6E6"/>
              </w:rPr>
            </w:r>
            <w:r w:rsidR="00CE6C24">
              <w:rPr>
                <w:color w:val="2B579A"/>
                <w:shd w:val="clear" w:color="auto" w:fill="E6E6E6"/>
              </w:rPr>
              <w:fldChar w:fldCharType="separate"/>
            </w:r>
            <w:r w:rsidRPr="1D5D99FC">
              <w:rPr>
                <w:rStyle w:val="Hyperlink"/>
              </w:rPr>
              <w:t>24</w:t>
            </w:r>
            <w:r w:rsidR="00CE6C24">
              <w:rPr>
                <w:color w:val="2B579A"/>
                <w:shd w:val="clear" w:color="auto" w:fill="E6E6E6"/>
              </w:rPr>
              <w:fldChar w:fldCharType="end"/>
            </w:r>
          </w:hyperlink>
        </w:p>
        <w:p w14:paraId="1FB28982" w14:textId="0A0BFD2E" w:rsidR="00F72AE2" w:rsidRDefault="1D5D99FC" w:rsidP="00476273">
          <w:pPr>
            <w:pStyle w:val="TOC2"/>
            <w:tabs>
              <w:tab w:val="right" w:leader="dot" w:pos="9345"/>
            </w:tabs>
            <w:rPr>
              <w:rStyle w:val="Hyperlink"/>
              <w:noProof/>
              <w:kern w:val="2"/>
              <w14:ligatures w14:val="standardContextual"/>
            </w:rPr>
          </w:pPr>
          <w:hyperlink w:anchor="_Toc777216594">
            <w:r w:rsidRPr="1D5D99FC">
              <w:rPr>
                <w:rStyle w:val="Hyperlink"/>
              </w:rPr>
              <w:t>SVI AMONG SYPHILIS CASES BY CITY/TOWN</w:t>
            </w:r>
            <w:r w:rsidR="00CE6C24">
              <w:tab/>
            </w:r>
            <w:r w:rsidR="00CE6C24">
              <w:rPr>
                <w:color w:val="2B579A"/>
                <w:shd w:val="clear" w:color="auto" w:fill="E6E6E6"/>
              </w:rPr>
              <w:fldChar w:fldCharType="begin"/>
            </w:r>
            <w:r w:rsidR="00CE6C24">
              <w:instrText>PAGEREF _Toc777216594 \h</w:instrText>
            </w:r>
            <w:r w:rsidR="00CE6C24">
              <w:rPr>
                <w:color w:val="2B579A"/>
                <w:shd w:val="clear" w:color="auto" w:fill="E6E6E6"/>
              </w:rPr>
            </w:r>
            <w:r w:rsidR="00CE6C24">
              <w:rPr>
                <w:color w:val="2B579A"/>
                <w:shd w:val="clear" w:color="auto" w:fill="E6E6E6"/>
              </w:rPr>
              <w:fldChar w:fldCharType="separate"/>
            </w:r>
            <w:r w:rsidRPr="1D5D99FC">
              <w:rPr>
                <w:rStyle w:val="Hyperlink"/>
              </w:rPr>
              <w:t>26</w:t>
            </w:r>
            <w:r w:rsidR="00CE6C24">
              <w:rPr>
                <w:color w:val="2B579A"/>
                <w:shd w:val="clear" w:color="auto" w:fill="E6E6E6"/>
              </w:rPr>
              <w:fldChar w:fldCharType="end"/>
            </w:r>
          </w:hyperlink>
        </w:p>
        <w:p w14:paraId="1F51F248" w14:textId="6579A63F" w:rsidR="00F72AE2" w:rsidRDefault="1D5D99FC" w:rsidP="00476273">
          <w:pPr>
            <w:pStyle w:val="TOC1"/>
            <w:tabs>
              <w:tab w:val="right" w:leader="dot" w:pos="9345"/>
            </w:tabs>
            <w:rPr>
              <w:rStyle w:val="Hyperlink"/>
              <w:noProof/>
              <w:kern w:val="2"/>
              <w14:ligatures w14:val="standardContextual"/>
            </w:rPr>
          </w:pPr>
          <w:hyperlink w:anchor="_Toc631495155">
            <w:r w:rsidRPr="1D5D99FC">
              <w:rPr>
                <w:rStyle w:val="Hyperlink"/>
              </w:rPr>
              <w:t>HIV</w:t>
            </w:r>
            <w:r w:rsidR="00CE6C24">
              <w:tab/>
            </w:r>
            <w:r w:rsidR="00CE6C24">
              <w:rPr>
                <w:color w:val="2B579A"/>
                <w:shd w:val="clear" w:color="auto" w:fill="E6E6E6"/>
              </w:rPr>
              <w:fldChar w:fldCharType="begin"/>
            </w:r>
            <w:r w:rsidR="00CE6C24">
              <w:instrText>PAGEREF _Toc631495155 \h</w:instrText>
            </w:r>
            <w:r w:rsidR="00CE6C24">
              <w:rPr>
                <w:color w:val="2B579A"/>
                <w:shd w:val="clear" w:color="auto" w:fill="E6E6E6"/>
              </w:rPr>
            </w:r>
            <w:r w:rsidR="00CE6C24">
              <w:rPr>
                <w:color w:val="2B579A"/>
                <w:shd w:val="clear" w:color="auto" w:fill="E6E6E6"/>
              </w:rPr>
              <w:fldChar w:fldCharType="separate"/>
            </w:r>
            <w:r w:rsidRPr="1D5D99FC">
              <w:rPr>
                <w:rStyle w:val="Hyperlink"/>
              </w:rPr>
              <w:t>27</w:t>
            </w:r>
            <w:r w:rsidR="00CE6C24">
              <w:rPr>
                <w:color w:val="2B579A"/>
                <w:shd w:val="clear" w:color="auto" w:fill="E6E6E6"/>
              </w:rPr>
              <w:fldChar w:fldCharType="end"/>
            </w:r>
          </w:hyperlink>
        </w:p>
        <w:p w14:paraId="25C87486" w14:textId="16888791" w:rsidR="00F72AE2" w:rsidRDefault="1D5D99FC" w:rsidP="00476273">
          <w:pPr>
            <w:pStyle w:val="TOC2"/>
            <w:tabs>
              <w:tab w:val="right" w:leader="dot" w:pos="9345"/>
            </w:tabs>
            <w:rPr>
              <w:rStyle w:val="Hyperlink"/>
              <w:noProof/>
              <w:kern w:val="2"/>
              <w14:ligatures w14:val="standardContextual"/>
            </w:rPr>
          </w:pPr>
          <w:hyperlink w:anchor="_Toc497127037">
            <w:r w:rsidRPr="1D5D99FC">
              <w:rPr>
                <w:rStyle w:val="Hyperlink"/>
              </w:rPr>
              <w:t>HIV PREVALENCE</w:t>
            </w:r>
            <w:r w:rsidR="00CE6C24">
              <w:tab/>
            </w:r>
            <w:r w:rsidR="00CE6C24">
              <w:rPr>
                <w:color w:val="2B579A"/>
                <w:shd w:val="clear" w:color="auto" w:fill="E6E6E6"/>
              </w:rPr>
              <w:fldChar w:fldCharType="begin"/>
            </w:r>
            <w:r w:rsidR="00CE6C24">
              <w:instrText>PAGEREF _Toc497127037 \h</w:instrText>
            </w:r>
            <w:r w:rsidR="00CE6C24">
              <w:rPr>
                <w:color w:val="2B579A"/>
                <w:shd w:val="clear" w:color="auto" w:fill="E6E6E6"/>
              </w:rPr>
            </w:r>
            <w:r w:rsidR="00CE6C24">
              <w:rPr>
                <w:color w:val="2B579A"/>
                <w:shd w:val="clear" w:color="auto" w:fill="E6E6E6"/>
              </w:rPr>
              <w:fldChar w:fldCharType="separate"/>
            </w:r>
            <w:r w:rsidRPr="1D5D99FC">
              <w:rPr>
                <w:rStyle w:val="Hyperlink"/>
              </w:rPr>
              <w:t>28</w:t>
            </w:r>
            <w:r w:rsidR="00CE6C24">
              <w:rPr>
                <w:color w:val="2B579A"/>
                <w:shd w:val="clear" w:color="auto" w:fill="E6E6E6"/>
              </w:rPr>
              <w:fldChar w:fldCharType="end"/>
            </w:r>
          </w:hyperlink>
        </w:p>
        <w:p w14:paraId="162AED48" w14:textId="01471F18" w:rsidR="00F72AE2" w:rsidRDefault="1D5D99FC" w:rsidP="00476273">
          <w:pPr>
            <w:pStyle w:val="TOC2"/>
            <w:tabs>
              <w:tab w:val="right" w:leader="dot" w:pos="9345"/>
            </w:tabs>
            <w:rPr>
              <w:rStyle w:val="Hyperlink"/>
              <w:noProof/>
              <w:kern w:val="2"/>
              <w14:ligatures w14:val="standardContextual"/>
            </w:rPr>
          </w:pPr>
          <w:hyperlink w:anchor="_Toc1449131446">
            <w:r w:rsidRPr="1D5D99FC">
              <w:rPr>
                <w:rStyle w:val="Hyperlink"/>
              </w:rPr>
              <w:t>DIAGNOSES AND DEATHS FROM ANY CAUSE AMONG PERSONS REPORTED WITH HIV</w:t>
            </w:r>
            <w:r w:rsidR="00CE6C24">
              <w:tab/>
            </w:r>
            <w:r w:rsidR="00CE6C24">
              <w:rPr>
                <w:color w:val="2B579A"/>
                <w:shd w:val="clear" w:color="auto" w:fill="E6E6E6"/>
              </w:rPr>
              <w:fldChar w:fldCharType="begin"/>
            </w:r>
            <w:r w:rsidR="00CE6C24">
              <w:instrText>PAGEREF _Toc1449131446 \h</w:instrText>
            </w:r>
            <w:r w:rsidR="00CE6C24">
              <w:rPr>
                <w:color w:val="2B579A"/>
                <w:shd w:val="clear" w:color="auto" w:fill="E6E6E6"/>
              </w:rPr>
            </w:r>
            <w:r w:rsidR="00CE6C24">
              <w:rPr>
                <w:color w:val="2B579A"/>
                <w:shd w:val="clear" w:color="auto" w:fill="E6E6E6"/>
              </w:rPr>
              <w:fldChar w:fldCharType="separate"/>
            </w:r>
            <w:r w:rsidRPr="1D5D99FC">
              <w:rPr>
                <w:rStyle w:val="Hyperlink"/>
              </w:rPr>
              <w:t>29</w:t>
            </w:r>
            <w:r w:rsidR="00CE6C24">
              <w:rPr>
                <w:color w:val="2B579A"/>
                <w:shd w:val="clear" w:color="auto" w:fill="E6E6E6"/>
              </w:rPr>
              <w:fldChar w:fldCharType="end"/>
            </w:r>
          </w:hyperlink>
        </w:p>
        <w:p w14:paraId="07DDAA44" w14:textId="2D99F6BD" w:rsidR="00F72AE2" w:rsidRDefault="1D5D99FC" w:rsidP="00476273">
          <w:pPr>
            <w:pStyle w:val="TOC2"/>
            <w:tabs>
              <w:tab w:val="right" w:leader="dot" w:pos="9345"/>
            </w:tabs>
            <w:rPr>
              <w:rStyle w:val="Hyperlink"/>
              <w:noProof/>
              <w:kern w:val="2"/>
              <w14:ligatures w14:val="standardContextual"/>
            </w:rPr>
          </w:pPr>
          <w:hyperlink w:anchor="_Toc1571127092">
            <w:r w:rsidRPr="1D5D99FC">
              <w:rPr>
                <w:rStyle w:val="Hyperlink"/>
              </w:rPr>
              <w:t>HIV DIAGNOSES BY CITY/TOWN</w:t>
            </w:r>
            <w:r w:rsidR="00CE6C24">
              <w:tab/>
            </w:r>
            <w:r w:rsidR="00CE6C24">
              <w:rPr>
                <w:color w:val="2B579A"/>
                <w:shd w:val="clear" w:color="auto" w:fill="E6E6E6"/>
              </w:rPr>
              <w:fldChar w:fldCharType="begin"/>
            </w:r>
            <w:r w:rsidR="00CE6C24">
              <w:instrText>PAGEREF _Toc1571127092 \h</w:instrText>
            </w:r>
            <w:r w:rsidR="00CE6C24">
              <w:rPr>
                <w:color w:val="2B579A"/>
                <w:shd w:val="clear" w:color="auto" w:fill="E6E6E6"/>
              </w:rPr>
            </w:r>
            <w:r w:rsidR="00CE6C24">
              <w:rPr>
                <w:color w:val="2B579A"/>
                <w:shd w:val="clear" w:color="auto" w:fill="E6E6E6"/>
              </w:rPr>
              <w:fldChar w:fldCharType="separate"/>
            </w:r>
            <w:r w:rsidRPr="1D5D99FC">
              <w:rPr>
                <w:rStyle w:val="Hyperlink"/>
              </w:rPr>
              <w:t>30</w:t>
            </w:r>
            <w:r w:rsidR="00CE6C24">
              <w:rPr>
                <w:color w:val="2B579A"/>
                <w:shd w:val="clear" w:color="auto" w:fill="E6E6E6"/>
              </w:rPr>
              <w:fldChar w:fldCharType="end"/>
            </w:r>
          </w:hyperlink>
        </w:p>
        <w:p w14:paraId="5DD9B4A3" w14:textId="5B9BE2EC" w:rsidR="00F72AE2" w:rsidRDefault="1D5D99FC" w:rsidP="00476273">
          <w:pPr>
            <w:pStyle w:val="TOC2"/>
            <w:tabs>
              <w:tab w:val="right" w:leader="dot" w:pos="9345"/>
            </w:tabs>
            <w:rPr>
              <w:rStyle w:val="Hyperlink"/>
              <w:noProof/>
              <w:kern w:val="2"/>
              <w14:ligatures w14:val="standardContextual"/>
            </w:rPr>
          </w:pPr>
          <w:hyperlink w:anchor="_Toc1261945576">
            <w:r w:rsidRPr="1D5D99FC">
              <w:rPr>
                <w:rStyle w:val="Hyperlink"/>
              </w:rPr>
              <w:t>HIV PREVALENCE BY CITY/TOWN</w:t>
            </w:r>
            <w:r w:rsidR="00CE6C24">
              <w:tab/>
            </w:r>
            <w:r w:rsidR="00CE6C24">
              <w:rPr>
                <w:color w:val="2B579A"/>
                <w:shd w:val="clear" w:color="auto" w:fill="E6E6E6"/>
              </w:rPr>
              <w:fldChar w:fldCharType="begin"/>
            </w:r>
            <w:r w:rsidR="00CE6C24">
              <w:instrText>PAGEREF _Toc1261945576 \h</w:instrText>
            </w:r>
            <w:r w:rsidR="00CE6C24">
              <w:rPr>
                <w:color w:val="2B579A"/>
                <w:shd w:val="clear" w:color="auto" w:fill="E6E6E6"/>
              </w:rPr>
            </w:r>
            <w:r w:rsidR="00CE6C24">
              <w:rPr>
                <w:color w:val="2B579A"/>
                <w:shd w:val="clear" w:color="auto" w:fill="E6E6E6"/>
              </w:rPr>
              <w:fldChar w:fldCharType="separate"/>
            </w:r>
            <w:r w:rsidRPr="1D5D99FC">
              <w:rPr>
                <w:rStyle w:val="Hyperlink"/>
              </w:rPr>
              <w:t>31</w:t>
            </w:r>
            <w:r w:rsidR="00CE6C24">
              <w:rPr>
                <w:color w:val="2B579A"/>
                <w:shd w:val="clear" w:color="auto" w:fill="E6E6E6"/>
              </w:rPr>
              <w:fldChar w:fldCharType="end"/>
            </w:r>
          </w:hyperlink>
        </w:p>
        <w:p w14:paraId="03F3CB6D" w14:textId="128F8A6D" w:rsidR="00F72AE2" w:rsidRDefault="1D5D99FC" w:rsidP="00476273">
          <w:pPr>
            <w:pStyle w:val="TOC2"/>
            <w:tabs>
              <w:tab w:val="right" w:leader="dot" w:pos="9345"/>
            </w:tabs>
            <w:rPr>
              <w:rStyle w:val="Hyperlink"/>
              <w:noProof/>
              <w:kern w:val="2"/>
              <w14:ligatures w14:val="standardContextual"/>
            </w:rPr>
          </w:pPr>
          <w:hyperlink w:anchor="_Toc771102171">
            <w:r w:rsidRPr="1D5D99FC">
              <w:rPr>
                <w:rStyle w:val="Hyperlink"/>
              </w:rPr>
              <w:t>SVI AMONG HIV DIAGNOSES BY CITY/TOWN</w:t>
            </w:r>
            <w:r w:rsidR="00CE6C24">
              <w:tab/>
            </w:r>
            <w:r w:rsidR="00CE6C24">
              <w:rPr>
                <w:color w:val="2B579A"/>
                <w:shd w:val="clear" w:color="auto" w:fill="E6E6E6"/>
              </w:rPr>
              <w:fldChar w:fldCharType="begin"/>
            </w:r>
            <w:r w:rsidR="00CE6C24">
              <w:instrText>PAGEREF _Toc771102171 \h</w:instrText>
            </w:r>
            <w:r w:rsidR="00CE6C24">
              <w:rPr>
                <w:color w:val="2B579A"/>
                <w:shd w:val="clear" w:color="auto" w:fill="E6E6E6"/>
              </w:rPr>
            </w:r>
            <w:r w:rsidR="00CE6C24">
              <w:rPr>
                <w:color w:val="2B579A"/>
                <w:shd w:val="clear" w:color="auto" w:fill="E6E6E6"/>
              </w:rPr>
              <w:fldChar w:fldCharType="separate"/>
            </w:r>
            <w:r w:rsidRPr="1D5D99FC">
              <w:rPr>
                <w:rStyle w:val="Hyperlink"/>
              </w:rPr>
              <w:t>32</w:t>
            </w:r>
            <w:r w:rsidR="00CE6C24">
              <w:rPr>
                <w:color w:val="2B579A"/>
                <w:shd w:val="clear" w:color="auto" w:fill="E6E6E6"/>
              </w:rPr>
              <w:fldChar w:fldCharType="end"/>
            </w:r>
          </w:hyperlink>
        </w:p>
        <w:p w14:paraId="3ACFD1E4" w14:textId="291D75DC" w:rsidR="00F72AE2" w:rsidRDefault="1D5D99FC" w:rsidP="00476273">
          <w:pPr>
            <w:pStyle w:val="TOC2"/>
            <w:tabs>
              <w:tab w:val="right" w:leader="dot" w:pos="9345"/>
            </w:tabs>
            <w:rPr>
              <w:rStyle w:val="Hyperlink"/>
              <w:noProof/>
              <w:kern w:val="2"/>
              <w14:ligatures w14:val="standardContextual"/>
            </w:rPr>
          </w:pPr>
          <w:hyperlink w:anchor="_Toc1986661055">
            <w:r w:rsidRPr="1D5D99FC">
              <w:rPr>
                <w:rStyle w:val="Hyperlink"/>
              </w:rPr>
              <w:t>HIV BY EXPOSURE MODE AND SEX ASSIGNED AT BIRTH</w:t>
            </w:r>
            <w:r w:rsidR="00CE6C24">
              <w:tab/>
            </w:r>
            <w:r w:rsidR="00CE6C24">
              <w:rPr>
                <w:color w:val="2B579A"/>
                <w:shd w:val="clear" w:color="auto" w:fill="E6E6E6"/>
              </w:rPr>
              <w:fldChar w:fldCharType="begin"/>
            </w:r>
            <w:r w:rsidR="00CE6C24">
              <w:instrText>PAGEREF _Toc1986661055 \h</w:instrText>
            </w:r>
            <w:r w:rsidR="00CE6C24">
              <w:rPr>
                <w:color w:val="2B579A"/>
                <w:shd w:val="clear" w:color="auto" w:fill="E6E6E6"/>
              </w:rPr>
            </w:r>
            <w:r w:rsidR="00CE6C24">
              <w:rPr>
                <w:color w:val="2B579A"/>
                <w:shd w:val="clear" w:color="auto" w:fill="E6E6E6"/>
              </w:rPr>
              <w:fldChar w:fldCharType="separate"/>
            </w:r>
            <w:r w:rsidRPr="1D5D99FC">
              <w:rPr>
                <w:rStyle w:val="Hyperlink"/>
              </w:rPr>
              <w:t>33</w:t>
            </w:r>
            <w:r w:rsidR="00CE6C24">
              <w:rPr>
                <w:color w:val="2B579A"/>
                <w:shd w:val="clear" w:color="auto" w:fill="E6E6E6"/>
              </w:rPr>
              <w:fldChar w:fldCharType="end"/>
            </w:r>
          </w:hyperlink>
        </w:p>
        <w:p w14:paraId="51B3E1A2" w14:textId="1F6FA72B" w:rsidR="00F72AE2" w:rsidRDefault="1D5D99FC" w:rsidP="00476273">
          <w:pPr>
            <w:pStyle w:val="TOC2"/>
            <w:tabs>
              <w:tab w:val="right" w:leader="dot" w:pos="9345"/>
            </w:tabs>
            <w:rPr>
              <w:rStyle w:val="Hyperlink"/>
              <w:noProof/>
              <w:kern w:val="2"/>
              <w14:ligatures w14:val="standardContextual"/>
            </w:rPr>
          </w:pPr>
          <w:hyperlink w:anchor="_Toc805394628">
            <w:r w:rsidRPr="1D5D99FC">
              <w:rPr>
                <w:rStyle w:val="Hyperlink"/>
              </w:rPr>
              <w:t>PERINATAL TRANSMISSION OF HIV</w:t>
            </w:r>
            <w:r w:rsidR="00CE6C24">
              <w:tab/>
            </w:r>
            <w:r w:rsidR="00CE6C24">
              <w:rPr>
                <w:color w:val="2B579A"/>
                <w:shd w:val="clear" w:color="auto" w:fill="E6E6E6"/>
              </w:rPr>
              <w:fldChar w:fldCharType="begin"/>
            </w:r>
            <w:r w:rsidR="00CE6C24">
              <w:instrText>PAGEREF _Toc805394628 \h</w:instrText>
            </w:r>
            <w:r w:rsidR="00CE6C24">
              <w:rPr>
                <w:color w:val="2B579A"/>
                <w:shd w:val="clear" w:color="auto" w:fill="E6E6E6"/>
              </w:rPr>
            </w:r>
            <w:r w:rsidR="00CE6C24">
              <w:rPr>
                <w:color w:val="2B579A"/>
                <w:shd w:val="clear" w:color="auto" w:fill="E6E6E6"/>
              </w:rPr>
              <w:fldChar w:fldCharType="separate"/>
            </w:r>
            <w:r w:rsidRPr="1D5D99FC">
              <w:rPr>
                <w:rStyle w:val="Hyperlink"/>
              </w:rPr>
              <w:t>34</w:t>
            </w:r>
            <w:r w:rsidR="00CE6C24">
              <w:rPr>
                <w:color w:val="2B579A"/>
                <w:shd w:val="clear" w:color="auto" w:fill="E6E6E6"/>
              </w:rPr>
              <w:fldChar w:fldCharType="end"/>
            </w:r>
          </w:hyperlink>
        </w:p>
        <w:p w14:paraId="7CE3DA77" w14:textId="73345CBD" w:rsidR="00F72AE2" w:rsidRDefault="1D5D99FC" w:rsidP="00476273">
          <w:pPr>
            <w:pStyle w:val="TOC2"/>
            <w:tabs>
              <w:tab w:val="right" w:leader="dot" w:pos="9345"/>
            </w:tabs>
            <w:rPr>
              <w:rStyle w:val="Hyperlink"/>
              <w:noProof/>
              <w:kern w:val="2"/>
              <w14:ligatures w14:val="standardContextual"/>
            </w:rPr>
          </w:pPr>
          <w:hyperlink w:anchor="_Toc370630920">
            <w:r w:rsidRPr="1D5D99FC">
              <w:rPr>
                <w:rStyle w:val="Hyperlink"/>
              </w:rPr>
              <w:t>AGE AMONG PERSONS LIVING WITH HIV INFECTION</w:t>
            </w:r>
            <w:r w:rsidR="00CE6C24">
              <w:tab/>
            </w:r>
            <w:r w:rsidR="00CE6C24">
              <w:rPr>
                <w:color w:val="2B579A"/>
                <w:shd w:val="clear" w:color="auto" w:fill="E6E6E6"/>
              </w:rPr>
              <w:fldChar w:fldCharType="begin"/>
            </w:r>
            <w:r w:rsidR="00CE6C24">
              <w:instrText>PAGEREF _Toc370630920 \h</w:instrText>
            </w:r>
            <w:r w:rsidR="00CE6C24">
              <w:rPr>
                <w:color w:val="2B579A"/>
                <w:shd w:val="clear" w:color="auto" w:fill="E6E6E6"/>
              </w:rPr>
            </w:r>
            <w:r w:rsidR="00CE6C24">
              <w:rPr>
                <w:color w:val="2B579A"/>
                <w:shd w:val="clear" w:color="auto" w:fill="E6E6E6"/>
              </w:rPr>
              <w:fldChar w:fldCharType="separate"/>
            </w:r>
            <w:r w:rsidRPr="1D5D99FC">
              <w:rPr>
                <w:rStyle w:val="Hyperlink"/>
              </w:rPr>
              <w:t>35</w:t>
            </w:r>
            <w:r w:rsidR="00CE6C24">
              <w:rPr>
                <w:color w:val="2B579A"/>
                <w:shd w:val="clear" w:color="auto" w:fill="E6E6E6"/>
              </w:rPr>
              <w:fldChar w:fldCharType="end"/>
            </w:r>
          </w:hyperlink>
        </w:p>
        <w:p w14:paraId="4C410689" w14:textId="70A51D6F" w:rsidR="00F72AE2" w:rsidRDefault="1D5D99FC" w:rsidP="00476273">
          <w:pPr>
            <w:pStyle w:val="TOC2"/>
            <w:tabs>
              <w:tab w:val="right" w:leader="dot" w:pos="9345"/>
            </w:tabs>
            <w:rPr>
              <w:rStyle w:val="Hyperlink"/>
              <w:noProof/>
              <w:kern w:val="2"/>
              <w14:ligatures w14:val="standardContextual"/>
            </w:rPr>
          </w:pPr>
          <w:hyperlink w:anchor="_Toc386786768">
            <w:r w:rsidRPr="1D5D99FC">
              <w:rPr>
                <w:rStyle w:val="Hyperlink"/>
              </w:rPr>
              <w:t>SURVIVAL AMONG INDIVIDUALS DIAGNOSED WITH HIV</w:t>
            </w:r>
            <w:r w:rsidR="00CE6C24">
              <w:tab/>
            </w:r>
            <w:r w:rsidR="00CE6C24">
              <w:rPr>
                <w:color w:val="2B579A"/>
                <w:shd w:val="clear" w:color="auto" w:fill="E6E6E6"/>
              </w:rPr>
              <w:fldChar w:fldCharType="begin"/>
            </w:r>
            <w:r w:rsidR="00CE6C24">
              <w:instrText>PAGEREF _Toc386786768 \h</w:instrText>
            </w:r>
            <w:r w:rsidR="00CE6C24">
              <w:rPr>
                <w:color w:val="2B579A"/>
                <w:shd w:val="clear" w:color="auto" w:fill="E6E6E6"/>
              </w:rPr>
            </w:r>
            <w:r w:rsidR="00CE6C24">
              <w:rPr>
                <w:color w:val="2B579A"/>
                <w:shd w:val="clear" w:color="auto" w:fill="E6E6E6"/>
              </w:rPr>
              <w:fldChar w:fldCharType="separate"/>
            </w:r>
            <w:r w:rsidRPr="1D5D99FC">
              <w:rPr>
                <w:rStyle w:val="Hyperlink"/>
              </w:rPr>
              <w:t>36</w:t>
            </w:r>
            <w:r w:rsidR="00CE6C24">
              <w:rPr>
                <w:color w:val="2B579A"/>
                <w:shd w:val="clear" w:color="auto" w:fill="E6E6E6"/>
              </w:rPr>
              <w:fldChar w:fldCharType="end"/>
            </w:r>
          </w:hyperlink>
        </w:p>
        <w:p w14:paraId="75A4809F" w14:textId="50CC138B" w:rsidR="00F72AE2" w:rsidRDefault="1D5D99FC" w:rsidP="00476273">
          <w:pPr>
            <w:pStyle w:val="TOC1"/>
            <w:tabs>
              <w:tab w:val="right" w:leader="dot" w:pos="9345"/>
            </w:tabs>
            <w:rPr>
              <w:rStyle w:val="Hyperlink"/>
              <w:noProof/>
              <w:kern w:val="2"/>
              <w14:ligatures w14:val="standardContextual"/>
            </w:rPr>
          </w:pPr>
          <w:hyperlink w:anchor="_Toc1141953803">
            <w:r w:rsidRPr="1D5D99FC">
              <w:rPr>
                <w:rStyle w:val="Hyperlink"/>
              </w:rPr>
              <w:t>VIRAL HEPATITIS</w:t>
            </w:r>
            <w:r w:rsidR="00CE6C24">
              <w:tab/>
            </w:r>
            <w:r w:rsidR="00CE6C24">
              <w:rPr>
                <w:color w:val="2B579A"/>
                <w:shd w:val="clear" w:color="auto" w:fill="E6E6E6"/>
              </w:rPr>
              <w:fldChar w:fldCharType="begin"/>
            </w:r>
            <w:r w:rsidR="00CE6C24">
              <w:instrText>PAGEREF _Toc1141953803 \h</w:instrText>
            </w:r>
            <w:r w:rsidR="00CE6C24">
              <w:rPr>
                <w:color w:val="2B579A"/>
                <w:shd w:val="clear" w:color="auto" w:fill="E6E6E6"/>
              </w:rPr>
            </w:r>
            <w:r w:rsidR="00CE6C24">
              <w:rPr>
                <w:color w:val="2B579A"/>
                <w:shd w:val="clear" w:color="auto" w:fill="E6E6E6"/>
              </w:rPr>
              <w:fldChar w:fldCharType="separate"/>
            </w:r>
            <w:r w:rsidRPr="1D5D99FC">
              <w:rPr>
                <w:rStyle w:val="Hyperlink"/>
              </w:rPr>
              <w:t>37</w:t>
            </w:r>
            <w:r w:rsidR="00CE6C24">
              <w:rPr>
                <w:color w:val="2B579A"/>
                <w:shd w:val="clear" w:color="auto" w:fill="E6E6E6"/>
              </w:rPr>
              <w:fldChar w:fldCharType="end"/>
            </w:r>
          </w:hyperlink>
        </w:p>
        <w:p w14:paraId="42E73F36" w14:textId="2D3110C7" w:rsidR="00F72AE2" w:rsidRDefault="1D5D99FC" w:rsidP="00476273">
          <w:pPr>
            <w:pStyle w:val="TOC2"/>
            <w:tabs>
              <w:tab w:val="right" w:leader="dot" w:pos="9345"/>
            </w:tabs>
            <w:rPr>
              <w:rStyle w:val="Hyperlink"/>
              <w:noProof/>
              <w:kern w:val="2"/>
              <w14:ligatures w14:val="standardContextual"/>
            </w:rPr>
          </w:pPr>
          <w:hyperlink w:anchor="_Toc28772400">
            <w:r w:rsidRPr="1D5D99FC">
              <w:rPr>
                <w:rStyle w:val="Hyperlink"/>
              </w:rPr>
              <w:t>HEPATITIS A</w:t>
            </w:r>
            <w:r w:rsidR="00CE6C24">
              <w:tab/>
            </w:r>
            <w:r w:rsidR="00CE6C24">
              <w:rPr>
                <w:color w:val="2B579A"/>
                <w:shd w:val="clear" w:color="auto" w:fill="E6E6E6"/>
              </w:rPr>
              <w:fldChar w:fldCharType="begin"/>
            </w:r>
            <w:r w:rsidR="00CE6C24">
              <w:instrText>PAGEREF _Toc28772400 \h</w:instrText>
            </w:r>
            <w:r w:rsidR="00CE6C24">
              <w:rPr>
                <w:color w:val="2B579A"/>
                <w:shd w:val="clear" w:color="auto" w:fill="E6E6E6"/>
              </w:rPr>
            </w:r>
            <w:r w:rsidR="00CE6C24">
              <w:rPr>
                <w:color w:val="2B579A"/>
                <w:shd w:val="clear" w:color="auto" w:fill="E6E6E6"/>
              </w:rPr>
              <w:fldChar w:fldCharType="separate"/>
            </w:r>
            <w:r w:rsidRPr="1D5D99FC">
              <w:rPr>
                <w:rStyle w:val="Hyperlink"/>
              </w:rPr>
              <w:t>38</w:t>
            </w:r>
            <w:r w:rsidR="00CE6C24">
              <w:rPr>
                <w:color w:val="2B579A"/>
                <w:shd w:val="clear" w:color="auto" w:fill="E6E6E6"/>
              </w:rPr>
              <w:fldChar w:fldCharType="end"/>
            </w:r>
          </w:hyperlink>
        </w:p>
        <w:p w14:paraId="3C70C060" w14:textId="144C9299" w:rsidR="00F72AE2" w:rsidRDefault="1D5D99FC" w:rsidP="00476273">
          <w:pPr>
            <w:pStyle w:val="TOC2"/>
            <w:tabs>
              <w:tab w:val="right" w:leader="dot" w:pos="9345"/>
            </w:tabs>
            <w:rPr>
              <w:rStyle w:val="Hyperlink"/>
              <w:noProof/>
              <w:kern w:val="2"/>
              <w14:ligatures w14:val="standardContextual"/>
            </w:rPr>
          </w:pPr>
          <w:hyperlink w:anchor="_Toc1647969956">
            <w:r w:rsidRPr="1D5D99FC">
              <w:rPr>
                <w:rStyle w:val="Hyperlink"/>
              </w:rPr>
              <w:t>HEPATITIS B</w:t>
            </w:r>
            <w:r w:rsidR="00CE6C24">
              <w:tab/>
            </w:r>
            <w:r w:rsidR="00CE6C24">
              <w:rPr>
                <w:color w:val="2B579A"/>
                <w:shd w:val="clear" w:color="auto" w:fill="E6E6E6"/>
              </w:rPr>
              <w:fldChar w:fldCharType="begin"/>
            </w:r>
            <w:r w:rsidR="00CE6C24">
              <w:instrText>PAGEREF _Toc1647969956 \h</w:instrText>
            </w:r>
            <w:r w:rsidR="00CE6C24">
              <w:rPr>
                <w:color w:val="2B579A"/>
                <w:shd w:val="clear" w:color="auto" w:fill="E6E6E6"/>
              </w:rPr>
            </w:r>
            <w:r w:rsidR="00CE6C24">
              <w:rPr>
                <w:color w:val="2B579A"/>
                <w:shd w:val="clear" w:color="auto" w:fill="E6E6E6"/>
              </w:rPr>
              <w:fldChar w:fldCharType="separate"/>
            </w:r>
            <w:r w:rsidRPr="1D5D99FC">
              <w:rPr>
                <w:rStyle w:val="Hyperlink"/>
              </w:rPr>
              <w:t>38</w:t>
            </w:r>
            <w:r w:rsidR="00CE6C24">
              <w:rPr>
                <w:color w:val="2B579A"/>
                <w:shd w:val="clear" w:color="auto" w:fill="E6E6E6"/>
              </w:rPr>
              <w:fldChar w:fldCharType="end"/>
            </w:r>
          </w:hyperlink>
        </w:p>
        <w:p w14:paraId="4C9100D6" w14:textId="6D8DBE9A" w:rsidR="00F72AE2" w:rsidRDefault="1D5D99FC" w:rsidP="00476273">
          <w:pPr>
            <w:pStyle w:val="TOC2"/>
            <w:tabs>
              <w:tab w:val="right" w:leader="dot" w:pos="9345"/>
            </w:tabs>
            <w:rPr>
              <w:rStyle w:val="Hyperlink"/>
              <w:noProof/>
              <w:kern w:val="2"/>
              <w14:ligatures w14:val="standardContextual"/>
            </w:rPr>
          </w:pPr>
          <w:hyperlink w:anchor="_Toc112902357">
            <w:r w:rsidRPr="1D5D99FC">
              <w:rPr>
                <w:rStyle w:val="Hyperlink"/>
              </w:rPr>
              <w:t>HEPATITIS B BY GENDER</w:t>
            </w:r>
            <w:r w:rsidR="00CE6C24">
              <w:tab/>
            </w:r>
            <w:r w:rsidR="00CE6C24">
              <w:rPr>
                <w:color w:val="2B579A"/>
                <w:shd w:val="clear" w:color="auto" w:fill="E6E6E6"/>
              </w:rPr>
              <w:fldChar w:fldCharType="begin"/>
            </w:r>
            <w:r w:rsidR="00CE6C24">
              <w:instrText>PAGEREF _Toc112902357 \h</w:instrText>
            </w:r>
            <w:r w:rsidR="00CE6C24">
              <w:rPr>
                <w:color w:val="2B579A"/>
                <w:shd w:val="clear" w:color="auto" w:fill="E6E6E6"/>
              </w:rPr>
            </w:r>
            <w:r w:rsidR="00CE6C24">
              <w:rPr>
                <w:color w:val="2B579A"/>
                <w:shd w:val="clear" w:color="auto" w:fill="E6E6E6"/>
              </w:rPr>
              <w:fldChar w:fldCharType="separate"/>
            </w:r>
            <w:r w:rsidRPr="1D5D99FC">
              <w:rPr>
                <w:rStyle w:val="Hyperlink"/>
              </w:rPr>
              <w:t>40</w:t>
            </w:r>
            <w:r w:rsidR="00CE6C24">
              <w:rPr>
                <w:color w:val="2B579A"/>
                <w:shd w:val="clear" w:color="auto" w:fill="E6E6E6"/>
              </w:rPr>
              <w:fldChar w:fldCharType="end"/>
            </w:r>
          </w:hyperlink>
        </w:p>
        <w:p w14:paraId="71D9E309" w14:textId="1AD5834C" w:rsidR="00F72AE2" w:rsidRDefault="1D5D99FC" w:rsidP="00476273">
          <w:pPr>
            <w:pStyle w:val="TOC2"/>
            <w:tabs>
              <w:tab w:val="right" w:leader="dot" w:pos="9345"/>
            </w:tabs>
            <w:rPr>
              <w:rStyle w:val="Hyperlink"/>
              <w:noProof/>
              <w:kern w:val="2"/>
              <w14:ligatures w14:val="standardContextual"/>
            </w:rPr>
          </w:pPr>
          <w:hyperlink w:anchor="_Toc1113551555">
            <w:r w:rsidRPr="1D5D99FC">
              <w:rPr>
                <w:rStyle w:val="Hyperlink"/>
              </w:rPr>
              <w:t>HEPATITIS C</w:t>
            </w:r>
            <w:r w:rsidR="00CE6C24">
              <w:tab/>
            </w:r>
            <w:r w:rsidR="00CE6C24">
              <w:rPr>
                <w:color w:val="2B579A"/>
                <w:shd w:val="clear" w:color="auto" w:fill="E6E6E6"/>
              </w:rPr>
              <w:fldChar w:fldCharType="begin"/>
            </w:r>
            <w:r w:rsidR="00CE6C24">
              <w:instrText>PAGEREF _Toc1113551555 \h</w:instrText>
            </w:r>
            <w:r w:rsidR="00CE6C24">
              <w:rPr>
                <w:color w:val="2B579A"/>
                <w:shd w:val="clear" w:color="auto" w:fill="E6E6E6"/>
              </w:rPr>
            </w:r>
            <w:r w:rsidR="00CE6C24">
              <w:rPr>
                <w:color w:val="2B579A"/>
                <w:shd w:val="clear" w:color="auto" w:fill="E6E6E6"/>
              </w:rPr>
              <w:fldChar w:fldCharType="separate"/>
            </w:r>
            <w:r w:rsidRPr="1D5D99FC">
              <w:rPr>
                <w:rStyle w:val="Hyperlink"/>
              </w:rPr>
              <w:t>42</w:t>
            </w:r>
            <w:r w:rsidR="00CE6C24">
              <w:rPr>
                <w:color w:val="2B579A"/>
                <w:shd w:val="clear" w:color="auto" w:fill="E6E6E6"/>
              </w:rPr>
              <w:fldChar w:fldCharType="end"/>
            </w:r>
          </w:hyperlink>
        </w:p>
        <w:p w14:paraId="4EE7D38B" w14:textId="53398595" w:rsidR="00F72AE2" w:rsidRDefault="1D5D99FC" w:rsidP="00476273">
          <w:pPr>
            <w:pStyle w:val="TOC2"/>
            <w:tabs>
              <w:tab w:val="right" w:leader="dot" w:pos="9345"/>
            </w:tabs>
            <w:rPr>
              <w:rStyle w:val="Hyperlink"/>
              <w:noProof/>
              <w:kern w:val="2"/>
              <w14:ligatures w14:val="standardContextual"/>
            </w:rPr>
          </w:pPr>
          <w:hyperlink w:anchor="_Toc1268811456">
            <w:r w:rsidRPr="1D5D99FC">
              <w:rPr>
                <w:rStyle w:val="Hyperlink"/>
              </w:rPr>
              <w:t>HEPATITIS C BY AGE</w:t>
            </w:r>
            <w:r w:rsidR="00CE6C24">
              <w:tab/>
            </w:r>
            <w:r w:rsidR="00CE6C24">
              <w:rPr>
                <w:color w:val="2B579A"/>
                <w:shd w:val="clear" w:color="auto" w:fill="E6E6E6"/>
              </w:rPr>
              <w:fldChar w:fldCharType="begin"/>
            </w:r>
            <w:r w:rsidR="00CE6C24">
              <w:instrText>PAGEREF _Toc1268811456 \h</w:instrText>
            </w:r>
            <w:r w:rsidR="00CE6C24">
              <w:rPr>
                <w:color w:val="2B579A"/>
                <w:shd w:val="clear" w:color="auto" w:fill="E6E6E6"/>
              </w:rPr>
            </w:r>
            <w:r w:rsidR="00CE6C24">
              <w:rPr>
                <w:color w:val="2B579A"/>
                <w:shd w:val="clear" w:color="auto" w:fill="E6E6E6"/>
              </w:rPr>
              <w:fldChar w:fldCharType="separate"/>
            </w:r>
            <w:r w:rsidRPr="1D5D99FC">
              <w:rPr>
                <w:rStyle w:val="Hyperlink"/>
              </w:rPr>
              <w:t>45</w:t>
            </w:r>
            <w:r w:rsidR="00CE6C24">
              <w:rPr>
                <w:color w:val="2B579A"/>
                <w:shd w:val="clear" w:color="auto" w:fill="E6E6E6"/>
              </w:rPr>
              <w:fldChar w:fldCharType="end"/>
            </w:r>
          </w:hyperlink>
        </w:p>
        <w:p w14:paraId="2EAB5E54" w14:textId="31132B9A" w:rsidR="00F72AE2" w:rsidRDefault="1D5D99FC" w:rsidP="00476273">
          <w:pPr>
            <w:pStyle w:val="TOC2"/>
            <w:tabs>
              <w:tab w:val="right" w:leader="dot" w:pos="9345"/>
            </w:tabs>
            <w:rPr>
              <w:rStyle w:val="Hyperlink"/>
              <w:noProof/>
              <w:kern w:val="2"/>
              <w14:ligatures w14:val="standardContextual"/>
            </w:rPr>
          </w:pPr>
          <w:hyperlink w:anchor="_Toc532125256">
            <w:r w:rsidRPr="1D5D99FC">
              <w:rPr>
                <w:rStyle w:val="Hyperlink"/>
              </w:rPr>
              <w:t>HEPATITIS C BY AGE AND GENDER</w:t>
            </w:r>
            <w:r w:rsidR="00CE6C24">
              <w:tab/>
            </w:r>
            <w:r w:rsidR="00CE6C24">
              <w:rPr>
                <w:color w:val="2B579A"/>
                <w:shd w:val="clear" w:color="auto" w:fill="E6E6E6"/>
              </w:rPr>
              <w:fldChar w:fldCharType="begin"/>
            </w:r>
            <w:r w:rsidR="00CE6C24">
              <w:instrText>PAGEREF _Toc532125256 \h</w:instrText>
            </w:r>
            <w:r w:rsidR="00CE6C24">
              <w:rPr>
                <w:color w:val="2B579A"/>
                <w:shd w:val="clear" w:color="auto" w:fill="E6E6E6"/>
              </w:rPr>
            </w:r>
            <w:r w:rsidR="00CE6C24">
              <w:rPr>
                <w:color w:val="2B579A"/>
                <w:shd w:val="clear" w:color="auto" w:fill="E6E6E6"/>
              </w:rPr>
              <w:fldChar w:fldCharType="separate"/>
            </w:r>
            <w:r w:rsidRPr="1D5D99FC">
              <w:rPr>
                <w:rStyle w:val="Hyperlink"/>
              </w:rPr>
              <w:t>46</w:t>
            </w:r>
            <w:r w:rsidR="00CE6C24">
              <w:rPr>
                <w:color w:val="2B579A"/>
                <w:shd w:val="clear" w:color="auto" w:fill="E6E6E6"/>
              </w:rPr>
              <w:fldChar w:fldCharType="end"/>
            </w:r>
          </w:hyperlink>
        </w:p>
        <w:p w14:paraId="7F4E8664" w14:textId="03ABC60B" w:rsidR="00F72AE2" w:rsidRDefault="1D5D99FC" w:rsidP="00476273">
          <w:pPr>
            <w:pStyle w:val="TOC1"/>
            <w:tabs>
              <w:tab w:val="right" w:leader="dot" w:pos="9345"/>
            </w:tabs>
            <w:rPr>
              <w:rStyle w:val="Hyperlink"/>
              <w:noProof/>
              <w:kern w:val="2"/>
              <w14:ligatures w14:val="standardContextual"/>
            </w:rPr>
          </w:pPr>
          <w:hyperlink w:anchor="_Toc793953245">
            <w:r w:rsidRPr="1D5D99FC">
              <w:rPr>
                <w:rStyle w:val="Hyperlink"/>
              </w:rPr>
              <w:t>CO-INFECTIONS-</w:t>
            </w:r>
            <w:r w:rsidR="00CE6C24">
              <w:tab/>
            </w:r>
            <w:r w:rsidR="00CE6C24">
              <w:rPr>
                <w:color w:val="2B579A"/>
                <w:shd w:val="clear" w:color="auto" w:fill="E6E6E6"/>
              </w:rPr>
              <w:fldChar w:fldCharType="begin"/>
            </w:r>
            <w:r w:rsidR="00CE6C24">
              <w:instrText>PAGEREF _Toc793953245 \h</w:instrText>
            </w:r>
            <w:r w:rsidR="00CE6C24">
              <w:rPr>
                <w:color w:val="2B579A"/>
                <w:shd w:val="clear" w:color="auto" w:fill="E6E6E6"/>
              </w:rPr>
            </w:r>
            <w:r w:rsidR="00CE6C24">
              <w:rPr>
                <w:color w:val="2B579A"/>
                <w:shd w:val="clear" w:color="auto" w:fill="E6E6E6"/>
              </w:rPr>
              <w:fldChar w:fldCharType="separate"/>
            </w:r>
            <w:r w:rsidRPr="1D5D99FC">
              <w:rPr>
                <w:rStyle w:val="Hyperlink"/>
              </w:rPr>
              <w:t>47</w:t>
            </w:r>
            <w:r w:rsidR="00CE6C24">
              <w:rPr>
                <w:color w:val="2B579A"/>
                <w:shd w:val="clear" w:color="auto" w:fill="E6E6E6"/>
              </w:rPr>
              <w:fldChar w:fldCharType="end"/>
            </w:r>
          </w:hyperlink>
        </w:p>
        <w:p w14:paraId="0286AE48" w14:textId="7AFB3A18" w:rsidR="00F72AE2" w:rsidRDefault="1D5D99FC" w:rsidP="00476273">
          <w:pPr>
            <w:pStyle w:val="TOC2"/>
            <w:tabs>
              <w:tab w:val="right" w:leader="dot" w:pos="9345"/>
            </w:tabs>
            <w:rPr>
              <w:rStyle w:val="Hyperlink"/>
              <w:noProof/>
              <w:kern w:val="2"/>
              <w14:ligatures w14:val="standardContextual"/>
            </w:rPr>
          </w:pPr>
          <w:hyperlink w:anchor="_Toc1232967702">
            <w:r w:rsidRPr="1D5D99FC">
              <w:rPr>
                <w:rStyle w:val="Hyperlink"/>
              </w:rPr>
              <w:t>HIV/SYPHILIS</w:t>
            </w:r>
            <w:r w:rsidR="00CE6C24">
              <w:tab/>
            </w:r>
            <w:r w:rsidR="00CE6C24">
              <w:rPr>
                <w:color w:val="2B579A"/>
                <w:shd w:val="clear" w:color="auto" w:fill="E6E6E6"/>
              </w:rPr>
              <w:fldChar w:fldCharType="begin"/>
            </w:r>
            <w:r w:rsidR="00CE6C24">
              <w:instrText>PAGEREF _Toc1232967702 \h</w:instrText>
            </w:r>
            <w:r w:rsidR="00CE6C24">
              <w:rPr>
                <w:color w:val="2B579A"/>
                <w:shd w:val="clear" w:color="auto" w:fill="E6E6E6"/>
              </w:rPr>
            </w:r>
            <w:r w:rsidR="00CE6C24">
              <w:rPr>
                <w:color w:val="2B579A"/>
                <w:shd w:val="clear" w:color="auto" w:fill="E6E6E6"/>
              </w:rPr>
              <w:fldChar w:fldCharType="separate"/>
            </w:r>
            <w:r w:rsidRPr="1D5D99FC">
              <w:rPr>
                <w:rStyle w:val="Hyperlink"/>
              </w:rPr>
              <w:t>48</w:t>
            </w:r>
            <w:r w:rsidR="00CE6C24">
              <w:rPr>
                <w:color w:val="2B579A"/>
                <w:shd w:val="clear" w:color="auto" w:fill="E6E6E6"/>
              </w:rPr>
              <w:fldChar w:fldCharType="end"/>
            </w:r>
          </w:hyperlink>
        </w:p>
        <w:p w14:paraId="03D8AEB1" w14:textId="6FF258B4" w:rsidR="00F72AE2" w:rsidRDefault="1D5D99FC" w:rsidP="00476273">
          <w:pPr>
            <w:pStyle w:val="TOC2"/>
            <w:tabs>
              <w:tab w:val="right" w:leader="dot" w:pos="9345"/>
            </w:tabs>
            <w:rPr>
              <w:rStyle w:val="Hyperlink"/>
              <w:noProof/>
              <w:kern w:val="2"/>
              <w14:ligatures w14:val="standardContextual"/>
            </w:rPr>
          </w:pPr>
          <w:hyperlink w:anchor="_Toc265212173">
            <w:r w:rsidRPr="1D5D99FC">
              <w:rPr>
                <w:rStyle w:val="Hyperlink"/>
              </w:rPr>
              <w:t>HIV/GONORRHEA</w:t>
            </w:r>
            <w:r w:rsidR="00CE6C24">
              <w:tab/>
            </w:r>
            <w:r w:rsidR="00CE6C24">
              <w:rPr>
                <w:color w:val="2B579A"/>
                <w:shd w:val="clear" w:color="auto" w:fill="E6E6E6"/>
              </w:rPr>
              <w:fldChar w:fldCharType="begin"/>
            </w:r>
            <w:r w:rsidR="00CE6C24">
              <w:instrText>PAGEREF _Toc265212173 \h</w:instrText>
            </w:r>
            <w:r w:rsidR="00CE6C24">
              <w:rPr>
                <w:color w:val="2B579A"/>
                <w:shd w:val="clear" w:color="auto" w:fill="E6E6E6"/>
              </w:rPr>
            </w:r>
            <w:r w:rsidR="00CE6C24">
              <w:rPr>
                <w:color w:val="2B579A"/>
                <w:shd w:val="clear" w:color="auto" w:fill="E6E6E6"/>
              </w:rPr>
              <w:fldChar w:fldCharType="separate"/>
            </w:r>
            <w:r w:rsidRPr="1D5D99FC">
              <w:rPr>
                <w:rStyle w:val="Hyperlink"/>
              </w:rPr>
              <w:t>48</w:t>
            </w:r>
            <w:r w:rsidR="00CE6C24">
              <w:rPr>
                <w:color w:val="2B579A"/>
                <w:shd w:val="clear" w:color="auto" w:fill="E6E6E6"/>
              </w:rPr>
              <w:fldChar w:fldCharType="end"/>
            </w:r>
          </w:hyperlink>
        </w:p>
        <w:p w14:paraId="2AB26810" w14:textId="5BC35575" w:rsidR="00F72AE2" w:rsidRDefault="1D5D99FC" w:rsidP="00476273">
          <w:pPr>
            <w:pStyle w:val="TOC2"/>
            <w:tabs>
              <w:tab w:val="right" w:leader="dot" w:pos="9345"/>
            </w:tabs>
            <w:rPr>
              <w:rStyle w:val="Hyperlink"/>
              <w:noProof/>
              <w:kern w:val="2"/>
              <w14:ligatures w14:val="standardContextual"/>
            </w:rPr>
          </w:pPr>
          <w:hyperlink w:anchor="_Toc1352677363">
            <w:r w:rsidRPr="1D5D99FC">
              <w:rPr>
                <w:rStyle w:val="Hyperlink"/>
              </w:rPr>
              <w:t>HIV/HEPATITIS C</w:t>
            </w:r>
            <w:r w:rsidR="00CE6C24">
              <w:tab/>
            </w:r>
            <w:r w:rsidR="00CE6C24">
              <w:rPr>
                <w:color w:val="2B579A"/>
                <w:shd w:val="clear" w:color="auto" w:fill="E6E6E6"/>
              </w:rPr>
              <w:fldChar w:fldCharType="begin"/>
            </w:r>
            <w:r w:rsidR="00CE6C24">
              <w:instrText>PAGEREF _Toc1352677363 \h</w:instrText>
            </w:r>
            <w:r w:rsidR="00CE6C24">
              <w:rPr>
                <w:color w:val="2B579A"/>
                <w:shd w:val="clear" w:color="auto" w:fill="E6E6E6"/>
              </w:rPr>
            </w:r>
            <w:r w:rsidR="00CE6C24">
              <w:rPr>
                <w:color w:val="2B579A"/>
                <w:shd w:val="clear" w:color="auto" w:fill="E6E6E6"/>
              </w:rPr>
              <w:fldChar w:fldCharType="separate"/>
            </w:r>
            <w:r w:rsidRPr="1D5D99FC">
              <w:rPr>
                <w:rStyle w:val="Hyperlink"/>
              </w:rPr>
              <w:t>49</w:t>
            </w:r>
            <w:r w:rsidR="00CE6C24">
              <w:rPr>
                <w:color w:val="2B579A"/>
                <w:shd w:val="clear" w:color="auto" w:fill="E6E6E6"/>
              </w:rPr>
              <w:fldChar w:fldCharType="end"/>
            </w:r>
          </w:hyperlink>
        </w:p>
        <w:p w14:paraId="194EFB48" w14:textId="4A3E2BC1" w:rsidR="00F72AE2" w:rsidRDefault="1D5D99FC" w:rsidP="00476273">
          <w:pPr>
            <w:pStyle w:val="TOC2"/>
            <w:tabs>
              <w:tab w:val="right" w:leader="dot" w:pos="9345"/>
            </w:tabs>
            <w:rPr>
              <w:rStyle w:val="Hyperlink"/>
              <w:noProof/>
              <w:kern w:val="2"/>
              <w14:ligatures w14:val="standardContextual"/>
            </w:rPr>
          </w:pPr>
          <w:hyperlink w:anchor="_Toc228491356">
            <w:r w:rsidRPr="1D5D99FC">
              <w:rPr>
                <w:rStyle w:val="Hyperlink"/>
              </w:rPr>
              <w:t>HIV/HEPATITIS C CO-INFECTIONS BY DEMOGRAPHICS</w:t>
            </w:r>
            <w:r w:rsidR="00CE6C24">
              <w:tab/>
            </w:r>
            <w:r w:rsidR="00CE6C24">
              <w:rPr>
                <w:color w:val="2B579A"/>
                <w:shd w:val="clear" w:color="auto" w:fill="E6E6E6"/>
              </w:rPr>
              <w:fldChar w:fldCharType="begin"/>
            </w:r>
            <w:r w:rsidR="00CE6C24">
              <w:instrText>PAGEREF _Toc228491356 \h</w:instrText>
            </w:r>
            <w:r w:rsidR="00CE6C24">
              <w:rPr>
                <w:color w:val="2B579A"/>
                <w:shd w:val="clear" w:color="auto" w:fill="E6E6E6"/>
              </w:rPr>
            </w:r>
            <w:r w:rsidR="00CE6C24">
              <w:rPr>
                <w:color w:val="2B579A"/>
                <w:shd w:val="clear" w:color="auto" w:fill="E6E6E6"/>
              </w:rPr>
              <w:fldChar w:fldCharType="separate"/>
            </w:r>
            <w:r w:rsidRPr="1D5D99FC">
              <w:rPr>
                <w:rStyle w:val="Hyperlink"/>
              </w:rPr>
              <w:t>51</w:t>
            </w:r>
            <w:r w:rsidR="00CE6C24">
              <w:rPr>
                <w:color w:val="2B579A"/>
                <w:shd w:val="clear" w:color="auto" w:fill="E6E6E6"/>
              </w:rPr>
              <w:fldChar w:fldCharType="end"/>
            </w:r>
          </w:hyperlink>
        </w:p>
        <w:p w14:paraId="060ABCB5" w14:textId="17610FAB" w:rsidR="00F72AE2" w:rsidRDefault="1D5D99FC" w:rsidP="00476273">
          <w:pPr>
            <w:pStyle w:val="TOC2"/>
            <w:tabs>
              <w:tab w:val="right" w:leader="dot" w:pos="9345"/>
            </w:tabs>
            <w:rPr>
              <w:rStyle w:val="Hyperlink"/>
              <w:noProof/>
              <w:kern w:val="2"/>
              <w14:ligatures w14:val="standardContextual"/>
            </w:rPr>
          </w:pPr>
          <w:hyperlink w:anchor="_Toc1191877971">
            <w:r w:rsidRPr="1D5D99FC">
              <w:rPr>
                <w:rStyle w:val="Hyperlink"/>
              </w:rPr>
              <w:t>HIV/HEPATITIS C – PERCENTAGE CO-INFECTED</w:t>
            </w:r>
            <w:r w:rsidR="00CE6C24">
              <w:tab/>
            </w:r>
            <w:r w:rsidR="00CE6C24">
              <w:rPr>
                <w:color w:val="2B579A"/>
                <w:shd w:val="clear" w:color="auto" w:fill="E6E6E6"/>
              </w:rPr>
              <w:fldChar w:fldCharType="begin"/>
            </w:r>
            <w:r w:rsidR="00CE6C24">
              <w:instrText>PAGEREF _Toc1191877971 \h</w:instrText>
            </w:r>
            <w:r w:rsidR="00CE6C24">
              <w:rPr>
                <w:color w:val="2B579A"/>
                <w:shd w:val="clear" w:color="auto" w:fill="E6E6E6"/>
              </w:rPr>
            </w:r>
            <w:r w:rsidR="00CE6C24">
              <w:rPr>
                <w:color w:val="2B579A"/>
                <w:shd w:val="clear" w:color="auto" w:fill="E6E6E6"/>
              </w:rPr>
              <w:fldChar w:fldCharType="separate"/>
            </w:r>
            <w:r w:rsidRPr="1D5D99FC">
              <w:rPr>
                <w:rStyle w:val="Hyperlink"/>
              </w:rPr>
              <w:t>52</w:t>
            </w:r>
            <w:r w:rsidR="00CE6C24">
              <w:rPr>
                <w:color w:val="2B579A"/>
                <w:shd w:val="clear" w:color="auto" w:fill="E6E6E6"/>
              </w:rPr>
              <w:fldChar w:fldCharType="end"/>
            </w:r>
          </w:hyperlink>
        </w:p>
        <w:p w14:paraId="64F628C8" w14:textId="7E6D4D51" w:rsidR="00F72AE2" w:rsidRDefault="1D5D99FC" w:rsidP="00476273">
          <w:pPr>
            <w:pStyle w:val="TOC1"/>
            <w:tabs>
              <w:tab w:val="right" w:leader="dot" w:pos="9345"/>
            </w:tabs>
            <w:rPr>
              <w:rStyle w:val="Hyperlink"/>
              <w:noProof/>
              <w:kern w:val="2"/>
              <w14:ligatures w14:val="standardContextual"/>
            </w:rPr>
          </w:pPr>
          <w:hyperlink w:anchor="_Toc873521826">
            <w:r w:rsidRPr="1D5D99FC">
              <w:rPr>
                <w:rStyle w:val="Hyperlink"/>
              </w:rPr>
              <w:t>SPECIFIC POPULATIONS- ADOLESCENTS AND YOUNG ADULTS</w:t>
            </w:r>
            <w:r w:rsidR="00CE6C24">
              <w:tab/>
            </w:r>
            <w:r w:rsidR="00CE6C24">
              <w:rPr>
                <w:color w:val="2B579A"/>
                <w:shd w:val="clear" w:color="auto" w:fill="E6E6E6"/>
              </w:rPr>
              <w:fldChar w:fldCharType="begin"/>
            </w:r>
            <w:r w:rsidR="00CE6C24">
              <w:instrText>PAGEREF _Toc873521826 \h</w:instrText>
            </w:r>
            <w:r w:rsidR="00CE6C24">
              <w:rPr>
                <w:color w:val="2B579A"/>
                <w:shd w:val="clear" w:color="auto" w:fill="E6E6E6"/>
              </w:rPr>
            </w:r>
            <w:r w:rsidR="00CE6C24">
              <w:rPr>
                <w:color w:val="2B579A"/>
                <w:shd w:val="clear" w:color="auto" w:fill="E6E6E6"/>
              </w:rPr>
              <w:fldChar w:fldCharType="separate"/>
            </w:r>
            <w:r w:rsidRPr="1D5D99FC">
              <w:rPr>
                <w:rStyle w:val="Hyperlink"/>
              </w:rPr>
              <w:t>53</w:t>
            </w:r>
            <w:r w:rsidR="00CE6C24">
              <w:rPr>
                <w:color w:val="2B579A"/>
                <w:shd w:val="clear" w:color="auto" w:fill="E6E6E6"/>
              </w:rPr>
              <w:fldChar w:fldCharType="end"/>
            </w:r>
          </w:hyperlink>
        </w:p>
        <w:p w14:paraId="52876B9E" w14:textId="6E65756A" w:rsidR="00F72AE2" w:rsidRDefault="1D5D99FC" w:rsidP="00476273">
          <w:pPr>
            <w:pStyle w:val="TOC2"/>
            <w:tabs>
              <w:tab w:val="right" w:leader="dot" w:pos="9345"/>
            </w:tabs>
            <w:rPr>
              <w:rStyle w:val="Hyperlink"/>
              <w:noProof/>
              <w:kern w:val="2"/>
              <w14:ligatures w14:val="standardContextual"/>
            </w:rPr>
          </w:pPr>
          <w:hyperlink w:anchor="_Toc859110033">
            <w:r w:rsidRPr="1D5D99FC">
              <w:rPr>
                <w:rStyle w:val="Hyperlink"/>
              </w:rPr>
              <w:t>STD DIAGNOSES BY AGE</w:t>
            </w:r>
            <w:r w:rsidR="00CE6C24">
              <w:tab/>
            </w:r>
            <w:r w:rsidR="00CE6C24">
              <w:rPr>
                <w:color w:val="2B579A"/>
                <w:shd w:val="clear" w:color="auto" w:fill="E6E6E6"/>
              </w:rPr>
              <w:fldChar w:fldCharType="begin"/>
            </w:r>
            <w:r w:rsidR="00CE6C24">
              <w:instrText>PAGEREF _Toc859110033 \h</w:instrText>
            </w:r>
            <w:r w:rsidR="00CE6C24">
              <w:rPr>
                <w:color w:val="2B579A"/>
                <w:shd w:val="clear" w:color="auto" w:fill="E6E6E6"/>
              </w:rPr>
            </w:r>
            <w:r w:rsidR="00CE6C24">
              <w:rPr>
                <w:color w:val="2B579A"/>
                <w:shd w:val="clear" w:color="auto" w:fill="E6E6E6"/>
              </w:rPr>
              <w:fldChar w:fldCharType="separate"/>
            </w:r>
            <w:r w:rsidRPr="1D5D99FC">
              <w:rPr>
                <w:rStyle w:val="Hyperlink"/>
              </w:rPr>
              <w:t>54</w:t>
            </w:r>
            <w:r w:rsidR="00CE6C24">
              <w:rPr>
                <w:color w:val="2B579A"/>
                <w:shd w:val="clear" w:color="auto" w:fill="E6E6E6"/>
              </w:rPr>
              <w:fldChar w:fldCharType="end"/>
            </w:r>
          </w:hyperlink>
        </w:p>
        <w:p w14:paraId="30385E39" w14:textId="02E99D65" w:rsidR="00F72AE2" w:rsidRDefault="1D5D99FC" w:rsidP="00476273">
          <w:pPr>
            <w:pStyle w:val="TOC2"/>
            <w:tabs>
              <w:tab w:val="right" w:leader="dot" w:pos="9345"/>
            </w:tabs>
            <w:rPr>
              <w:rStyle w:val="Hyperlink"/>
              <w:noProof/>
              <w:kern w:val="2"/>
              <w14:ligatures w14:val="standardContextual"/>
            </w:rPr>
          </w:pPr>
          <w:hyperlink w:anchor="_Toc682969368">
            <w:r w:rsidRPr="1D5D99FC">
              <w:rPr>
                <w:rStyle w:val="Hyperlink"/>
              </w:rPr>
              <w:t>STD DIAGNOSES BY AGE AND GENDER</w:t>
            </w:r>
            <w:r w:rsidR="00CE6C24">
              <w:tab/>
            </w:r>
            <w:r w:rsidR="00CE6C24">
              <w:rPr>
                <w:color w:val="2B579A"/>
                <w:shd w:val="clear" w:color="auto" w:fill="E6E6E6"/>
              </w:rPr>
              <w:fldChar w:fldCharType="begin"/>
            </w:r>
            <w:r w:rsidR="00CE6C24">
              <w:instrText>PAGEREF _Toc682969368 \h</w:instrText>
            </w:r>
            <w:r w:rsidR="00CE6C24">
              <w:rPr>
                <w:color w:val="2B579A"/>
                <w:shd w:val="clear" w:color="auto" w:fill="E6E6E6"/>
              </w:rPr>
            </w:r>
            <w:r w:rsidR="00CE6C24">
              <w:rPr>
                <w:color w:val="2B579A"/>
                <w:shd w:val="clear" w:color="auto" w:fill="E6E6E6"/>
              </w:rPr>
              <w:fldChar w:fldCharType="separate"/>
            </w:r>
            <w:r w:rsidRPr="1D5D99FC">
              <w:rPr>
                <w:rStyle w:val="Hyperlink"/>
              </w:rPr>
              <w:t>54</w:t>
            </w:r>
            <w:r w:rsidR="00CE6C24">
              <w:rPr>
                <w:color w:val="2B579A"/>
                <w:shd w:val="clear" w:color="auto" w:fill="E6E6E6"/>
              </w:rPr>
              <w:fldChar w:fldCharType="end"/>
            </w:r>
          </w:hyperlink>
        </w:p>
        <w:p w14:paraId="7D8371AB" w14:textId="15129ACE" w:rsidR="00F72AE2" w:rsidRDefault="1D5D99FC" w:rsidP="00476273">
          <w:pPr>
            <w:pStyle w:val="TOC2"/>
            <w:tabs>
              <w:tab w:val="right" w:leader="dot" w:pos="9345"/>
            </w:tabs>
            <w:rPr>
              <w:rStyle w:val="Hyperlink"/>
              <w:noProof/>
              <w:kern w:val="2"/>
              <w14:ligatures w14:val="standardContextual"/>
            </w:rPr>
          </w:pPr>
          <w:hyperlink w:anchor="_Toc796502633">
            <w:r w:rsidRPr="1D5D99FC">
              <w:rPr>
                <w:rStyle w:val="Hyperlink"/>
              </w:rPr>
              <w:t>HIV DIAGNOSES BY RACE/ETHNICITY AND EXPOSURE MODE</w:t>
            </w:r>
            <w:r w:rsidR="00CE6C24">
              <w:tab/>
            </w:r>
            <w:r w:rsidR="00CE6C24">
              <w:rPr>
                <w:color w:val="2B579A"/>
                <w:shd w:val="clear" w:color="auto" w:fill="E6E6E6"/>
              </w:rPr>
              <w:fldChar w:fldCharType="begin"/>
            </w:r>
            <w:r w:rsidR="00CE6C24">
              <w:instrText>PAGEREF _Toc796502633 \h</w:instrText>
            </w:r>
            <w:r w:rsidR="00CE6C24">
              <w:rPr>
                <w:color w:val="2B579A"/>
                <w:shd w:val="clear" w:color="auto" w:fill="E6E6E6"/>
              </w:rPr>
            </w:r>
            <w:r w:rsidR="00CE6C24">
              <w:rPr>
                <w:color w:val="2B579A"/>
                <w:shd w:val="clear" w:color="auto" w:fill="E6E6E6"/>
              </w:rPr>
              <w:fldChar w:fldCharType="separate"/>
            </w:r>
            <w:r w:rsidRPr="1D5D99FC">
              <w:rPr>
                <w:rStyle w:val="Hyperlink"/>
              </w:rPr>
              <w:t>55</w:t>
            </w:r>
            <w:r w:rsidR="00CE6C24">
              <w:rPr>
                <w:color w:val="2B579A"/>
                <w:shd w:val="clear" w:color="auto" w:fill="E6E6E6"/>
              </w:rPr>
              <w:fldChar w:fldCharType="end"/>
            </w:r>
          </w:hyperlink>
        </w:p>
        <w:p w14:paraId="36AC9978" w14:textId="17E2B6EC" w:rsidR="00F72AE2" w:rsidRDefault="1D5D99FC" w:rsidP="00476273">
          <w:pPr>
            <w:pStyle w:val="TOC2"/>
            <w:tabs>
              <w:tab w:val="right" w:leader="dot" w:pos="9345"/>
            </w:tabs>
            <w:rPr>
              <w:rStyle w:val="Hyperlink"/>
              <w:noProof/>
              <w:kern w:val="2"/>
              <w14:ligatures w14:val="standardContextual"/>
            </w:rPr>
          </w:pPr>
          <w:hyperlink w:anchor="_Toc1331297994">
            <w:r w:rsidRPr="1D5D99FC">
              <w:rPr>
                <w:rStyle w:val="Hyperlink"/>
              </w:rPr>
              <w:t>HEPATITIS C BY AGE AND GENDER</w:t>
            </w:r>
            <w:r w:rsidR="00CE6C24">
              <w:tab/>
            </w:r>
            <w:r w:rsidR="00CE6C24">
              <w:rPr>
                <w:color w:val="2B579A"/>
                <w:shd w:val="clear" w:color="auto" w:fill="E6E6E6"/>
              </w:rPr>
              <w:fldChar w:fldCharType="begin"/>
            </w:r>
            <w:r w:rsidR="00CE6C24">
              <w:instrText>PAGEREF _Toc1331297994 \h</w:instrText>
            </w:r>
            <w:r w:rsidR="00CE6C24">
              <w:rPr>
                <w:color w:val="2B579A"/>
                <w:shd w:val="clear" w:color="auto" w:fill="E6E6E6"/>
              </w:rPr>
            </w:r>
            <w:r w:rsidR="00CE6C24">
              <w:rPr>
                <w:color w:val="2B579A"/>
                <w:shd w:val="clear" w:color="auto" w:fill="E6E6E6"/>
              </w:rPr>
              <w:fldChar w:fldCharType="separate"/>
            </w:r>
            <w:r w:rsidRPr="1D5D99FC">
              <w:rPr>
                <w:rStyle w:val="Hyperlink"/>
              </w:rPr>
              <w:t>56</w:t>
            </w:r>
            <w:r w:rsidR="00CE6C24">
              <w:rPr>
                <w:color w:val="2B579A"/>
                <w:shd w:val="clear" w:color="auto" w:fill="E6E6E6"/>
              </w:rPr>
              <w:fldChar w:fldCharType="end"/>
            </w:r>
          </w:hyperlink>
        </w:p>
        <w:p w14:paraId="16885D40" w14:textId="6164D2B2" w:rsidR="00F72AE2" w:rsidRDefault="1D5D99FC" w:rsidP="00476273">
          <w:pPr>
            <w:pStyle w:val="TOC2"/>
            <w:tabs>
              <w:tab w:val="right" w:leader="dot" w:pos="9345"/>
            </w:tabs>
            <w:rPr>
              <w:rStyle w:val="Hyperlink"/>
              <w:noProof/>
              <w:kern w:val="2"/>
              <w14:ligatures w14:val="standardContextual"/>
            </w:rPr>
          </w:pPr>
          <w:hyperlink w:anchor="_Toc1074799859">
            <w:r w:rsidRPr="1D5D99FC">
              <w:rPr>
                <w:rStyle w:val="Hyperlink"/>
              </w:rPr>
              <w:t>MASSACHUSETTS YOUTH RISK BEHAVIOR SURVEY</w:t>
            </w:r>
            <w:r w:rsidR="00CE6C24">
              <w:tab/>
            </w:r>
            <w:r w:rsidR="00CE6C24">
              <w:rPr>
                <w:color w:val="2B579A"/>
                <w:shd w:val="clear" w:color="auto" w:fill="E6E6E6"/>
              </w:rPr>
              <w:fldChar w:fldCharType="begin"/>
            </w:r>
            <w:r w:rsidR="00CE6C24">
              <w:instrText>PAGEREF _Toc1074799859 \h</w:instrText>
            </w:r>
            <w:r w:rsidR="00CE6C24">
              <w:rPr>
                <w:color w:val="2B579A"/>
                <w:shd w:val="clear" w:color="auto" w:fill="E6E6E6"/>
              </w:rPr>
            </w:r>
            <w:r w:rsidR="00CE6C24">
              <w:rPr>
                <w:color w:val="2B579A"/>
                <w:shd w:val="clear" w:color="auto" w:fill="E6E6E6"/>
              </w:rPr>
              <w:fldChar w:fldCharType="separate"/>
            </w:r>
            <w:r w:rsidRPr="1D5D99FC">
              <w:rPr>
                <w:rStyle w:val="Hyperlink"/>
              </w:rPr>
              <w:t>58</w:t>
            </w:r>
            <w:r w:rsidR="00CE6C24">
              <w:rPr>
                <w:color w:val="2B579A"/>
                <w:shd w:val="clear" w:color="auto" w:fill="E6E6E6"/>
              </w:rPr>
              <w:fldChar w:fldCharType="end"/>
            </w:r>
          </w:hyperlink>
        </w:p>
        <w:p w14:paraId="086E0CC3" w14:textId="17D93385" w:rsidR="00F72AE2" w:rsidRDefault="1D5D99FC" w:rsidP="00476273">
          <w:pPr>
            <w:pStyle w:val="TOC1"/>
            <w:tabs>
              <w:tab w:val="right" w:leader="dot" w:pos="9345"/>
            </w:tabs>
            <w:rPr>
              <w:rStyle w:val="Hyperlink"/>
              <w:noProof/>
              <w:kern w:val="2"/>
              <w14:ligatures w14:val="standardContextual"/>
            </w:rPr>
          </w:pPr>
          <w:hyperlink w:anchor="_Toc751751675">
            <w:r w:rsidRPr="1D5D99FC">
              <w:rPr>
                <w:rStyle w:val="Hyperlink"/>
              </w:rPr>
              <w:t>SPECIFIC POPULATIONS - MEN WHO HAVE SEX WITH MEN</w:t>
            </w:r>
            <w:r w:rsidR="00CE6C24">
              <w:tab/>
            </w:r>
            <w:r w:rsidR="00CE6C24">
              <w:rPr>
                <w:color w:val="2B579A"/>
                <w:shd w:val="clear" w:color="auto" w:fill="E6E6E6"/>
              </w:rPr>
              <w:fldChar w:fldCharType="begin"/>
            </w:r>
            <w:r w:rsidR="00CE6C24">
              <w:instrText>PAGEREF _Toc751751675 \h</w:instrText>
            </w:r>
            <w:r w:rsidR="00CE6C24">
              <w:rPr>
                <w:color w:val="2B579A"/>
                <w:shd w:val="clear" w:color="auto" w:fill="E6E6E6"/>
              </w:rPr>
            </w:r>
            <w:r w:rsidR="00CE6C24">
              <w:rPr>
                <w:color w:val="2B579A"/>
                <w:shd w:val="clear" w:color="auto" w:fill="E6E6E6"/>
              </w:rPr>
              <w:fldChar w:fldCharType="separate"/>
            </w:r>
            <w:r w:rsidRPr="1D5D99FC">
              <w:rPr>
                <w:rStyle w:val="Hyperlink"/>
              </w:rPr>
              <w:t>59</w:t>
            </w:r>
            <w:r w:rsidR="00CE6C24">
              <w:rPr>
                <w:color w:val="2B579A"/>
                <w:shd w:val="clear" w:color="auto" w:fill="E6E6E6"/>
              </w:rPr>
              <w:fldChar w:fldCharType="end"/>
            </w:r>
          </w:hyperlink>
        </w:p>
        <w:p w14:paraId="00EC4446" w14:textId="46683E40" w:rsidR="00F72AE2" w:rsidRDefault="1D5D99FC" w:rsidP="00476273">
          <w:pPr>
            <w:pStyle w:val="TOC2"/>
            <w:tabs>
              <w:tab w:val="right" w:leader="dot" w:pos="9345"/>
            </w:tabs>
            <w:rPr>
              <w:rStyle w:val="Hyperlink"/>
              <w:noProof/>
              <w:kern w:val="2"/>
              <w14:ligatures w14:val="standardContextual"/>
            </w:rPr>
          </w:pPr>
          <w:hyperlink w:anchor="_Toc646549047">
            <w:r w:rsidRPr="1D5D99FC">
              <w:rPr>
                <w:rStyle w:val="Hyperlink"/>
              </w:rPr>
              <w:t>HIV DIAGNOSIS RATE PER 100,000</w:t>
            </w:r>
            <w:r w:rsidR="00CE6C24">
              <w:tab/>
            </w:r>
            <w:r w:rsidR="00CE6C24">
              <w:rPr>
                <w:color w:val="2B579A"/>
                <w:shd w:val="clear" w:color="auto" w:fill="E6E6E6"/>
              </w:rPr>
              <w:fldChar w:fldCharType="begin"/>
            </w:r>
            <w:r w:rsidR="00CE6C24">
              <w:instrText>PAGEREF _Toc646549047 \h</w:instrText>
            </w:r>
            <w:r w:rsidR="00CE6C24">
              <w:rPr>
                <w:color w:val="2B579A"/>
                <w:shd w:val="clear" w:color="auto" w:fill="E6E6E6"/>
              </w:rPr>
            </w:r>
            <w:r w:rsidR="00CE6C24">
              <w:rPr>
                <w:color w:val="2B579A"/>
                <w:shd w:val="clear" w:color="auto" w:fill="E6E6E6"/>
              </w:rPr>
              <w:fldChar w:fldCharType="separate"/>
            </w:r>
            <w:r w:rsidRPr="1D5D99FC">
              <w:rPr>
                <w:rStyle w:val="Hyperlink"/>
              </w:rPr>
              <w:t>60</w:t>
            </w:r>
            <w:r w:rsidR="00CE6C24">
              <w:rPr>
                <w:color w:val="2B579A"/>
                <w:shd w:val="clear" w:color="auto" w:fill="E6E6E6"/>
              </w:rPr>
              <w:fldChar w:fldCharType="end"/>
            </w:r>
          </w:hyperlink>
        </w:p>
        <w:p w14:paraId="0303E416" w14:textId="74719D16" w:rsidR="00F72AE2" w:rsidRDefault="1D5D99FC" w:rsidP="00476273">
          <w:pPr>
            <w:pStyle w:val="TOC2"/>
            <w:tabs>
              <w:tab w:val="right" w:leader="dot" w:pos="9345"/>
            </w:tabs>
            <w:rPr>
              <w:rStyle w:val="Hyperlink"/>
              <w:noProof/>
              <w:kern w:val="2"/>
              <w14:ligatures w14:val="standardContextual"/>
            </w:rPr>
          </w:pPr>
          <w:hyperlink w:anchor="_Toc192942339">
            <w:r w:rsidRPr="1D5D99FC">
              <w:rPr>
                <w:rStyle w:val="Hyperlink"/>
              </w:rPr>
              <w:t>MSM – SYPHILIS RATE PER 100,000</w:t>
            </w:r>
            <w:r w:rsidR="00CE6C24">
              <w:tab/>
            </w:r>
            <w:r w:rsidR="00CE6C24">
              <w:rPr>
                <w:color w:val="2B579A"/>
                <w:shd w:val="clear" w:color="auto" w:fill="E6E6E6"/>
              </w:rPr>
              <w:fldChar w:fldCharType="begin"/>
            </w:r>
            <w:r w:rsidR="00CE6C24">
              <w:instrText>PAGEREF _Toc192942339 \h</w:instrText>
            </w:r>
            <w:r w:rsidR="00CE6C24">
              <w:rPr>
                <w:color w:val="2B579A"/>
                <w:shd w:val="clear" w:color="auto" w:fill="E6E6E6"/>
              </w:rPr>
            </w:r>
            <w:r w:rsidR="00CE6C24">
              <w:rPr>
                <w:color w:val="2B579A"/>
                <w:shd w:val="clear" w:color="auto" w:fill="E6E6E6"/>
              </w:rPr>
              <w:fldChar w:fldCharType="separate"/>
            </w:r>
            <w:r w:rsidRPr="1D5D99FC">
              <w:rPr>
                <w:rStyle w:val="Hyperlink"/>
              </w:rPr>
              <w:t>60</w:t>
            </w:r>
            <w:r w:rsidR="00CE6C24">
              <w:rPr>
                <w:color w:val="2B579A"/>
                <w:shd w:val="clear" w:color="auto" w:fill="E6E6E6"/>
              </w:rPr>
              <w:fldChar w:fldCharType="end"/>
            </w:r>
          </w:hyperlink>
        </w:p>
        <w:p w14:paraId="4751CB60" w14:textId="7CCBE077" w:rsidR="00F72AE2" w:rsidRDefault="1D5D99FC" w:rsidP="00476273">
          <w:pPr>
            <w:pStyle w:val="TOC2"/>
            <w:tabs>
              <w:tab w:val="right" w:leader="dot" w:pos="9345"/>
            </w:tabs>
            <w:rPr>
              <w:rStyle w:val="Hyperlink"/>
              <w:noProof/>
              <w:kern w:val="2"/>
              <w14:ligatures w14:val="standardContextual"/>
            </w:rPr>
          </w:pPr>
          <w:hyperlink w:anchor="_Toc221085451">
            <w:r w:rsidRPr="1D5D99FC">
              <w:rPr>
                <w:rStyle w:val="Hyperlink"/>
              </w:rPr>
              <w:t>MSM – SYPHILIS/HIV CO-INFECTION</w:t>
            </w:r>
            <w:r w:rsidR="00CE6C24">
              <w:tab/>
            </w:r>
            <w:r w:rsidR="00CE6C24">
              <w:rPr>
                <w:color w:val="2B579A"/>
                <w:shd w:val="clear" w:color="auto" w:fill="E6E6E6"/>
              </w:rPr>
              <w:fldChar w:fldCharType="begin"/>
            </w:r>
            <w:r w:rsidR="00CE6C24">
              <w:instrText>PAGEREF _Toc221085451 \h</w:instrText>
            </w:r>
            <w:r w:rsidR="00CE6C24">
              <w:rPr>
                <w:color w:val="2B579A"/>
                <w:shd w:val="clear" w:color="auto" w:fill="E6E6E6"/>
              </w:rPr>
            </w:r>
            <w:r w:rsidR="00CE6C24">
              <w:rPr>
                <w:color w:val="2B579A"/>
                <w:shd w:val="clear" w:color="auto" w:fill="E6E6E6"/>
              </w:rPr>
              <w:fldChar w:fldCharType="separate"/>
            </w:r>
            <w:r w:rsidRPr="1D5D99FC">
              <w:rPr>
                <w:rStyle w:val="Hyperlink"/>
              </w:rPr>
              <w:t>61</w:t>
            </w:r>
            <w:r w:rsidR="00CE6C24">
              <w:rPr>
                <w:color w:val="2B579A"/>
                <w:shd w:val="clear" w:color="auto" w:fill="E6E6E6"/>
              </w:rPr>
              <w:fldChar w:fldCharType="end"/>
            </w:r>
          </w:hyperlink>
        </w:p>
        <w:p w14:paraId="27F40DBC" w14:textId="5155FD2E" w:rsidR="00F72AE2" w:rsidRDefault="1D5D99FC" w:rsidP="00476273">
          <w:pPr>
            <w:pStyle w:val="TOC2"/>
            <w:tabs>
              <w:tab w:val="right" w:leader="dot" w:pos="9345"/>
            </w:tabs>
            <w:rPr>
              <w:rStyle w:val="Hyperlink"/>
              <w:noProof/>
              <w:kern w:val="2"/>
              <w14:ligatures w14:val="standardContextual"/>
            </w:rPr>
          </w:pPr>
          <w:hyperlink w:anchor="_Toc2080751066">
            <w:r w:rsidRPr="1D5D99FC">
              <w:rPr>
                <w:rStyle w:val="Hyperlink"/>
              </w:rPr>
              <w:t>MSM - SYPHILIS BY COUNTY</w:t>
            </w:r>
            <w:r w:rsidR="00CE6C24">
              <w:tab/>
            </w:r>
            <w:r w:rsidR="00CE6C24">
              <w:rPr>
                <w:color w:val="2B579A"/>
                <w:shd w:val="clear" w:color="auto" w:fill="E6E6E6"/>
              </w:rPr>
              <w:fldChar w:fldCharType="begin"/>
            </w:r>
            <w:r w:rsidR="00CE6C24">
              <w:instrText>PAGEREF _Toc2080751066 \h</w:instrText>
            </w:r>
            <w:r w:rsidR="00CE6C24">
              <w:rPr>
                <w:color w:val="2B579A"/>
                <w:shd w:val="clear" w:color="auto" w:fill="E6E6E6"/>
              </w:rPr>
            </w:r>
            <w:r w:rsidR="00CE6C24">
              <w:rPr>
                <w:color w:val="2B579A"/>
                <w:shd w:val="clear" w:color="auto" w:fill="E6E6E6"/>
              </w:rPr>
              <w:fldChar w:fldCharType="separate"/>
            </w:r>
            <w:r w:rsidRPr="1D5D99FC">
              <w:rPr>
                <w:rStyle w:val="Hyperlink"/>
              </w:rPr>
              <w:t>62</w:t>
            </w:r>
            <w:r w:rsidR="00CE6C24">
              <w:rPr>
                <w:color w:val="2B579A"/>
                <w:shd w:val="clear" w:color="auto" w:fill="E6E6E6"/>
              </w:rPr>
              <w:fldChar w:fldCharType="end"/>
            </w:r>
          </w:hyperlink>
        </w:p>
        <w:p w14:paraId="58BFA715" w14:textId="0DBD25D9" w:rsidR="00F72AE2" w:rsidRDefault="1D5D99FC" w:rsidP="00476273">
          <w:pPr>
            <w:pStyle w:val="TOC2"/>
            <w:tabs>
              <w:tab w:val="right" w:leader="dot" w:pos="9345"/>
            </w:tabs>
            <w:rPr>
              <w:rStyle w:val="Hyperlink"/>
              <w:noProof/>
              <w:kern w:val="2"/>
              <w14:ligatures w14:val="standardContextual"/>
            </w:rPr>
          </w:pPr>
          <w:hyperlink w:anchor="_Toc528987586">
            <w:r w:rsidRPr="1D5D99FC">
              <w:rPr>
                <w:rStyle w:val="Hyperlink"/>
              </w:rPr>
              <w:t>MSM – RECENT HIV DIAGNOSES</w:t>
            </w:r>
            <w:r w:rsidR="00CE6C24">
              <w:tab/>
            </w:r>
            <w:r w:rsidR="00CE6C24">
              <w:rPr>
                <w:color w:val="2B579A"/>
                <w:shd w:val="clear" w:color="auto" w:fill="E6E6E6"/>
              </w:rPr>
              <w:fldChar w:fldCharType="begin"/>
            </w:r>
            <w:r w:rsidR="00CE6C24">
              <w:instrText>PAGEREF _Toc528987586 \h</w:instrText>
            </w:r>
            <w:r w:rsidR="00CE6C24">
              <w:rPr>
                <w:color w:val="2B579A"/>
                <w:shd w:val="clear" w:color="auto" w:fill="E6E6E6"/>
              </w:rPr>
            </w:r>
            <w:r w:rsidR="00CE6C24">
              <w:rPr>
                <w:color w:val="2B579A"/>
                <w:shd w:val="clear" w:color="auto" w:fill="E6E6E6"/>
              </w:rPr>
              <w:fldChar w:fldCharType="separate"/>
            </w:r>
            <w:r w:rsidRPr="1D5D99FC">
              <w:rPr>
                <w:rStyle w:val="Hyperlink"/>
              </w:rPr>
              <w:t>63</w:t>
            </w:r>
            <w:r w:rsidR="00CE6C24">
              <w:rPr>
                <w:color w:val="2B579A"/>
                <w:shd w:val="clear" w:color="auto" w:fill="E6E6E6"/>
              </w:rPr>
              <w:fldChar w:fldCharType="end"/>
            </w:r>
          </w:hyperlink>
        </w:p>
        <w:p w14:paraId="4B79BCE6" w14:textId="280331B2" w:rsidR="00F72AE2" w:rsidRDefault="1D5D99FC" w:rsidP="00476273">
          <w:pPr>
            <w:pStyle w:val="TOC2"/>
            <w:tabs>
              <w:tab w:val="right" w:leader="dot" w:pos="9345"/>
            </w:tabs>
            <w:rPr>
              <w:rStyle w:val="Hyperlink"/>
              <w:noProof/>
              <w:kern w:val="2"/>
              <w14:ligatures w14:val="standardContextual"/>
            </w:rPr>
          </w:pPr>
          <w:hyperlink w:anchor="_Toc1997340567">
            <w:r w:rsidRPr="1D5D99FC">
              <w:rPr>
                <w:rStyle w:val="Hyperlink"/>
              </w:rPr>
              <w:t>MSM – SYPHILIS CASES</w:t>
            </w:r>
            <w:r w:rsidR="00CE6C24">
              <w:tab/>
            </w:r>
            <w:r w:rsidR="00CE6C24">
              <w:rPr>
                <w:color w:val="2B579A"/>
                <w:shd w:val="clear" w:color="auto" w:fill="E6E6E6"/>
              </w:rPr>
              <w:fldChar w:fldCharType="begin"/>
            </w:r>
            <w:r w:rsidR="00CE6C24">
              <w:instrText>PAGEREF _Toc1997340567 \h</w:instrText>
            </w:r>
            <w:r w:rsidR="00CE6C24">
              <w:rPr>
                <w:color w:val="2B579A"/>
                <w:shd w:val="clear" w:color="auto" w:fill="E6E6E6"/>
              </w:rPr>
            </w:r>
            <w:r w:rsidR="00CE6C24">
              <w:rPr>
                <w:color w:val="2B579A"/>
                <w:shd w:val="clear" w:color="auto" w:fill="E6E6E6"/>
              </w:rPr>
              <w:fldChar w:fldCharType="separate"/>
            </w:r>
            <w:r w:rsidRPr="1D5D99FC">
              <w:rPr>
                <w:rStyle w:val="Hyperlink"/>
              </w:rPr>
              <w:t>64</w:t>
            </w:r>
            <w:r w:rsidR="00CE6C24">
              <w:rPr>
                <w:color w:val="2B579A"/>
                <w:shd w:val="clear" w:color="auto" w:fill="E6E6E6"/>
              </w:rPr>
              <w:fldChar w:fldCharType="end"/>
            </w:r>
          </w:hyperlink>
        </w:p>
        <w:p w14:paraId="1850AF74" w14:textId="280D46FB" w:rsidR="00F72AE2" w:rsidRDefault="1D5D99FC" w:rsidP="00476273">
          <w:pPr>
            <w:pStyle w:val="TOC2"/>
            <w:tabs>
              <w:tab w:val="right" w:leader="dot" w:pos="9345"/>
            </w:tabs>
            <w:rPr>
              <w:rStyle w:val="Hyperlink"/>
              <w:noProof/>
              <w:kern w:val="2"/>
              <w14:ligatures w14:val="standardContextual"/>
            </w:rPr>
          </w:pPr>
          <w:hyperlink w:anchor="_Toc1992781653">
            <w:r w:rsidRPr="1D5D99FC">
              <w:rPr>
                <w:rStyle w:val="Hyperlink"/>
              </w:rPr>
              <w:t>TRENDS IN HIV EXPOSURE MODE AMONG MALES</w:t>
            </w:r>
            <w:r w:rsidR="00CE6C24">
              <w:tab/>
            </w:r>
            <w:r w:rsidR="00CE6C24">
              <w:rPr>
                <w:color w:val="2B579A"/>
                <w:shd w:val="clear" w:color="auto" w:fill="E6E6E6"/>
              </w:rPr>
              <w:fldChar w:fldCharType="begin"/>
            </w:r>
            <w:r w:rsidR="00CE6C24">
              <w:instrText>PAGEREF _Toc1992781653 \h</w:instrText>
            </w:r>
            <w:r w:rsidR="00CE6C24">
              <w:rPr>
                <w:color w:val="2B579A"/>
                <w:shd w:val="clear" w:color="auto" w:fill="E6E6E6"/>
              </w:rPr>
            </w:r>
            <w:r w:rsidR="00CE6C24">
              <w:rPr>
                <w:color w:val="2B579A"/>
                <w:shd w:val="clear" w:color="auto" w:fill="E6E6E6"/>
              </w:rPr>
              <w:fldChar w:fldCharType="separate"/>
            </w:r>
            <w:r w:rsidRPr="1D5D99FC">
              <w:rPr>
                <w:rStyle w:val="Hyperlink"/>
              </w:rPr>
              <w:t>65</w:t>
            </w:r>
            <w:r w:rsidR="00CE6C24">
              <w:rPr>
                <w:color w:val="2B579A"/>
                <w:shd w:val="clear" w:color="auto" w:fill="E6E6E6"/>
              </w:rPr>
              <w:fldChar w:fldCharType="end"/>
            </w:r>
          </w:hyperlink>
        </w:p>
        <w:p w14:paraId="6A67BE32" w14:textId="3ECF3769" w:rsidR="00F72AE2" w:rsidRDefault="1D5D99FC" w:rsidP="00476273">
          <w:pPr>
            <w:pStyle w:val="TOC1"/>
            <w:tabs>
              <w:tab w:val="right" w:leader="dot" w:pos="9345"/>
            </w:tabs>
            <w:rPr>
              <w:rStyle w:val="Hyperlink"/>
              <w:noProof/>
              <w:kern w:val="2"/>
              <w14:ligatures w14:val="standardContextual"/>
            </w:rPr>
          </w:pPr>
          <w:hyperlink w:anchor="_Toc956374126">
            <w:r w:rsidRPr="1D5D99FC">
              <w:rPr>
                <w:rStyle w:val="Hyperlink"/>
              </w:rPr>
              <w:t>SPECIFIC POPULATIONS – PERSONS WHO INJECT DRUGS</w:t>
            </w:r>
            <w:r w:rsidR="00CE6C24">
              <w:tab/>
            </w:r>
            <w:r w:rsidR="00CE6C24">
              <w:rPr>
                <w:color w:val="2B579A"/>
                <w:shd w:val="clear" w:color="auto" w:fill="E6E6E6"/>
              </w:rPr>
              <w:fldChar w:fldCharType="begin"/>
            </w:r>
            <w:r w:rsidR="00CE6C24">
              <w:instrText>PAGEREF _Toc956374126 \h</w:instrText>
            </w:r>
            <w:r w:rsidR="00CE6C24">
              <w:rPr>
                <w:color w:val="2B579A"/>
                <w:shd w:val="clear" w:color="auto" w:fill="E6E6E6"/>
              </w:rPr>
            </w:r>
            <w:r w:rsidR="00CE6C24">
              <w:rPr>
                <w:color w:val="2B579A"/>
                <w:shd w:val="clear" w:color="auto" w:fill="E6E6E6"/>
              </w:rPr>
              <w:fldChar w:fldCharType="separate"/>
            </w:r>
            <w:r w:rsidRPr="1D5D99FC">
              <w:rPr>
                <w:rStyle w:val="Hyperlink"/>
              </w:rPr>
              <w:t>67</w:t>
            </w:r>
            <w:r w:rsidR="00CE6C24">
              <w:rPr>
                <w:color w:val="2B579A"/>
                <w:shd w:val="clear" w:color="auto" w:fill="E6E6E6"/>
              </w:rPr>
              <w:fldChar w:fldCharType="end"/>
            </w:r>
          </w:hyperlink>
        </w:p>
        <w:p w14:paraId="28F861D3" w14:textId="3868E92C" w:rsidR="00F72AE2" w:rsidRDefault="1D5D99FC" w:rsidP="00476273">
          <w:pPr>
            <w:pStyle w:val="TOC2"/>
            <w:tabs>
              <w:tab w:val="right" w:leader="dot" w:pos="9345"/>
            </w:tabs>
            <w:rPr>
              <w:rStyle w:val="Hyperlink"/>
              <w:noProof/>
              <w:kern w:val="2"/>
              <w14:ligatures w14:val="standardContextual"/>
            </w:rPr>
          </w:pPr>
          <w:hyperlink w:anchor="_Toc1750493936">
            <w:r w:rsidRPr="1D5D99FC">
              <w:rPr>
                <w:rStyle w:val="Hyperlink"/>
              </w:rPr>
              <w:t>PERSONS WHO INJECT DRUGS – RECENT HIV DIAGNOSES</w:t>
            </w:r>
            <w:r w:rsidR="00CE6C24">
              <w:tab/>
            </w:r>
            <w:r w:rsidR="00CE6C24">
              <w:rPr>
                <w:color w:val="2B579A"/>
                <w:shd w:val="clear" w:color="auto" w:fill="E6E6E6"/>
              </w:rPr>
              <w:fldChar w:fldCharType="begin"/>
            </w:r>
            <w:r w:rsidR="00CE6C24">
              <w:instrText>PAGEREF _Toc1750493936 \h</w:instrText>
            </w:r>
            <w:r w:rsidR="00CE6C24">
              <w:rPr>
                <w:color w:val="2B579A"/>
                <w:shd w:val="clear" w:color="auto" w:fill="E6E6E6"/>
              </w:rPr>
            </w:r>
            <w:r w:rsidR="00CE6C24">
              <w:rPr>
                <w:color w:val="2B579A"/>
                <w:shd w:val="clear" w:color="auto" w:fill="E6E6E6"/>
              </w:rPr>
              <w:fldChar w:fldCharType="separate"/>
            </w:r>
            <w:r w:rsidRPr="1D5D99FC">
              <w:rPr>
                <w:rStyle w:val="Hyperlink"/>
              </w:rPr>
              <w:t>68</w:t>
            </w:r>
            <w:r w:rsidR="00CE6C24">
              <w:rPr>
                <w:color w:val="2B579A"/>
                <w:shd w:val="clear" w:color="auto" w:fill="E6E6E6"/>
              </w:rPr>
              <w:fldChar w:fldCharType="end"/>
            </w:r>
          </w:hyperlink>
        </w:p>
        <w:p w14:paraId="5BCDB770" w14:textId="1C40B10C" w:rsidR="00F72AE2" w:rsidRDefault="1D5D99FC" w:rsidP="00476273">
          <w:pPr>
            <w:pStyle w:val="TOC2"/>
            <w:tabs>
              <w:tab w:val="right" w:leader="dot" w:pos="9345"/>
            </w:tabs>
            <w:rPr>
              <w:rStyle w:val="Hyperlink"/>
              <w:noProof/>
              <w:kern w:val="2"/>
              <w14:ligatures w14:val="standardContextual"/>
            </w:rPr>
          </w:pPr>
          <w:hyperlink w:anchor="_Toc2143047264">
            <w:r w:rsidRPr="1D5D99FC">
              <w:rPr>
                <w:rStyle w:val="Hyperlink"/>
              </w:rPr>
              <w:t>DEATHS FROM ANY CAUSE AMONG INDIVIDUALS REPORTED WITH HIV BY EXPOSURE MODE</w:t>
            </w:r>
            <w:r w:rsidR="00CE6C24">
              <w:tab/>
            </w:r>
            <w:r w:rsidR="00CE6C24">
              <w:rPr>
                <w:color w:val="2B579A"/>
                <w:shd w:val="clear" w:color="auto" w:fill="E6E6E6"/>
              </w:rPr>
              <w:fldChar w:fldCharType="begin"/>
            </w:r>
            <w:r w:rsidR="00CE6C24">
              <w:instrText>PAGEREF _Toc2143047264 \h</w:instrText>
            </w:r>
            <w:r w:rsidR="00CE6C24">
              <w:rPr>
                <w:color w:val="2B579A"/>
                <w:shd w:val="clear" w:color="auto" w:fill="E6E6E6"/>
              </w:rPr>
            </w:r>
            <w:r w:rsidR="00CE6C24">
              <w:rPr>
                <w:color w:val="2B579A"/>
                <w:shd w:val="clear" w:color="auto" w:fill="E6E6E6"/>
              </w:rPr>
              <w:fldChar w:fldCharType="separate"/>
            </w:r>
            <w:r w:rsidRPr="1D5D99FC">
              <w:rPr>
                <w:rStyle w:val="Hyperlink"/>
              </w:rPr>
              <w:t>69</w:t>
            </w:r>
            <w:r w:rsidR="00CE6C24">
              <w:rPr>
                <w:color w:val="2B579A"/>
                <w:shd w:val="clear" w:color="auto" w:fill="E6E6E6"/>
              </w:rPr>
              <w:fldChar w:fldCharType="end"/>
            </w:r>
          </w:hyperlink>
        </w:p>
        <w:p w14:paraId="7E033114" w14:textId="672AC722" w:rsidR="00F72AE2" w:rsidRDefault="1D5D99FC" w:rsidP="00476273">
          <w:pPr>
            <w:pStyle w:val="TOC1"/>
            <w:tabs>
              <w:tab w:val="right" w:leader="dot" w:pos="9345"/>
            </w:tabs>
            <w:rPr>
              <w:rStyle w:val="Hyperlink"/>
              <w:noProof/>
              <w:kern w:val="2"/>
              <w14:ligatures w14:val="standardContextual"/>
            </w:rPr>
          </w:pPr>
          <w:hyperlink w:anchor="_Toc431061053">
            <w:r w:rsidRPr="1D5D99FC">
              <w:rPr>
                <w:rStyle w:val="Hyperlink"/>
              </w:rPr>
              <w:t>SPECIFIC POPULATIONS – RACIAL/ETHNIC MINORITIES</w:t>
            </w:r>
            <w:r w:rsidR="00CE6C24">
              <w:tab/>
            </w:r>
            <w:r w:rsidR="00CE6C24">
              <w:rPr>
                <w:color w:val="2B579A"/>
                <w:shd w:val="clear" w:color="auto" w:fill="E6E6E6"/>
              </w:rPr>
              <w:fldChar w:fldCharType="begin"/>
            </w:r>
            <w:r w:rsidR="00CE6C24">
              <w:instrText>PAGEREF _Toc431061053 \h</w:instrText>
            </w:r>
            <w:r w:rsidR="00CE6C24">
              <w:rPr>
                <w:color w:val="2B579A"/>
                <w:shd w:val="clear" w:color="auto" w:fill="E6E6E6"/>
              </w:rPr>
            </w:r>
            <w:r w:rsidR="00CE6C24">
              <w:rPr>
                <w:color w:val="2B579A"/>
                <w:shd w:val="clear" w:color="auto" w:fill="E6E6E6"/>
              </w:rPr>
              <w:fldChar w:fldCharType="separate"/>
            </w:r>
            <w:r w:rsidRPr="1D5D99FC">
              <w:rPr>
                <w:rStyle w:val="Hyperlink"/>
              </w:rPr>
              <w:t>70</w:t>
            </w:r>
            <w:r w:rsidR="00CE6C24">
              <w:rPr>
                <w:color w:val="2B579A"/>
                <w:shd w:val="clear" w:color="auto" w:fill="E6E6E6"/>
              </w:rPr>
              <w:fldChar w:fldCharType="end"/>
            </w:r>
          </w:hyperlink>
        </w:p>
        <w:p w14:paraId="5B7ED3F6" w14:textId="51710757" w:rsidR="00F72AE2" w:rsidRDefault="1D5D99FC" w:rsidP="00476273">
          <w:pPr>
            <w:pStyle w:val="TOC2"/>
            <w:tabs>
              <w:tab w:val="right" w:leader="dot" w:pos="9345"/>
            </w:tabs>
            <w:rPr>
              <w:rStyle w:val="Hyperlink"/>
              <w:noProof/>
              <w:kern w:val="2"/>
              <w14:ligatures w14:val="standardContextual"/>
            </w:rPr>
          </w:pPr>
          <w:hyperlink w:anchor="_Toc977877690">
            <w:r w:rsidRPr="1D5D99FC">
              <w:rPr>
                <w:rStyle w:val="Hyperlink"/>
              </w:rPr>
              <w:t>SYPHILIS BY RACE/ETHNICITY</w:t>
            </w:r>
            <w:r w:rsidR="00CE6C24">
              <w:tab/>
            </w:r>
            <w:r w:rsidR="00CE6C24">
              <w:rPr>
                <w:color w:val="2B579A"/>
                <w:shd w:val="clear" w:color="auto" w:fill="E6E6E6"/>
              </w:rPr>
              <w:fldChar w:fldCharType="begin"/>
            </w:r>
            <w:r w:rsidR="00CE6C24">
              <w:instrText>PAGEREF _Toc977877690 \h</w:instrText>
            </w:r>
            <w:r w:rsidR="00CE6C24">
              <w:rPr>
                <w:color w:val="2B579A"/>
                <w:shd w:val="clear" w:color="auto" w:fill="E6E6E6"/>
              </w:rPr>
            </w:r>
            <w:r w:rsidR="00CE6C24">
              <w:rPr>
                <w:color w:val="2B579A"/>
                <w:shd w:val="clear" w:color="auto" w:fill="E6E6E6"/>
              </w:rPr>
              <w:fldChar w:fldCharType="separate"/>
            </w:r>
            <w:r w:rsidRPr="1D5D99FC">
              <w:rPr>
                <w:rStyle w:val="Hyperlink"/>
              </w:rPr>
              <w:t>71</w:t>
            </w:r>
            <w:r w:rsidR="00CE6C24">
              <w:rPr>
                <w:color w:val="2B579A"/>
                <w:shd w:val="clear" w:color="auto" w:fill="E6E6E6"/>
              </w:rPr>
              <w:fldChar w:fldCharType="end"/>
            </w:r>
          </w:hyperlink>
        </w:p>
        <w:p w14:paraId="2B965C69" w14:textId="17F26D6A" w:rsidR="00F72AE2" w:rsidRDefault="1D5D99FC" w:rsidP="00476273">
          <w:pPr>
            <w:pStyle w:val="TOC2"/>
            <w:tabs>
              <w:tab w:val="right" w:leader="dot" w:pos="9345"/>
            </w:tabs>
            <w:rPr>
              <w:rStyle w:val="Hyperlink"/>
              <w:noProof/>
              <w:kern w:val="2"/>
              <w14:ligatures w14:val="standardContextual"/>
            </w:rPr>
          </w:pPr>
          <w:hyperlink w:anchor="_Toc1196522038">
            <w:r w:rsidRPr="1D5D99FC">
              <w:rPr>
                <w:rStyle w:val="Hyperlink"/>
              </w:rPr>
              <w:t>HIV BY RACE/ETHNICITY</w:t>
            </w:r>
            <w:r w:rsidR="00CE6C24">
              <w:tab/>
            </w:r>
            <w:r w:rsidR="00CE6C24">
              <w:rPr>
                <w:color w:val="2B579A"/>
                <w:shd w:val="clear" w:color="auto" w:fill="E6E6E6"/>
              </w:rPr>
              <w:fldChar w:fldCharType="begin"/>
            </w:r>
            <w:r w:rsidR="00CE6C24">
              <w:instrText>PAGEREF _Toc1196522038 \h</w:instrText>
            </w:r>
            <w:r w:rsidR="00CE6C24">
              <w:rPr>
                <w:color w:val="2B579A"/>
                <w:shd w:val="clear" w:color="auto" w:fill="E6E6E6"/>
              </w:rPr>
            </w:r>
            <w:r w:rsidR="00CE6C24">
              <w:rPr>
                <w:color w:val="2B579A"/>
                <w:shd w:val="clear" w:color="auto" w:fill="E6E6E6"/>
              </w:rPr>
              <w:fldChar w:fldCharType="separate"/>
            </w:r>
            <w:r w:rsidRPr="1D5D99FC">
              <w:rPr>
                <w:rStyle w:val="Hyperlink"/>
              </w:rPr>
              <w:t>72</w:t>
            </w:r>
            <w:r w:rsidR="00CE6C24">
              <w:rPr>
                <w:color w:val="2B579A"/>
                <w:shd w:val="clear" w:color="auto" w:fill="E6E6E6"/>
              </w:rPr>
              <w:fldChar w:fldCharType="end"/>
            </w:r>
          </w:hyperlink>
        </w:p>
        <w:p w14:paraId="4263EC08" w14:textId="24FF37DF" w:rsidR="00F72AE2" w:rsidRDefault="1D5D99FC" w:rsidP="00476273">
          <w:pPr>
            <w:pStyle w:val="TOC1"/>
            <w:tabs>
              <w:tab w:val="right" w:leader="dot" w:pos="9345"/>
            </w:tabs>
            <w:rPr>
              <w:rStyle w:val="Hyperlink"/>
              <w:noProof/>
              <w:kern w:val="2"/>
              <w14:ligatures w14:val="standardContextual"/>
            </w:rPr>
          </w:pPr>
          <w:hyperlink w:anchor="_Toc827490782">
            <w:r w:rsidRPr="1D5D99FC">
              <w:rPr>
                <w:rStyle w:val="Hyperlink"/>
              </w:rPr>
              <w:t>SPECIFIC POPULATIONS - WOMEN AND INFANTS</w:t>
            </w:r>
            <w:r w:rsidR="00CE6C24">
              <w:tab/>
            </w:r>
            <w:r w:rsidR="00CE6C24">
              <w:rPr>
                <w:color w:val="2B579A"/>
                <w:shd w:val="clear" w:color="auto" w:fill="E6E6E6"/>
              </w:rPr>
              <w:fldChar w:fldCharType="begin"/>
            </w:r>
            <w:r w:rsidR="00CE6C24">
              <w:instrText>PAGEREF _Toc827490782 \h</w:instrText>
            </w:r>
            <w:r w:rsidR="00CE6C24">
              <w:rPr>
                <w:color w:val="2B579A"/>
                <w:shd w:val="clear" w:color="auto" w:fill="E6E6E6"/>
              </w:rPr>
            </w:r>
            <w:r w:rsidR="00CE6C24">
              <w:rPr>
                <w:color w:val="2B579A"/>
                <w:shd w:val="clear" w:color="auto" w:fill="E6E6E6"/>
              </w:rPr>
              <w:fldChar w:fldCharType="separate"/>
            </w:r>
            <w:r w:rsidRPr="1D5D99FC">
              <w:rPr>
                <w:rStyle w:val="Hyperlink"/>
              </w:rPr>
              <w:t>73</w:t>
            </w:r>
            <w:r w:rsidR="00CE6C24">
              <w:rPr>
                <w:color w:val="2B579A"/>
                <w:shd w:val="clear" w:color="auto" w:fill="E6E6E6"/>
              </w:rPr>
              <w:fldChar w:fldCharType="end"/>
            </w:r>
          </w:hyperlink>
        </w:p>
        <w:p w14:paraId="0E62B81D" w14:textId="10C90562" w:rsidR="00F72AE2" w:rsidRDefault="1D5D99FC" w:rsidP="00476273">
          <w:pPr>
            <w:pStyle w:val="TOC2"/>
            <w:tabs>
              <w:tab w:val="right" w:leader="dot" w:pos="9345"/>
            </w:tabs>
            <w:rPr>
              <w:rStyle w:val="Hyperlink"/>
              <w:noProof/>
              <w:kern w:val="2"/>
              <w14:ligatures w14:val="standardContextual"/>
            </w:rPr>
          </w:pPr>
          <w:hyperlink w:anchor="_Toc231154708">
            <w:r w:rsidRPr="1D5D99FC">
              <w:rPr>
                <w:rStyle w:val="Hyperlink"/>
              </w:rPr>
              <w:t>WOMEN AND INFANTS – CONGENITAL SYPHILIS</w:t>
            </w:r>
            <w:r w:rsidR="00CE6C24">
              <w:tab/>
            </w:r>
            <w:r w:rsidR="00CE6C24">
              <w:rPr>
                <w:color w:val="2B579A"/>
                <w:shd w:val="clear" w:color="auto" w:fill="E6E6E6"/>
              </w:rPr>
              <w:fldChar w:fldCharType="begin"/>
            </w:r>
            <w:r w:rsidR="00CE6C24">
              <w:instrText>PAGEREF _Toc231154708 \h</w:instrText>
            </w:r>
            <w:r w:rsidR="00CE6C24">
              <w:rPr>
                <w:color w:val="2B579A"/>
                <w:shd w:val="clear" w:color="auto" w:fill="E6E6E6"/>
              </w:rPr>
            </w:r>
            <w:r w:rsidR="00CE6C24">
              <w:rPr>
                <w:color w:val="2B579A"/>
                <w:shd w:val="clear" w:color="auto" w:fill="E6E6E6"/>
              </w:rPr>
              <w:fldChar w:fldCharType="separate"/>
            </w:r>
            <w:r w:rsidRPr="1D5D99FC">
              <w:rPr>
                <w:rStyle w:val="Hyperlink"/>
              </w:rPr>
              <w:t>74</w:t>
            </w:r>
            <w:r w:rsidR="00CE6C24">
              <w:rPr>
                <w:color w:val="2B579A"/>
                <w:shd w:val="clear" w:color="auto" w:fill="E6E6E6"/>
              </w:rPr>
              <w:fldChar w:fldCharType="end"/>
            </w:r>
          </w:hyperlink>
        </w:p>
        <w:p w14:paraId="7C3DF5C4" w14:textId="72C0493D" w:rsidR="00F72AE2" w:rsidRDefault="1D5D99FC" w:rsidP="00476273">
          <w:pPr>
            <w:pStyle w:val="TOC2"/>
            <w:tabs>
              <w:tab w:val="right" w:leader="dot" w:pos="9345"/>
            </w:tabs>
            <w:rPr>
              <w:rStyle w:val="Hyperlink"/>
              <w:noProof/>
              <w:kern w:val="2"/>
              <w14:ligatures w14:val="standardContextual"/>
            </w:rPr>
          </w:pPr>
          <w:hyperlink w:anchor="_Toc15208966">
            <w:r w:rsidRPr="1D5D99FC">
              <w:rPr>
                <w:rStyle w:val="Hyperlink"/>
              </w:rPr>
              <w:t>WOMEN - RECENT HIV DIAGNOSES</w:t>
            </w:r>
            <w:r w:rsidR="00CE6C24">
              <w:tab/>
            </w:r>
            <w:r w:rsidR="00CE6C24">
              <w:rPr>
                <w:color w:val="2B579A"/>
                <w:shd w:val="clear" w:color="auto" w:fill="E6E6E6"/>
              </w:rPr>
              <w:fldChar w:fldCharType="begin"/>
            </w:r>
            <w:r w:rsidR="00CE6C24">
              <w:instrText>PAGEREF _Toc15208966 \h</w:instrText>
            </w:r>
            <w:r w:rsidR="00CE6C24">
              <w:rPr>
                <w:color w:val="2B579A"/>
                <w:shd w:val="clear" w:color="auto" w:fill="E6E6E6"/>
              </w:rPr>
            </w:r>
            <w:r w:rsidR="00CE6C24">
              <w:rPr>
                <w:color w:val="2B579A"/>
                <w:shd w:val="clear" w:color="auto" w:fill="E6E6E6"/>
              </w:rPr>
              <w:fldChar w:fldCharType="separate"/>
            </w:r>
            <w:r w:rsidRPr="1D5D99FC">
              <w:rPr>
                <w:rStyle w:val="Hyperlink"/>
              </w:rPr>
              <w:t>75</w:t>
            </w:r>
            <w:r w:rsidR="00CE6C24">
              <w:rPr>
                <w:color w:val="2B579A"/>
                <w:shd w:val="clear" w:color="auto" w:fill="E6E6E6"/>
              </w:rPr>
              <w:fldChar w:fldCharType="end"/>
            </w:r>
          </w:hyperlink>
        </w:p>
        <w:p w14:paraId="700A5A1C" w14:textId="755BEDF8" w:rsidR="00F72AE2" w:rsidRDefault="1D5D99FC" w:rsidP="00476273">
          <w:pPr>
            <w:pStyle w:val="TOC1"/>
            <w:tabs>
              <w:tab w:val="right" w:leader="dot" w:pos="9345"/>
            </w:tabs>
            <w:rPr>
              <w:rStyle w:val="Hyperlink"/>
              <w:noProof/>
              <w:kern w:val="2"/>
              <w14:ligatures w14:val="standardContextual"/>
            </w:rPr>
          </w:pPr>
          <w:hyperlink w:anchor="_Toc808847349">
            <w:r w:rsidRPr="1D5D99FC">
              <w:rPr>
                <w:rStyle w:val="Hyperlink"/>
              </w:rPr>
              <w:t>SPECIFIC POPULATIONS – OLDER INDIVIDUALS</w:t>
            </w:r>
            <w:r w:rsidR="00CE6C24">
              <w:tab/>
            </w:r>
            <w:r w:rsidR="00CE6C24">
              <w:rPr>
                <w:color w:val="2B579A"/>
                <w:shd w:val="clear" w:color="auto" w:fill="E6E6E6"/>
              </w:rPr>
              <w:fldChar w:fldCharType="begin"/>
            </w:r>
            <w:r w:rsidR="00CE6C24">
              <w:instrText>PAGEREF _Toc808847349 \h</w:instrText>
            </w:r>
            <w:r w:rsidR="00CE6C24">
              <w:rPr>
                <w:color w:val="2B579A"/>
                <w:shd w:val="clear" w:color="auto" w:fill="E6E6E6"/>
              </w:rPr>
            </w:r>
            <w:r w:rsidR="00CE6C24">
              <w:rPr>
                <w:color w:val="2B579A"/>
                <w:shd w:val="clear" w:color="auto" w:fill="E6E6E6"/>
              </w:rPr>
              <w:fldChar w:fldCharType="separate"/>
            </w:r>
            <w:r w:rsidRPr="1D5D99FC">
              <w:rPr>
                <w:rStyle w:val="Hyperlink"/>
              </w:rPr>
              <w:t>76</w:t>
            </w:r>
            <w:r w:rsidR="00CE6C24">
              <w:rPr>
                <w:color w:val="2B579A"/>
                <w:shd w:val="clear" w:color="auto" w:fill="E6E6E6"/>
              </w:rPr>
              <w:fldChar w:fldCharType="end"/>
            </w:r>
          </w:hyperlink>
        </w:p>
        <w:p w14:paraId="582FD264" w14:textId="474BA2DA" w:rsidR="00F72AE2" w:rsidRDefault="1D5D99FC" w:rsidP="00476273">
          <w:pPr>
            <w:pStyle w:val="TOC2"/>
            <w:tabs>
              <w:tab w:val="right" w:leader="dot" w:pos="9345"/>
            </w:tabs>
            <w:rPr>
              <w:rStyle w:val="Hyperlink"/>
              <w:noProof/>
              <w:kern w:val="2"/>
              <w14:ligatures w14:val="standardContextual"/>
            </w:rPr>
          </w:pPr>
          <w:hyperlink w:anchor="_Toc1100875511">
            <w:r w:rsidRPr="1D5D99FC">
              <w:rPr>
                <w:rStyle w:val="Hyperlink"/>
              </w:rPr>
              <w:t>STD DIAGNOSES BY AGE</w:t>
            </w:r>
            <w:r w:rsidR="00CE6C24">
              <w:tab/>
            </w:r>
            <w:r w:rsidR="00CE6C24">
              <w:rPr>
                <w:color w:val="2B579A"/>
                <w:shd w:val="clear" w:color="auto" w:fill="E6E6E6"/>
              </w:rPr>
              <w:fldChar w:fldCharType="begin"/>
            </w:r>
            <w:r w:rsidR="00CE6C24">
              <w:instrText>PAGEREF _Toc1100875511 \h</w:instrText>
            </w:r>
            <w:r w:rsidR="00CE6C24">
              <w:rPr>
                <w:color w:val="2B579A"/>
                <w:shd w:val="clear" w:color="auto" w:fill="E6E6E6"/>
              </w:rPr>
            </w:r>
            <w:r w:rsidR="00CE6C24">
              <w:rPr>
                <w:color w:val="2B579A"/>
                <w:shd w:val="clear" w:color="auto" w:fill="E6E6E6"/>
              </w:rPr>
              <w:fldChar w:fldCharType="separate"/>
            </w:r>
            <w:r w:rsidRPr="1D5D99FC">
              <w:rPr>
                <w:rStyle w:val="Hyperlink"/>
              </w:rPr>
              <w:t>77</w:t>
            </w:r>
            <w:r w:rsidR="00CE6C24">
              <w:rPr>
                <w:color w:val="2B579A"/>
                <w:shd w:val="clear" w:color="auto" w:fill="E6E6E6"/>
              </w:rPr>
              <w:fldChar w:fldCharType="end"/>
            </w:r>
          </w:hyperlink>
        </w:p>
        <w:p w14:paraId="3DA727A9" w14:textId="3E8BEF28" w:rsidR="00F72AE2" w:rsidRDefault="1D5D99FC" w:rsidP="00476273">
          <w:pPr>
            <w:pStyle w:val="TOC2"/>
            <w:tabs>
              <w:tab w:val="right" w:leader="dot" w:pos="9345"/>
            </w:tabs>
            <w:rPr>
              <w:rStyle w:val="Hyperlink"/>
              <w:noProof/>
              <w:kern w:val="2"/>
              <w14:ligatures w14:val="standardContextual"/>
            </w:rPr>
          </w:pPr>
          <w:hyperlink w:anchor="_Toc356459140">
            <w:r w:rsidRPr="1D5D99FC">
              <w:rPr>
                <w:rStyle w:val="Hyperlink"/>
              </w:rPr>
              <w:t>STD DIAGNOSES BY AGE AND GENDER</w:t>
            </w:r>
            <w:r w:rsidR="00CE6C24">
              <w:tab/>
            </w:r>
            <w:r w:rsidR="00CE6C24">
              <w:rPr>
                <w:color w:val="2B579A"/>
                <w:shd w:val="clear" w:color="auto" w:fill="E6E6E6"/>
              </w:rPr>
              <w:fldChar w:fldCharType="begin"/>
            </w:r>
            <w:r w:rsidR="00CE6C24">
              <w:instrText>PAGEREF _Toc356459140 \h</w:instrText>
            </w:r>
            <w:r w:rsidR="00CE6C24">
              <w:rPr>
                <w:color w:val="2B579A"/>
                <w:shd w:val="clear" w:color="auto" w:fill="E6E6E6"/>
              </w:rPr>
            </w:r>
            <w:r w:rsidR="00CE6C24">
              <w:rPr>
                <w:color w:val="2B579A"/>
                <w:shd w:val="clear" w:color="auto" w:fill="E6E6E6"/>
              </w:rPr>
              <w:fldChar w:fldCharType="separate"/>
            </w:r>
            <w:r w:rsidRPr="1D5D99FC">
              <w:rPr>
                <w:rStyle w:val="Hyperlink"/>
              </w:rPr>
              <w:t>77</w:t>
            </w:r>
            <w:r w:rsidR="00CE6C24">
              <w:rPr>
                <w:color w:val="2B579A"/>
                <w:shd w:val="clear" w:color="auto" w:fill="E6E6E6"/>
              </w:rPr>
              <w:fldChar w:fldCharType="end"/>
            </w:r>
          </w:hyperlink>
        </w:p>
        <w:p w14:paraId="50A9565C" w14:textId="1D76B756" w:rsidR="00F72AE2" w:rsidRDefault="1D5D99FC" w:rsidP="00476273">
          <w:pPr>
            <w:pStyle w:val="TOC2"/>
            <w:tabs>
              <w:tab w:val="right" w:leader="dot" w:pos="9345"/>
            </w:tabs>
            <w:rPr>
              <w:rStyle w:val="Hyperlink"/>
              <w:noProof/>
              <w:kern w:val="2"/>
              <w14:ligatures w14:val="standardContextual"/>
            </w:rPr>
          </w:pPr>
          <w:hyperlink w:anchor="_Toc840705223">
            <w:r w:rsidRPr="1D5D99FC">
              <w:rPr>
                <w:rStyle w:val="Hyperlink"/>
              </w:rPr>
              <w:t>SYPHILIS BY AGE, GENDER, RACE/ETHNICITY, AND RISK</w:t>
            </w:r>
            <w:r w:rsidR="00CE6C24">
              <w:tab/>
            </w:r>
            <w:r w:rsidR="00CE6C24">
              <w:rPr>
                <w:color w:val="2B579A"/>
                <w:shd w:val="clear" w:color="auto" w:fill="E6E6E6"/>
              </w:rPr>
              <w:fldChar w:fldCharType="begin"/>
            </w:r>
            <w:r w:rsidR="00CE6C24">
              <w:instrText>PAGEREF _Toc840705223 \h</w:instrText>
            </w:r>
            <w:r w:rsidR="00CE6C24">
              <w:rPr>
                <w:color w:val="2B579A"/>
                <w:shd w:val="clear" w:color="auto" w:fill="E6E6E6"/>
              </w:rPr>
            </w:r>
            <w:r w:rsidR="00CE6C24">
              <w:rPr>
                <w:color w:val="2B579A"/>
                <w:shd w:val="clear" w:color="auto" w:fill="E6E6E6"/>
              </w:rPr>
              <w:fldChar w:fldCharType="separate"/>
            </w:r>
            <w:r w:rsidRPr="1D5D99FC">
              <w:rPr>
                <w:rStyle w:val="Hyperlink"/>
              </w:rPr>
              <w:t>78</w:t>
            </w:r>
            <w:r w:rsidR="00CE6C24">
              <w:rPr>
                <w:color w:val="2B579A"/>
                <w:shd w:val="clear" w:color="auto" w:fill="E6E6E6"/>
              </w:rPr>
              <w:fldChar w:fldCharType="end"/>
            </w:r>
          </w:hyperlink>
        </w:p>
        <w:p w14:paraId="0B62EAB5" w14:textId="3BD0CCF0" w:rsidR="00F72AE2" w:rsidRDefault="1D5D99FC" w:rsidP="00476273">
          <w:pPr>
            <w:pStyle w:val="TOC2"/>
            <w:tabs>
              <w:tab w:val="right" w:leader="dot" w:pos="9345"/>
            </w:tabs>
            <w:rPr>
              <w:rStyle w:val="Hyperlink"/>
              <w:noProof/>
              <w:kern w:val="2"/>
              <w14:ligatures w14:val="standardContextual"/>
            </w:rPr>
          </w:pPr>
          <w:hyperlink w:anchor="_Toc396090084">
            <w:r w:rsidRPr="1D5D99FC">
              <w:rPr>
                <w:rStyle w:val="Hyperlink"/>
              </w:rPr>
              <w:t>OLDER INDIVIDUALS LIVING WITH HIV INFECTION</w:t>
            </w:r>
            <w:r w:rsidR="00CE6C24">
              <w:tab/>
            </w:r>
            <w:r w:rsidR="00CE6C24">
              <w:rPr>
                <w:color w:val="2B579A"/>
                <w:shd w:val="clear" w:color="auto" w:fill="E6E6E6"/>
              </w:rPr>
              <w:fldChar w:fldCharType="begin"/>
            </w:r>
            <w:r w:rsidR="00CE6C24">
              <w:instrText>PAGEREF _Toc396090084 \h</w:instrText>
            </w:r>
            <w:r w:rsidR="00CE6C24">
              <w:rPr>
                <w:color w:val="2B579A"/>
                <w:shd w:val="clear" w:color="auto" w:fill="E6E6E6"/>
              </w:rPr>
            </w:r>
            <w:r w:rsidR="00CE6C24">
              <w:rPr>
                <w:color w:val="2B579A"/>
                <w:shd w:val="clear" w:color="auto" w:fill="E6E6E6"/>
              </w:rPr>
              <w:fldChar w:fldCharType="separate"/>
            </w:r>
            <w:r w:rsidRPr="1D5D99FC">
              <w:rPr>
                <w:rStyle w:val="Hyperlink"/>
              </w:rPr>
              <w:t>79</w:t>
            </w:r>
            <w:r w:rsidR="00CE6C24">
              <w:rPr>
                <w:color w:val="2B579A"/>
                <w:shd w:val="clear" w:color="auto" w:fill="E6E6E6"/>
              </w:rPr>
              <w:fldChar w:fldCharType="end"/>
            </w:r>
          </w:hyperlink>
        </w:p>
        <w:p w14:paraId="6CD2C8B7" w14:textId="30EE4B4B" w:rsidR="00F72AE2" w:rsidRDefault="1D5D99FC" w:rsidP="00476273">
          <w:pPr>
            <w:pStyle w:val="TOC2"/>
            <w:tabs>
              <w:tab w:val="right" w:leader="dot" w:pos="9345"/>
            </w:tabs>
            <w:rPr>
              <w:rStyle w:val="Hyperlink"/>
              <w:noProof/>
              <w:kern w:val="2"/>
              <w14:ligatures w14:val="standardContextual"/>
            </w:rPr>
          </w:pPr>
          <w:hyperlink w:anchor="_Toc481356332">
            <w:r w:rsidRPr="1D5D99FC">
              <w:rPr>
                <w:rStyle w:val="Hyperlink"/>
              </w:rPr>
              <w:t>OLDER INDIVIDUALS RECENTLY DIAGNOSED WITH HIV INFECTION</w:t>
            </w:r>
            <w:r w:rsidR="00CE6C24">
              <w:tab/>
            </w:r>
            <w:r w:rsidR="00CE6C24">
              <w:rPr>
                <w:color w:val="2B579A"/>
                <w:shd w:val="clear" w:color="auto" w:fill="E6E6E6"/>
              </w:rPr>
              <w:fldChar w:fldCharType="begin"/>
            </w:r>
            <w:r w:rsidR="00CE6C24">
              <w:instrText>PAGEREF _Toc481356332 \h</w:instrText>
            </w:r>
            <w:r w:rsidR="00CE6C24">
              <w:rPr>
                <w:color w:val="2B579A"/>
                <w:shd w:val="clear" w:color="auto" w:fill="E6E6E6"/>
              </w:rPr>
            </w:r>
            <w:r w:rsidR="00CE6C24">
              <w:rPr>
                <w:color w:val="2B579A"/>
                <w:shd w:val="clear" w:color="auto" w:fill="E6E6E6"/>
              </w:rPr>
              <w:fldChar w:fldCharType="separate"/>
            </w:r>
            <w:r w:rsidRPr="1D5D99FC">
              <w:rPr>
                <w:rStyle w:val="Hyperlink"/>
              </w:rPr>
              <w:t>83</w:t>
            </w:r>
            <w:r w:rsidR="00CE6C24">
              <w:rPr>
                <w:color w:val="2B579A"/>
                <w:shd w:val="clear" w:color="auto" w:fill="E6E6E6"/>
              </w:rPr>
              <w:fldChar w:fldCharType="end"/>
            </w:r>
          </w:hyperlink>
        </w:p>
        <w:p w14:paraId="6D6AFFB3" w14:textId="5EA260BB" w:rsidR="00F72AE2" w:rsidRDefault="1D5D99FC" w:rsidP="00476273">
          <w:pPr>
            <w:pStyle w:val="TOC1"/>
            <w:tabs>
              <w:tab w:val="right" w:leader="dot" w:pos="9345"/>
            </w:tabs>
            <w:rPr>
              <w:rStyle w:val="Hyperlink"/>
              <w:noProof/>
              <w:kern w:val="2"/>
              <w14:ligatures w14:val="standardContextual"/>
            </w:rPr>
          </w:pPr>
          <w:hyperlink w:anchor="_Toc517239717">
            <w:r w:rsidRPr="1D5D99FC">
              <w:rPr>
                <w:rStyle w:val="Hyperlink"/>
              </w:rPr>
              <w:t>STRENGTHS AND LIMITATIONS OF DATA</w:t>
            </w:r>
            <w:r w:rsidR="00CE6C24">
              <w:tab/>
            </w:r>
            <w:r w:rsidR="00CE6C24">
              <w:rPr>
                <w:color w:val="2B579A"/>
                <w:shd w:val="clear" w:color="auto" w:fill="E6E6E6"/>
              </w:rPr>
              <w:fldChar w:fldCharType="begin"/>
            </w:r>
            <w:r w:rsidR="00CE6C24">
              <w:instrText>PAGEREF _Toc517239717 \h</w:instrText>
            </w:r>
            <w:r w:rsidR="00CE6C24">
              <w:rPr>
                <w:color w:val="2B579A"/>
                <w:shd w:val="clear" w:color="auto" w:fill="E6E6E6"/>
              </w:rPr>
            </w:r>
            <w:r w:rsidR="00CE6C24">
              <w:rPr>
                <w:color w:val="2B579A"/>
                <w:shd w:val="clear" w:color="auto" w:fill="E6E6E6"/>
              </w:rPr>
              <w:fldChar w:fldCharType="separate"/>
            </w:r>
            <w:r w:rsidRPr="1D5D99FC">
              <w:rPr>
                <w:rStyle w:val="Hyperlink"/>
              </w:rPr>
              <w:t>85</w:t>
            </w:r>
            <w:r w:rsidR="00CE6C24">
              <w:rPr>
                <w:color w:val="2B579A"/>
                <w:shd w:val="clear" w:color="auto" w:fill="E6E6E6"/>
              </w:rPr>
              <w:fldChar w:fldCharType="end"/>
            </w:r>
          </w:hyperlink>
        </w:p>
        <w:p w14:paraId="3CE07388" w14:textId="0FA083AF" w:rsidR="00F72AE2" w:rsidRDefault="1D5D99FC" w:rsidP="00476273">
          <w:pPr>
            <w:pStyle w:val="TOC1"/>
            <w:tabs>
              <w:tab w:val="right" w:leader="dot" w:pos="9345"/>
            </w:tabs>
            <w:rPr>
              <w:rStyle w:val="Hyperlink"/>
              <w:noProof/>
              <w:kern w:val="2"/>
              <w14:ligatures w14:val="standardContextual"/>
            </w:rPr>
          </w:pPr>
          <w:hyperlink w:anchor="_Toc46813291">
            <w:r w:rsidRPr="1D5D99FC">
              <w:rPr>
                <w:rStyle w:val="Hyperlink"/>
              </w:rPr>
              <w:t>INTERPRETING HIV, STD, AND VIRAL HEPATITIS DATA</w:t>
            </w:r>
            <w:r w:rsidR="00CE6C24">
              <w:tab/>
            </w:r>
            <w:r w:rsidR="00CE6C24">
              <w:rPr>
                <w:color w:val="2B579A"/>
                <w:shd w:val="clear" w:color="auto" w:fill="E6E6E6"/>
              </w:rPr>
              <w:fldChar w:fldCharType="begin"/>
            </w:r>
            <w:r w:rsidR="00CE6C24">
              <w:instrText>PAGEREF _Toc46813291 \h</w:instrText>
            </w:r>
            <w:r w:rsidR="00CE6C24">
              <w:rPr>
                <w:color w:val="2B579A"/>
                <w:shd w:val="clear" w:color="auto" w:fill="E6E6E6"/>
              </w:rPr>
            </w:r>
            <w:r w:rsidR="00CE6C24">
              <w:rPr>
                <w:color w:val="2B579A"/>
                <w:shd w:val="clear" w:color="auto" w:fill="E6E6E6"/>
              </w:rPr>
              <w:fldChar w:fldCharType="separate"/>
            </w:r>
            <w:r w:rsidRPr="1D5D99FC">
              <w:rPr>
                <w:rStyle w:val="Hyperlink"/>
              </w:rPr>
              <w:t>87</w:t>
            </w:r>
            <w:r w:rsidR="00CE6C24">
              <w:rPr>
                <w:color w:val="2B579A"/>
                <w:shd w:val="clear" w:color="auto" w:fill="E6E6E6"/>
              </w:rPr>
              <w:fldChar w:fldCharType="end"/>
            </w:r>
          </w:hyperlink>
        </w:p>
        <w:p w14:paraId="09BD0BD7" w14:textId="7D58608A" w:rsidR="00F72AE2" w:rsidRDefault="1D5D99FC" w:rsidP="00476273">
          <w:pPr>
            <w:pStyle w:val="TOC1"/>
            <w:tabs>
              <w:tab w:val="right" w:leader="dot" w:pos="9345"/>
            </w:tabs>
            <w:rPr>
              <w:rStyle w:val="Hyperlink"/>
              <w:noProof/>
              <w:kern w:val="2"/>
              <w14:ligatures w14:val="standardContextual"/>
            </w:rPr>
          </w:pPr>
          <w:hyperlink w:anchor="_Toc984065080">
            <w:r w:rsidRPr="1D5D99FC">
              <w:rPr>
                <w:rStyle w:val="Hyperlink"/>
              </w:rPr>
              <w:t>HIV, STD, AND VIRAL HEPATITIS CASE CLASSIFICATIONS</w:t>
            </w:r>
            <w:r w:rsidR="00CE6C24">
              <w:tab/>
            </w:r>
            <w:r w:rsidR="00CE6C24">
              <w:rPr>
                <w:color w:val="2B579A"/>
                <w:shd w:val="clear" w:color="auto" w:fill="E6E6E6"/>
              </w:rPr>
              <w:fldChar w:fldCharType="begin"/>
            </w:r>
            <w:r w:rsidR="00CE6C24">
              <w:instrText>PAGEREF _Toc984065080 \h</w:instrText>
            </w:r>
            <w:r w:rsidR="00CE6C24">
              <w:rPr>
                <w:color w:val="2B579A"/>
                <w:shd w:val="clear" w:color="auto" w:fill="E6E6E6"/>
              </w:rPr>
            </w:r>
            <w:r w:rsidR="00CE6C24">
              <w:rPr>
                <w:color w:val="2B579A"/>
                <w:shd w:val="clear" w:color="auto" w:fill="E6E6E6"/>
              </w:rPr>
              <w:fldChar w:fldCharType="separate"/>
            </w:r>
            <w:r w:rsidRPr="1D5D99FC">
              <w:rPr>
                <w:rStyle w:val="Hyperlink"/>
              </w:rPr>
              <w:t>89</w:t>
            </w:r>
            <w:r w:rsidR="00CE6C24">
              <w:rPr>
                <w:color w:val="2B579A"/>
                <w:shd w:val="clear" w:color="auto" w:fill="E6E6E6"/>
              </w:rPr>
              <w:fldChar w:fldCharType="end"/>
            </w:r>
          </w:hyperlink>
        </w:p>
        <w:p w14:paraId="347BEC02" w14:textId="3E98A782" w:rsidR="00F72AE2" w:rsidRDefault="1D5D99FC" w:rsidP="00476273">
          <w:pPr>
            <w:pStyle w:val="TOC2"/>
            <w:tabs>
              <w:tab w:val="right" w:leader="dot" w:pos="9345"/>
            </w:tabs>
            <w:rPr>
              <w:rStyle w:val="Hyperlink"/>
              <w:noProof/>
              <w:kern w:val="2"/>
              <w14:ligatures w14:val="standardContextual"/>
            </w:rPr>
          </w:pPr>
          <w:hyperlink w:anchor="_Toc1126550700">
            <w:r w:rsidRPr="1D5D99FC">
              <w:rPr>
                <w:rStyle w:val="Hyperlink"/>
              </w:rPr>
              <w:t>HIV infection</w:t>
            </w:r>
            <w:r w:rsidR="00CE6C24">
              <w:tab/>
            </w:r>
            <w:r w:rsidR="00CE6C24">
              <w:rPr>
                <w:color w:val="2B579A"/>
                <w:shd w:val="clear" w:color="auto" w:fill="E6E6E6"/>
              </w:rPr>
              <w:fldChar w:fldCharType="begin"/>
            </w:r>
            <w:r w:rsidR="00CE6C24">
              <w:instrText>PAGEREF _Toc1126550700 \h</w:instrText>
            </w:r>
            <w:r w:rsidR="00CE6C24">
              <w:rPr>
                <w:color w:val="2B579A"/>
                <w:shd w:val="clear" w:color="auto" w:fill="E6E6E6"/>
              </w:rPr>
            </w:r>
            <w:r w:rsidR="00CE6C24">
              <w:rPr>
                <w:color w:val="2B579A"/>
                <w:shd w:val="clear" w:color="auto" w:fill="E6E6E6"/>
              </w:rPr>
              <w:fldChar w:fldCharType="separate"/>
            </w:r>
            <w:r w:rsidRPr="1D5D99FC">
              <w:rPr>
                <w:rStyle w:val="Hyperlink"/>
              </w:rPr>
              <w:t>90</w:t>
            </w:r>
            <w:r w:rsidR="00CE6C24">
              <w:rPr>
                <w:color w:val="2B579A"/>
                <w:shd w:val="clear" w:color="auto" w:fill="E6E6E6"/>
              </w:rPr>
              <w:fldChar w:fldCharType="end"/>
            </w:r>
          </w:hyperlink>
        </w:p>
        <w:p w14:paraId="1119C559" w14:textId="265FB0B9" w:rsidR="00F72AE2" w:rsidRDefault="1D5D99FC" w:rsidP="00476273">
          <w:pPr>
            <w:pStyle w:val="TOC2"/>
            <w:tabs>
              <w:tab w:val="right" w:leader="dot" w:pos="9345"/>
            </w:tabs>
            <w:rPr>
              <w:rStyle w:val="Hyperlink"/>
              <w:noProof/>
              <w:kern w:val="2"/>
              <w14:ligatures w14:val="standardContextual"/>
            </w:rPr>
          </w:pPr>
          <w:hyperlink w:anchor="_Toc2112587443">
            <w:r w:rsidRPr="1D5D99FC">
              <w:rPr>
                <w:rStyle w:val="Hyperlink"/>
              </w:rPr>
              <w:t>Sexually transmitted diseases (STD)</w:t>
            </w:r>
            <w:r w:rsidR="00CE6C24">
              <w:tab/>
            </w:r>
            <w:r w:rsidR="00CE6C24">
              <w:rPr>
                <w:color w:val="2B579A"/>
                <w:shd w:val="clear" w:color="auto" w:fill="E6E6E6"/>
              </w:rPr>
              <w:fldChar w:fldCharType="begin"/>
            </w:r>
            <w:r w:rsidR="00CE6C24">
              <w:instrText>PAGEREF _Toc2112587443 \h</w:instrText>
            </w:r>
            <w:r w:rsidR="00CE6C24">
              <w:rPr>
                <w:color w:val="2B579A"/>
                <w:shd w:val="clear" w:color="auto" w:fill="E6E6E6"/>
              </w:rPr>
            </w:r>
            <w:r w:rsidR="00CE6C24">
              <w:rPr>
                <w:color w:val="2B579A"/>
                <w:shd w:val="clear" w:color="auto" w:fill="E6E6E6"/>
              </w:rPr>
              <w:fldChar w:fldCharType="separate"/>
            </w:r>
            <w:r w:rsidRPr="1D5D99FC">
              <w:rPr>
                <w:rStyle w:val="Hyperlink"/>
              </w:rPr>
              <w:t>90</w:t>
            </w:r>
            <w:r w:rsidR="00CE6C24">
              <w:rPr>
                <w:color w:val="2B579A"/>
                <w:shd w:val="clear" w:color="auto" w:fill="E6E6E6"/>
              </w:rPr>
              <w:fldChar w:fldCharType="end"/>
            </w:r>
          </w:hyperlink>
        </w:p>
        <w:p w14:paraId="24B498C9" w14:textId="2CC0C7CF" w:rsidR="00F72AE2" w:rsidRDefault="1D5D99FC" w:rsidP="00476273">
          <w:pPr>
            <w:pStyle w:val="TOC2"/>
            <w:tabs>
              <w:tab w:val="right" w:leader="dot" w:pos="9345"/>
            </w:tabs>
            <w:rPr>
              <w:rStyle w:val="Hyperlink"/>
              <w:noProof/>
              <w:kern w:val="2"/>
              <w14:ligatures w14:val="standardContextual"/>
            </w:rPr>
          </w:pPr>
          <w:hyperlink w:anchor="_Toc226119778">
            <w:r w:rsidRPr="1D5D99FC">
              <w:rPr>
                <w:rStyle w:val="Hyperlink"/>
              </w:rPr>
              <w:t>Viral Hepatitis</w:t>
            </w:r>
            <w:r w:rsidR="00CE6C24">
              <w:tab/>
            </w:r>
            <w:r w:rsidR="00CE6C24">
              <w:rPr>
                <w:color w:val="2B579A"/>
                <w:shd w:val="clear" w:color="auto" w:fill="E6E6E6"/>
              </w:rPr>
              <w:fldChar w:fldCharType="begin"/>
            </w:r>
            <w:r w:rsidR="00CE6C24">
              <w:instrText>PAGEREF _Toc226119778 \h</w:instrText>
            </w:r>
            <w:r w:rsidR="00CE6C24">
              <w:rPr>
                <w:color w:val="2B579A"/>
                <w:shd w:val="clear" w:color="auto" w:fill="E6E6E6"/>
              </w:rPr>
            </w:r>
            <w:r w:rsidR="00CE6C24">
              <w:rPr>
                <w:color w:val="2B579A"/>
                <w:shd w:val="clear" w:color="auto" w:fill="E6E6E6"/>
              </w:rPr>
              <w:fldChar w:fldCharType="separate"/>
            </w:r>
            <w:r w:rsidRPr="1D5D99FC">
              <w:rPr>
                <w:rStyle w:val="Hyperlink"/>
              </w:rPr>
              <w:t>99</w:t>
            </w:r>
            <w:r w:rsidR="00CE6C24">
              <w:rPr>
                <w:color w:val="2B579A"/>
                <w:shd w:val="clear" w:color="auto" w:fill="E6E6E6"/>
              </w:rPr>
              <w:fldChar w:fldCharType="end"/>
            </w:r>
          </w:hyperlink>
        </w:p>
        <w:p w14:paraId="3F562C5D" w14:textId="0FA90066" w:rsidR="00F72AE2" w:rsidRDefault="1D5D99FC" w:rsidP="00476273">
          <w:pPr>
            <w:pStyle w:val="TOC1"/>
            <w:tabs>
              <w:tab w:val="right" w:leader="dot" w:pos="9345"/>
            </w:tabs>
            <w:rPr>
              <w:rStyle w:val="Hyperlink"/>
              <w:noProof/>
              <w:kern w:val="2"/>
              <w14:ligatures w14:val="standardContextual"/>
            </w:rPr>
          </w:pPr>
          <w:hyperlink w:anchor="_Toc1736514083">
            <w:r w:rsidRPr="1D5D99FC">
              <w:rPr>
                <w:rStyle w:val="Hyperlink"/>
              </w:rPr>
              <w:t>HIV, STD, AND VIRAL HEPATITIS PROGRAM STAFF CONTACT INFORMATION</w:t>
            </w:r>
            <w:r w:rsidR="00CE6C24">
              <w:tab/>
            </w:r>
            <w:r w:rsidR="00CE6C24">
              <w:rPr>
                <w:color w:val="2B579A"/>
                <w:shd w:val="clear" w:color="auto" w:fill="E6E6E6"/>
              </w:rPr>
              <w:fldChar w:fldCharType="begin"/>
            </w:r>
            <w:r w:rsidR="00CE6C24">
              <w:instrText>PAGEREF _Toc1736514083 \h</w:instrText>
            </w:r>
            <w:r w:rsidR="00CE6C24">
              <w:rPr>
                <w:color w:val="2B579A"/>
                <w:shd w:val="clear" w:color="auto" w:fill="E6E6E6"/>
              </w:rPr>
            </w:r>
            <w:r w:rsidR="00CE6C24">
              <w:rPr>
                <w:color w:val="2B579A"/>
                <w:shd w:val="clear" w:color="auto" w:fill="E6E6E6"/>
              </w:rPr>
              <w:fldChar w:fldCharType="separate"/>
            </w:r>
            <w:r w:rsidRPr="1D5D99FC">
              <w:rPr>
                <w:rStyle w:val="Hyperlink"/>
              </w:rPr>
              <w:t>106</w:t>
            </w:r>
            <w:r w:rsidR="00CE6C24">
              <w:rPr>
                <w:color w:val="2B579A"/>
                <w:shd w:val="clear" w:color="auto" w:fill="E6E6E6"/>
              </w:rPr>
              <w:fldChar w:fldCharType="end"/>
            </w:r>
          </w:hyperlink>
        </w:p>
        <w:p w14:paraId="67F0C15A" w14:textId="35C8FFF4" w:rsidR="00F72AE2" w:rsidRDefault="1D5D99FC" w:rsidP="00476273">
          <w:pPr>
            <w:pStyle w:val="TOC1"/>
            <w:tabs>
              <w:tab w:val="right" w:leader="dot" w:pos="9345"/>
            </w:tabs>
            <w:rPr>
              <w:rStyle w:val="Hyperlink"/>
              <w:noProof/>
              <w:kern w:val="2"/>
              <w14:ligatures w14:val="standardContextual"/>
            </w:rPr>
          </w:pPr>
          <w:hyperlink w:anchor="_Toc199258604">
            <w:r w:rsidRPr="1D5D99FC">
              <w:rPr>
                <w:rStyle w:val="Hyperlink"/>
              </w:rPr>
              <w:t>HIV, STD, AND VIRAL HEPATITIS RESOURCES</w:t>
            </w:r>
            <w:r w:rsidR="00CE6C24">
              <w:tab/>
            </w:r>
            <w:r w:rsidR="00CE6C24">
              <w:rPr>
                <w:color w:val="2B579A"/>
                <w:shd w:val="clear" w:color="auto" w:fill="E6E6E6"/>
              </w:rPr>
              <w:fldChar w:fldCharType="begin"/>
            </w:r>
            <w:r w:rsidR="00CE6C24">
              <w:instrText>PAGEREF _Toc199258604 \h</w:instrText>
            </w:r>
            <w:r w:rsidR="00CE6C24">
              <w:rPr>
                <w:color w:val="2B579A"/>
                <w:shd w:val="clear" w:color="auto" w:fill="E6E6E6"/>
              </w:rPr>
            </w:r>
            <w:r w:rsidR="00CE6C24">
              <w:rPr>
                <w:color w:val="2B579A"/>
                <w:shd w:val="clear" w:color="auto" w:fill="E6E6E6"/>
              </w:rPr>
              <w:fldChar w:fldCharType="separate"/>
            </w:r>
            <w:r w:rsidRPr="1D5D99FC">
              <w:rPr>
                <w:rStyle w:val="Hyperlink"/>
              </w:rPr>
              <w:t>108</w:t>
            </w:r>
            <w:r w:rsidR="00CE6C24">
              <w:rPr>
                <w:color w:val="2B579A"/>
                <w:shd w:val="clear" w:color="auto" w:fill="E6E6E6"/>
              </w:rPr>
              <w:fldChar w:fldCharType="end"/>
            </w:r>
          </w:hyperlink>
          <w:r w:rsidR="00CE6C24">
            <w:rPr>
              <w:color w:val="2B579A"/>
              <w:shd w:val="clear" w:color="auto" w:fill="E6E6E6"/>
            </w:rPr>
            <w:fldChar w:fldCharType="end"/>
          </w:r>
        </w:p>
      </w:sdtContent>
    </w:sdt>
    <w:p w14:paraId="46D414F7" w14:textId="1F283C2B" w:rsidR="004D18A7" w:rsidRDefault="004D18A7" w:rsidP="00F345D5">
      <w:pPr>
        <w:pStyle w:val="TOC1"/>
        <w:tabs>
          <w:tab w:val="right" w:leader="dot" w:pos="9360"/>
        </w:tabs>
        <w:rPr>
          <w:rStyle w:val="Hyperlink"/>
          <w:noProof/>
          <w:kern w:val="2"/>
          <w14:ligatures w14:val="standardContextual"/>
        </w:rPr>
      </w:pPr>
    </w:p>
    <w:p w14:paraId="6B2F1E74" w14:textId="43344327" w:rsidR="00871E4E" w:rsidRPr="00B302F2" w:rsidRDefault="00871E4E"/>
    <w:p w14:paraId="0A33B801" w14:textId="77777777" w:rsidR="00871E4E" w:rsidRDefault="00871E4E" w:rsidP="00871E4E">
      <w:pPr>
        <w:rPr>
          <w:color w:val="FF0000"/>
        </w:rPr>
      </w:pPr>
    </w:p>
    <w:p w14:paraId="2D761CC6" w14:textId="77777777" w:rsidR="005F5E23" w:rsidRDefault="005F5E23" w:rsidP="005F5E23">
      <w:pPr>
        <w:rPr>
          <w:color w:val="FF0000"/>
        </w:rPr>
      </w:pPr>
    </w:p>
    <w:p w14:paraId="6445CB76" w14:textId="77777777" w:rsidR="005F5E23" w:rsidRDefault="005F5E23" w:rsidP="005F5E23">
      <w:pPr>
        <w:rPr>
          <w:color w:val="FF0000"/>
        </w:rPr>
      </w:pPr>
    </w:p>
    <w:p w14:paraId="14FEBC26" w14:textId="77777777" w:rsidR="005F5E23" w:rsidRPr="00F345D5" w:rsidRDefault="005F5E23" w:rsidP="005F5E23">
      <w:pPr>
        <w:sectPr w:rsidR="005F5E23" w:rsidRPr="00F345D5" w:rsidSect="00E966E3">
          <w:headerReference w:type="default" r:id="rId15"/>
          <w:headerReference w:type="first" r:id="rId16"/>
          <w:footerReference w:type="first" r:id="rId17"/>
          <w:pgSz w:w="12240" w:h="15840"/>
          <w:pgMar w:top="1440" w:right="1440" w:bottom="1440" w:left="1440" w:header="720" w:footer="720" w:gutter="0"/>
          <w:pgNumType w:fmt="lowerRoman" w:start="1"/>
          <w:cols w:space="720"/>
          <w:docGrid w:linePitch="360"/>
        </w:sectPr>
      </w:pPr>
    </w:p>
    <w:p w14:paraId="1CB8F815" w14:textId="4E3C0F84" w:rsidR="00871E4E" w:rsidRPr="00B302F2" w:rsidRDefault="009C34B0" w:rsidP="38A4F72D">
      <w:pPr>
        <w:pStyle w:val="Heading1"/>
        <w:rPr>
          <w:b w:val="0"/>
        </w:rPr>
      </w:pPr>
      <w:bookmarkStart w:id="0" w:name="_Toc328725452"/>
      <w:r>
        <w:lastRenderedPageBreak/>
        <w:t>LIST OF COMMONLY USED ACRONYMS</w:t>
      </w:r>
      <w:bookmarkEnd w:id="0"/>
    </w:p>
    <w:p w14:paraId="6FB943EE" w14:textId="0BA2DE44" w:rsidR="009C34B0" w:rsidRPr="00B302F2" w:rsidRDefault="009C34B0" w:rsidP="00DA05FE">
      <w:pPr>
        <w:spacing w:after="120"/>
        <w:rPr>
          <w:szCs w:val="24"/>
        </w:rPr>
      </w:pPr>
      <w:r w:rsidRPr="00B302F2">
        <w:rPr>
          <w:b/>
          <w:bCs/>
          <w:szCs w:val="24"/>
        </w:rPr>
        <w:t>AFAB</w:t>
      </w:r>
      <w:r w:rsidRPr="00B302F2">
        <w:rPr>
          <w:b/>
          <w:bCs/>
          <w:szCs w:val="24"/>
        </w:rPr>
        <w:tab/>
      </w:r>
      <w:r w:rsidRPr="00B302F2">
        <w:rPr>
          <w:b/>
          <w:bCs/>
          <w:szCs w:val="24"/>
        </w:rPr>
        <w:tab/>
      </w:r>
      <w:r w:rsidRPr="00B302F2">
        <w:rPr>
          <w:szCs w:val="24"/>
        </w:rPr>
        <w:t>Assigned Female at Birth</w:t>
      </w:r>
    </w:p>
    <w:p w14:paraId="316FE63E" w14:textId="77777777" w:rsidR="009C34B0" w:rsidRPr="00B302F2" w:rsidRDefault="009C34B0" w:rsidP="00DA05FE">
      <w:pPr>
        <w:spacing w:after="120"/>
        <w:rPr>
          <w:szCs w:val="24"/>
        </w:rPr>
      </w:pPr>
      <w:r w:rsidRPr="00B302F2">
        <w:rPr>
          <w:b/>
          <w:bCs/>
          <w:szCs w:val="24"/>
        </w:rPr>
        <w:t>AI/AN</w:t>
      </w:r>
      <w:r w:rsidRPr="00B302F2">
        <w:rPr>
          <w:b/>
          <w:bCs/>
          <w:szCs w:val="24"/>
        </w:rPr>
        <w:tab/>
      </w:r>
      <w:r w:rsidRPr="00B302F2">
        <w:rPr>
          <w:b/>
          <w:bCs/>
          <w:szCs w:val="24"/>
        </w:rPr>
        <w:tab/>
      </w:r>
      <w:r w:rsidRPr="00B302F2">
        <w:rPr>
          <w:szCs w:val="24"/>
        </w:rPr>
        <w:t>American Indian/Alaska Native</w:t>
      </w:r>
    </w:p>
    <w:p w14:paraId="2CE097D7" w14:textId="77777777" w:rsidR="009C34B0" w:rsidRPr="00B302F2" w:rsidRDefault="009C34B0" w:rsidP="00DA05FE">
      <w:pPr>
        <w:spacing w:after="120"/>
        <w:rPr>
          <w:szCs w:val="24"/>
        </w:rPr>
      </w:pPr>
      <w:r w:rsidRPr="00B302F2">
        <w:rPr>
          <w:b/>
          <w:bCs/>
          <w:szCs w:val="24"/>
        </w:rPr>
        <w:t>AIDS</w:t>
      </w:r>
      <w:r w:rsidRPr="00B302F2">
        <w:rPr>
          <w:szCs w:val="24"/>
        </w:rPr>
        <w:t xml:space="preserve">  </w:t>
      </w:r>
      <w:r w:rsidRPr="00B302F2">
        <w:rPr>
          <w:szCs w:val="24"/>
        </w:rPr>
        <w:tab/>
      </w:r>
      <w:r w:rsidRPr="00B302F2">
        <w:rPr>
          <w:szCs w:val="24"/>
        </w:rPr>
        <w:tab/>
        <w:t>Acquired Immunodeficiency Syndrome</w:t>
      </w:r>
    </w:p>
    <w:p w14:paraId="3F2DD93D" w14:textId="77777777" w:rsidR="009C34B0" w:rsidRPr="00B302F2" w:rsidRDefault="009C34B0" w:rsidP="00DA05FE">
      <w:pPr>
        <w:spacing w:after="120"/>
        <w:rPr>
          <w:szCs w:val="24"/>
        </w:rPr>
      </w:pPr>
      <w:r w:rsidRPr="00B302F2">
        <w:rPr>
          <w:b/>
          <w:bCs/>
          <w:szCs w:val="24"/>
        </w:rPr>
        <w:t>AMAB</w:t>
      </w:r>
      <w:r w:rsidRPr="00B302F2">
        <w:rPr>
          <w:b/>
          <w:bCs/>
          <w:szCs w:val="24"/>
        </w:rPr>
        <w:tab/>
      </w:r>
      <w:r w:rsidRPr="00B302F2">
        <w:rPr>
          <w:b/>
          <w:bCs/>
          <w:szCs w:val="24"/>
        </w:rPr>
        <w:tab/>
      </w:r>
      <w:r w:rsidRPr="00B302F2">
        <w:rPr>
          <w:szCs w:val="24"/>
        </w:rPr>
        <w:t>Assigned Male at Birth</w:t>
      </w:r>
    </w:p>
    <w:p w14:paraId="5CF3D399" w14:textId="19A1E541" w:rsidR="009C34B0" w:rsidRPr="00B302F2" w:rsidRDefault="009C34B0" w:rsidP="00DA05FE">
      <w:pPr>
        <w:spacing w:after="120"/>
        <w:rPr>
          <w:szCs w:val="24"/>
        </w:rPr>
      </w:pPr>
      <w:r w:rsidRPr="00B302F2">
        <w:rPr>
          <w:b/>
          <w:bCs/>
          <w:szCs w:val="24"/>
        </w:rPr>
        <w:t>API</w:t>
      </w:r>
      <w:r w:rsidRPr="00B302F2">
        <w:rPr>
          <w:szCs w:val="24"/>
        </w:rPr>
        <w:tab/>
      </w:r>
      <w:r w:rsidRPr="00B302F2">
        <w:rPr>
          <w:szCs w:val="24"/>
        </w:rPr>
        <w:tab/>
        <w:t>Asian/Pacific Islander</w:t>
      </w:r>
    </w:p>
    <w:p w14:paraId="110977A4" w14:textId="77777777" w:rsidR="009C34B0" w:rsidRPr="00B302F2" w:rsidRDefault="009C34B0" w:rsidP="00DA05FE">
      <w:pPr>
        <w:spacing w:after="120"/>
        <w:rPr>
          <w:szCs w:val="24"/>
        </w:rPr>
      </w:pPr>
      <w:r w:rsidRPr="00B302F2">
        <w:rPr>
          <w:b/>
          <w:bCs/>
          <w:szCs w:val="24"/>
        </w:rPr>
        <w:t>BIDLS</w:t>
      </w:r>
      <w:r w:rsidRPr="00B302F2">
        <w:rPr>
          <w:b/>
          <w:bCs/>
          <w:szCs w:val="24"/>
        </w:rPr>
        <w:tab/>
      </w:r>
      <w:r w:rsidRPr="00B302F2">
        <w:rPr>
          <w:b/>
          <w:bCs/>
          <w:szCs w:val="24"/>
        </w:rPr>
        <w:tab/>
      </w:r>
      <w:r w:rsidRPr="00B302F2">
        <w:rPr>
          <w:szCs w:val="24"/>
        </w:rPr>
        <w:t>Bureau of Infectious Disease and Laboratory Sciences</w:t>
      </w:r>
    </w:p>
    <w:p w14:paraId="333F8700" w14:textId="77777777" w:rsidR="009C34B0" w:rsidRPr="00B302F2" w:rsidRDefault="009C34B0" w:rsidP="00DA05FE">
      <w:pPr>
        <w:spacing w:after="120"/>
        <w:rPr>
          <w:szCs w:val="24"/>
        </w:rPr>
      </w:pPr>
      <w:r w:rsidRPr="00B302F2">
        <w:rPr>
          <w:b/>
          <w:bCs/>
          <w:szCs w:val="24"/>
        </w:rPr>
        <w:t>BRFSS</w:t>
      </w:r>
      <w:r w:rsidRPr="00B302F2">
        <w:rPr>
          <w:szCs w:val="24"/>
        </w:rPr>
        <w:tab/>
      </w:r>
      <w:r w:rsidRPr="00B302F2">
        <w:rPr>
          <w:szCs w:val="24"/>
        </w:rPr>
        <w:tab/>
        <w:t>Behavioral Risk Factor Surveillance System</w:t>
      </w:r>
    </w:p>
    <w:p w14:paraId="272ADC39" w14:textId="72E49DE4" w:rsidR="009C34B0" w:rsidRPr="00B302F2" w:rsidRDefault="009C34B0" w:rsidP="00DA05FE">
      <w:pPr>
        <w:spacing w:after="120"/>
        <w:rPr>
          <w:szCs w:val="24"/>
        </w:rPr>
      </w:pPr>
      <w:r w:rsidRPr="00B302F2">
        <w:rPr>
          <w:b/>
          <w:bCs/>
          <w:szCs w:val="24"/>
        </w:rPr>
        <w:t>CDC</w:t>
      </w:r>
      <w:r w:rsidRPr="00B302F2">
        <w:rPr>
          <w:b/>
          <w:bCs/>
          <w:szCs w:val="24"/>
        </w:rPr>
        <w:tab/>
      </w:r>
      <w:r w:rsidRPr="00B302F2">
        <w:rPr>
          <w:b/>
          <w:bCs/>
          <w:szCs w:val="24"/>
        </w:rPr>
        <w:tab/>
      </w:r>
      <w:r w:rsidRPr="00B302F2">
        <w:rPr>
          <w:szCs w:val="24"/>
        </w:rPr>
        <w:t>Centers for Disease Control and Prevention</w:t>
      </w:r>
    </w:p>
    <w:p w14:paraId="324F4CA7" w14:textId="478A2545" w:rsidR="009C34B0" w:rsidRPr="00B302F2" w:rsidRDefault="009C34B0" w:rsidP="00DA05FE">
      <w:pPr>
        <w:spacing w:after="120"/>
        <w:rPr>
          <w:szCs w:val="24"/>
        </w:rPr>
      </w:pPr>
      <w:r w:rsidRPr="00B302F2">
        <w:rPr>
          <w:b/>
          <w:bCs/>
          <w:szCs w:val="24"/>
        </w:rPr>
        <w:t>CI</w:t>
      </w:r>
      <w:r w:rsidRPr="00B302F2">
        <w:rPr>
          <w:b/>
          <w:bCs/>
          <w:szCs w:val="24"/>
        </w:rPr>
        <w:tab/>
      </w:r>
      <w:r w:rsidRPr="00B302F2">
        <w:rPr>
          <w:b/>
          <w:bCs/>
          <w:szCs w:val="24"/>
        </w:rPr>
        <w:tab/>
      </w:r>
      <w:r w:rsidRPr="00B302F2">
        <w:rPr>
          <w:szCs w:val="24"/>
        </w:rPr>
        <w:t>Confidence Interval</w:t>
      </w:r>
    </w:p>
    <w:p w14:paraId="204FF12A" w14:textId="461A4DE5" w:rsidR="00CB4612" w:rsidRPr="00B302F2" w:rsidRDefault="00CB4612" w:rsidP="00DA05FE">
      <w:pPr>
        <w:spacing w:after="120"/>
        <w:rPr>
          <w:b/>
          <w:bCs/>
          <w:szCs w:val="24"/>
        </w:rPr>
      </w:pPr>
      <w:r w:rsidRPr="00B302F2">
        <w:rPr>
          <w:b/>
          <w:bCs/>
          <w:szCs w:val="24"/>
        </w:rPr>
        <w:t>COVID-19</w:t>
      </w:r>
      <w:r w:rsidRPr="00B302F2">
        <w:rPr>
          <w:b/>
          <w:bCs/>
          <w:szCs w:val="24"/>
        </w:rPr>
        <w:tab/>
      </w:r>
      <w:r w:rsidRPr="00B302F2">
        <w:rPr>
          <w:szCs w:val="24"/>
        </w:rPr>
        <w:t>Coronavirus Disease 2019</w:t>
      </w:r>
    </w:p>
    <w:p w14:paraId="273C6342" w14:textId="580DB119" w:rsidR="009C34B0" w:rsidRPr="00B302F2" w:rsidRDefault="009C34B0" w:rsidP="00DA05FE">
      <w:pPr>
        <w:spacing w:after="120"/>
        <w:rPr>
          <w:szCs w:val="24"/>
        </w:rPr>
      </w:pPr>
      <w:r w:rsidRPr="00B302F2">
        <w:rPr>
          <w:b/>
          <w:bCs/>
          <w:szCs w:val="24"/>
        </w:rPr>
        <w:t>DOE</w:t>
      </w:r>
      <w:r w:rsidRPr="00B302F2">
        <w:rPr>
          <w:b/>
          <w:bCs/>
          <w:szCs w:val="24"/>
        </w:rPr>
        <w:tab/>
      </w:r>
      <w:r w:rsidRPr="00B302F2">
        <w:rPr>
          <w:b/>
          <w:bCs/>
          <w:szCs w:val="24"/>
        </w:rPr>
        <w:tab/>
      </w:r>
      <w:r w:rsidRPr="00B302F2">
        <w:rPr>
          <w:szCs w:val="24"/>
        </w:rPr>
        <w:t>Department of Education</w:t>
      </w:r>
    </w:p>
    <w:p w14:paraId="3C7BA17D" w14:textId="3EBE3F2B" w:rsidR="00E841D1" w:rsidRPr="00B302F2" w:rsidRDefault="00E841D1" w:rsidP="00E841D1">
      <w:pPr>
        <w:spacing w:after="120"/>
        <w:rPr>
          <w:szCs w:val="24"/>
        </w:rPr>
      </w:pPr>
      <w:r w:rsidRPr="00B302F2">
        <w:rPr>
          <w:b/>
          <w:bCs/>
          <w:szCs w:val="24"/>
        </w:rPr>
        <w:t xml:space="preserve">DPH </w:t>
      </w:r>
      <w:r w:rsidRPr="00B302F2">
        <w:rPr>
          <w:szCs w:val="24"/>
        </w:rPr>
        <w:t xml:space="preserve"> </w:t>
      </w:r>
      <w:r w:rsidRPr="00B302F2">
        <w:rPr>
          <w:szCs w:val="24"/>
        </w:rPr>
        <w:tab/>
      </w:r>
      <w:r>
        <w:rPr>
          <w:szCs w:val="24"/>
        </w:rPr>
        <w:tab/>
        <w:t>(</w:t>
      </w:r>
      <w:r w:rsidRPr="00B302F2">
        <w:rPr>
          <w:szCs w:val="24"/>
        </w:rPr>
        <w:t>Massachusetts</w:t>
      </w:r>
      <w:r>
        <w:rPr>
          <w:szCs w:val="24"/>
        </w:rPr>
        <w:t xml:space="preserve">) </w:t>
      </w:r>
      <w:r w:rsidRPr="00B302F2">
        <w:rPr>
          <w:szCs w:val="24"/>
        </w:rPr>
        <w:t>Department of Public Health</w:t>
      </w:r>
    </w:p>
    <w:p w14:paraId="52B8A47B" w14:textId="278F9270" w:rsidR="009C34B0" w:rsidRPr="00B302F2" w:rsidRDefault="009C34B0" w:rsidP="00DA05FE">
      <w:pPr>
        <w:spacing w:after="120"/>
        <w:rPr>
          <w:szCs w:val="24"/>
        </w:rPr>
      </w:pPr>
      <w:r w:rsidRPr="00B302F2">
        <w:rPr>
          <w:b/>
          <w:bCs/>
          <w:szCs w:val="24"/>
        </w:rPr>
        <w:t>HAV</w:t>
      </w:r>
      <w:r w:rsidRPr="00B302F2">
        <w:rPr>
          <w:b/>
          <w:bCs/>
          <w:szCs w:val="24"/>
        </w:rPr>
        <w:tab/>
      </w:r>
      <w:r w:rsidRPr="00B302F2">
        <w:rPr>
          <w:b/>
          <w:bCs/>
          <w:szCs w:val="24"/>
        </w:rPr>
        <w:tab/>
      </w:r>
      <w:r w:rsidRPr="00B302F2">
        <w:rPr>
          <w:szCs w:val="24"/>
        </w:rPr>
        <w:t>Hepatitis A Virus</w:t>
      </w:r>
    </w:p>
    <w:p w14:paraId="108AE3CB" w14:textId="49F19B98" w:rsidR="009C34B0" w:rsidRPr="00B302F2" w:rsidRDefault="009C34B0" w:rsidP="00DA05FE">
      <w:pPr>
        <w:spacing w:after="120"/>
        <w:rPr>
          <w:szCs w:val="24"/>
        </w:rPr>
      </w:pPr>
      <w:r w:rsidRPr="00B302F2">
        <w:rPr>
          <w:b/>
          <w:bCs/>
          <w:szCs w:val="24"/>
        </w:rPr>
        <w:t>HBV</w:t>
      </w:r>
      <w:r w:rsidRPr="00B302F2">
        <w:rPr>
          <w:b/>
          <w:bCs/>
          <w:szCs w:val="24"/>
        </w:rPr>
        <w:tab/>
      </w:r>
      <w:r w:rsidRPr="00B302F2">
        <w:rPr>
          <w:b/>
          <w:bCs/>
          <w:szCs w:val="24"/>
        </w:rPr>
        <w:tab/>
      </w:r>
      <w:r w:rsidRPr="00B302F2">
        <w:rPr>
          <w:szCs w:val="24"/>
        </w:rPr>
        <w:t>Hepatitis B Virus</w:t>
      </w:r>
    </w:p>
    <w:p w14:paraId="3B51A5CF" w14:textId="4AF03237" w:rsidR="009C34B0" w:rsidRPr="00B302F2" w:rsidRDefault="009C34B0" w:rsidP="00DA05FE">
      <w:pPr>
        <w:spacing w:after="120"/>
        <w:rPr>
          <w:szCs w:val="24"/>
        </w:rPr>
      </w:pPr>
      <w:r w:rsidRPr="00B302F2">
        <w:rPr>
          <w:b/>
          <w:bCs/>
          <w:szCs w:val="24"/>
        </w:rPr>
        <w:t>HCV</w:t>
      </w:r>
      <w:r w:rsidRPr="00B302F2">
        <w:rPr>
          <w:b/>
          <w:bCs/>
          <w:szCs w:val="24"/>
        </w:rPr>
        <w:tab/>
      </w:r>
      <w:r w:rsidRPr="00B302F2">
        <w:rPr>
          <w:b/>
          <w:bCs/>
          <w:szCs w:val="24"/>
        </w:rPr>
        <w:tab/>
      </w:r>
      <w:r w:rsidR="008203AA">
        <w:rPr>
          <w:szCs w:val="24"/>
        </w:rPr>
        <w:t>Hepatitis C</w:t>
      </w:r>
      <w:r w:rsidRPr="00B302F2">
        <w:rPr>
          <w:szCs w:val="24"/>
        </w:rPr>
        <w:t xml:space="preserve"> Virus</w:t>
      </w:r>
    </w:p>
    <w:p w14:paraId="4652BF7B" w14:textId="77777777" w:rsidR="009C34B0" w:rsidRPr="00B302F2" w:rsidRDefault="009C34B0" w:rsidP="00DA05FE">
      <w:pPr>
        <w:spacing w:after="120"/>
        <w:rPr>
          <w:szCs w:val="24"/>
        </w:rPr>
      </w:pPr>
      <w:r w:rsidRPr="00B302F2">
        <w:rPr>
          <w:b/>
          <w:bCs/>
          <w:szCs w:val="24"/>
        </w:rPr>
        <w:t xml:space="preserve">HIV </w:t>
      </w:r>
      <w:r w:rsidRPr="00B302F2">
        <w:rPr>
          <w:szCs w:val="24"/>
        </w:rPr>
        <w:t xml:space="preserve">   </w:t>
      </w:r>
      <w:r w:rsidRPr="00B302F2">
        <w:rPr>
          <w:szCs w:val="24"/>
        </w:rPr>
        <w:tab/>
      </w:r>
      <w:r w:rsidRPr="00B302F2">
        <w:rPr>
          <w:szCs w:val="24"/>
        </w:rPr>
        <w:tab/>
        <w:t>Human Immunodeficiency Virus</w:t>
      </w:r>
    </w:p>
    <w:p w14:paraId="6F889DE2" w14:textId="52843294" w:rsidR="009C34B0" w:rsidRPr="00B302F2" w:rsidRDefault="009C34B0" w:rsidP="00DA05FE">
      <w:pPr>
        <w:spacing w:after="120"/>
        <w:rPr>
          <w:szCs w:val="24"/>
        </w:rPr>
      </w:pPr>
      <w:r w:rsidRPr="00B302F2">
        <w:rPr>
          <w:b/>
          <w:bCs/>
          <w:szCs w:val="24"/>
        </w:rPr>
        <w:t>HSR</w:t>
      </w:r>
      <w:r w:rsidRPr="00B302F2">
        <w:rPr>
          <w:b/>
          <w:bCs/>
          <w:szCs w:val="24"/>
        </w:rPr>
        <w:tab/>
      </w:r>
      <w:r w:rsidRPr="00B302F2">
        <w:rPr>
          <w:b/>
          <w:bCs/>
          <w:szCs w:val="24"/>
        </w:rPr>
        <w:tab/>
      </w:r>
      <w:r w:rsidRPr="00B302F2">
        <w:rPr>
          <w:szCs w:val="24"/>
        </w:rPr>
        <w:t>Health Service Region</w:t>
      </w:r>
    </w:p>
    <w:p w14:paraId="671DDCE3" w14:textId="77777777" w:rsidR="009C34B0" w:rsidRPr="00B302F2" w:rsidRDefault="009C34B0" w:rsidP="00DA05FE">
      <w:pPr>
        <w:spacing w:after="120"/>
        <w:rPr>
          <w:szCs w:val="24"/>
        </w:rPr>
      </w:pPr>
      <w:r w:rsidRPr="00B302F2">
        <w:rPr>
          <w:b/>
          <w:bCs/>
          <w:szCs w:val="24"/>
        </w:rPr>
        <w:t>HTSX</w:t>
      </w:r>
      <w:r w:rsidRPr="00B302F2">
        <w:rPr>
          <w:szCs w:val="24"/>
        </w:rPr>
        <w:tab/>
      </w:r>
      <w:r w:rsidRPr="00B302F2">
        <w:rPr>
          <w:szCs w:val="24"/>
        </w:rPr>
        <w:tab/>
        <w:t>Heterosexual Sex</w:t>
      </w:r>
    </w:p>
    <w:p w14:paraId="7FAFDEFB" w14:textId="3495446A" w:rsidR="009C34B0" w:rsidRPr="00B302F2" w:rsidRDefault="009C34B0" w:rsidP="00DA05FE">
      <w:pPr>
        <w:spacing w:after="120"/>
        <w:rPr>
          <w:szCs w:val="24"/>
        </w:rPr>
      </w:pPr>
      <w:r w:rsidRPr="00B302F2">
        <w:rPr>
          <w:b/>
          <w:bCs/>
          <w:szCs w:val="24"/>
        </w:rPr>
        <w:t>IDU</w:t>
      </w:r>
      <w:r w:rsidRPr="00B302F2">
        <w:rPr>
          <w:szCs w:val="24"/>
        </w:rPr>
        <w:t xml:space="preserve"> </w:t>
      </w:r>
      <w:r w:rsidRPr="00B302F2">
        <w:rPr>
          <w:szCs w:val="24"/>
        </w:rPr>
        <w:tab/>
      </w:r>
      <w:r w:rsidRPr="00B302F2">
        <w:rPr>
          <w:szCs w:val="24"/>
        </w:rPr>
        <w:tab/>
        <w:t>Injection Drug Use</w:t>
      </w:r>
    </w:p>
    <w:p w14:paraId="39522417" w14:textId="2BF3AFDA" w:rsidR="009C34B0" w:rsidRPr="00B302F2" w:rsidRDefault="009C34B0" w:rsidP="00DA05FE">
      <w:pPr>
        <w:spacing w:after="120"/>
        <w:rPr>
          <w:szCs w:val="24"/>
        </w:rPr>
      </w:pPr>
      <w:r w:rsidRPr="00B302F2">
        <w:rPr>
          <w:b/>
          <w:bCs/>
          <w:szCs w:val="24"/>
        </w:rPr>
        <w:t>MSM</w:t>
      </w:r>
      <w:r w:rsidRPr="00B302F2">
        <w:rPr>
          <w:szCs w:val="24"/>
        </w:rPr>
        <w:tab/>
      </w:r>
      <w:r w:rsidRPr="00B302F2">
        <w:rPr>
          <w:szCs w:val="24"/>
        </w:rPr>
        <w:tab/>
        <w:t xml:space="preserve">Male-to-Male Sex </w:t>
      </w:r>
      <w:r w:rsidR="003939E3" w:rsidRPr="00B302F2">
        <w:rPr>
          <w:szCs w:val="24"/>
        </w:rPr>
        <w:t>or</w:t>
      </w:r>
      <w:r w:rsidRPr="00B302F2">
        <w:rPr>
          <w:szCs w:val="24"/>
        </w:rPr>
        <w:t xml:space="preserve"> Men Who Have Sex with Men</w:t>
      </w:r>
    </w:p>
    <w:p w14:paraId="1F3F56D5" w14:textId="6D46C121" w:rsidR="009C34B0" w:rsidRPr="00B302F2" w:rsidRDefault="009C34B0" w:rsidP="00DA05FE">
      <w:pPr>
        <w:spacing w:after="120"/>
        <w:rPr>
          <w:szCs w:val="24"/>
        </w:rPr>
      </w:pPr>
      <w:r w:rsidRPr="00B302F2">
        <w:rPr>
          <w:b/>
          <w:bCs/>
          <w:szCs w:val="24"/>
        </w:rPr>
        <w:t>N</w:t>
      </w:r>
      <w:r w:rsidRPr="00B302F2">
        <w:rPr>
          <w:b/>
          <w:bCs/>
          <w:szCs w:val="24"/>
        </w:rPr>
        <w:tab/>
      </w:r>
      <w:r w:rsidRPr="00B302F2">
        <w:rPr>
          <w:b/>
          <w:bCs/>
          <w:szCs w:val="24"/>
        </w:rPr>
        <w:tab/>
      </w:r>
      <w:r w:rsidRPr="00B302F2">
        <w:rPr>
          <w:szCs w:val="24"/>
        </w:rPr>
        <w:t>Number</w:t>
      </w:r>
    </w:p>
    <w:p w14:paraId="5BF2E000" w14:textId="4E6BEE85" w:rsidR="009C34B0" w:rsidRPr="00B302F2" w:rsidRDefault="2860F462" w:rsidP="034544F5">
      <w:pPr>
        <w:spacing w:after="120"/>
      </w:pPr>
      <w:r w:rsidRPr="2F702A1B">
        <w:rPr>
          <w:b/>
          <w:bCs/>
        </w:rPr>
        <w:t>NH</w:t>
      </w:r>
      <w:r w:rsidR="009C34B0">
        <w:tab/>
      </w:r>
      <w:r w:rsidR="009C34B0">
        <w:tab/>
      </w:r>
      <w:r>
        <w:t>Non-Hispanic</w:t>
      </w:r>
    </w:p>
    <w:p w14:paraId="0F8849CD" w14:textId="1DAA54F0" w:rsidR="009C34B0" w:rsidRPr="00B302F2" w:rsidRDefault="009C34B0" w:rsidP="00DA05FE">
      <w:pPr>
        <w:spacing w:after="120"/>
        <w:rPr>
          <w:szCs w:val="24"/>
        </w:rPr>
      </w:pPr>
      <w:r w:rsidRPr="00B302F2">
        <w:rPr>
          <w:b/>
          <w:bCs/>
          <w:szCs w:val="24"/>
        </w:rPr>
        <w:t>NIR</w:t>
      </w:r>
      <w:r w:rsidRPr="00B302F2">
        <w:rPr>
          <w:b/>
          <w:bCs/>
          <w:szCs w:val="24"/>
        </w:rPr>
        <w:tab/>
      </w:r>
      <w:r w:rsidRPr="00B302F2">
        <w:rPr>
          <w:b/>
          <w:bCs/>
          <w:szCs w:val="24"/>
        </w:rPr>
        <w:tab/>
      </w:r>
      <w:r w:rsidRPr="00B302F2">
        <w:rPr>
          <w:szCs w:val="24"/>
        </w:rPr>
        <w:t>No Identified Risk</w:t>
      </w:r>
    </w:p>
    <w:p w14:paraId="7A84033A" w14:textId="77777777" w:rsidR="009C34B0" w:rsidRPr="00B302F2" w:rsidRDefault="009C34B0" w:rsidP="00DA05FE">
      <w:pPr>
        <w:spacing w:after="120"/>
        <w:rPr>
          <w:szCs w:val="24"/>
        </w:rPr>
      </w:pPr>
      <w:r w:rsidRPr="00B302F2">
        <w:rPr>
          <w:b/>
          <w:bCs/>
          <w:szCs w:val="24"/>
        </w:rPr>
        <w:t>PLWH</w:t>
      </w:r>
      <w:r w:rsidRPr="00B302F2">
        <w:rPr>
          <w:b/>
          <w:bCs/>
          <w:szCs w:val="24"/>
        </w:rPr>
        <w:tab/>
      </w:r>
      <w:r w:rsidRPr="00B302F2">
        <w:rPr>
          <w:b/>
          <w:bCs/>
          <w:szCs w:val="24"/>
        </w:rPr>
        <w:tab/>
      </w:r>
      <w:r w:rsidRPr="00B302F2">
        <w:rPr>
          <w:szCs w:val="24"/>
        </w:rPr>
        <w:t>Persons Living with HIV Infection</w:t>
      </w:r>
    </w:p>
    <w:p w14:paraId="357CCC65" w14:textId="77777777" w:rsidR="009C34B0" w:rsidRPr="00B302F2" w:rsidRDefault="009C34B0" w:rsidP="00DA05FE">
      <w:pPr>
        <w:spacing w:after="120"/>
        <w:rPr>
          <w:szCs w:val="24"/>
        </w:rPr>
      </w:pPr>
      <w:r w:rsidRPr="00B302F2">
        <w:rPr>
          <w:b/>
          <w:bCs/>
          <w:szCs w:val="24"/>
        </w:rPr>
        <w:t>Pres. HTSX</w:t>
      </w:r>
      <w:r w:rsidRPr="00B302F2">
        <w:rPr>
          <w:szCs w:val="24"/>
        </w:rPr>
        <w:tab/>
        <w:t>Presumed Heterosexual Sex</w:t>
      </w:r>
    </w:p>
    <w:p w14:paraId="0FBA1024" w14:textId="2A892EE4" w:rsidR="009C34B0" w:rsidRPr="00B302F2" w:rsidRDefault="009C34B0" w:rsidP="00DA05FE">
      <w:pPr>
        <w:spacing w:after="120"/>
        <w:rPr>
          <w:szCs w:val="24"/>
        </w:rPr>
      </w:pPr>
      <w:r w:rsidRPr="00B302F2">
        <w:rPr>
          <w:b/>
          <w:bCs/>
          <w:szCs w:val="24"/>
        </w:rPr>
        <w:t xml:space="preserve">PR/USD </w:t>
      </w:r>
      <w:r w:rsidRPr="00B302F2">
        <w:rPr>
          <w:b/>
          <w:bCs/>
          <w:szCs w:val="24"/>
        </w:rPr>
        <w:tab/>
      </w:r>
      <w:r w:rsidRPr="00B302F2">
        <w:rPr>
          <w:szCs w:val="24"/>
        </w:rPr>
        <w:t>Puerto Rico/United States Dependency</w:t>
      </w:r>
    </w:p>
    <w:p w14:paraId="7009F98F" w14:textId="77777777" w:rsidR="009C34B0" w:rsidRPr="00B302F2" w:rsidRDefault="009C34B0" w:rsidP="00DA05FE">
      <w:pPr>
        <w:spacing w:after="120"/>
        <w:rPr>
          <w:szCs w:val="24"/>
        </w:rPr>
      </w:pPr>
      <w:r w:rsidRPr="00B302F2">
        <w:rPr>
          <w:b/>
          <w:bCs/>
          <w:szCs w:val="24"/>
        </w:rPr>
        <w:t>PWID</w:t>
      </w:r>
      <w:r w:rsidRPr="00B302F2">
        <w:rPr>
          <w:szCs w:val="24"/>
        </w:rPr>
        <w:tab/>
      </w:r>
      <w:r w:rsidRPr="00B302F2">
        <w:rPr>
          <w:szCs w:val="24"/>
        </w:rPr>
        <w:tab/>
        <w:t>Persons Who Inject Drugs</w:t>
      </w:r>
    </w:p>
    <w:p w14:paraId="49B7E3E7" w14:textId="6BD8A10A" w:rsidR="009C34B0" w:rsidRPr="00B302F2" w:rsidRDefault="009C34B0" w:rsidP="00DA05FE">
      <w:pPr>
        <w:spacing w:after="120"/>
        <w:rPr>
          <w:szCs w:val="24"/>
        </w:rPr>
      </w:pPr>
      <w:r w:rsidRPr="00B302F2">
        <w:rPr>
          <w:b/>
          <w:bCs/>
          <w:szCs w:val="24"/>
        </w:rPr>
        <w:t>STD</w:t>
      </w:r>
      <w:r w:rsidRPr="00B302F2">
        <w:rPr>
          <w:szCs w:val="24"/>
        </w:rPr>
        <w:tab/>
      </w:r>
      <w:r w:rsidRPr="00B302F2">
        <w:rPr>
          <w:szCs w:val="24"/>
        </w:rPr>
        <w:tab/>
        <w:t>Sexually Transmitted Disease</w:t>
      </w:r>
    </w:p>
    <w:p w14:paraId="2012CE53" w14:textId="44DBD0CF" w:rsidR="00625EF8" w:rsidRPr="00B302F2" w:rsidRDefault="009C34B0" w:rsidP="00DA05FE">
      <w:pPr>
        <w:spacing w:after="120"/>
        <w:rPr>
          <w:szCs w:val="24"/>
        </w:rPr>
        <w:sectPr w:rsidR="00625EF8" w:rsidRPr="00B302F2" w:rsidSect="00E966E3">
          <w:headerReference w:type="default" r:id="rId18"/>
          <w:headerReference w:type="first" r:id="rId19"/>
          <w:footerReference w:type="first" r:id="rId20"/>
          <w:pgSz w:w="12240" w:h="15840"/>
          <w:pgMar w:top="1080" w:right="1080" w:bottom="1080" w:left="1080" w:header="720" w:footer="720" w:gutter="0"/>
          <w:pgNumType w:fmt="lowerRoman"/>
          <w:cols w:space="720"/>
          <w:docGrid w:linePitch="360"/>
        </w:sectPr>
      </w:pPr>
      <w:r w:rsidRPr="00B302F2">
        <w:rPr>
          <w:b/>
          <w:bCs/>
          <w:szCs w:val="24"/>
        </w:rPr>
        <w:t>STI</w:t>
      </w:r>
      <w:r w:rsidRPr="00B302F2">
        <w:rPr>
          <w:szCs w:val="24"/>
        </w:rPr>
        <w:tab/>
      </w:r>
      <w:r w:rsidRPr="00B302F2">
        <w:rPr>
          <w:szCs w:val="24"/>
        </w:rPr>
        <w:tab/>
        <w:t>Sexually Transmitted Infectio</w:t>
      </w:r>
      <w:r w:rsidR="00815AD8" w:rsidRPr="00B302F2">
        <w:rPr>
          <w:szCs w:val="24"/>
        </w:rPr>
        <w:t>n</w:t>
      </w:r>
    </w:p>
    <w:p w14:paraId="2EAEDF9F" w14:textId="1E8B6315" w:rsidR="009C34B0" w:rsidRPr="00B302F2" w:rsidRDefault="00625EF8" w:rsidP="38A4F72D">
      <w:pPr>
        <w:pStyle w:val="Heading1"/>
        <w:rPr>
          <w:b w:val="0"/>
        </w:rPr>
      </w:pPr>
      <w:bookmarkStart w:id="1" w:name="_Toc774818612"/>
      <w:r>
        <w:lastRenderedPageBreak/>
        <w:t>KEY HIGHLIGHTS</w:t>
      </w:r>
      <w:bookmarkEnd w:id="1"/>
    </w:p>
    <w:p w14:paraId="258963C9" w14:textId="71EE053E" w:rsidR="00DF0095" w:rsidRPr="00CA4563" w:rsidRDefault="00DF0095" w:rsidP="00DA05FE">
      <w:pPr>
        <w:spacing w:after="120"/>
      </w:pPr>
      <w:r>
        <w:t>The 202</w:t>
      </w:r>
      <w:r w:rsidR="00CA4563">
        <w:t>3</w:t>
      </w:r>
      <w:r>
        <w:t xml:space="preserve"> Integrated HIV, </w:t>
      </w:r>
      <w:r w:rsidR="00285320">
        <w:t>STI</w:t>
      </w:r>
      <w:r>
        <w:t>, and Viral Hepatitis Surveillance Report provides data on infections reported to the Massachusetts Department of Public Health (</w:t>
      </w:r>
      <w:r w:rsidR="00D3661F">
        <w:t>DPH</w:t>
      </w:r>
      <w:r>
        <w:t xml:space="preserve">), Bureau of Infectious Disease and Laboratory Sciences </w:t>
      </w:r>
      <w:r w:rsidR="2EBEEBAF">
        <w:t xml:space="preserve">(BIDLS) </w:t>
      </w:r>
      <w:r>
        <w:t xml:space="preserve">by healthcare providers and laboratories per regulation (105 CMR 300.000). This report focuses on a subset of these diseases: </w:t>
      </w:r>
    </w:p>
    <w:p w14:paraId="22C5E705" w14:textId="77777777" w:rsidR="00DF0095" w:rsidRPr="00CA4563" w:rsidRDefault="00DF0095" w:rsidP="00046DDD">
      <w:pPr>
        <w:numPr>
          <w:ilvl w:val="0"/>
          <w:numId w:val="1"/>
        </w:numPr>
        <w:rPr>
          <w:szCs w:val="24"/>
        </w:rPr>
      </w:pPr>
      <w:r w:rsidRPr="00CA4563">
        <w:rPr>
          <w:szCs w:val="24"/>
        </w:rPr>
        <w:t>Chlamydia</w:t>
      </w:r>
    </w:p>
    <w:p w14:paraId="1D3C6BDB" w14:textId="77777777" w:rsidR="00DF0095" w:rsidRPr="00CA4563" w:rsidRDefault="00DF0095" w:rsidP="00046DDD">
      <w:pPr>
        <w:numPr>
          <w:ilvl w:val="0"/>
          <w:numId w:val="1"/>
        </w:numPr>
        <w:rPr>
          <w:szCs w:val="24"/>
        </w:rPr>
      </w:pPr>
      <w:r w:rsidRPr="00CA4563">
        <w:rPr>
          <w:szCs w:val="24"/>
        </w:rPr>
        <w:t>Gonorrhea</w:t>
      </w:r>
    </w:p>
    <w:p w14:paraId="32027D83" w14:textId="77777777" w:rsidR="00DF0095" w:rsidRPr="00CA4563" w:rsidRDefault="00DF0095" w:rsidP="00046DDD">
      <w:pPr>
        <w:numPr>
          <w:ilvl w:val="0"/>
          <w:numId w:val="1"/>
        </w:numPr>
        <w:rPr>
          <w:szCs w:val="24"/>
        </w:rPr>
      </w:pPr>
      <w:r w:rsidRPr="00CA4563">
        <w:rPr>
          <w:szCs w:val="24"/>
        </w:rPr>
        <w:t>Syphilis</w:t>
      </w:r>
    </w:p>
    <w:p w14:paraId="2495D2F9" w14:textId="77777777" w:rsidR="00DF0095" w:rsidRPr="00CA4563" w:rsidRDefault="00DF0095" w:rsidP="00046DDD">
      <w:pPr>
        <w:numPr>
          <w:ilvl w:val="0"/>
          <w:numId w:val="1"/>
        </w:numPr>
        <w:rPr>
          <w:szCs w:val="24"/>
        </w:rPr>
      </w:pPr>
      <w:r w:rsidRPr="00CA4563">
        <w:rPr>
          <w:szCs w:val="24"/>
        </w:rPr>
        <w:t>HIV</w:t>
      </w:r>
    </w:p>
    <w:p w14:paraId="22CB5FC5" w14:textId="77777777" w:rsidR="00DF0095" w:rsidRPr="00CA4563" w:rsidRDefault="00DF0095" w:rsidP="00046DDD">
      <w:pPr>
        <w:numPr>
          <w:ilvl w:val="0"/>
          <w:numId w:val="1"/>
        </w:numPr>
        <w:spacing w:after="120"/>
        <w:rPr>
          <w:szCs w:val="24"/>
        </w:rPr>
      </w:pPr>
      <w:r w:rsidRPr="00CA4563">
        <w:rPr>
          <w:szCs w:val="24"/>
        </w:rPr>
        <w:t>Hepatitis A, B and C</w:t>
      </w:r>
    </w:p>
    <w:p w14:paraId="6F25BCB7" w14:textId="77777777" w:rsidR="00DF0095" w:rsidRPr="00CA4563" w:rsidRDefault="00DF0095" w:rsidP="00DA05FE">
      <w:pPr>
        <w:spacing w:after="120"/>
        <w:rPr>
          <w:szCs w:val="24"/>
        </w:rPr>
      </w:pPr>
      <w:r w:rsidRPr="00CA4563">
        <w:rPr>
          <w:szCs w:val="24"/>
        </w:rPr>
        <w:t>The intended audience for this annual surveillance report includes the clinicians and laboratory professionals who report cases, community organizations, local public health departments, advocates, policymakers, and researchers who are interested in the health of Massachusetts residents.</w:t>
      </w:r>
    </w:p>
    <w:p w14:paraId="6AFB5773" w14:textId="6B33DD1A" w:rsidR="06A3C928" w:rsidRDefault="00DF0095" w:rsidP="06A3C928">
      <w:pPr>
        <w:spacing w:after="120"/>
        <w:rPr>
          <w:b/>
          <w:bCs/>
          <w:i/>
          <w:iCs/>
        </w:rPr>
      </w:pPr>
      <w:r w:rsidRPr="00CA4563">
        <w:rPr>
          <w:b/>
          <w:bCs/>
          <w:szCs w:val="24"/>
        </w:rPr>
        <w:t xml:space="preserve">Key </w:t>
      </w:r>
      <w:r w:rsidR="00B92518" w:rsidRPr="00CA4563">
        <w:rPr>
          <w:b/>
          <w:bCs/>
          <w:szCs w:val="24"/>
        </w:rPr>
        <w:t>H</w:t>
      </w:r>
      <w:r w:rsidRPr="00CA4563">
        <w:rPr>
          <w:b/>
          <w:bCs/>
          <w:szCs w:val="24"/>
        </w:rPr>
        <w:t>ighlights in 202</w:t>
      </w:r>
      <w:r w:rsidR="00CA4563" w:rsidRPr="00CA4563">
        <w:rPr>
          <w:b/>
          <w:bCs/>
          <w:szCs w:val="24"/>
        </w:rPr>
        <w:t>3</w:t>
      </w:r>
      <w:r w:rsidRPr="00CA4563">
        <w:rPr>
          <w:b/>
          <w:bCs/>
          <w:szCs w:val="24"/>
        </w:rPr>
        <w:t xml:space="preserve"> </w:t>
      </w:r>
    </w:p>
    <w:p w14:paraId="51835686" w14:textId="701C5F53" w:rsidR="00DF0095" w:rsidRPr="00CA4563" w:rsidRDefault="37661314" w:rsidP="06A3C928">
      <w:pPr>
        <w:spacing w:after="120"/>
        <w:rPr>
          <w:b/>
          <w:bCs/>
          <w:i/>
          <w:iCs/>
        </w:rPr>
      </w:pPr>
      <w:r w:rsidRPr="06A3C928">
        <w:rPr>
          <w:b/>
          <w:bCs/>
          <w:i/>
          <w:iCs/>
        </w:rPr>
        <w:t xml:space="preserve">Chlamydia, </w:t>
      </w:r>
      <w:r w:rsidR="00807EA3" w:rsidRPr="06A3C928">
        <w:rPr>
          <w:b/>
          <w:bCs/>
          <w:i/>
          <w:iCs/>
        </w:rPr>
        <w:t>G</w:t>
      </w:r>
      <w:r w:rsidRPr="06A3C928">
        <w:rPr>
          <w:b/>
          <w:bCs/>
          <w:i/>
          <w:iCs/>
        </w:rPr>
        <w:t xml:space="preserve">onorrhea, and </w:t>
      </w:r>
      <w:r w:rsidR="00807EA3" w:rsidRPr="06A3C928">
        <w:rPr>
          <w:b/>
          <w:bCs/>
          <w:i/>
          <w:iCs/>
        </w:rPr>
        <w:t>S</w:t>
      </w:r>
      <w:r w:rsidRPr="06A3C928">
        <w:rPr>
          <w:b/>
          <w:bCs/>
          <w:i/>
          <w:iCs/>
        </w:rPr>
        <w:t>yphilis:</w:t>
      </w:r>
    </w:p>
    <w:p w14:paraId="369B23D4" w14:textId="6F72CC4A" w:rsidR="00DF0095" w:rsidRPr="00A0215B" w:rsidRDefault="00066245" w:rsidP="69F1B494">
      <w:pPr>
        <w:numPr>
          <w:ilvl w:val="0"/>
          <w:numId w:val="3"/>
        </w:numPr>
        <w:spacing w:after="120"/>
      </w:pPr>
      <w:r w:rsidRPr="00A0215B">
        <w:t xml:space="preserve">Chlamydia continues to be the most frequently reported STI, with </w:t>
      </w:r>
      <w:r w:rsidR="00116C8A">
        <w:t>nearly 29</w:t>
      </w:r>
      <w:r w:rsidRPr="00A0215B">
        <w:t>,000 cases reported in 202</w:t>
      </w:r>
      <w:r w:rsidR="00A0215B" w:rsidRPr="00A0215B">
        <w:t>3</w:t>
      </w:r>
      <w:r w:rsidR="2DEE516F" w:rsidRPr="00A0215B">
        <w:t>.</w:t>
      </w:r>
      <w:r w:rsidR="005A43F9" w:rsidRPr="00A0215B">
        <w:rPr>
          <w:rStyle w:val="FootnoteReference"/>
        </w:rPr>
        <w:footnoteReference w:id="3"/>
      </w:r>
    </w:p>
    <w:p w14:paraId="7E7FC54A" w14:textId="2A2BE9A2" w:rsidR="00066245" w:rsidRPr="00A0215B" w:rsidRDefault="00A0215B" w:rsidP="00066245">
      <w:pPr>
        <w:numPr>
          <w:ilvl w:val="0"/>
          <w:numId w:val="3"/>
        </w:numPr>
        <w:spacing w:after="120"/>
        <w:rPr>
          <w:rFonts w:ascii="Calibri" w:eastAsia="Calibri" w:hAnsi="Calibri" w:cs="Calibri"/>
        </w:rPr>
      </w:pPr>
      <w:r w:rsidRPr="00A0215B">
        <w:rPr>
          <w:rFonts w:ascii="Calibri" w:eastAsia="Calibri" w:hAnsi="Calibri" w:cs="Calibri"/>
        </w:rPr>
        <w:t xml:space="preserve">The total number of </w:t>
      </w:r>
      <w:r w:rsidR="00322119">
        <w:rPr>
          <w:rFonts w:ascii="Calibri" w:eastAsia="Calibri" w:hAnsi="Calibri" w:cs="Calibri"/>
        </w:rPr>
        <w:t>confirmed</w:t>
      </w:r>
      <w:r w:rsidRPr="00A0215B">
        <w:rPr>
          <w:rFonts w:ascii="Calibri" w:eastAsia="Calibri" w:hAnsi="Calibri" w:cs="Calibri"/>
        </w:rPr>
        <w:t xml:space="preserve"> chlamydia cases increased by 31% from 24,143 in 2014 to 31,633 in 2019, decreased to 24,701 in 2020, and then increased to 28,910 in 2023. However, with 28,910 cases reported in 2023, </w:t>
      </w:r>
      <w:r w:rsidR="00B414C5">
        <w:rPr>
          <w:rFonts w:ascii="Calibri" w:eastAsia="Calibri" w:hAnsi="Calibri" w:cs="Calibri"/>
        </w:rPr>
        <w:t xml:space="preserve">confirmed </w:t>
      </w:r>
      <w:r w:rsidRPr="00A0215B">
        <w:rPr>
          <w:rFonts w:ascii="Calibri" w:eastAsia="Calibri" w:hAnsi="Calibri" w:cs="Calibri"/>
        </w:rPr>
        <w:t>chlamydia incidence has not yet returned to pre-COVID levels</w:t>
      </w:r>
      <w:r w:rsidR="63EB24CA" w:rsidRPr="00A0215B">
        <w:rPr>
          <w:rFonts w:ascii="Calibri" w:eastAsia="Calibri" w:hAnsi="Calibri" w:cs="Calibri"/>
        </w:rPr>
        <w:t>.</w:t>
      </w:r>
    </w:p>
    <w:p w14:paraId="6BE35CE4" w14:textId="3E3110C0" w:rsidR="00D95E6A" w:rsidRDefault="00A0215B" w:rsidP="00066245">
      <w:pPr>
        <w:numPr>
          <w:ilvl w:val="0"/>
          <w:numId w:val="3"/>
        </w:numPr>
        <w:spacing w:after="120"/>
        <w:rPr>
          <w:rFonts w:ascii="Calibri" w:eastAsia="Calibri" w:hAnsi="Calibri" w:cs="Calibri"/>
        </w:rPr>
      </w:pPr>
      <w:r w:rsidRPr="00A0215B">
        <w:rPr>
          <w:rFonts w:ascii="Calibri" w:eastAsia="Calibri" w:hAnsi="Calibri" w:cs="Calibri"/>
        </w:rPr>
        <w:t xml:space="preserve">The overall average age of confirmed chlamydia cases in Massachusetts increased from 24.6 years in 2014 to 26.4 years in 2023. </w:t>
      </w:r>
    </w:p>
    <w:p w14:paraId="28BDBD27" w14:textId="1544B4C1" w:rsidR="00066245" w:rsidRPr="00A0215B" w:rsidRDefault="00A0215B" w:rsidP="00066245">
      <w:pPr>
        <w:numPr>
          <w:ilvl w:val="0"/>
          <w:numId w:val="3"/>
        </w:numPr>
        <w:spacing w:after="120"/>
        <w:rPr>
          <w:rFonts w:ascii="Calibri" w:eastAsia="Calibri" w:hAnsi="Calibri" w:cs="Calibri"/>
        </w:rPr>
      </w:pPr>
      <w:r w:rsidRPr="00A0215B">
        <w:rPr>
          <w:rFonts w:ascii="Calibri" w:eastAsia="Calibri" w:hAnsi="Calibri" w:cs="Calibri"/>
        </w:rPr>
        <w:t xml:space="preserve">After a sharp 57% increase from 2016 (N=4,638) to 2017 (N=7,293), </w:t>
      </w:r>
      <w:r w:rsidR="00D97B7D">
        <w:rPr>
          <w:rFonts w:ascii="Calibri" w:eastAsia="Calibri" w:hAnsi="Calibri" w:cs="Calibri"/>
        </w:rPr>
        <w:t xml:space="preserve">confirmed </w:t>
      </w:r>
      <w:r w:rsidRPr="00A0215B">
        <w:rPr>
          <w:rFonts w:ascii="Calibri" w:eastAsia="Calibri" w:hAnsi="Calibri" w:cs="Calibri"/>
        </w:rPr>
        <w:t>gonorrhea incidence remained relatively stable through 2020 (N=7,303), and then increased by 34% to 9,779 in 2023</w:t>
      </w:r>
      <w:r w:rsidR="00066245" w:rsidRPr="00A0215B">
        <w:rPr>
          <w:rFonts w:ascii="Calibri" w:eastAsia="Calibri" w:hAnsi="Calibri" w:cs="Calibri"/>
        </w:rPr>
        <w:t>.</w:t>
      </w:r>
    </w:p>
    <w:p w14:paraId="2C2419B4" w14:textId="359BBD3F" w:rsidR="003E6DB6" w:rsidRPr="00A0215B" w:rsidRDefault="00A0215B" w:rsidP="00066245">
      <w:pPr>
        <w:numPr>
          <w:ilvl w:val="0"/>
          <w:numId w:val="3"/>
        </w:numPr>
        <w:spacing w:after="120"/>
      </w:pPr>
      <w:r w:rsidRPr="00A0215B">
        <w:rPr>
          <w:rFonts w:ascii="Calibri" w:eastAsia="Calibri" w:hAnsi="Calibri" w:cs="Calibri"/>
        </w:rPr>
        <w:t>The number of</w:t>
      </w:r>
      <w:r w:rsidR="0B6FF30A" w:rsidRPr="00A0215B">
        <w:rPr>
          <w:rFonts w:ascii="Calibri" w:eastAsia="Calibri" w:hAnsi="Calibri" w:cs="Calibri"/>
        </w:rPr>
        <w:t xml:space="preserve"> </w:t>
      </w:r>
      <w:r w:rsidRPr="00A0215B">
        <w:rPr>
          <w:rFonts w:ascii="Calibri" w:eastAsia="Calibri" w:hAnsi="Calibri" w:cs="Calibri"/>
        </w:rPr>
        <w:t xml:space="preserve">confirmed gonorrhea cases reported among males </w:t>
      </w:r>
      <w:r w:rsidR="00C44FEB">
        <w:rPr>
          <w:rFonts w:ascii="Calibri" w:eastAsia="Calibri" w:hAnsi="Calibri" w:cs="Calibri"/>
        </w:rPr>
        <w:t>is approximately twice that</w:t>
      </w:r>
      <w:r w:rsidRPr="00A0215B">
        <w:rPr>
          <w:rFonts w:ascii="Calibri" w:eastAsia="Calibri" w:hAnsi="Calibri" w:cs="Calibri"/>
        </w:rPr>
        <w:t xml:space="preserve"> reported among females. In 2023, 6,662 </w:t>
      </w:r>
      <w:r w:rsidR="0071795E">
        <w:rPr>
          <w:rFonts w:ascii="Calibri" w:eastAsia="Calibri" w:hAnsi="Calibri" w:cs="Calibri"/>
        </w:rPr>
        <w:t xml:space="preserve">confirmed </w:t>
      </w:r>
      <w:r w:rsidRPr="00A0215B">
        <w:rPr>
          <w:rFonts w:ascii="Calibri" w:eastAsia="Calibri" w:hAnsi="Calibri" w:cs="Calibri"/>
        </w:rPr>
        <w:t>gonorrhea cases were reported among males, compared to 3,038 among females, and 71 among individuals of transgender experience and/or nonbinary individuals</w:t>
      </w:r>
      <w:r w:rsidR="197D4E88" w:rsidRPr="00A0215B">
        <w:t>.</w:t>
      </w:r>
      <w:r w:rsidR="00AA0382" w:rsidRPr="00A0215B">
        <w:rPr>
          <w:rStyle w:val="FootnoteReference"/>
        </w:rPr>
        <w:footnoteReference w:id="4"/>
      </w:r>
    </w:p>
    <w:p w14:paraId="209C719B" w14:textId="35FCA850" w:rsidR="0028027F" w:rsidRPr="00A0215B" w:rsidRDefault="00A0215B" w:rsidP="0028027F">
      <w:pPr>
        <w:numPr>
          <w:ilvl w:val="0"/>
          <w:numId w:val="3"/>
        </w:numPr>
        <w:spacing w:after="120"/>
      </w:pPr>
      <w:r w:rsidRPr="00A0215B">
        <w:t xml:space="preserve">The number of </w:t>
      </w:r>
      <w:r w:rsidR="5B5130C1">
        <w:t xml:space="preserve">confirmed and probable </w:t>
      </w:r>
      <w:r w:rsidRPr="00A0215B">
        <w:t>infectious syphilis cases (primary, secondary, and early non-primary non-secondary syphilis</w:t>
      </w:r>
      <w:r w:rsidR="4848F438">
        <w:t xml:space="preserve"> diagnosed within the first year of infection</w:t>
      </w:r>
      <w:r w:rsidRPr="00A0215B">
        <w:t xml:space="preserve">) increased to a ten-year high of 1,579 in 2022 and subsequently decreased to 1,449 in 2023. Although </w:t>
      </w:r>
      <w:r w:rsidR="00C44FEB">
        <w:t xml:space="preserve">the number of </w:t>
      </w:r>
      <w:r w:rsidRPr="00A0215B">
        <w:t>cases among females have risen over the past decade, infectious syphilis continues to disproportionately affect males, reflecting an ongoing epidemic among men who have sex with men (MSM)</w:t>
      </w:r>
      <w:r w:rsidR="0028027F" w:rsidRPr="00A0215B">
        <w:t>.</w:t>
      </w:r>
    </w:p>
    <w:p w14:paraId="7628C6F5" w14:textId="1A7B8E00" w:rsidR="228DC55B" w:rsidRPr="00476273" w:rsidRDefault="228DC55B" w:rsidP="68FA3878">
      <w:pPr>
        <w:numPr>
          <w:ilvl w:val="0"/>
          <w:numId w:val="3"/>
        </w:numPr>
        <w:spacing w:after="120"/>
        <w:rPr>
          <w:rFonts w:eastAsiaTheme="minorEastAsia"/>
          <w:color w:val="000000" w:themeColor="text1"/>
        </w:rPr>
      </w:pPr>
      <w:r w:rsidRPr="00476273">
        <w:rPr>
          <w:rFonts w:eastAsiaTheme="minorEastAsia"/>
          <w:color w:val="000000" w:themeColor="text1"/>
        </w:rPr>
        <w:lastRenderedPageBreak/>
        <w:t xml:space="preserve">After remaining between zero and four from 2011 to 2018, the annual number of </w:t>
      </w:r>
      <w:r w:rsidR="6DB3EAFB" w:rsidRPr="7D910954">
        <w:rPr>
          <w:rFonts w:eastAsiaTheme="minorEastAsia"/>
          <w:color w:val="000000" w:themeColor="text1"/>
        </w:rPr>
        <w:t xml:space="preserve">reportable </w:t>
      </w:r>
      <w:r w:rsidRPr="00476273">
        <w:rPr>
          <w:rFonts w:eastAsiaTheme="minorEastAsia"/>
          <w:color w:val="000000" w:themeColor="text1"/>
        </w:rPr>
        <w:t xml:space="preserve">cases of congenital syphilis diagnosed in Massachusetts </w:t>
      </w:r>
      <w:r w:rsidR="76AA20A1" w:rsidRPr="7D910954">
        <w:rPr>
          <w:rFonts w:eastAsiaTheme="minorEastAsia"/>
          <w:color w:val="000000" w:themeColor="text1"/>
        </w:rPr>
        <w:t>increased significantly, ranging</w:t>
      </w:r>
      <w:r w:rsidRPr="00476273">
        <w:rPr>
          <w:rFonts w:eastAsiaTheme="minorEastAsia"/>
          <w:color w:val="000000" w:themeColor="text1"/>
        </w:rPr>
        <w:t xml:space="preserve"> from nine to fourteen </w:t>
      </w:r>
      <w:r w:rsidR="5BC29446" w:rsidRPr="7D910954">
        <w:rPr>
          <w:rFonts w:eastAsiaTheme="minorEastAsia"/>
          <w:color w:val="000000" w:themeColor="text1"/>
        </w:rPr>
        <w:t>between</w:t>
      </w:r>
      <w:r w:rsidRPr="00476273">
        <w:rPr>
          <w:rFonts w:eastAsiaTheme="minorEastAsia"/>
          <w:color w:val="000000" w:themeColor="text1"/>
        </w:rPr>
        <w:t xml:space="preserve"> 2019 to 2023.</w:t>
      </w:r>
      <w:r w:rsidR="00A42C29">
        <w:rPr>
          <w:rFonts w:eastAsiaTheme="minorEastAsia"/>
          <w:color w:val="000000" w:themeColor="text1"/>
        </w:rPr>
        <w:t xml:space="preserve"> </w:t>
      </w:r>
      <w:r w:rsidR="00A42C29" w:rsidRPr="00A42C29">
        <w:rPr>
          <w:rFonts w:eastAsiaTheme="minorEastAsia"/>
          <w:color w:val="000000" w:themeColor="text1"/>
        </w:rPr>
        <w:t xml:space="preserve">The proportion of congenital syphilis cases averted also increased during this time period from 80% in 2019 (N=35 all stage syphilis cases among pregnant persons who did not have a </w:t>
      </w:r>
      <w:r w:rsidR="00B420C8">
        <w:rPr>
          <w:rFonts w:eastAsiaTheme="minorEastAsia"/>
          <w:color w:val="000000" w:themeColor="text1"/>
        </w:rPr>
        <w:t>confirmed or probable</w:t>
      </w:r>
      <w:r w:rsidR="00A42C29" w:rsidRPr="00A42C29">
        <w:rPr>
          <w:rFonts w:eastAsiaTheme="minorEastAsia"/>
          <w:color w:val="000000" w:themeColor="text1"/>
        </w:rPr>
        <w:t xml:space="preserve"> congenital syphilis case/44 total all stage syphilis cases among all pregnant persons) to 87% in 2023 (N=91/105).</w:t>
      </w:r>
    </w:p>
    <w:p w14:paraId="11D49A41" w14:textId="34549C26" w:rsidR="5D2C30E5" w:rsidRPr="00A0215B" w:rsidRDefault="6A7FFF1B" w:rsidP="0028027F">
      <w:pPr>
        <w:numPr>
          <w:ilvl w:val="0"/>
          <w:numId w:val="3"/>
        </w:numPr>
        <w:spacing w:after="120"/>
      </w:pPr>
      <w:r w:rsidRPr="00A0215B">
        <w:t xml:space="preserve">According to CDC, </w:t>
      </w:r>
      <w:r w:rsidR="7DA64F8F" w:rsidRPr="00A0215B">
        <w:t>a</w:t>
      </w:r>
      <w:r w:rsidR="65A3FDF3" w:rsidRPr="00A0215B">
        <w:t>mong</w:t>
      </w:r>
      <w:r w:rsidR="00A0215B" w:rsidRPr="00A0215B">
        <w:t xml:space="preserve"> the 50 states in 2022, Massachusetts ranked 36</w:t>
      </w:r>
      <w:r w:rsidR="00A0215B" w:rsidRPr="0071795E">
        <w:rPr>
          <w:vertAlign w:val="superscript"/>
        </w:rPr>
        <w:t>th</w:t>
      </w:r>
      <w:r w:rsidR="0071795E">
        <w:t xml:space="preserve"> </w:t>
      </w:r>
      <w:r w:rsidR="00A0215B" w:rsidRPr="00A0215B">
        <w:t>in chlamydia incidence rate</w:t>
      </w:r>
      <w:r w:rsidR="0A2FE011" w:rsidRPr="00A0215B">
        <w:t xml:space="preserve"> (at 406.4 per 100,000)</w:t>
      </w:r>
      <w:r w:rsidR="00A0215B" w:rsidRPr="00A0215B">
        <w:t>, 38</w:t>
      </w:r>
      <w:r w:rsidR="00A0215B" w:rsidRPr="0071795E">
        <w:rPr>
          <w:vertAlign w:val="superscript"/>
        </w:rPr>
        <w:t>th</w:t>
      </w:r>
      <w:r w:rsidR="0071795E">
        <w:t xml:space="preserve"> </w:t>
      </w:r>
      <w:r w:rsidR="00A0215B" w:rsidRPr="00A0215B">
        <w:t>in gonorrhea incidence rate</w:t>
      </w:r>
      <w:r w:rsidR="6F116FB5" w:rsidRPr="00A0215B">
        <w:t xml:space="preserve"> (at 131.9 per 100,000)</w:t>
      </w:r>
      <w:r w:rsidR="00A0215B" w:rsidRPr="00A0215B">
        <w:t>, and 34</w:t>
      </w:r>
      <w:r w:rsidR="00A0215B" w:rsidRPr="0071795E">
        <w:rPr>
          <w:vertAlign w:val="superscript"/>
        </w:rPr>
        <w:t>th</w:t>
      </w:r>
      <w:r w:rsidR="0071795E">
        <w:t xml:space="preserve"> </w:t>
      </w:r>
      <w:r w:rsidR="00A0215B" w:rsidRPr="00A0215B">
        <w:t>in primary and secondary syphilis incidence rate</w:t>
      </w:r>
      <w:r w:rsidR="1AACDBFE" w:rsidRPr="00A0215B">
        <w:t xml:space="preserve"> (at 11.8 per 100,000)</w:t>
      </w:r>
      <w:r w:rsidR="209A8FF2" w:rsidRPr="00A0215B">
        <w:t>.</w:t>
      </w:r>
      <w:r w:rsidR="5D2C30E5" w:rsidRPr="00A0215B">
        <w:rPr>
          <w:vertAlign w:val="superscript"/>
        </w:rPr>
        <w:footnoteReference w:id="5"/>
      </w:r>
      <w:r w:rsidR="2EF1E3D7" w:rsidRPr="00A0215B">
        <w:t xml:space="preserve"> </w:t>
      </w:r>
    </w:p>
    <w:p w14:paraId="567B3ED0" w14:textId="07A6DBED" w:rsidR="003E6DB6" w:rsidRPr="00A0215B" w:rsidRDefault="003E6DB6" w:rsidP="00272044">
      <w:pPr>
        <w:spacing w:after="160" w:line="259" w:lineRule="auto"/>
        <w:rPr>
          <w:szCs w:val="24"/>
        </w:rPr>
      </w:pPr>
      <w:r w:rsidRPr="00A0215B">
        <w:rPr>
          <w:b/>
          <w:bCs/>
          <w:i/>
          <w:iCs/>
          <w:szCs w:val="24"/>
        </w:rPr>
        <w:t>HIV:</w:t>
      </w:r>
    </w:p>
    <w:p w14:paraId="512599C9" w14:textId="46C26EDD" w:rsidR="003E6DB6" w:rsidRPr="00550A6B" w:rsidRDefault="00A0215B" w:rsidP="6DABE1AC">
      <w:pPr>
        <w:numPr>
          <w:ilvl w:val="0"/>
          <w:numId w:val="3"/>
        </w:numPr>
        <w:spacing w:after="120"/>
      </w:pPr>
      <w:r w:rsidRPr="00550A6B">
        <w:t>The number of persons living with HIV infection (PLWH) in Massachusetts increased by 11% from 21,785 at the end of 2014 to 24,119 at the end of 2023</w:t>
      </w:r>
      <w:r w:rsidR="0AA7831B" w:rsidRPr="00550A6B">
        <w:t>.</w:t>
      </w:r>
      <w:r w:rsidR="00AA0382" w:rsidRPr="00550A6B">
        <w:rPr>
          <w:rStyle w:val="FootnoteReference"/>
        </w:rPr>
        <w:footnoteReference w:id="6"/>
      </w:r>
      <w:r w:rsidR="001536A7" w:rsidRPr="00550A6B">
        <w:rPr>
          <w:vertAlign w:val="superscript"/>
        </w:rPr>
        <w:t>,</w:t>
      </w:r>
      <w:r w:rsidR="001536A7" w:rsidRPr="00550A6B">
        <w:rPr>
          <w:rStyle w:val="FootnoteReference"/>
        </w:rPr>
        <w:footnoteReference w:id="7"/>
      </w:r>
    </w:p>
    <w:p w14:paraId="17E3FD38" w14:textId="2663F896" w:rsidR="001536A7" w:rsidRPr="00F446E3" w:rsidRDefault="00F446E3" w:rsidP="001536A7">
      <w:pPr>
        <w:numPr>
          <w:ilvl w:val="0"/>
          <w:numId w:val="3"/>
        </w:numPr>
        <w:spacing w:after="120"/>
      </w:pPr>
      <w:r w:rsidRPr="00F446E3">
        <w:t xml:space="preserve">After averaging approximately 640 diagnoses per year from 2014 to 2018 (five-year average </w:t>
      </w:r>
      <w:r w:rsidR="00710B58">
        <w:t>of</w:t>
      </w:r>
      <w:r w:rsidRPr="00F446E3">
        <w:t xml:space="preserve"> 636), the number of new HIV infection diagnoses declined to 532 in 2019. In 2020, the number of new HIV infection diagnoses further declined to 434 and then remained at this lower level in 2021 and 2022, when there were 449 and 446 diagnoses, respectively.  In 2023, the number of new HIV infection diagnoses (N=540) returned to pre-pandemic levels, increasing by 21% compared to the prior year</w:t>
      </w:r>
      <w:r w:rsidR="001536A7" w:rsidRPr="00F446E3">
        <w:t>.</w:t>
      </w:r>
    </w:p>
    <w:p w14:paraId="689C4C62" w14:textId="092ABC93" w:rsidR="001536A7" w:rsidRPr="00F446E3" w:rsidRDefault="00F446E3" w:rsidP="001536A7">
      <w:pPr>
        <w:numPr>
          <w:ilvl w:val="0"/>
          <w:numId w:val="3"/>
        </w:numPr>
        <w:spacing w:after="120"/>
      </w:pPr>
      <w:r>
        <w:t>The number of deaths due to any cause among individuals reported with HIV infection increased by 32% from 279 in 2014 to a peak of 367 in 202</w:t>
      </w:r>
      <w:r w:rsidR="003D731E">
        <w:t>2</w:t>
      </w:r>
      <w:r>
        <w:t xml:space="preserve"> and then decreased by 16% to 307 in 2023</w:t>
      </w:r>
      <w:r w:rsidR="001536A7">
        <w:t xml:space="preserve">. </w:t>
      </w:r>
    </w:p>
    <w:p w14:paraId="73F2938A" w14:textId="7D34B1AC" w:rsidR="003E6DB6" w:rsidRPr="00F446E3" w:rsidRDefault="00F446E3" w:rsidP="001536A7">
      <w:pPr>
        <w:numPr>
          <w:ilvl w:val="0"/>
          <w:numId w:val="3"/>
        </w:numPr>
        <w:spacing w:after="120"/>
      </w:pPr>
      <w:r w:rsidRPr="00F446E3">
        <w:t>There were large disparities in age-adjusted HIV diagnosis rates by race/ethnicity: the average annual age-adjusted HIV diagnosis rates for 2021 to 2023 among Black (non-Hispanic) individuals (34.7 per 100,000) and Hispanic/Latinx individuals (15.5 per 100,000) were 11 and five times that of White (non-Hispanic) individuals (</w:t>
      </w:r>
      <w:r w:rsidR="29763B82">
        <w:t>3.2</w:t>
      </w:r>
      <w:r w:rsidRPr="00F446E3">
        <w:t xml:space="preserve"> per 100,000), respectively</w:t>
      </w:r>
      <w:r w:rsidR="001536A7" w:rsidRPr="00F446E3">
        <w:t xml:space="preserve">. </w:t>
      </w:r>
      <w:r w:rsidR="2F3B4386" w:rsidRPr="00F446E3">
        <w:t xml:space="preserve"> </w:t>
      </w:r>
    </w:p>
    <w:p w14:paraId="293BC552" w14:textId="127B15F6" w:rsidR="001536A7" w:rsidRPr="00F446E3" w:rsidRDefault="00F446E3" w:rsidP="001536A7">
      <w:pPr>
        <w:numPr>
          <w:ilvl w:val="0"/>
          <w:numId w:val="3"/>
        </w:numPr>
        <w:spacing w:after="120"/>
      </w:pPr>
      <w:r>
        <w:t>Male-to-male sex (MSM) remained the predominant exposure mode among individuals diagnosed with HIV infection</w:t>
      </w:r>
      <w:r w:rsidR="00710B58" w:rsidRPr="00710B58">
        <w:t>, accounting for 39% of recent HIV infection diagnoses (from 2021 to 2023)</w:t>
      </w:r>
      <w:r>
        <w:t xml:space="preserve">. Those reported with no identified risk (NIR) comprised the second largest exposure mode group, accounting for 28% of recent HIV infection diagnoses and consisting predominantly of individuals </w:t>
      </w:r>
      <w:r w:rsidR="67B10467">
        <w:t>assigned male at birth (</w:t>
      </w:r>
      <w:r>
        <w:t>AMAB</w:t>
      </w:r>
      <w:r w:rsidR="05BF0B27">
        <w:t>)</w:t>
      </w:r>
      <w:r>
        <w:t xml:space="preserve"> (73%), individuals born outside the US (58%), </w:t>
      </w:r>
      <w:r w:rsidR="056B0148">
        <w:t>B</w:t>
      </w:r>
      <w:r w:rsidR="1D3FDC7C">
        <w:t>lack</w:t>
      </w:r>
      <w:r>
        <w:t xml:space="preserve"> (non-Hispanic) </w:t>
      </w:r>
      <w:r w:rsidR="4C8EC40C">
        <w:t xml:space="preserve">individuals </w:t>
      </w:r>
      <w:r>
        <w:t>(50</w:t>
      </w:r>
      <w:r w:rsidR="1D3FDC7C">
        <w:t>%)</w:t>
      </w:r>
      <w:r w:rsidR="617C48A1">
        <w:t>,</w:t>
      </w:r>
      <w:r>
        <w:t xml:space="preserve"> and Hispanic/Latinx (26%) </w:t>
      </w:r>
      <w:r w:rsidR="3322487E">
        <w:t>individuals</w:t>
      </w:r>
      <w:r w:rsidR="001536A7">
        <w:t>.</w:t>
      </w:r>
    </w:p>
    <w:p w14:paraId="5540F2D3" w14:textId="604B85D9" w:rsidR="000A4CED" w:rsidRDefault="32629D95" w:rsidP="00476273">
      <w:pPr>
        <w:pStyle w:val="ListParagraph"/>
        <w:numPr>
          <w:ilvl w:val="0"/>
          <w:numId w:val="3"/>
        </w:numPr>
        <w:spacing w:after="120"/>
        <w:contextualSpacing w:val="0"/>
      </w:pPr>
      <w:r>
        <w:t xml:space="preserve">The total statewide number of reported cases with </w:t>
      </w:r>
      <w:r w:rsidR="004874B3">
        <w:t>injection drug use (</w:t>
      </w:r>
      <w:r>
        <w:t>IDU</w:t>
      </w:r>
      <w:r w:rsidR="004874B3">
        <w:t>)</w:t>
      </w:r>
      <w:r>
        <w:t xml:space="preserve"> as the primary exposure mode increased from 59 in 2019 to 82 in 2021. The increase was primarily due to a cluster of HIV infection identified in early 2019 in Boston among </w:t>
      </w:r>
      <w:r w:rsidR="6E5E22E9">
        <w:t>people who inject drugs</w:t>
      </w:r>
      <w:r>
        <w:t xml:space="preserve"> </w:t>
      </w:r>
      <w:r w:rsidR="07E65AF2">
        <w:t>(</w:t>
      </w:r>
      <w:r>
        <w:t>PWID</w:t>
      </w:r>
      <w:r w:rsidR="06A75519">
        <w:t>)</w:t>
      </w:r>
      <w:r>
        <w:t xml:space="preserve"> who were experiencing or had experienced recent homelessness. Following a focused </w:t>
      </w:r>
      <w:r>
        <w:lastRenderedPageBreak/>
        <w:t xml:space="preserve">public health response, the number of HIV infection diagnoses attributed to IDU decreased by 54% to 38 </w:t>
      </w:r>
      <w:r w:rsidR="1E9B85A1">
        <w:t xml:space="preserve">cases </w:t>
      </w:r>
      <w:r>
        <w:t xml:space="preserve">in 2023. </w:t>
      </w:r>
    </w:p>
    <w:p w14:paraId="3161E185" w14:textId="38306283" w:rsidR="00AA0382" w:rsidRDefault="32629D95" w:rsidP="00272044">
      <w:pPr>
        <w:pStyle w:val="ListParagraph"/>
        <w:numPr>
          <w:ilvl w:val="0"/>
          <w:numId w:val="3"/>
        </w:numPr>
        <w:spacing w:after="160"/>
        <w:contextualSpacing w:val="0"/>
        <w:rPr>
          <w:i/>
          <w:iCs/>
        </w:rPr>
      </w:pPr>
      <w:r w:rsidRPr="00F446E3">
        <w:t>As of July 1, 2024, a total of 213 cases diagnosed since November 2018 have been investigated and identified as part of the Boston cluster. As it is an active cluster of concern</w:t>
      </w:r>
      <w:r w:rsidR="66B7100B" w:rsidRPr="00F446E3">
        <w:t xml:space="preserve"> among </w:t>
      </w:r>
      <w:r w:rsidR="177D1048">
        <w:t>PWID</w:t>
      </w:r>
      <w:r w:rsidRPr="00F446E3">
        <w:t xml:space="preserve">, additional cases will continue to be investigated and added. </w:t>
      </w:r>
      <w:r w:rsidR="10BC1E99">
        <w:t>Continuing</w:t>
      </w:r>
      <w:r w:rsidRPr="00F446E3">
        <w:t xml:space="preserve"> trends among those newly diagnosed in the Boston cluster (N=15 cases diagnosed in 2023) include an increase in polysubstance and methamphetamine use</w:t>
      </w:r>
      <w:r w:rsidR="200990F3" w:rsidRPr="7D910954">
        <w:rPr>
          <w:i/>
          <w:iCs/>
        </w:rPr>
        <w:t>.</w:t>
      </w:r>
      <w:r w:rsidR="005A5442" w:rsidRPr="00F446E3">
        <w:rPr>
          <w:rStyle w:val="FootnoteReference"/>
        </w:rPr>
        <w:footnoteReference w:id="8"/>
      </w:r>
    </w:p>
    <w:p w14:paraId="35C33124" w14:textId="77777777" w:rsidR="005438E9" w:rsidRPr="00F446E3" w:rsidRDefault="005438E9" w:rsidP="00272044">
      <w:pPr>
        <w:spacing w:after="160"/>
        <w:rPr>
          <w:szCs w:val="24"/>
        </w:rPr>
      </w:pPr>
      <w:r w:rsidRPr="00F446E3">
        <w:rPr>
          <w:b/>
          <w:bCs/>
          <w:i/>
          <w:iCs/>
          <w:szCs w:val="24"/>
        </w:rPr>
        <w:t>Hepatitis A, B, and C:</w:t>
      </w:r>
    </w:p>
    <w:p w14:paraId="1C40FBBC" w14:textId="674B989C" w:rsidR="005438E9" w:rsidRPr="00F446E3" w:rsidRDefault="7BA5E64A" w:rsidP="3405EFDC">
      <w:pPr>
        <w:numPr>
          <w:ilvl w:val="0"/>
          <w:numId w:val="3"/>
        </w:numPr>
        <w:spacing w:after="120"/>
      </w:pPr>
      <w:r w:rsidRPr="00F446E3">
        <w:t>Between 20</w:t>
      </w:r>
      <w:r w:rsidR="009F7B63">
        <w:t>18</w:t>
      </w:r>
      <w:r w:rsidRPr="00F446E3">
        <w:t xml:space="preserve"> and 2020,</w:t>
      </w:r>
      <w:r w:rsidR="00F7494C" w:rsidRPr="00F446E3">
        <w:rPr>
          <w:rStyle w:val="FootnoteReference"/>
        </w:rPr>
        <w:footnoteReference w:id="9"/>
      </w:r>
      <w:r w:rsidR="00F7494C" w:rsidRPr="00F446E3">
        <w:t xml:space="preserve"> </w:t>
      </w:r>
      <w:r w:rsidR="00F446E3" w:rsidRPr="00F446E3">
        <w:t>DPH and local health departments investigated an outbreak of hepatitis A. The populations most affected by the outbreak were those with recent homelessness or unstable housing, and/or substance use disorder. The outbreak was declared over in spring of 2020 and case counts among the affected populations remained low through 2022. However, a small outbreak affecting these same populations was detected in the fall of 2023, prompting additional vaccination efforts</w:t>
      </w:r>
      <w:r w:rsidRPr="00F446E3">
        <w:t>.</w:t>
      </w:r>
      <w:r w:rsidR="00AD68B8" w:rsidRPr="00F446E3">
        <w:t xml:space="preserve"> </w:t>
      </w:r>
    </w:p>
    <w:p w14:paraId="68EB88AD" w14:textId="04D995D0" w:rsidR="00F7494C" w:rsidRPr="00F446E3" w:rsidRDefault="00F446E3" w:rsidP="00F7494C">
      <w:pPr>
        <w:numPr>
          <w:ilvl w:val="0"/>
          <w:numId w:val="3"/>
        </w:numPr>
        <w:spacing w:after="120"/>
      </w:pPr>
      <w:r w:rsidRPr="00F446E3">
        <w:t>From 2014 to 2023, an average of 1,733 cases of confirmed and probable chronic hepatitis B virus (HBV) infection were reported each year (with a low of 1,172 in 2020 and a high of 1,994 in 2017). Changes in testing behaviors and travel due to the COVID-19 pandemic likely influenced the number of reported cases and may have contributed to the decrease in 2020, followed by the rebound from 2021 to 2023</w:t>
      </w:r>
      <w:r w:rsidR="00F7494C" w:rsidRPr="00F446E3">
        <w:t>.</w:t>
      </w:r>
    </w:p>
    <w:p w14:paraId="2EE7538E" w14:textId="6EB7B54A" w:rsidR="00F7494C" w:rsidRPr="00F446E3" w:rsidRDefault="00F446E3" w:rsidP="00F7494C">
      <w:pPr>
        <w:numPr>
          <w:ilvl w:val="0"/>
          <w:numId w:val="3"/>
        </w:numPr>
        <w:spacing w:after="120"/>
      </w:pPr>
      <w:r w:rsidRPr="00F446E3">
        <w:t>The total number of confirmed acute HBV cases reported decreased from 53 cases in 2017 to 14 cases in 2021 and subsequently increased to 36 cases in 2023</w:t>
      </w:r>
      <w:r w:rsidR="00F7494C" w:rsidRPr="00F446E3">
        <w:t>.</w:t>
      </w:r>
    </w:p>
    <w:p w14:paraId="7B7D27FA" w14:textId="53066749" w:rsidR="00F7494C" w:rsidRPr="00F446E3" w:rsidRDefault="00F446E3" w:rsidP="00F7494C">
      <w:pPr>
        <w:numPr>
          <w:ilvl w:val="0"/>
          <w:numId w:val="3"/>
        </w:numPr>
        <w:spacing w:after="120"/>
      </w:pPr>
      <w:r w:rsidRPr="00F446E3">
        <w:t xml:space="preserve">In 2023, 2,580 confirmed and probable cases of </w:t>
      </w:r>
      <w:r w:rsidR="008203AA">
        <w:t>hepatitis C</w:t>
      </w:r>
      <w:r w:rsidRPr="00F446E3">
        <w:t xml:space="preserve"> (HCV) were reported. Most reported cases are chronically infected and DPH currently estimates that there are over 250,000 persons living with HCV infection in Massachusetts</w:t>
      </w:r>
      <w:r w:rsidR="00F7494C" w:rsidRPr="00F446E3">
        <w:t>.</w:t>
      </w:r>
    </w:p>
    <w:p w14:paraId="0B73A745" w14:textId="68CE0909" w:rsidR="00F7494C" w:rsidRPr="00F446E3" w:rsidRDefault="00BC7657" w:rsidP="00F7494C">
      <w:pPr>
        <w:numPr>
          <w:ilvl w:val="0"/>
          <w:numId w:val="3"/>
        </w:numPr>
        <w:spacing w:after="120"/>
      </w:pPr>
      <w:r w:rsidRPr="00F446E3">
        <w:t xml:space="preserve">The </w:t>
      </w:r>
      <w:r w:rsidR="004E75C6" w:rsidRPr="00F446E3">
        <w:t>majority of HCV cases reported in 202</w:t>
      </w:r>
      <w:r w:rsidR="00F446E3" w:rsidRPr="00F446E3">
        <w:t>3</w:t>
      </w:r>
      <w:r w:rsidR="004E75C6" w:rsidRPr="00F446E3">
        <w:t xml:space="preserve"> were among</w:t>
      </w:r>
      <w:r w:rsidR="00F7494C" w:rsidRPr="00F446E3">
        <w:t xml:space="preserve"> young adults (age 20–</w:t>
      </w:r>
      <w:r w:rsidR="009947A6" w:rsidRPr="00F446E3">
        <w:t>3</w:t>
      </w:r>
      <w:r w:rsidR="00F7494C" w:rsidRPr="00F446E3">
        <w:t>9 years), reflecting ongoing transmission among young people who inject drugs.</w:t>
      </w:r>
    </w:p>
    <w:p w14:paraId="4331D579" w14:textId="6CC6CECC" w:rsidR="00CA0176" w:rsidRPr="00234D05" w:rsidRDefault="00CA0176" w:rsidP="00DA05FE">
      <w:pPr>
        <w:spacing w:after="120"/>
        <w:ind w:left="360"/>
        <w:rPr>
          <w:color w:val="FF0000"/>
          <w:szCs w:val="24"/>
        </w:rPr>
      </w:pPr>
      <w:r w:rsidRPr="00234D05">
        <w:rPr>
          <w:color w:val="FF0000"/>
          <w:szCs w:val="24"/>
        </w:rPr>
        <w:br w:type="page"/>
      </w:r>
    </w:p>
    <w:p w14:paraId="11EFC394" w14:textId="77777777" w:rsidR="00B4275E" w:rsidRPr="00F446E3" w:rsidRDefault="000B438F" w:rsidP="38A4F72D">
      <w:pPr>
        <w:pStyle w:val="Heading1"/>
        <w:rPr>
          <w:b w:val="0"/>
        </w:rPr>
      </w:pPr>
      <w:bookmarkStart w:id="2" w:name="_Toc15495676"/>
      <w:r>
        <w:lastRenderedPageBreak/>
        <w:t>CHLAMYDIA</w:t>
      </w:r>
      <w:bookmarkEnd w:id="2"/>
      <w:r>
        <w:t xml:space="preserve"> </w:t>
      </w:r>
    </w:p>
    <w:p w14:paraId="5F5CE6BB" w14:textId="7567D127" w:rsidR="003F2176" w:rsidRPr="00F446E3" w:rsidRDefault="00B4275E" w:rsidP="0048788D">
      <w:pPr>
        <w:pStyle w:val="Heading2"/>
      </w:pPr>
      <w:bookmarkStart w:id="3" w:name="_Toc967236646"/>
      <w:r>
        <w:t xml:space="preserve">CHLAMYDIA </w:t>
      </w:r>
      <w:r w:rsidR="000B438F">
        <w:t>BY GENDER</w:t>
      </w:r>
      <w:bookmarkEnd w:id="3"/>
    </w:p>
    <w:p w14:paraId="0DDE8EA5" w14:textId="10ED7131" w:rsidR="00171016" w:rsidRPr="00234D05" w:rsidRDefault="00171016" w:rsidP="00171016">
      <w:pPr>
        <w:rPr>
          <w:color w:val="FF0000"/>
        </w:rPr>
      </w:pPr>
      <w:r w:rsidRPr="00F446E3">
        <w:t xml:space="preserve">Chlamydia is the </w:t>
      </w:r>
      <w:r w:rsidR="21177FFF" w:rsidRPr="00F446E3">
        <w:t xml:space="preserve">most </w:t>
      </w:r>
      <w:r w:rsidR="003E3F32">
        <w:t>frequently</w:t>
      </w:r>
      <w:r w:rsidR="21177FFF" w:rsidRPr="00F446E3">
        <w:t xml:space="preserve"> reported</w:t>
      </w:r>
      <w:r w:rsidRPr="00F446E3">
        <w:t xml:space="preserve"> </w:t>
      </w:r>
      <w:r w:rsidR="00E21ABB" w:rsidRPr="00F446E3">
        <w:t>sexually transmitted infection</w:t>
      </w:r>
      <w:r w:rsidRPr="00F446E3">
        <w:t xml:space="preserve"> </w:t>
      </w:r>
      <w:r w:rsidR="002F142C">
        <w:t xml:space="preserve">(STI) </w:t>
      </w:r>
      <w:r w:rsidRPr="00F446E3">
        <w:t xml:space="preserve">in Massachusetts and nationally. Chlamydia is a </w:t>
      </w:r>
      <w:r w:rsidR="002F142C" w:rsidRPr="00F446E3">
        <w:t>sexually transmitted bacterial</w:t>
      </w:r>
      <w:r w:rsidRPr="00F446E3">
        <w:t xml:space="preserve"> infection that can be spread through vaginal, anal, or oral sexual contact with an infected partner</w:t>
      </w:r>
      <w:r w:rsidR="00654CD3">
        <w:t>,</w:t>
      </w:r>
      <w:r w:rsidRPr="00F446E3">
        <w:t xml:space="preserve"> and from </w:t>
      </w:r>
      <w:r w:rsidR="00654CD3">
        <w:t xml:space="preserve">a </w:t>
      </w:r>
      <w:r w:rsidRPr="00F446E3">
        <w:t>pregnant person to child during birth. While most people with chlamydia usually have no signs or symptoms, some may experience dysuria; vaginal, penile, or anal discharge; or irregular bleeding. Chlamydia is easily treated, but repeated infections are common. Women are at great risk of complications of repeated infections. For more information, see</w:t>
      </w:r>
      <w:r w:rsidRPr="00F446E3">
        <w:rPr>
          <w:u w:val="single"/>
        </w:rPr>
        <w:t xml:space="preserve"> </w:t>
      </w:r>
      <w:hyperlink r:id="rId21">
        <w:r w:rsidRPr="00F446E3">
          <w:rPr>
            <w:rStyle w:val="Hyperlink"/>
            <w:color w:val="3333FF"/>
          </w:rPr>
          <w:t>https://www.cdc.gov/std/chlamydia/stdfact-chlamydia-detailed.htm</w:t>
        </w:r>
      </w:hyperlink>
      <w:r w:rsidRPr="00F446E3">
        <w:rPr>
          <w:color w:val="3333FF"/>
        </w:rPr>
        <w:t>.</w:t>
      </w:r>
    </w:p>
    <w:p w14:paraId="241ABD0B" w14:textId="77777777" w:rsidR="00171016" w:rsidRPr="00234D05" w:rsidRDefault="00171016" w:rsidP="00351B81">
      <w:pPr>
        <w:rPr>
          <w:b/>
          <w:bCs/>
          <w:color w:val="FF0000"/>
          <w:szCs w:val="24"/>
        </w:rPr>
      </w:pPr>
    </w:p>
    <w:p w14:paraId="75C26234" w14:textId="757783D8" w:rsidR="00351B81" w:rsidRPr="00F446E3" w:rsidRDefault="00351B81" w:rsidP="00351B81">
      <w:r w:rsidRPr="06A3C928">
        <w:rPr>
          <w:b/>
          <w:bCs/>
        </w:rPr>
        <w:t xml:space="preserve">Figure 1. </w:t>
      </w:r>
      <w:r>
        <w:t xml:space="preserve">Number of confirmed chlamydia cases reported by gender, Massachusetts </w:t>
      </w:r>
      <w:r w:rsidR="00F446E3">
        <w:t>2014–2023</w:t>
      </w:r>
    </w:p>
    <w:p w14:paraId="7B2541F9" w14:textId="05EA1A23" w:rsidR="3CD0E76B" w:rsidRDefault="3CD0E76B" w:rsidP="7885C565">
      <w:pPr>
        <w:spacing w:after="120"/>
      </w:pPr>
    </w:p>
    <w:p w14:paraId="62A08CD2" w14:textId="0407F936" w:rsidR="7885C565" w:rsidRDefault="5015614C" w:rsidP="7885C565">
      <w:pPr>
        <w:spacing w:after="120"/>
      </w:pPr>
      <w:r>
        <w:rPr>
          <w:noProof/>
        </w:rPr>
        <w:drawing>
          <wp:inline distT="0" distB="0" distL="0" distR="0" wp14:anchorId="0CB78901" wp14:editId="05641971">
            <wp:extent cx="6078241" cy="4462659"/>
            <wp:effectExtent l="0" t="0" r="0" b="0"/>
            <wp:docPr id="899986244" name="Picture 899986244" descr="The figure is a trendline graph displaying the annual number of chlamydia cases for four groups (male gender, female gender, transgender/non-binary, and Statewide total)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86244" name="Picture 899986244" descr="The figure is a trendline graph displaying the annual number of chlamydia cases for four groups (male gender, female gender, transgender/non-binary, and Statewide total) for each year of the ten-year period.&#10;"/>
                    <pic:cNvPicPr/>
                  </pic:nvPicPr>
                  <pic:blipFill>
                    <a:blip r:embed="rId22">
                      <a:extLst>
                        <a:ext uri="{28A0092B-C50C-407E-A947-70E740481C1C}">
                          <a14:useLocalDpi xmlns:a14="http://schemas.microsoft.com/office/drawing/2010/main" val="0"/>
                        </a:ext>
                      </a:extLst>
                    </a:blip>
                    <a:stretch>
                      <a:fillRect/>
                    </a:stretch>
                  </pic:blipFill>
                  <pic:spPr>
                    <a:xfrm>
                      <a:off x="0" y="0"/>
                      <a:ext cx="6078241" cy="4462659"/>
                    </a:xfrm>
                    <a:prstGeom prst="rect">
                      <a:avLst/>
                    </a:prstGeom>
                  </pic:spPr>
                </pic:pic>
              </a:graphicData>
            </a:graphic>
          </wp:inline>
        </w:drawing>
      </w:r>
    </w:p>
    <w:p w14:paraId="25B35BCB" w14:textId="3762BA56" w:rsidR="00FF5953" w:rsidRPr="009F7C6D" w:rsidRDefault="00FF5953" w:rsidP="00FF5953">
      <w:pPr>
        <w:spacing w:after="120"/>
        <w:rPr>
          <w:sz w:val="20"/>
          <w:szCs w:val="20"/>
        </w:rPr>
      </w:pPr>
      <w:r w:rsidRPr="009F7C6D">
        <w:rPr>
          <w:sz w:val="20"/>
          <w:szCs w:val="20"/>
        </w:rPr>
        <w:t>Note: Cases with no gender reported (</w:t>
      </w:r>
      <w:r w:rsidR="00F446E3" w:rsidRPr="009F7C6D">
        <w:rPr>
          <w:sz w:val="20"/>
          <w:szCs w:val="20"/>
        </w:rPr>
        <w:t>2014–2023</w:t>
      </w:r>
      <w:r w:rsidRPr="009F7C6D">
        <w:rPr>
          <w:sz w:val="20"/>
          <w:szCs w:val="20"/>
        </w:rPr>
        <w:t>: N=42</w:t>
      </w:r>
      <w:r w:rsidR="00A307C2" w:rsidRPr="009F7C6D">
        <w:rPr>
          <w:sz w:val="20"/>
          <w:szCs w:val="20"/>
        </w:rPr>
        <w:t>3</w:t>
      </w:r>
      <w:r w:rsidRPr="009F7C6D">
        <w:rPr>
          <w:sz w:val="20"/>
          <w:szCs w:val="20"/>
        </w:rPr>
        <w:t xml:space="preserve">) are included in the statewide total but are not depicted in Figure 1 separately due to small numbers. </w:t>
      </w:r>
    </w:p>
    <w:p w14:paraId="6CD537A9" w14:textId="0FA54C20" w:rsidR="00FF5953" w:rsidRPr="009F7C6D" w:rsidRDefault="00FF5953" w:rsidP="00FF5953">
      <w:pPr>
        <w:spacing w:after="120"/>
        <w:rPr>
          <w:sz w:val="20"/>
          <w:szCs w:val="20"/>
        </w:rPr>
      </w:pPr>
      <w:r w:rsidRPr="009F7C6D">
        <w:rPr>
          <w:sz w:val="20"/>
          <w:szCs w:val="20"/>
        </w:rPr>
        <w:t xml:space="preserve">Data Source: Bureau of Infectious Disease and Laboratory Sciences, data are </w:t>
      </w:r>
      <w:r w:rsidR="009F7C6D" w:rsidRPr="009F7C6D">
        <w:rPr>
          <w:sz w:val="20"/>
          <w:szCs w:val="20"/>
        </w:rPr>
        <w:t>current as of 7/22/2024</w:t>
      </w:r>
      <w:r w:rsidRPr="009F7C6D">
        <w:rPr>
          <w:sz w:val="20"/>
          <w:szCs w:val="20"/>
        </w:rPr>
        <w:t xml:space="preserve"> and subject to change.</w:t>
      </w:r>
    </w:p>
    <w:p w14:paraId="692B8657" w14:textId="0429A37D" w:rsidR="00FF5953" w:rsidRPr="009F7C6D" w:rsidRDefault="00FF5953" w:rsidP="0048788D">
      <w:pPr>
        <w:spacing w:after="120"/>
        <w:rPr>
          <w:szCs w:val="24"/>
        </w:rPr>
      </w:pPr>
      <w:r w:rsidRPr="009F7C6D">
        <w:rPr>
          <w:szCs w:val="24"/>
        </w:rPr>
        <w:br w:type="page"/>
      </w:r>
    </w:p>
    <w:p w14:paraId="225D7C6A" w14:textId="7F937631" w:rsidR="00FB12BF" w:rsidRPr="006337C3" w:rsidRDefault="009F7C6D" w:rsidP="06A3C928">
      <w:pPr>
        <w:numPr>
          <w:ilvl w:val="0"/>
          <w:numId w:val="4"/>
        </w:numPr>
        <w:spacing w:after="120"/>
        <w:rPr>
          <w:strike/>
        </w:rPr>
      </w:pPr>
      <w:r w:rsidRPr="009F7C6D">
        <w:lastRenderedPageBreak/>
        <w:t>The total number of</w:t>
      </w:r>
      <w:r w:rsidR="00E9323A">
        <w:t xml:space="preserve"> confirmed</w:t>
      </w:r>
      <w:r w:rsidRPr="009F7C6D">
        <w:t xml:space="preserve"> chlamydia cases increased by 31% from 24,143 in 2014 to 31,633 in 2019, decreased to 24,701 in 2020, and then increased to 28,910 in 2023</w:t>
      </w:r>
      <w:r w:rsidR="7DF2B084" w:rsidRPr="009F7C6D">
        <w:t>.</w:t>
      </w:r>
      <w:r w:rsidR="00FB12BF" w:rsidRPr="009F7C6D">
        <w:rPr>
          <w:rStyle w:val="FootnoteReference"/>
        </w:rPr>
        <w:footnoteReference w:id="10"/>
      </w:r>
      <w:r w:rsidR="7DF2B084" w:rsidRPr="009F7C6D">
        <w:t xml:space="preserve"> A decrease in chlamydia cases in 2020, followed by an increase in 2021</w:t>
      </w:r>
      <w:r w:rsidR="00BB7979" w:rsidRPr="009F7C6D">
        <w:t xml:space="preserve"> </w:t>
      </w:r>
      <w:r w:rsidR="7DF2B084" w:rsidRPr="009F7C6D">
        <w:t>was also observed nationally.</w:t>
      </w:r>
      <w:r w:rsidR="00FB12BF" w:rsidRPr="009F7C6D">
        <w:rPr>
          <w:rStyle w:val="FootnoteReference"/>
        </w:rPr>
        <w:footnoteReference w:id="11"/>
      </w:r>
      <w:r w:rsidR="7DF2B084" w:rsidRPr="009F7C6D">
        <w:t xml:space="preserve"> </w:t>
      </w:r>
    </w:p>
    <w:p w14:paraId="26EA07C6" w14:textId="11D808EF" w:rsidR="0099245F" w:rsidRPr="009F7C6D" w:rsidRDefault="009F7C6D" w:rsidP="00353EEC">
      <w:pPr>
        <w:numPr>
          <w:ilvl w:val="0"/>
          <w:numId w:val="4"/>
        </w:numPr>
        <w:spacing w:after="120"/>
      </w:pPr>
      <w:r w:rsidRPr="009F7C6D">
        <w:t xml:space="preserve">Each year from 2014 to 2023, approximately twice as many </w:t>
      </w:r>
      <w:r w:rsidR="00EE730D">
        <w:t xml:space="preserve">confirmed </w:t>
      </w:r>
      <w:r w:rsidRPr="009F7C6D">
        <w:t>chlamydia cases were reported among females as among males. In 2023, the ratio of female-to-male chlamydia cases was 1.6 (1.6 = 17,630/11,187)</w:t>
      </w:r>
      <w:r w:rsidR="0099245F" w:rsidRPr="009F7C6D">
        <w:t xml:space="preserve">. </w:t>
      </w:r>
    </w:p>
    <w:p w14:paraId="712C164A" w14:textId="393DE7A5" w:rsidR="00B4275E" w:rsidRPr="009F7C6D" w:rsidRDefault="009F7C6D" w:rsidP="00351B81">
      <w:pPr>
        <w:numPr>
          <w:ilvl w:val="0"/>
          <w:numId w:val="4"/>
        </w:numPr>
        <w:spacing w:after="120"/>
      </w:pPr>
      <w:r>
        <w:t xml:space="preserve">In 2023, 72 </w:t>
      </w:r>
      <w:r w:rsidR="00EE730D">
        <w:t xml:space="preserve">confirmed </w:t>
      </w:r>
      <w:r>
        <w:t>chlamydia cases were reported among individuals of transgender experience and/or individuals who are nonbinary.</w:t>
      </w:r>
      <w:r w:rsidRPr="09316747">
        <w:rPr>
          <w:rStyle w:val="FootnoteReference"/>
        </w:rPr>
        <w:footnoteReference w:id="12"/>
      </w:r>
      <w:r>
        <w:t xml:space="preserve"> </w:t>
      </w:r>
      <w:r>
        <w:br w:type="page"/>
      </w:r>
    </w:p>
    <w:p w14:paraId="0C00266F" w14:textId="5F0396A6" w:rsidR="00E966E3" w:rsidRPr="006151F8" w:rsidRDefault="00905ED7" w:rsidP="00905ED7">
      <w:pPr>
        <w:pStyle w:val="Heading2"/>
      </w:pPr>
      <w:bookmarkStart w:id="4" w:name="_Toc2118416913"/>
      <w:r>
        <w:lastRenderedPageBreak/>
        <w:t>CHLAMYDIA BY AGE</w:t>
      </w:r>
      <w:bookmarkEnd w:id="4"/>
    </w:p>
    <w:p w14:paraId="2D4E1824" w14:textId="0A93952B" w:rsidR="00905ED7" w:rsidRPr="006151F8" w:rsidRDefault="00905ED7" w:rsidP="00905ED7">
      <w:pPr>
        <w:rPr>
          <w:szCs w:val="24"/>
        </w:rPr>
      </w:pPr>
      <w:r w:rsidRPr="006151F8">
        <w:rPr>
          <w:b/>
          <w:bCs/>
          <w:szCs w:val="24"/>
        </w:rPr>
        <w:t xml:space="preserve">Figure 2. </w:t>
      </w:r>
      <w:r w:rsidRPr="006151F8">
        <w:rPr>
          <w:szCs w:val="24"/>
        </w:rPr>
        <w:t xml:space="preserve">Number of confirmed chlamydia cases reported by age group (years), Massachusetts </w:t>
      </w:r>
      <w:r w:rsidR="00F446E3" w:rsidRPr="006151F8">
        <w:rPr>
          <w:szCs w:val="24"/>
        </w:rPr>
        <w:t>2014–2023</w:t>
      </w:r>
    </w:p>
    <w:p w14:paraId="0E8B53A8" w14:textId="51EB9FCA" w:rsidR="00E966E3" w:rsidRPr="00234D05" w:rsidRDefault="00EA7E9B" w:rsidP="00351B81">
      <w:pPr>
        <w:rPr>
          <w:color w:val="FF0000"/>
          <w:szCs w:val="24"/>
        </w:rPr>
      </w:pPr>
      <w:r>
        <w:rPr>
          <w:noProof/>
          <w:color w:val="FF0000"/>
          <w:szCs w:val="24"/>
        </w:rPr>
        <w:drawing>
          <wp:inline distT="0" distB="0" distL="0" distR="0" wp14:anchorId="65FD1338" wp14:editId="20487881">
            <wp:extent cx="6279515" cy="4901565"/>
            <wp:effectExtent l="0" t="0" r="0" b="0"/>
            <wp:docPr id="1713285166" name="Picture 1" descr="The figure is a stacked bar chart displaying the annual number of chlamydia cases for seven age groups (&lt;15, 15-19, 20-24, 25-29, 30-39, 40-49, and 50+)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85166" name="Picture 1" descr="The figure is a stacked bar chart displaying the annual number of chlamydia cases for seven age groups (&lt;15, 15-19, 20-24, 25-29, 30-39, 40-49, and 50+) for each year of the ten-year period.&#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9515" cy="4901565"/>
                    </a:xfrm>
                    <a:prstGeom prst="rect">
                      <a:avLst/>
                    </a:prstGeom>
                    <a:noFill/>
                  </pic:spPr>
                </pic:pic>
              </a:graphicData>
            </a:graphic>
          </wp:inline>
        </w:drawing>
      </w:r>
    </w:p>
    <w:p w14:paraId="51815A46" w14:textId="1EFA75F6" w:rsidR="00A25951" w:rsidRPr="006151F8" w:rsidRDefault="00A25951" w:rsidP="00A25951">
      <w:pPr>
        <w:rPr>
          <w:sz w:val="20"/>
          <w:szCs w:val="20"/>
        </w:rPr>
      </w:pPr>
      <w:r w:rsidRPr="006151F8">
        <w:rPr>
          <w:sz w:val="20"/>
          <w:szCs w:val="20"/>
        </w:rPr>
        <w:t>Note: Cases with no age reported (</w:t>
      </w:r>
      <w:r w:rsidR="00F446E3" w:rsidRPr="006151F8">
        <w:rPr>
          <w:sz w:val="20"/>
          <w:szCs w:val="20"/>
        </w:rPr>
        <w:t>2014–2023</w:t>
      </w:r>
      <w:r w:rsidRPr="006151F8">
        <w:rPr>
          <w:sz w:val="20"/>
          <w:szCs w:val="20"/>
        </w:rPr>
        <w:t>: N=</w:t>
      </w:r>
      <w:r w:rsidR="006151F8" w:rsidRPr="006151F8">
        <w:rPr>
          <w:sz w:val="20"/>
          <w:szCs w:val="20"/>
        </w:rPr>
        <w:t>90</w:t>
      </w:r>
      <w:r w:rsidRPr="006151F8">
        <w:rPr>
          <w:sz w:val="20"/>
          <w:szCs w:val="20"/>
        </w:rPr>
        <w:t>) are not included in this figure</w:t>
      </w:r>
    </w:p>
    <w:p w14:paraId="4F09B2A7" w14:textId="10443972" w:rsidR="00E966E3" w:rsidRPr="006151F8" w:rsidRDefault="00A25951" w:rsidP="00A25951">
      <w:pPr>
        <w:rPr>
          <w:sz w:val="20"/>
          <w:szCs w:val="20"/>
        </w:rPr>
      </w:pPr>
      <w:r w:rsidRPr="006151F8">
        <w:rPr>
          <w:sz w:val="20"/>
          <w:szCs w:val="20"/>
        </w:rPr>
        <w:t xml:space="preserve">Data Source: Bureau of Infectious Disease and Laboratory Sciences, data are </w:t>
      </w:r>
      <w:r w:rsidR="009F7C6D" w:rsidRPr="006151F8">
        <w:rPr>
          <w:sz w:val="20"/>
          <w:szCs w:val="20"/>
        </w:rPr>
        <w:t>current as of 7/22/2024</w:t>
      </w:r>
      <w:r w:rsidRPr="006151F8">
        <w:rPr>
          <w:sz w:val="20"/>
          <w:szCs w:val="20"/>
        </w:rPr>
        <w:t xml:space="preserve"> and subject to change</w:t>
      </w:r>
      <w:r w:rsidR="0000348A" w:rsidRPr="006151F8">
        <w:rPr>
          <w:sz w:val="20"/>
          <w:szCs w:val="20"/>
        </w:rPr>
        <w:t>.</w:t>
      </w:r>
    </w:p>
    <w:p w14:paraId="1C742B8A" w14:textId="1F0C253C" w:rsidR="00E966E3" w:rsidRPr="00234D05" w:rsidRDefault="00E966E3" w:rsidP="00351B81">
      <w:pPr>
        <w:rPr>
          <w:color w:val="FF0000"/>
          <w:szCs w:val="24"/>
        </w:rPr>
      </w:pPr>
    </w:p>
    <w:p w14:paraId="66602DA0" w14:textId="016D53C9" w:rsidR="0000348A" w:rsidRPr="00820C08" w:rsidRDefault="00820C08" w:rsidP="06A3C928">
      <w:pPr>
        <w:pStyle w:val="spaced6"/>
      </w:pPr>
      <w:r w:rsidRPr="00820C08">
        <w:t xml:space="preserve">Each year from 2014 to 2023, the greatest number of </w:t>
      </w:r>
      <w:r w:rsidR="0042019A">
        <w:t xml:space="preserve">confirmed </w:t>
      </w:r>
      <w:r w:rsidRPr="00820C08">
        <w:t xml:space="preserve">chlamydia cases was reported among 20–24 year-olds, followed by 15–19 year-olds. In each of these years over half (56% to 63%) of </w:t>
      </w:r>
      <w:r w:rsidR="0042019A">
        <w:t xml:space="preserve">confirmed </w:t>
      </w:r>
      <w:r w:rsidRPr="06A3C928">
        <w:t>chlamydia cases were reported among individuals in these age groups</w:t>
      </w:r>
      <w:r w:rsidR="00A25951" w:rsidRPr="06A3C928">
        <w:t>.</w:t>
      </w:r>
      <w:r w:rsidR="003D5936" w:rsidRPr="06A3C928">
        <w:rPr>
          <w:rStyle w:val="FootnoteReference"/>
        </w:rPr>
        <w:footnoteReference w:id="13"/>
      </w:r>
      <w:r w:rsidR="3138C36C" w:rsidRPr="06A3C928">
        <w:t xml:space="preserve"> </w:t>
      </w:r>
    </w:p>
    <w:p w14:paraId="3C2BD590" w14:textId="7A41FB63" w:rsidR="003D5936" w:rsidRPr="00234D05" w:rsidRDefault="00820C08" w:rsidP="7885C565">
      <w:pPr>
        <w:pStyle w:val="spaced6"/>
      </w:pPr>
      <w:r w:rsidRPr="06A3C928">
        <w:t xml:space="preserve">From 2014 to 2023, the largest increase in the number of </w:t>
      </w:r>
      <w:r w:rsidR="0042019A">
        <w:t>confirmed</w:t>
      </w:r>
      <w:r w:rsidRPr="06A3C928">
        <w:t xml:space="preserve"> chlamydia cases was among individuals aged 30–39 years (by 75% from 2,824 to 4,949)</w:t>
      </w:r>
      <w:r w:rsidR="451072E0" w:rsidRPr="06A3C928">
        <w:t>.</w:t>
      </w:r>
      <w:r>
        <w:t xml:space="preserve"> </w:t>
      </w:r>
    </w:p>
    <w:p w14:paraId="5AA8D04C" w14:textId="14145BA0" w:rsidR="003D5936" w:rsidRPr="00234D05" w:rsidRDefault="00820C08" w:rsidP="7885C565">
      <w:r w:rsidRPr="7885C565">
        <w:br w:type="page"/>
      </w:r>
    </w:p>
    <w:p w14:paraId="2FFD3CE0" w14:textId="25150553" w:rsidR="003D5936" w:rsidRPr="00234D05" w:rsidRDefault="003D5936" w:rsidP="006337C3">
      <w:pPr>
        <w:pStyle w:val="spaced6"/>
        <w:numPr>
          <w:ilvl w:val="0"/>
          <w:numId w:val="0"/>
        </w:numPr>
        <w:rPr>
          <w:color w:val="FF0000"/>
        </w:rPr>
      </w:pPr>
    </w:p>
    <w:p w14:paraId="5A3626A5" w14:textId="5496BB02" w:rsidR="0000348A" w:rsidRPr="00820C08" w:rsidRDefault="003D5936" w:rsidP="38A4F72D">
      <w:pPr>
        <w:pStyle w:val="Heading2"/>
      </w:pPr>
      <w:bookmarkStart w:id="5" w:name="_Toc1621656580"/>
      <w:r>
        <w:t>CHLAMYDIA BY AVERAGE AGE AND GENDER</w:t>
      </w:r>
      <w:bookmarkEnd w:id="5"/>
    </w:p>
    <w:p w14:paraId="3C0764B1" w14:textId="670430A9" w:rsidR="006B419D" w:rsidRPr="00820C08" w:rsidRDefault="03E3F3A8" w:rsidP="76F421E0">
      <w:pPr>
        <w:spacing w:after="120"/>
        <w:rPr>
          <w:rFonts w:ascii="Calibri" w:eastAsia="Calibri" w:hAnsi="Calibri" w:cs="Calibri"/>
          <w:vertAlign w:val="superscript"/>
        </w:rPr>
      </w:pPr>
      <w:r w:rsidRPr="00820C08">
        <w:rPr>
          <w:rFonts w:ascii="Calibri" w:eastAsia="Calibri" w:hAnsi="Calibri" w:cs="Calibri"/>
        </w:rPr>
        <w:t xml:space="preserve">In 2021, the United States Preventive Services Task Force and the CDC recommended screening for chlamydia in sexually active women </w:t>
      </w:r>
      <w:r w:rsidR="00C50B2F" w:rsidRPr="00820C08">
        <w:rPr>
          <w:rFonts w:ascii="Calibri" w:eastAsia="Calibri" w:hAnsi="Calibri" w:cs="Calibri"/>
        </w:rPr>
        <w:t>under 25 years of age</w:t>
      </w:r>
      <w:r w:rsidRPr="00820C08">
        <w:rPr>
          <w:rFonts w:ascii="Calibri" w:eastAsia="Calibri" w:hAnsi="Calibri" w:cs="Calibri"/>
        </w:rPr>
        <w:t>, and in older women at increased risk for infection.</w:t>
      </w:r>
      <w:r w:rsidR="00F73920" w:rsidRPr="4FF466DC">
        <w:rPr>
          <w:rStyle w:val="FootnoteReference"/>
          <w:rFonts w:ascii="Calibri" w:eastAsia="Calibri" w:hAnsi="Calibri" w:cs="Calibri"/>
        </w:rPr>
        <w:footnoteReference w:id="14"/>
      </w:r>
      <w:r w:rsidR="0A66CEE3" w:rsidRPr="00820C08">
        <w:rPr>
          <w:rFonts w:ascii="Calibri" w:eastAsia="Calibri" w:hAnsi="Calibri" w:cs="Calibri"/>
        </w:rPr>
        <w:t xml:space="preserve"> </w:t>
      </w:r>
      <w:r w:rsidRPr="00820C08">
        <w:rPr>
          <w:rFonts w:ascii="Calibri" w:eastAsia="Calibri" w:hAnsi="Calibri" w:cs="Calibri"/>
        </w:rPr>
        <w:t xml:space="preserve">Screening of sexually active young men is also recommended in higher prevalence clinical settings such as adolescent clinics, correctional facilities, and </w:t>
      </w:r>
      <w:r w:rsidR="00237F47">
        <w:rPr>
          <w:rFonts w:ascii="Calibri" w:eastAsia="Calibri" w:hAnsi="Calibri" w:cs="Calibri"/>
        </w:rPr>
        <w:t>sexual and reproductive health</w:t>
      </w:r>
      <w:r w:rsidRPr="00820C08">
        <w:rPr>
          <w:rFonts w:ascii="Calibri" w:eastAsia="Calibri" w:hAnsi="Calibri" w:cs="Calibri"/>
        </w:rPr>
        <w:t xml:space="preserve"> clinics, and among men who have sex with men.</w:t>
      </w:r>
      <w:r w:rsidR="00156145" w:rsidRPr="4FF466DC">
        <w:rPr>
          <w:rStyle w:val="FootnoteReference"/>
          <w:rFonts w:ascii="Calibri" w:eastAsia="Calibri" w:hAnsi="Calibri" w:cs="Calibri"/>
        </w:rPr>
        <w:footnoteReference w:id="15"/>
      </w:r>
    </w:p>
    <w:p w14:paraId="3B5C627D" w14:textId="787EA95D" w:rsidR="00401015" w:rsidRPr="00820C08" w:rsidRDefault="40759AA0" w:rsidP="2AF4F12E">
      <w:r w:rsidRPr="06A3C928">
        <w:rPr>
          <w:b/>
          <w:bCs/>
        </w:rPr>
        <w:t xml:space="preserve">Figure 3. </w:t>
      </w:r>
      <w:r>
        <w:t xml:space="preserve">Average age of confirmed chlamydia cases reported by gender, Massachusetts </w:t>
      </w:r>
      <w:r w:rsidR="00F446E3">
        <w:t>2014–2023</w:t>
      </w:r>
    </w:p>
    <w:p w14:paraId="16F47291" w14:textId="6A856895" w:rsidR="006B419D" w:rsidRPr="00234D05" w:rsidRDefault="006B419D" w:rsidP="006B419D">
      <w:pPr>
        <w:rPr>
          <w:color w:val="FF0000"/>
        </w:rPr>
      </w:pPr>
    </w:p>
    <w:p w14:paraId="094196B9" w14:textId="6E2CAAD8" w:rsidR="333314C8" w:rsidRDefault="350F8369" w:rsidP="006337C3">
      <w:pPr>
        <w:pStyle w:val="spaced6"/>
        <w:numPr>
          <w:ilvl w:val="0"/>
          <w:numId w:val="0"/>
        </w:numPr>
      </w:pPr>
      <w:r>
        <w:rPr>
          <w:noProof/>
        </w:rPr>
        <w:drawing>
          <wp:inline distT="0" distB="0" distL="0" distR="0" wp14:anchorId="5C864AE2" wp14:editId="0F334902">
            <wp:extent cx="6400800" cy="3581400"/>
            <wp:effectExtent l="0" t="0" r="0" b="0"/>
            <wp:docPr id="1056461941" name="Picture 1056461941" descr="The figure is a bar chart displaying the trend in the average age of reported chlamydia cases for the ten-year period for male gender, female gender, transgender/non-binary and the statewide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61941" name="Picture 1056461941" descr="The figure is a bar chart displaying the trend in the average age of reported chlamydia cases for the ten-year period for male gender, female gender, transgender/non-binary and the statewide total.&#10;"/>
                    <pic:cNvPicPr/>
                  </pic:nvPicPr>
                  <pic:blipFill>
                    <a:blip r:embed="rId24">
                      <a:extLst>
                        <a:ext uri="{28A0092B-C50C-407E-A947-70E740481C1C}">
                          <a14:useLocalDpi xmlns:a14="http://schemas.microsoft.com/office/drawing/2010/main" val="0"/>
                        </a:ext>
                      </a:extLst>
                    </a:blip>
                    <a:stretch>
                      <a:fillRect/>
                    </a:stretch>
                  </pic:blipFill>
                  <pic:spPr>
                    <a:xfrm>
                      <a:off x="0" y="0"/>
                      <a:ext cx="6400800" cy="3581400"/>
                    </a:xfrm>
                    <a:prstGeom prst="rect">
                      <a:avLst/>
                    </a:prstGeom>
                  </pic:spPr>
                </pic:pic>
              </a:graphicData>
            </a:graphic>
          </wp:inline>
        </w:drawing>
      </w:r>
    </w:p>
    <w:p w14:paraId="70C7092D" w14:textId="042A8F06" w:rsidR="00D33B8C" w:rsidRPr="000D6B39" w:rsidRDefault="000D6B39" w:rsidP="00D33B8C">
      <w:pPr>
        <w:pStyle w:val="spaced6"/>
        <w:numPr>
          <w:ilvl w:val="0"/>
          <w:numId w:val="0"/>
        </w:numPr>
        <w:rPr>
          <w:sz w:val="20"/>
          <w:szCs w:val="20"/>
        </w:rPr>
      </w:pPr>
      <w:r w:rsidRPr="6CD43B22">
        <w:rPr>
          <w:sz w:val="20"/>
          <w:szCs w:val="20"/>
        </w:rPr>
        <w:t xml:space="preserve">Note: Cases with no age reported (2014–2023: N=90) are not included in this analysis and </w:t>
      </w:r>
      <w:r w:rsidR="523CF04B" w:rsidRPr="6CD43B22">
        <w:rPr>
          <w:sz w:val="20"/>
          <w:szCs w:val="20"/>
        </w:rPr>
        <w:t>transgender/nonbinary cases</w:t>
      </w:r>
      <w:r w:rsidR="45036626" w:rsidRPr="6CD43B22">
        <w:rPr>
          <w:sz w:val="20"/>
          <w:szCs w:val="20"/>
        </w:rPr>
        <w:t xml:space="preserve"> are not presented for 2014 because collection of this gender began in 2015.</w:t>
      </w:r>
      <w:r w:rsidR="523CF04B" w:rsidRPr="6CD43B22">
        <w:rPr>
          <w:sz w:val="20"/>
          <w:szCs w:val="20"/>
        </w:rPr>
        <w:t xml:space="preserve"> </w:t>
      </w:r>
    </w:p>
    <w:p w14:paraId="1EB7F64A" w14:textId="0DFCC6FC" w:rsidR="00D33B8C" w:rsidRPr="000D6B39" w:rsidRDefault="00D33B8C" w:rsidP="00D33B8C">
      <w:pPr>
        <w:pStyle w:val="spaced6"/>
        <w:numPr>
          <w:ilvl w:val="0"/>
          <w:numId w:val="0"/>
        </w:numPr>
        <w:rPr>
          <w:sz w:val="20"/>
          <w:szCs w:val="20"/>
        </w:rPr>
      </w:pPr>
      <w:r w:rsidRPr="000D6B39">
        <w:rPr>
          <w:sz w:val="20"/>
          <w:szCs w:val="20"/>
        </w:rPr>
        <w:t xml:space="preserve">Data Source: Bureau of Infectious Disease and Laboratory Sciences, data are </w:t>
      </w:r>
      <w:r w:rsidR="009F7C6D" w:rsidRPr="000D6B39">
        <w:rPr>
          <w:sz w:val="20"/>
          <w:szCs w:val="20"/>
        </w:rPr>
        <w:t>current as of 7/22/2024</w:t>
      </w:r>
      <w:r w:rsidRPr="000D6B39">
        <w:rPr>
          <w:sz w:val="20"/>
          <w:szCs w:val="20"/>
        </w:rPr>
        <w:t xml:space="preserve"> and subject to change</w:t>
      </w:r>
      <w:r w:rsidR="00B1580A" w:rsidRPr="000D6B39">
        <w:rPr>
          <w:sz w:val="20"/>
          <w:szCs w:val="20"/>
        </w:rPr>
        <w:t>.</w:t>
      </w:r>
    </w:p>
    <w:p w14:paraId="350F5F19" w14:textId="45330B56" w:rsidR="00401015" w:rsidRPr="000D6B39" w:rsidRDefault="000D6B39">
      <w:pPr>
        <w:pStyle w:val="spaced6"/>
        <w:rPr>
          <w:rFonts w:ascii="Arial" w:eastAsia="Arial" w:hAnsi="Arial" w:cs="Arial"/>
          <w:color w:val="000000" w:themeColor="text1"/>
          <w:sz w:val="22"/>
          <w:szCs w:val="22"/>
        </w:rPr>
      </w:pPr>
      <w:r w:rsidRPr="000D6B39">
        <w:t>The overall average age of confirmed chlamydia cases in Massachusetts increased from 24.6 years in 2014 to 26.4 years in 2023</w:t>
      </w:r>
      <w:r w:rsidR="00D33B8C" w:rsidRPr="000D6B39">
        <w:t>.</w:t>
      </w:r>
      <w:r w:rsidR="00401015" w:rsidRPr="000D6B39">
        <w:rPr>
          <w:rStyle w:val="FootnoteReference"/>
        </w:rPr>
        <w:footnoteReference w:id="16"/>
      </w:r>
      <w:r w:rsidR="61BB9355" w:rsidRPr="0A28A028">
        <w:rPr>
          <w:rStyle w:val="FootnoteReference"/>
        </w:rPr>
        <w:t xml:space="preserve"> </w:t>
      </w:r>
      <w:r w:rsidR="5E130912" w:rsidRPr="006337C3">
        <w:rPr>
          <w:rFonts w:eastAsiaTheme="minorEastAsia"/>
          <w:color w:val="000000" w:themeColor="text1"/>
        </w:rPr>
        <w:t>This marks the fifth year that the average age has exceeded the CDC recommended screening age range of under 25 years for sexually active women.</w:t>
      </w:r>
      <w:r w:rsidR="5E130912" w:rsidRPr="0A28A028">
        <w:rPr>
          <w:rFonts w:eastAsiaTheme="minorEastAsia"/>
          <w:color w:val="000000" w:themeColor="text1"/>
        </w:rPr>
        <w:t xml:space="preserve"> </w:t>
      </w:r>
    </w:p>
    <w:p w14:paraId="29C008F7" w14:textId="559F8198" w:rsidR="006D0167" w:rsidRPr="000D6B39" w:rsidRDefault="000D6B39" w:rsidP="007523A8">
      <w:pPr>
        <w:pStyle w:val="spaced6"/>
      </w:pPr>
      <w:r w:rsidRPr="000D6B39">
        <w:lastRenderedPageBreak/>
        <w:t xml:space="preserve">The increase in average age appeared to be driven mostly by male chlamydia cases. From 2014 to 2023, the proportion of </w:t>
      </w:r>
      <w:r w:rsidR="00142DF5">
        <w:t xml:space="preserve">confirmed </w:t>
      </w:r>
      <w:r w:rsidRPr="000D6B39">
        <w:t xml:space="preserve">chlamydia cases among males increased from 34% to 39% (See Figure 1). Additionally, the increase in average age of </w:t>
      </w:r>
      <w:r w:rsidR="00142DF5">
        <w:t xml:space="preserve">confirmed </w:t>
      </w:r>
      <w:r w:rsidRPr="000D6B39">
        <w:t xml:space="preserve">chlamydia cases reported among males was greater than the increase among females. From 2014 to 2023, the average age of </w:t>
      </w:r>
      <w:r w:rsidR="00142DF5">
        <w:t xml:space="preserve">confirmed </w:t>
      </w:r>
      <w:r w:rsidRPr="000D6B39">
        <w:t>chlamydia cases reported among males increased by 1.9 years compared to an increase of 1.4 years among females</w:t>
      </w:r>
      <w:r w:rsidR="00D33B8C" w:rsidRPr="000D6B39">
        <w:t>.</w:t>
      </w:r>
      <w:r w:rsidR="00401015" w:rsidRPr="000D6B39">
        <w:br w:type="page"/>
      </w:r>
    </w:p>
    <w:p w14:paraId="259FDE71" w14:textId="63D5B420" w:rsidR="00401015" w:rsidRPr="00942766" w:rsidRDefault="006D0167" w:rsidP="006D0167">
      <w:pPr>
        <w:pStyle w:val="Heading2"/>
      </w:pPr>
      <w:bookmarkStart w:id="6" w:name="_Toc790179784"/>
      <w:r>
        <w:lastRenderedPageBreak/>
        <w:t>CHLAMYDIA BY CITY/TOWN</w:t>
      </w:r>
      <w:bookmarkEnd w:id="6"/>
    </w:p>
    <w:p w14:paraId="7DC296BC" w14:textId="46C364C4" w:rsidR="006D0167" w:rsidRPr="00DC3E40" w:rsidRDefault="720E86D3" w:rsidP="006D0167">
      <w:r w:rsidRPr="00DC3E40">
        <w:rPr>
          <w:b/>
          <w:bCs/>
        </w:rPr>
        <w:t>Figure 4.</w:t>
      </w:r>
      <w:r w:rsidRPr="00DC3E40">
        <w:t xml:space="preserve"> Incidence rate of confirmed chlamydia cases per 100,000 population reported by city/town, Massachusetts 202</w:t>
      </w:r>
      <w:r w:rsidR="00942766" w:rsidRPr="00DC3E40">
        <w:t>3</w:t>
      </w:r>
    </w:p>
    <w:p w14:paraId="119EF408" w14:textId="56B02A57" w:rsidR="006D0167" w:rsidRPr="00234D05" w:rsidRDefault="006D0167" w:rsidP="6A573781">
      <w:pPr>
        <w:rPr>
          <w:color w:val="FF0000"/>
        </w:rPr>
      </w:pPr>
    </w:p>
    <w:p w14:paraId="6BD5360B" w14:textId="06387DCC" w:rsidR="2D712249" w:rsidRPr="00234D05" w:rsidRDefault="00DC3E40" w:rsidP="37677DE6">
      <w:pPr>
        <w:rPr>
          <w:color w:val="FF0000"/>
        </w:rPr>
      </w:pPr>
      <w:r w:rsidRPr="00DC3E40">
        <w:rPr>
          <w:noProof/>
          <w:color w:val="FF0000"/>
          <w:shd w:val="clear" w:color="auto" w:fill="E6E6E6"/>
        </w:rPr>
        <w:drawing>
          <wp:inline distT="0" distB="0" distL="0" distR="0" wp14:anchorId="403EB9D3" wp14:editId="58658281">
            <wp:extent cx="5691378" cy="3611880"/>
            <wp:effectExtent l="0" t="0" r="5080" b="7620"/>
            <wp:docPr id="1587604250" name="Picture 1587604250" descr="The figure is a rate map of Massachusetts displaying the incidence rate of chlamydia cases per 100,000 population by city/town. Cities and towns are in one of seven categories: no reported cases, less than or equal to 99 per 100,000, 100 – 149 per 100,000, 150 - 249 per 100,000, 250 - 599 per 100,000, or 600 - 999 per 100,000 and greater than or equal to 100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04250" name="Picture 1" descr="The figure is a rate map of Massachusetts displaying the incidence rate of chlamydia cases per 100,000 population by city/town. Cities and towns are in one of seven categories: no reported cases, less than or equal to 99 per 100,000, 100 – 149 per 100,000, 150 - 249 per 100,000, 250 - 599 per 100,000, or 600 - 999 per 100,000 and greater than or equal to 1000 per 100,000.&#10;"/>
                    <pic:cNvPicPr/>
                  </pic:nvPicPr>
                  <pic:blipFill>
                    <a:blip r:embed="rId25"/>
                    <a:stretch>
                      <a:fillRect/>
                    </a:stretch>
                  </pic:blipFill>
                  <pic:spPr>
                    <a:xfrm>
                      <a:off x="0" y="0"/>
                      <a:ext cx="5735476" cy="3639866"/>
                    </a:xfrm>
                    <a:prstGeom prst="rect">
                      <a:avLst/>
                    </a:prstGeom>
                  </pic:spPr>
                </pic:pic>
              </a:graphicData>
            </a:graphic>
          </wp:inline>
        </w:drawing>
      </w:r>
    </w:p>
    <w:p w14:paraId="4BDF70C0" w14:textId="42BAE8AE" w:rsidR="2F702A1B" w:rsidRPr="00942766" w:rsidRDefault="2F702A1B" w:rsidP="37677DE6"/>
    <w:p w14:paraId="0AA02863" w14:textId="2DEC4388" w:rsidR="00F40598" w:rsidRPr="00942766" w:rsidRDefault="5FCD0CD4" w:rsidP="2F702A1B">
      <w:pPr>
        <w:rPr>
          <w:sz w:val="20"/>
          <w:szCs w:val="20"/>
        </w:rPr>
      </w:pPr>
      <w:r w:rsidRPr="00942766">
        <w:rPr>
          <w:sz w:val="20"/>
          <w:szCs w:val="20"/>
          <w:vertAlign w:val="superscript"/>
        </w:rPr>
        <w:t>1</w:t>
      </w:r>
      <w:r w:rsidRPr="00942766">
        <w:rPr>
          <w:sz w:val="20"/>
          <w:szCs w:val="20"/>
        </w:rPr>
        <w:t xml:space="preserve"> Population based on University of Massachusetts Donahue Institute Estimates. </w:t>
      </w:r>
    </w:p>
    <w:p w14:paraId="51EF53FB" w14:textId="718632B0" w:rsidR="00F40598" w:rsidRPr="00942766" w:rsidRDefault="02B5D624" w:rsidP="00F40598">
      <w:pPr>
        <w:rPr>
          <w:sz w:val="20"/>
          <w:szCs w:val="20"/>
        </w:rPr>
      </w:pPr>
      <w:r w:rsidRPr="00942766">
        <w:rPr>
          <w:sz w:val="20"/>
          <w:szCs w:val="20"/>
        </w:rPr>
        <w:t>Note: regional data include individuals tested in a correctional facility.</w:t>
      </w:r>
    </w:p>
    <w:p w14:paraId="77BB8B8A" w14:textId="2CE2F3C6" w:rsidR="188F8DC4" w:rsidRPr="008A29B3" w:rsidRDefault="188F8DC4" w:rsidP="2F702A1B">
      <w:pPr>
        <w:rPr>
          <w:sz w:val="20"/>
          <w:szCs w:val="20"/>
        </w:rPr>
      </w:pPr>
      <w:r w:rsidRPr="008A29B3">
        <w:rPr>
          <w:sz w:val="20"/>
          <w:szCs w:val="20"/>
        </w:rPr>
        <w:t>There are no city/towns with &lt;10 cases of chlamydia that fall within the top two rate categories (≥600 cases per 100,00).</w:t>
      </w:r>
    </w:p>
    <w:p w14:paraId="6575ABBC" w14:textId="3AA29B27" w:rsidR="00F40598" w:rsidRPr="00DC3E40" w:rsidRDefault="02B5D624" w:rsidP="00F40598">
      <w:pPr>
        <w:rPr>
          <w:sz w:val="20"/>
          <w:szCs w:val="20"/>
        </w:rPr>
      </w:pPr>
      <w:r w:rsidRPr="00DC3E40">
        <w:rPr>
          <w:sz w:val="20"/>
          <w:szCs w:val="20"/>
        </w:rPr>
        <w:t xml:space="preserve">Data Source: Bureau of Infectious Disease and Laboratory Sciences, data are current as of </w:t>
      </w:r>
      <w:r w:rsidR="00794545" w:rsidRPr="00DC3E40">
        <w:rPr>
          <w:sz w:val="20"/>
          <w:szCs w:val="20"/>
        </w:rPr>
        <w:t>7/</w:t>
      </w:r>
      <w:r w:rsidR="0043139E">
        <w:rPr>
          <w:sz w:val="20"/>
          <w:szCs w:val="20"/>
        </w:rPr>
        <w:t>22</w:t>
      </w:r>
      <w:r w:rsidR="00794545" w:rsidRPr="00DC3E40">
        <w:rPr>
          <w:sz w:val="20"/>
          <w:szCs w:val="20"/>
        </w:rPr>
        <w:t>/202</w:t>
      </w:r>
      <w:r w:rsidR="0043139E">
        <w:rPr>
          <w:sz w:val="20"/>
          <w:szCs w:val="20"/>
        </w:rPr>
        <w:t>4</w:t>
      </w:r>
      <w:r w:rsidRPr="00DC3E40">
        <w:rPr>
          <w:sz w:val="20"/>
          <w:szCs w:val="20"/>
        </w:rPr>
        <w:t xml:space="preserve"> and subject to change</w:t>
      </w:r>
      <w:r w:rsidR="00B1580A" w:rsidRPr="00DC3E40">
        <w:rPr>
          <w:sz w:val="20"/>
          <w:szCs w:val="20"/>
        </w:rPr>
        <w:t>.</w:t>
      </w:r>
    </w:p>
    <w:p w14:paraId="433B0D95" w14:textId="3029A325" w:rsidR="00F40598" w:rsidRPr="00234D05" w:rsidRDefault="00F40598" w:rsidP="006B419D">
      <w:pPr>
        <w:rPr>
          <w:color w:val="FF0000"/>
          <w:sz w:val="12"/>
          <w:szCs w:val="12"/>
        </w:rPr>
      </w:pPr>
    </w:p>
    <w:p w14:paraId="236FF24C" w14:textId="132FDF6E" w:rsidR="00F40598" w:rsidRPr="00A72EA7" w:rsidRDefault="141DB424">
      <w:pPr>
        <w:pStyle w:val="spaced6"/>
      </w:pPr>
      <w:r w:rsidRPr="00A72EA7">
        <w:t>C</w:t>
      </w:r>
      <w:r w:rsidR="00142DF5">
        <w:t>onfirmed c</w:t>
      </w:r>
      <w:r w:rsidRPr="00A72EA7">
        <w:t xml:space="preserve">hlamydia cases continue to be reported throughout Massachusetts, with concentrations in </w:t>
      </w:r>
      <w:r w:rsidR="55181ED0" w:rsidRPr="00A72EA7">
        <w:t>the most populated cities</w:t>
      </w:r>
      <w:r w:rsidRPr="00A72EA7">
        <w:t>.</w:t>
      </w:r>
    </w:p>
    <w:p w14:paraId="18AF08E1" w14:textId="715019EC" w:rsidR="00F40598" w:rsidRDefault="5A00C039">
      <w:pPr>
        <w:pStyle w:val="spaced6"/>
      </w:pPr>
      <w:r w:rsidRPr="00177F84">
        <w:t>The five cities</w:t>
      </w:r>
      <w:r w:rsidR="00663153" w:rsidRPr="00177F84">
        <w:rPr>
          <w:rStyle w:val="FootnoteReference"/>
        </w:rPr>
        <w:footnoteReference w:id="17"/>
      </w:r>
      <w:r w:rsidRPr="00177F84">
        <w:t xml:space="preserve"> with the highest </w:t>
      </w:r>
      <w:r w:rsidR="00B414C5">
        <w:t xml:space="preserve">confirmed </w:t>
      </w:r>
      <w:r w:rsidRPr="00177F84">
        <w:t>chlamydia incidence rates in 202</w:t>
      </w:r>
      <w:r w:rsidR="00177F84" w:rsidRPr="00177F84">
        <w:t>3</w:t>
      </w:r>
      <w:r w:rsidR="00B73C75" w:rsidRPr="00177F84">
        <w:rPr>
          <w:rStyle w:val="FootnoteReference"/>
        </w:rPr>
        <w:footnoteReference w:id="18"/>
      </w:r>
      <w:r w:rsidRPr="00177F84">
        <w:t xml:space="preserve"> were Provincetown (</w:t>
      </w:r>
      <w:r w:rsidR="00177F84" w:rsidRPr="00177F84">
        <w:t>2,156.1 per 100,000</w:t>
      </w:r>
      <w:r w:rsidRPr="00177F84">
        <w:t>),</w:t>
      </w:r>
      <w:r w:rsidR="00663153" w:rsidRPr="00177F84">
        <w:rPr>
          <w:rStyle w:val="FootnoteReference"/>
        </w:rPr>
        <w:footnoteReference w:id="19"/>
      </w:r>
      <w:r w:rsidRPr="00177F84">
        <w:t xml:space="preserve"> </w:t>
      </w:r>
      <w:r w:rsidR="00177F84" w:rsidRPr="00177F84">
        <w:t>Brockton (1,335.6 per 100,000), Springfield (1,040.9 per 100,000), Chelsea (1,012.6 per 100,000), and Lawrence (1,010.7 per 100,000).</w:t>
      </w:r>
    </w:p>
    <w:p w14:paraId="06F187F6" w14:textId="1CC2FB85" w:rsidR="00F17973" w:rsidRPr="00DC3E40" w:rsidRDefault="00F17973" w:rsidP="00F17973">
      <w:pPr>
        <w:pStyle w:val="spaced6"/>
      </w:pPr>
      <w:r w:rsidRPr="00DC3E40">
        <w:t>In 2023,</w:t>
      </w:r>
      <w:r w:rsidRPr="00DC3E40">
        <w:rPr>
          <w:rStyle w:val="FootnoteReference"/>
        </w:rPr>
        <w:footnoteReference w:id="20"/>
      </w:r>
      <w:r w:rsidRPr="00DC3E40">
        <w:t xml:space="preserve"> the statewide </w:t>
      </w:r>
      <w:r w:rsidR="00B414C5">
        <w:t xml:space="preserve">confirmed </w:t>
      </w:r>
      <w:r w:rsidRPr="00DC3E40">
        <w:t>chlamydia incidence rate of 411.2 per 100,000 population was lower than the 2022 national rate of 495.0 per 100,000.</w:t>
      </w:r>
      <w:r w:rsidRPr="00DC3E40">
        <w:rPr>
          <w:rStyle w:val="FootnoteReference"/>
        </w:rPr>
        <w:footnoteReference w:id="21"/>
      </w:r>
    </w:p>
    <w:p w14:paraId="061FA45F" w14:textId="3369C228" w:rsidR="00F17973" w:rsidRPr="00177F84" w:rsidRDefault="00F17973" w:rsidP="00F17973">
      <w:pPr>
        <w:pStyle w:val="spaced6"/>
        <w:numPr>
          <w:ilvl w:val="1"/>
          <w:numId w:val="4"/>
        </w:numPr>
      </w:pPr>
      <w:r w:rsidRPr="00942766">
        <w:lastRenderedPageBreak/>
        <w:t>While Louisiana ranked first and Vermont ranked 50</w:t>
      </w:r>
      <w:r w:rsidRPr="007809C3">
        <w:rPr>
          <w:vertAlign w:val="superscript"/>
        </w:rPr>
        <w:t>th</w:t>
      </w:r>
      <w:r w:rsidRPr="00942766">
        <w:t>,</w:t>
      </w:r>
      <w:r>
        <w:t xml:space="preserve"> </w:t>
      </w:r>
      <w:r w:rsidRPr="00942766">
        <w:t>Massachusetts ranked 36th in chlamydia incidence rate among the 50 states in 2022, the last year for which these national data are publicly available.</w:t>
      </w:r>
      <w:r w:rsidRPr="00942766">
        <w:rPr>
          <w:rStyle w:val="FootnoteReference"/>
        </w:rPr>
        <w:footnoteReference w:id="22"/>
      </w:r>
    </w:p>
    <w:p w14:paraId="63618611" w14:textId="550D874A" w:rsidR="003933D5" w:rsidRPr="00234D05" w:rsidRDefault="00E42FFA" w:rsidP="003933D5">
      <w:pPr>
        <w:pStyle w:val="Heading2"/>
        <w:rPr>
          <w:color w:val="FF0000"/>
        </w:rPr>
      </w:pPr>
      <w:bookmarkStart w:id="7" w:name="_Toc1697339963"/>
      <w:r w:rsidRPr="1D5D99FC">
        <w:rPr>
          <w:color w:val="FF0000"/>
        </w:rPr>
        <w:br w:type="page"/>
      </w:r>
      <w:r w:rsidR="549C4AF9">
        <w:lastRenderedPageBreak/>
        <w:t>SVI AMONG CHLAMYDIA CASES BY CITY/TOWN</w:t>
      </w:r>
      <w:bookmarkEnd w:id="7"/>
    </w:p>
    <w:p w14:paraId="297397A0" w14:textId="5FBAAA08" w:rsidR="003933D5" w:rsidRPr="005A601F" w:rsidRDefault="003933D5" w:rsidP="7017D928">
      <w:pPr>
        <w:rPr>
          <w:rStyle w:val="FootnoteReference"/>
          <w:vertAlign w:val="baseline"/>
        </w:rPr>
      </w:pPr>
      <w:r w:rsidRPr="005A601F">
        <w:t>The social vulnerability index (SVI)</w:t>
      </w:r>
      <w:r w:rsidR="00DA3473" w:rsidRPr="005A601F">
        <w:rPr>
          <w:rStyle w:val="FootnoteReference"/>
        </w:rPr>
        <w:footnoteReference w:id="23"/>
      </w:r>
      <w:r w:rsidRPr="005A601F">
        <w:t xml:space="preserve"> is a tool to identify socially vulnerable communities that was created by CDC and the Agency for Toxic Substances and Disease Registry (ATSDR). The CDC/ATSDR SVI uses U.S. Census data to determine the social vulnerability of every census tract. The SVI ranks each tract on 16 social factors, including poverty, lack of vehicle access, and crowded housing, and groups them into four related themes: socioeconomic status, household characteristics, racial and ethnic minority status, and housing type/transportation. Each census tract receives a separate ranking for each of the four themes, as well as an overall ranking. Originally developed to incorporate social determinants of health into emergency response and recovery efforts for environmental and natural disasters, more recently, higher SVI has been linked to higher HIV</w:t>
      </w:r>
      <w:r w:rsidR="00DA3473" w:rsidRPr="005A601F">
        <w:rPr>
          <w:rStyle w:val="FootnoteReference"/>
        </w:rPr>
        <w:footnoteReference w:id="24"/>
      </w:r>
      <w:r w:rsidRPr="005A601F">
        <w:t xml:space="preserve"> and </w:t>
      </w:r>
      <w:r w:rsidR="00285320">
        <w:t>STI</w:t>
      </w:r>
      <w:r w:rsidR="00DA3473" w:rsidRPr="005A601F">
        <w:rPr>
          <w:rStyle w:val="FootnoteReference"/>
        </w:rPr>
        <w:footnoteReference w:id="25"/>
      </w:r>
      <w:r w:rsidRPr="005A601F">
        <w:t xml:space="preserve"> diagnosis rates, COVID-19 mortality, and lower COVID-19 vaccination coverage.</w:t>
      </w:r>
      <w:r w:rsidR="00DA3473" w:rsidRPr="005A601F">
        <w:rPr>
          <w:rStyle w:val="FootnoteReference"/>
        </w:rPr>
        <w:footnoteReference w:id="26"/>
      </w:r>
      <w:r w:rsidR="4346AFE6" w:rsidRPr="005A601F">
        <w:rPr>
          <w:rStyle w:val="FootnoteReference"/>
        </w:rPr>
        <w:t xml:space="preserve"> </w:t>
      </w:r>
      <w:r w:rsidR="54EDDCAC" w:rsidRPr="005A601F">
        <w:rPr>
          <w:rStyle w:val="FootnoteReference"/>
          <w:vertAlign w:val="baseline"/>
        </w:rPr>
        <w:t>As such, the</w:t>
      </w:r>
      <w:r w:rsidR="4346AFE6" w:rsidRPr="005A601F">
        <w:rPr>
          <w:rStyle w:val="FootnoteReference"/>
          <w:vertAlign w:val="baseline"/>
        </w:rPr>
        <w:t xml:space="preserve"> </w:t>
      </w:r>
      <w:r w:rsidR="5BC33BBA" w:rsidRPr="005A601F">
        <w:rPr>
          <w:rStyle w:val="FootnoteReference"/>
          <w:vertAlign w:val="baseline"/>
        </w:rPr>
        <w:t>following maps of</w:t>
      </w:r>
      <w:r w:rsidR="4346AFE6" w:rsidRPr="005A601F">
        <w:rPr>
          <w:rStyle w:val="FootnoteReference"/>
          <w:vertAlign w:val="baseline"/>
        </w:rPr>
        <w:t xml:space="preserve"> SVI by city/town</w:t>
      </w:r>
      <w:r w:rsidR="32071B6C" w:rsidRPr="005A601F">
        <w:rPr>
          <w:rStyle w:val="FootnoteReference"/>
          <w:vertAlign w:val="baseline"/>
        </w:rPr>
        <w:t xml:space="preserve"> in Massachusetts</w:t>
      </w:r>
      <w:r w:rsidR="400517C9" w:rsidRPr="005A601F">
        <w:rPr>
          <w:rStyle w:val="FootnoteReference"/>
          <w:vertAlign w:val="baseline"/>
        </w:rPr>
        <w:t xml:space="preserve"> are provided as a comparison </w:t>
      </w:r>
      <w:r w:rsidR="7F26FEBE" w:rsidRPr="005A601F">
        <w:rPr>
          <w:rStyle w:val="FootnoteReference"/>
          <w:vertAlign w:val="baseline"/>
        </w:rPr>
        <w:t xml:space="preserve">to the maps of HIV and </w:t>
      </w:r>
      <w:r w:rsidR="00285320">
        <w:rPr>
          <w:rStyle w:val="FootnoteReference"/>
          <w:vertAlign w:val="baseline"/>
        </w:rPr>
        <w:t>STI</w:t>
      </w:r>
      <w:r w:rsidR="7F26FEBE" w:rsidRPr="005A601F">
        <w:rPr>
          <w:rStyle w:val="FootnoteReference"/>
          <w:vertAlign w:val="baseline"/>
        </w:rPr>
        <w:t xml:space="preserve"> diagnosis rates by city/town.</w:t>
      </w:r>
      <w:r w:rsidR="4346AFE6" w:rsidRPr="005A601F">
        <w:rPr>
          <w:rStyle w:val="FootnoteReference"/>
          <w:vertAlign w:val="baseline"/>
        </w:rPr>
        <w:t xml:space="preserve"> </w:t>
      </w:r>
    </w:p>
    <w:p w14:paraId="53538EFB" w14:textId="77777777" w:rsidR="00D438FE" w:rsidRPr="00234D05" w:rsidRDefault="00D438FE" w:rsidP="00D438FE">
      <w:pPr>
        <w:rPr>
          <w:b/>
          <w:bCs/>
          <w:color w:val="FF0000"/>
          <w:szCs w:val="24"/>
        </w:rPr>
      </w:pPr>
    </w:p>
    <w:p w14:paraId="732B14A2" w14:textId="68B8480E" w:rsidR="00D438FE" w:rsidRPr="00251693" w:rsidRDefault="00D438FE" w:rsidP="06A3C928">
      <w:r w:rsidRPr="06A3C928">
        <w:rPr>
          <w:b/>
          <w:bCs/>
        </w:rPr>
        <w:t xml:space="preserve">Figure </w:t>
      </w:r>
      <w:r w:rsidR="00B25E9C" w:rsidRPr="06A3C928">
        <w:rPr>
          <w:b/>
          <w:bCs/>
        </w:rPr>
        <w:t>5</w:t>
      </w:r>
      <w:r w:rsidRPr="06A3C928">
        <w:rPr>
          <w:b/>
          <w:bCs/>
        </w:rPr>
        <w:t xml:space="preserve">. </w:t>
      </w:r>
      <w:r>
        <w:t>Median overall Social Vulnerability Index (SVI) by city/town for confirmed chlamydia cases, Massachusetts 202</w:t>
      </w:r>
      <w:r w:rsidR="00251693">
        <w:t>3</w:t>
      </w:r>
    </w:p>
    <w:p w14:paraId="4C0CE4EA" w14:textId="77777777" w:rsidR="00341DA5" w:rsidRDefault="22542C13" w:rsidP="00D438FE">
      <w:pPr>
        <w:rPr>
          <w:sz w:val="18"/>
          <w:szCs w:val="18"/>
        </w:rPr>
      </w:pPr>
      <w:r>
        <w:rPr>
          <w:noProof/>
        </w:rPr>
        <w:drawing>
          <wp:inline distT="0" distB="0" distL="0" distR="0" wp14:anchorId="1AA07968" wp14:editId="7DD73C6F">
            <wp:extent cx="5693417" cy="3787140"/>
            <wp:effectExtent l="0" t="0" r="2540" b="3810"/>
            <wp:docPr id="1765835361" name="Picture 1765835361" descr="The figure is a map of Massachusetts displaying the Median overall Social Vulnerability Index (SVI) by city/town. The SVI index ranges from 00.00 to 1.00, with increasing darkness in blue color indicating higher SVI index. Cities with no reported cases are marked with cross-hatch.&#10;SVI rankings were grouped into quartiles (low, &lt;0.25; mid low, 0.25 - &lt;0.5; mid high, 0.5 - &lt;0.75; high &gt;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35361" name="Picture 1765835361" descr="The figure is a map of Massachusetts displaying the Median overall Social Vulnerability Index (SVI) by city/town. The SVI index ranges from 00.00 to 1.00, with increasing darkness in blue color indicating higher SVI index. Cities with no reported cases are marked with cross-hatch.&#10;SVI rankings were grouped into quartiles (low, &lt;0.25; mid low, 0.25 - &lt;0.5; mid high, 0.5 - &lt;0.75; high &gt;0.75).&#10;"/>
                    <pic:cNvPicPr/>
                  </pic:nvPicPr>
                  <pic:blipFill>
                    <a:blip r:embed="rId26">
                      <a:extLst>
                        <a:ext uri="{28A0092B-C50C-407E-A947-70E740481C1C}">
                          <a14:useLocalDpi xmlns:a14="http://schemas.microsoft.com/office/drawing/2010/main" val="0"/>
                        </a:ext>
                      </a:extLst>
                    </a:blip>
                    <a:stretch>
                      <a:fillRect/>
                    </a:stretch>
                  </pic:blipFill>
                  <pic:spPr>
                    <a:xfrm>
                      <a:off x="0" y="0"/>
                      <a:ext cx="5695463" cy="3788501"/>
                    </a:xfrm>
                    <a:prstGeom prst="rect">
                      <a:avLst/>
                    </a:prstGeom>
                  </pic:spPr>
                </pic:pic>
              </a:graphicData>
            </a:graphic>
          </wp:inline>
        </w:drawing>
      </w:r>
    </w:p>
    <w:p w14:paraId="33862489" w14:textId="0F97C27D" w:rsidR="00D438FE" w:rsidRPr="005A601F" w:rsidRDefault="51D36A4A" w:rsidP="00D438FE">
      <w:pPr>
        <w:rPr>
          <w:sz w:val="18"/>
          <w:szCs w:val="18"/>
        </w:rPr>
      </w:pPr>
      <w:r w:rsidRPr="005A601F">
        <w:rPr>
          <w:sz w:val="18"/>
          <w:szCs w:val="18"/>
        </w:rPr>
        <w:lastRenderedPageBreak/>
        <w:t>Note: Census tract level overall SVI values for 2020 were obtained from the CDC/Agency for Toxic Substance and Disease Registry and assigned to all cases based on their street address at diagnosis</w:t>
      </w:r>
      <w:r w:rsidR="581AFBB0" w:rsidRPr="005A601F">
        <w:rPr>
          <w:sz w:val="18"/>
          <w:szCs w:val="18"/>
        </w:rPr>
        <w:t xml:space="preserve">, </w:t>
      </w:r>
      <w:r w:rsidR="005A601F" w:rsidRPr="005A601F">
        <w:rPr>
          <w:sz w:val="18"/>
          <w:szCs w:val="18"/>
        </w:rPr>
        <w:t>1,084 ca</w:t>
      </w:r>
      <w:r w:rsidR="581AFBB0" w:rsidRPr="005A601F">
        <w:rPr>
          <w:sz w:val="18"/>
          <w:szCs w:val="18"/>
        </w:rPr>
        <w:t>ses were excluded from this analysis bec</w:t>
      </w:r>
      <w:r w:rsidR="3AA7D608" w:rsidRPr="005A601F">
        <w:rPr>
          <w:sz w:val="18"/>
          <w:szCs w:val="18"/>
        </w:rPr>
        <w:t>ause address was unknown or the</w:t>
      </w:r>
      <w:r w:rsidR="6AB71A7A" w:rsidRPr="005A601F">
        <w:rPr>
          <w:sz w:val="18"/>
          <w:szCs w:val="18"/>
        </w:rPr>
        <w:t xml:space="preserve"> individuals</w:t>
      </w:r>
      <w:r w:rsidR="3AA7D608" w:rsidRPr="005A601F">
        <w:rPr>
          <w:sz w:val="18"/>
          <w:szCs w:val="18"/>
        </w:rPr>
        <w:t xml:space="preserve"> were homeless</w:t>
      </w:r>
      <w:r w:rsidRPr="005A601F">
        <w:rPr>
          <w:sz w:val="18"/>
          <w:szCs w:val="18"/>
        </w:rPr>
        <w:t>. City/Town level median is calculated from the median SVI score for that city/town among gonorrhea cases. Values range from 0 to 1, with higher values implying greater social vulnerability. Map should be interpreted with caution as it displays median SVI scores for cities/towns with one or more cases.</w:t>
      </w:r>
    </w:p>
    <w:p w14:paraId="3C346593" w14:textId="4B9BC0E8" w:rsidR="00D438FE" w:rsidRPr="005A601F" w:rsidRDefault="00D438FE" w:rsidP="00D438FE">
      <w:pPr>
        <w:rPr>
          <w:sz w:val="18"/>
          <w:szCs w:val="18"/>
        </w:rPr>
      </w:pPr>
      <w:r w:rsidRPr="005A601F">
        <w:rPr>
          <w:sz w:val="18"/>
          <w:szCs w:val="18"/>
        </w:rPr>
        <w:t xml:space="preserve">Data Sources: CDC/Agency for Toxic Substance and Disease, Bureau of Infectious Disease and Laboratory Sciences, data are </w:t>
      </w:r>
      <w:r w:rsidR="009F7C6D" w:rsidRPr="005A601F">
        <w:rPr>
          <w:sz w:val="18"/>
          <w:szCs w:val="18"/>
        </w:rPr>
        <w:t>current as of 7/22/2024</w:t>
      </w:r>
      <w:r w:rsidRPr="005A601F">
        <w:rPr>
          <w:sz w:val="18"/>
          <w:szCs w:val="18"/>
        </w:rPr>
        <w:t xml:space="preserve"> and subject to </w:t>
      </w:r>
      <w:r w:rsidR="009B3356" w:rsidRPr="005A601F">
        <w:rPr>
          <w:sz w:val="18"/>
          <w:szCs w:val="18"/>
        </w:rPr>
        <w:t>change.</w:t>
      </w:r>
    </w:p>
    <w:p w14:paraId="59B09D81" w14:textId="77777777" w:rsidR="00D438FE" w:rsidRPr="00A82C27" w:rsidRDefault="00D438FE" w:rsidP="006B419D">
      <w:pPr>
        <w:rPr>
          <w:szCs w:val="24"/>
        </w:rPr>
      </w:pPr>
    </w:p>
    <w:p w14:paraId="6F0C0929" w14:textId="1AC4D175" w:rsidR="00D438FE" w:rsidRPr="00A82C27" w:rsidRDefault="51D36A4A" w:rsidP="00F84E3A">
      <w:pPr>
        <w:numPr>
          <w:ilvl w:val="0"/>
          <w:numId w:val="44"/>
        </w:numPr>
        <w:spacing w:after="120"/>
      </w:pPr>
      <w:r w:rsidRPr="00A82C27">
        <w:t>In 202</w:t>
      </w:r>
      <w:r w:rsidR="00A82C27" w:rsidRPr="00A82C27">
        <w:t>3</w:t>
      </w:r>
      <w:r w:rsidRPr="00A82C27">
        <w:t>,</w:t>
      </w:r>
      <w:r w:rsidRPr="00A82C27">
        <w:rPr>
          <w:rStyle w:val="FootnoteReference"/>
        </w:rPr>
        <w:t xml:space="preserve"> </w:t>
      </w:r>
      <w:r w:rsidR="00D438FE" w:rsidRPr="00A82C27">
        <w:rPr>
          <w:rStyle w:val="FootnoteReference"/>
        </w:rPr>
        <w:footnoteReference w:id="27"/>
      </w:r>
      <w:r w:rsidRPr="00A82C27">
        <w:t xml:space="preserve"> the median SVI score among confirmed chlamydia cases in Massachusetts was 0.74</w:t>
      </w:r>
      <w:r w:rsidR="00A82C27" w:rsidRPr="00A82C27">
        <w:t>7</w:t>
      </w:r>
      <w:r w:rsidR="16656493" w:rsidRPr="00A82C27">
        <w:t>, which would be categorized as highly vulnerable</w:t>
      </w:r>
      <w:r w:rsidRPr="00A82C27">
        <w:t>.</w:t>
      </w:r>
    </w:p>
    <w:p w14:paraId="0B1A4B6F" w14:textId="4121C88B" w:rsidR="00E42FFA" w:rsidRPr="00234D05" w:rsidRDefault="00A82C27" w:rsidP="00F84E3A">
      <w:pPr>
        <w:numPr>
          <w:ilvl w:val="0"/>
          <w:numId w:val="44"/>
        </w:numPr>
        <w:spacing w:after="120"/>
      </w:pPr>
      <w:r>
        <w:t>The five cities with the highest SVI scores (i.e., the most highly vulnerable) among confirmed chlamydia cases in 2023 were Holyoke (0.938), Lawrence (0.934), Milford (0.911), Chelsea (0.910), and Springfield (0.894)</w:t>
      </w:r>
      <w:r w:rsidR="51D36A4A">
        <w:t>.</w:t>
      </w:r>
    </w:p>
    <w:p w14:paraId="0403D826" w14:textId="17534AE2" w:rsidR="04F474AA" w:rsidRDefault="04F474AA">
      <w:r>
        <w:br w:type="page"/>
      </w:r>
    </w:p>
    <w:p w14:paraId="2D2F7F43" w14:textId="58464154" w:rsidR="06A3C928" w:rsidRDefault="06A3C928" w:rsidP="06A3C928">
      <w:pPr>
        <w:pStyle w:val="Heading1"/>
      </w:pPr>
    </w:p>
    <w:p w14:paraId="0B9A9539" w14:textId="5A043289" w:rsidR="00F40598" w:rsidRPr="00AD7A7F" w:rsidRDefault="00E42FFA" w:rsidP="38A4F72D">
      <w:pPr>
        <w:pStyle w:val="Heading1"/>
        <w:rPr>
          <w:b w:val="0"/>
        </w:rPr>
      </w:pPr>
      <w:bookmarkStart w:id="8" w:name="_Toc576845658"/>
      <w:r>
        <w:t>GONORRHEA</w:t>
      </w:r>
      <w:bookmarkEnd w:id="8"/>
    </w:p>
    <w:p w14:paraId="6E13A7C7" w14:textId="090384E4" w:rsidR="00E42FFA" w:rsidRPr="00AD7A7F" w:rsidRDefault="00E42FFA" w:rsidP="38A4F72D">
      <w:pPr>
        <w:pStyle w:val="Heading2"/>
      </w:pPr>
      <w:bookmarkStart w:id="9" w:name="_Toc182242962"/>
      <w:r>
        <w:t>GONORRHEA BY GENDER</w:t>
      </w:r>
      <w:bookmarkEnd w:id="9"/>
    </w:p>
    <w:p w14:paraId="4A9FB31F" w14:textId="7BB04678" w:rsidR="005C6590" w:rsidRPr="00AD7A7F" w:rsidRDefault="005C6590" w:rsidP="7017D928">
      <w:pPr>
        <w:rPr>
          <w:color w:val="3333FF"/>
        </w:rPr>
      </w:pPr>
      <w:r>
        <w:t>Gonorrhea is a common bacterial STI. It can be spread through vaginal, anal, or oral sexual contact with an infected partner</w:t>
      </w:r>
      <w:r w:rsidR="008B4190">
        <w:t>,</w:t>
      </w:r>
      <w:r>
        <w:t xml:space="preserve"> or to an infant during birth. Symptoms of gonococcal infection can vary depending on the site of infection and may include dysuria; vaginal, penile, or anal discharge; irregular bleeding; abdominal or anal pain; and sore throat. Still, many infected individuals do not present with any symptoms of infection. Although gonorrhea infection is treatable, treatment has become more complex with increased antimicrobial </w:t>
      </w:r>
      <w:r w:rsidR="00455338">
        <w:t xml:space="preserve">non-susceptibility, including </w:t>
      </w:r>
      <w:r w:rsidR="0015426D">
        <w:t xml:space="preserve">two cases of </w:t>
      </w:r>
      <w:r w:rsidR="00634810">
        <w:t xml:space="preserve">a novel strain of multidrug-non-susceptible </w:t>
      </w:r>
      <w:r w:rsidR="006F2DC4">
        <w:t>gonorrhea</w:t>
      </w:r>
      <w:r w:rsidR="00A97C2C">
        <w:t xml:space="preserve"> that were detected in Massachusetts in 2022.</w:t>
      </w:r>
      <w:r w:rsidR="24F07681">
        <w:t xml:space="preserve"> </w:t>
      </w:r>
      <w:r w:rsidR="00A97C2C">
        <w:t>F</w:t>
      </w:r>
      <w:r w:rsidR="24F07681">
        <w:t>or more information, see</w:t>
      </w:r>
      <w:r w:rsidR="00E82744">
        <w:t xml:space="preserve"> </w:t>
      </w:r>
      <w:hyperlink r:id="rId27">
        <w:r w:rsidR="00E82744" w:rsidRPr="06A3C928">
          <w:rPr>
            <w:rStyle w:val="Hyperlink"/>
            <w:color w:val="3333FF"/>
          </w:rPr>
          <w:t>https://www.mass.gov/doc/clinical-alert-on-non-susceptible-gonorrhea-january-19-2023/download</w:t>
        </w:r>
      </w:hyperlink>
      <w:r>
        <w:t xml:space="preserve">. For more </w:t>
      </w:r>
      <w:r w:rsidR="009B3356">
        <w:t xml:space="preserve">general </w:t>
      </w:r>
      <w:r>
        <w:t xml:space="preserve">information, </w:t>
      </w:r>
      <w:r w:rsidRPr="06A3C928">
        <w:rPr>
          <w:color w:val="3333FF"/>
        </w:rPr>
        <w:t xml:space="preserve">see </w:t>
      </w:r>
      <w:hyperlink r:id="rId28">
        <w:r w:rsidRPr="06A3C928">
          <w:rPr>
            <w:rStyle w:val="Hyperlink"/>
            <w:color w:val="3333FF"/>
          </w:rPr>
          <w:t>https://www.cdc.gov/std/gonorrhea/stdfact-gonorrhea-detailed.htm</w:t>
        </w:r>
      </w:hyperlink>
    </w:p>
    <w:p w14:paraId="670DC27E" w14:textId="75A63225" w:rsidR="005C6590" w:rsidRPr="00234D05" w:rsidRDefault="005C6590" w:rsidP="005C6590">
      <w:pPr>
        <w:rPr>
          <w:color w:val="FF0000"/>
          <w:szCs w:val="24"/>
        </w:rPr>
      </w:pPr>
    </w:p>
    <w:p w14:paraId="07F013EA" w14:textId="2C6B189B" w:rsidR="005C6590" w:rsidRPr="005B3D80" w:rsidRDefault="5B31D4F5" w:rsidP="1879A7CB">
      <w:r w:rsidRPr="005B3D80">
        <w:rPr>
          <w:b/>
          <w:bCs/>
        </w:rPr>
        <w:t xml:space="preserve">Figure </w:t>
      </w:r>
      <w:r w:rsidR="47C1CDC7" w:rsidRPr="005B3D80">
        <w:rPr>
          <w:b/>
          <w:bCs/>
        </w:rPr>
        <w:t>6</w:t>
      </w:r>
      <w:r w:rsidRPr="005B3D80">
        <w:rPr>
          <w:b/>
          <w:bCs/>
        </w:rPr>
        <w:t xml:space="preserve">. </w:t>
      </w:r>
      <w:r w:rsidRPr="005B3D80">
        <w:t xml:space="preserve">Number of confirmed gonorrhea cases reported by gender, Massachusetts </w:t>
      </w:r>
      <w:r w:rsidR="00F446E3" w:rsidRPr="005B3D80">
        <w:t>2014–2023</w:t>
      </w:r>
    </w:p>
    <w:p w14:paraId="3F8CF980" w14:textId="5019DB64" w:rsidR="3E552796" w:rsidRPr="006421DB" w:rsidRDefault="3E552796" w:rsidP="006421DB">
      <w:pPr>
        <w:rPr>
          <w:color w:val="FF0000"/>
          <w:szCs w:val="24"/>
        </w:rPr>
      </w:pPr>
    </w:p>
    <w:p w14:paraId="5346040B" w14:textId="77777777" w:rsidR="00DD2533" w:rsidRDefault="7B1BED58" w:rsidP="006337C3">
      <w:pPr>
        <w:pStyle w:val="spaced6"/>
        <w:numPr>
          <w:ilvl w:val="0"/>
          <w:numId w:val="0"/>
        </w:numPr>
        <w:spacing w:after="0"/>
        <w:rPr>
          <w:sz w:val="20"/>
          <w:szCs w:val="20"/>
        </w:rPr>
      </w:pPr>
      <w:r>
        <w:rPr>
          <w:noProof/>
        </w:rPr>
        <w:drawing>
          <wp:inline distT="0" distB="0" distL="0" distR="0" wp14:anchorId="2D06115C" wp14:editId="13AF1427">
            <wp:extent cx="5836920" cy="4010320"/>
            <wp:effectExtent l="0" t="0" r="0" b="0"/>
            <wp:docPr id="1252241959" name="Picture 1252241959" descr="The figure is a trendline graph displaying the annual number of gonorrhea cases for four groups (male gender, female gender, transgender/nonbinary and statewide total)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41959" name="Picture 1252241959" descr="The figure is a trendline graph displaying the annual number of gonorrhea cases for four groups (male gender, female gender, transgender/nonbinary and statewide total) for each year of the ten-year period.&#10;"/>
                    <pic:cNvPicPr/>
                  </pic:nvPicPr>
                  <pic:blipFill>
                    <a:blip r:embed="rId29">
                      <a:extLst>
                        <a:ext uri="{28A0092B-C50C-407E-A947-70E740481C1C}">
                          <a14:useLocalDpi xmlns:a14="http://schemas.microsoft.com/office/drawing/2010/main" val="0"/>
                        </a:ext>
                      </a:extLst>
                    </a:blip>
                    <a:stretch>
                      <a:fillRect/>
                    </a:stretch>
                  </pic:blipFill>
                  <pic:spPr>
                    <a:xfrm>
                      <a:off x="0" y="0"/>
                      <a:ext cx="5839409" cy="4012030"/>
                    </a:xfrm>
                    <a:prstGeom prst="rect">
                      <a:avLst/>
                    </a:prstGeom>
                  </pic:spPr>
                </pic:pic>
              </a:graphicData>
            </a:graphic>
          </wp:inline>
        </w:drawing>
      </w:r>
    </w:p>
    <w:p w14:paraId="7FFC30A1" w14:textId="3EA4CC7F" w:rsidR="00951B87" w:rsidRPr="003D0DF3" w:rsidRDefault="00951B87" w:rsidP="006337C3">
      <w:pPr>
        <w:pStyle w:val="spaced6"/>
        <w:numPr>
          <w:ilvl w:val="0"/>
          <w:numId w:val="0"/>
        </w:numPr>
        <w:spacing w:after="0"/>
        <w:rPr>
          <w:sz w:val="20"/>
          <w:szCs w:val="20"/>
        </w:rPr>
      </w:pPr>
      <w:r w:rsidRPr="003D0DF3">
        <w:rPr>
          <w:sz w:val="20"/>
          <w:szCs w:val="20"/>
        </w:rPr>
        <w:t>Note: Cases with no gender reported (</w:t>
      </w:r>
      <w:r w:rsidR="00F446E3" w:rsidRPr="003D0DF3">
        <w:rPr>
          <w:sz w:val="20"/>
          <w:szCs w:val="20"/>
        </w:rPr>
        <w:t>2014–2023</w:t>
      </w:r>
      <w:r w:rsidRPr="003D0DF3">
        <w:rPr>
          <w:sz w:val="20"/>
          <w:szCs w:val="20"/>
        </w:rPr>
        <w:t>: N=3</w:t>
      </w:r>
      <w:r w:rsidR="003D0DF3" w:rsidRPr="003D0DF3">
        <w:rPr>
          <w:sz w:val="20"/>
          <w:szCs w:val="20"/>
        </w:rPr>
        <w:t>9</w:t>
      </w:r>
      <w:r w:rsidRPr="003D0DF3">
        <w:rPr>
          <w:sz w:val="20"/>
          <w:szCs w:val="20"/>
        </w:rPr>
        <w:t xml:space="preserve">) are included in the statewide total but are not depicted in Figure 6 separately due to small numbers. </w:t>
      </w:r>
    </w:p>
    <w:p w14:paraId="08E27D10" w14:textId="26AD9F01" w:rsidR="00951B87" w:rsidRPr="003D0DF3" w:rsidRDefault="00951B87" w:rsidP="00DD2533">
      <w:pPr>
        <w:pStyle w:val="spaced6"/>
        <w:numPr>
          <w:ilvl w:val="0"/>
          <w:numId w:val="0"/>
        </w:numPr>
        <w:spacing w:after="0"/>
        <w:rPr>
          <w:sz w:val="20"/>
          <w:szCs w:val="20"/>
        </w:rPr>
      </w:pPr>
      <w:r w:rsidRPr="003D0DF3">
        <w:rPr>
          <w:sz w:val="20"/>
          <w:szCs w:val="20"/>
        </w:rPr>
        <w:t xml:space="preserve">Data Source: Bureau of Infectious Disease and Laboratory Sciences, data are </w:t>
      </w:r>
      <w:r w:rsidR="009F7C6D" w:rsidRPr="003D0DF3">
        <w:rPr>
          <w:sz w:val="20"/>
          <w:szCs w:val="20"/>
        </w:rPr>
        <w:t>current as of 7/22/2024</w:t>
      </w:r>
      <w:r w:rsidRPr="003D0DF3">
        <w:rPr>
          <w:sz w:val="20"/>
          <w:szCs w:val="20"/>
        </w:rPr>
        <w:t xml:space="preserve"> and subject to change</w:t>
      </w:r>
      <w:r w:rsidR="00286FF2" w:rsidRPr="003D0DF3">
        <w:rPr>
          <w:sz w:val="20"/>
          <w:szCs w:val="20"/>
        </w:rPr>
        <w:t>.</w:t>
      </w:r>
    </w:p>
    <w:p w14:paraId="7E514A77" w14:textId="77777777" w:rsidR="00951B87" w:rsidRPr="00234D05" w:rsidRDefault="00951B87" w:rsidP="00951B87">
      <w:pPr>
        <w:pStyle w:val="spaced6"/>
        <w:numPr>
          <w:ilvl w:val="0"/>
          <w:numId w:val="0"/>
        </w:numPr>
        <w:ind w:left="360"/>
        <w:rPr>
          <w:b/>
          <w:bCs/>
          <w:color w:val="FF0000"/>
        </w:rPr>
      </w:pPr>
    </w:p>
    <w:p w14:paraId="0A1317B6" w14:textId="00145236" w:rsidR="005C6590" w:rsidRPr="003D0DF3" w:rsidRDefault="003D0DF3">
      <w:pPr>
        <w:pStyle w:val="spaced6"/>
        <w:rPr>
          <w:b/>
          <w:bCs/>
        </w:rPr>
      </w:pPr>
      <w:r w:rsidRPr="003D0DF3">
        <w:lastRenderedPageBreak/>
        <w:t>After a sharp 57% increase from 2016 (N=4,638) to 2017 (N=7,293),</w:t>
      </w:r>
      <w:r w:rsidR="00743BE0">
        <w:t xml:space="preserve"> the number of confirmed</w:t>
      </w:r>
      <w:r w:rsidRPr="003D0DF3">
        <w:t xml:space="preserve"> gonorrhea </w:t>
      </w:r>
      <w:r w:rsidR="00743BE0">
        <w:t>cases</w:t>
      </w:r>
      <w:r w:rsidRPr="003D0DF3">
        <w:t xml:space="preserve"> remained relatively stable through 2020 (N=7,303), and then increased by 34% to 9,779 in 2023</w:t>
      </w:r>
      <w:r w:rsidR="00951B87" w:rsidRPr="003D0DF3">
        <w:t>.</w:t>
      </w:r>
      <w:r w:rsidR="005C6590" w:rsidRPr="003D0DF3">
        <w:rPr>
          <w:rStyle w:val="FootnoteReference"/>
        </w:rPr>
        <w:footnoteReference w:id="28"/>
      </w:r>
      <w:r w:rsidR="70405042" w:rsidRPr="003D0DF3">
        <w:t xml:space="preserve"> </w:t>
      </w:r>
    </w:p>
    <w:p w14:paraId="6618285B" w14:textId="13A0E6CD" w:rsidR="003D0DF3" w:rsidRPr="003D0DF3" w:rsidRDefault="003D0DF3" w:rsidP="003D0DF3">
      <w:pPr>
        <w:pStyle w:val="spaced6"/>
      </w:pPr>
      <w:r>
        <w:t>Between 2014 and 2023, the number of</w:t>
      </w:r>
      <w:r w:rsidR="21570C5F">
        <w:t xml:space="preserve"> confirmed</w:t>
      </w:r>
      <w:r>
        <w:t xml:space="preserve"> gonorrhea cases reported among males increased by 2.7 times (from 2,500 to 6,662, respectively). The number of </w:t>
      </w:r>
      <w:r w:rsidR="00743BE0">
        <w:t xml:space="preserve">confirmed </w:t>
      </w:r>
      <w:r>
        <w:t>gonorrhea cases among males in 2023 was more than double the number among females (3,038)</w:t>
      </w:r>
      <w:r w:rsidR="2185504D">
        <w:t xml:space="preserve">, resulting in a </w:t>
      </w:r>
      <w:r w:rsidR="3EB2F5DE">
        <w:t>male</w:t>
      </w:r>
      <w:r w:rsidR="2185504D">
        <w:t>-to-</w:t>
      </w:r>
      <w:r w:rsidR="0069CE68">
        <w:t>fe</w:t>
      </w:r>
      <w:r w:rsidR="2185504D">
        <w:t xml:space="preserve">male ratio of </w:t>
      </w:r>
      <w:r w:rsidR="733DC84E">
        <w:t>2.19</w:t>
      </w:r>
      <w:r w:rsidR="2185504D">
        <w:t xml:space="preserve"> (</w:t>
      </w:r>
      <w:r w:rsidR="599F1C84">
        <w:t>2.19</w:t>
      </w:r>
      <w:r w:rsidR="2185504D">
        <w:t xml:space="preserve"> = </w:t>
      </w:r>
      <w:r w:rsidR="2E1ACA84">
        <w:t>6,662/</w:t>
      </w:r>
      <w:r w:rsidR="2185504D">
        <w:t>3,038)</w:t>
      </w:r>
      <w:r>
        <w:t xml:space="preserve">. </w:t>
      </w:r>
    </w:p>
    <w:p w14:paraId="47D10C17" w14:textId="1385FAA2" w:rsidR="003D0DF3" w:rsidRPr="001E1EE5" w:rsidRDefault="003D0DF3" w:rsidP="003D0DF3">
      <w:pPr>
        <w:pStyle w:val="spaced6"/>
      </w:pPr>
      <w:r w:rsidRPr="003D0DF3">
        <w:t xml:space="preserve">The number of </w:t>
      </w:r>
      <w:r w:rsidR="00743BE0">
        <w:t xml:space="preserve">confirmed </w:t>
      </w:r>
      <w:r w:rsidRPr="003D0DF3">
        <w:t>gonorrhea cases reported among females increased by 2.7 times from 1,144 in 2014 to 3,038 in 2023.</w:t>
      </w:r>
    </w:p>
    <w:p w14:paraId="455AA7E9" w14:textId="1A34BD39" w:rsidR="00032500" w:rsidRPr="001E1EE5" w:rsidRDefault="003D0DF3" w:rsidP="001E1EE5">
      <w:pPr>
        <w:pStyle w:val="spaced6"/>
      </w:pPr>
      <w:r w:rsidRPr="001E1EE5">
        <w:t xml:space="preserve">In 2023, 71 </w:t>
      </w:r>
      <w:r w:rsidR="00743BE0">
        <w:t xml:space="preserve">confirmed </w:t>
      </w:r>
      <w:r w:rsidRPr="001E1EE5">
        <w:t>gonorrhea cases were reported among individuals of transgender experience and/or nonbinary individuals.</w:t>
      </w:r>
      <w:r w:rsidRPr="00D91CAB">
        <w:rPr>
          <w:vertAlign w:val="superscript"/>
        </w:rPr>
        <w:footnoteReference w:id="29"/>
      </w:r>
      <w:r w:rsidR="00032500" w:rsidRPr="001E1EE5">
        <w:br w:type="page"/>
      </w:r>
    </w:p>
    <w:p w14:paraId="0C1564B7" w14:textId="7C53FAF0" w:rsidR="005C6590" w:rsidRPr="00F9563A" w:rsidRDefault="00032500" w:rsidP="00091FE6">
      <w:pPr>
        <w:pStyle w:val="Heading2"/>
      </w:pPr>
      <w:bookmarkStart w:id="10" w:name="_Toc1118899615"/>
      <w:r>
        <w:lastRenderedPageBreak/>
        <w:t>GONORRHEA BY AGE</w:t>
      </w:r>
      <w:bookmarkEnd w:id="10"/>
    </w:p>
    <w:p w14:paraId="2B51CA6E" w14:textId="085863B2" w:rsidR="00032500" w:rsidRPr="00F9563A" w:rsidRDefault="00032500" w:rsidP="00032500">
      <w:pPr>
        <w:rPr>
          <w:szCs w:val="24"/>
        </w:rPr>
      </w:pPr>
      <w:r w:rsidRPr="00F9563A">
        <w:rPr>
          <w:b/>
          <w:bCs/>
          <w:szCs w:val="24"/>
        </w:rPr>
        <w:t xml:space="preserve">Figure </w:t>
      </w:r>
      <w:r w:rsidR="00AB3582" w:rsidRPr="00F9563A">
        <w:rPr>
          <w:b/>
          <w:bCs/>
          <w:szCs w:val="24"/>
        </w:rPr>
        <w:t>7</w:t>
      </w:r>
      <w:r w:rsidRPr="00F9563A">
        <w:rPr>
          <w:b/>
          <w:bCs/>
          <w:szCs w:val="24"/>
        </w:rPr>
        <w:t xml:space="preserve">. </w:t>
      </w:r>
      <w:r w:rsidRPr="00F9563A">
        <w:rPr>
          <w:szCs w:val="24"/>
        </w:rPr>
        <w:t xml:space="preserve">Number of confirmed gonorrhea cases reported by age group (years), Massachusetts </w:t>
      </w:r>
      <w:r w:rsidR="00F446E3" w:rsidRPr="00F9563A">
        <w:rPr>
          <w:szCs w:val="24"/>
        </w:rPr>
        <w:t>2014–2023</w:t>
      </w:r>
    </w:p>
    <w:p w14:paraId="7A87E925" w14:textId="6767786E" w:rsidR="00032500" w:rsidRPr="00234D05" w:rsidRDefault="000200F0" w:rsidP="034544F5">
      <w:pPr>
        <w:rPr>
          <w:color w:val="FF0000"/>
        </w:rPr>
      </w:pPr>
      <w:r>
        <w:rPr>
          <w:noProof/>
          <w:color w:val="FF0000"/>
        </w:rPr>
        <w:drawing>
          <wp:inline distT="0" distB="0" distL="0" distR="0" wp14:anchorId="10DF3FAF" wp14:editId="65EBF7AC">
            <wp:extent cx="6279515" cy="4889500"/>
            <wp:effectExtent l="0" t="0" r="0" b="0"/>
            <wp:docPr id="186855538" name="Picture 2" descr="The figure is a stacked bar chart displaying the annual number of gonorrhea cases for seven age groups (&lt;15, 15-19, 20-24, 25-29, 30-39, 40-49, and 50+) each yea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5538" name="Picture 2" descr="The figure is a stacked bar chart displaying the annual number of gonorrhea cases for seven age groups (&lt;15, 15-19, 20-24, 25-29, 30-39, 40-49, and 50+) each year for the most recent ten-year perio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9515" cy="4889500"/>
                    </a:xfrm>
                    <a:prstGeom prst="rect">
                      <a:avLst/>
                    </a:prstGeom>
                    <a:noFill/>
                  </pic:spPr>
                </pic:pic>
              </a:graphicData>
            </a:graphic>
          </wp:inline>
        </w:drawing>
      </w:r>
    </w:p>
    <w:p w14:paraId="57440E6D" w14:textId="22D2D71F" w:rsidR="00540C4B" w:rsidRPr="00F9563A" w:rsidRDefault="00540C4B" w:rsidP="00540C4B">
      <w:pPr>
        <w:pStyle w:val="spaced6"/>
        <w:numPr>
          <w:ilvl w:val="0"/>
          <w:numId w:val="0"/>
        </w:numPr>
        <w:spacing w:after="0"/>
        <w:rPr>
          <w:sz w:val="20"/>
          <w:szCs w:val="20"/>
        </w:rPr>
      </w:pPr>
      <w:r w:rsidRPr="00F9563A">
        <w:rPr>
          <w:sz w:val="20"/>
          <w:szCs w:val="20"/>
        </w:rPr>
        <w:t>Note: Cases missing age (</w:t>
      </w:r>
      <w:r w:rsidR="00F446E3" w:rsidRPr="00F9563A">
        <w:rPr>
          <w:sz w:val="20"/>
          <w:szCs w:val="20"/>
        </w:rPr>
        <w:t>2014–2023</w:t>
      </w:r>
      <w:r w:rsidRPr="00F9563A">
        <w:rPr>
          <w:sz w:val="20"/>
          <w:szCs w:val="20"/>
        </w:rPr>
        <w:t>: N=1</w:t>
      </w:r>
      <w:r w:rsidR="00F9563A" w:rsidRPr="00F9563A">
        <w:rPr>
          <w:sz w:val="20"/>
          <w:szCs w:val="20"/>
        </w:rPr>
        <w:t>2</w:t>
      </w:r>
      <w:r w:rsidRPr="00F9563A">
        <w:rPr>
          <w:sz w:val="20"/>
          <w:szCs w:val="20"/>
        </w:rPr>
        <w:t>) are not included in this figure</w:t>
      </w:r>
    </w:p>
    <w:p w14:paraId="68EA5D1D" w14:textId="08D346F7" w:rsidR="00540C4B" w:rsidRPr="00F9563A" w:rsidRDefault="00540C4B" w:rsidP="00540C4B">
      <w:pPr>
        <w:pStyle w:val="spaced6"/>
        <w:numPr>
          <w:ilvl w:val="0"/>
          <w:numId w:val="0"/>
        </w:numPr>
        <w:rPr>
          <w:sz w:val="20"/>
          <w:szCs w:val="20"/>
        </w:rPr>
      </w:pPr>
      <w:r w:rsidRPr="00F9563A">
        <w:rPr>
          <w:sz w:val="20"/>
          <w:szCs w:val="20"/>
        </w:rPr>
        <w:t xml:space="preserve">Data Source: Bureau of Infectious Disease and Laboratory Sciences, data are </w:t>
      </w:r>
      <w:r w:rsidR="009F7C6D" w:rsidRPr="00F9563A">
        <w:rPr>
          <w:sz w:val="20"/>
          <w:szCs w:val="20"/>
        </w:rPr>
        <w:t>current as of 7/22/2024</w:t>
      </w:r>
      <w:r w:rsidRPr="00F9563A">
        <w:rPr>
          <w:sz w:val="20"/>
          <w:szCs w:val="20"/>
        </w:rPr>
        <w:t xml:space="preserve"> and subject to change</w:t>
      </w:r>
      <w:r w:rsidR="00843018" w:rsidRPr="00F9563A">
        <w:rPr>
          <w:sz w:val="20"/>
          <w:szCs w:val="20"/>
        </w:rPr>
        <w:t>.</w:t>
      </w:r>
    </w:p>
    <w:p w14:paraId="006945BD" w14:textId="624EDA2A" w:rsidR="00540C4B" w:rsidRPr="007A36CD" w:rsidRDefault="00540C4B" w:rsidP="00F9563A">
      <w:pPr>
        <w:pStyle w:val="spaced6"/>
      </w:pPr>
      <w:r w:rsidRPr="007A36CD">
        <w:t>Each year from 201</w:t>
      </w:r>
      <w:r w:rsidR="00F9563A" w:rsidRPr="007A36CD">
        <w:t>4</w:t>
      </w:r>
      <w:r w:rsidRPr="007A36CD">
        <w:t xml:space="preserve"> to 202</w:t>
      </w:r>
      <w:r w:rsidR="00F9563A" w:rsidRPr="007A36CD">
        <w:t>3</w:t>
      </w:r>
      <w:r w:rsidR="7C0FEB54" w:rsidRPr="007A36CD">
        <w:t>,</w:t>
      </w:r>
      <w:r w:rsidR="007614DA" w:rsidRPr="007A36CD">
        <w:rPr>
          <w:rStyle w:val="FootnoteReference"/>
        </w:rPr>
        <w:footnoteReference w:id="30"/>
      </w:r>
      <w:r w:rsidR="7C0FEB54" w:rsidRPr="007A36CD">
        <w:t xml:space="preserve"> </w:t>
      </w:r>
      <w:r w:rsidRPr="007A36CD">
        <w:t>about half (4</w:t>
      </w:r>
      <w:r w:rsidR="007A36CD" w:rsidRPr="007A36CD">
        <w:t>3</w:t>
      </w:r>
      <w:r w:rsidRPr="007A36CD">
        <w:t xml:space="preserve">% to 54%) of </w:t>
      </w:r>
      <w:r w:rsidR="00CC03C5" w:rsidRPr="00CC03C5">
        <w:t>confirmed</w:t>
      </w:r>
      <w:r w:rsidR="00CC03C5">
        <w:t xml:space="preserve"> </w:t>
      </w:r>
      <w:r w:rsidRPr="007A36CD">
        <w:t xml:space="preserve">gonorrhea cases were reported among individuals aged 20–24 or 25–29 years. </w:t>
      </w:r>
    </w:p>
    <w:p w14:paraId="02D34287" w14:textId="7BD9FF57" w:rsidR="00540C4B" w:rsidRPr="00697529" w:rsidRDefault="00697529" w:rsidP="00540C4B">
      <w:pPr>
        <w:numPr>
          <w:ilvl w:val="0"/>
          <w:numId w:val="4"/>
        </w:numPr>
      </w:pPr>
      <w:r w:rsidRPr="00697529">
        <w:t xml:space="preserve">From 2014 to 2023, the largest increase in the number of </w:t>
      </w:r>
      <w:r w:rsidR="00CC03C5" w:rsidRPr="00CC03C5">
        <w:t>confirmed</w:t>
      </w:r>
      <w:r w:rsidRPr="00697529">
        <w:t xml:space="preserve"> gonorrhea cases was among individuals aged 30–39 years (by 3.7 times from 718 to 2,685)</w:t>
      </w:r>
      <w:r w:rsidR="00540C4B" w:rsidRPr="00697529">
        <w:t xml:space="preserve">. </w:t>
      </w:r>
    </w:p>
    <w:p w14:paraId="7F154DEA" w14:textId="0EAEE004" w:rsidR="00AA6A7E" w:rsidRPr="00234D05" w:rsidRDefault="00AA6A7E" w:rsidP="005C6590">
      <w:pPr>
        <w:rPr>
          <w:color w:val="FF0000"/>
          <w:szCs w:val="24"/>
        </w:rPr>
      </w:pPr>
      <w:r w:rsidRPr="00234D05">
        <w:rPr>
          <w:color w:val="FF0000"/>
          <w:szCs w:val="24"/>
        </w:rPr>
        <w:br w:type="page"/>
      </w:r>
    </w:p>
    <w:p w14:paraId="65D4B0C0" w14:textId="152A55D6" w:rsidR="00032500" w:rsidRPr="003752EC" w:rsidRDefault="00AA6A7E" w:rsidP="00AA6A7E">
      <w:pPr>
        <w:pStyle w:val="Heading2"/>
      </w:pPr>
      <w:bookmarkStart w:id="11" w:name="_Toc424949548"/>
      <w:r>
        <w:lastRenderedPageBreak/>
        <w:t>GONORRHEA BY CITY/TOWN</w:t>
      </w:r>
      <w:bookmarkEnd w:id="11"/>
    </w:p>
    <w:p w14:paraId="32E35FAA" w14:textId="05647C1D" w:rsidR="00AA6A7E" w:rsidRPr="003752EC" w:rsidRDefault="239C8778" w:rsidP="00AA6A7E">
      <w:r w:rsidRPr="003752EC">
        <w:rPr>
          <w:b/>
          <w:bCs/>
        </w:rPr>
        <w:t xml:space="preserve">Figure </w:t>
      </w:r>
      <w:r w:rsidR="00540C4B" w:rsidRPr="003752EC">
        <w:rPr>
          <w:b/>
          <w:bCs/>
        </w:rPr>
        <w:t>8</w:t>
      </w:r>
      <w:r w:rsidRPr="003752EC">
        <w:rPr>
          <w:b/>
          <w:bCs/>
        </w:rPr>
        <w:t>.</w:t>
      </w:r>
      <w:r w:rsidRPr="003752EC">
        <w:t xml:space="preserve"> Incidence rate of confirmed gonorrhea cases per 100,000 population</w:t>
      </w:r>
      <w:r w:rsidR="008619CA" w:rsidRPr="003752EC">
        <w:t xml:space="preserve"> </w:t>
      </w:r>
      <w:r w:rsidRPr="003752EC">
        <w:t>reported by city/town, Massachusetts 202</w:t>
      </w:r>
      <w:r w:rsidR="003752EC" w:rsidRPr="003752EC">
        <w:t>3</w:t>
      </w:r>
    </w:p>
    <w:p w14:paraId="0F64D0D1" w14:textId="1559D2D6" w:rsidR="00032500" w:rsidRPr="00234D05" w:rsidRDefault="00E8762B" w:rsidP="7017D928">
      <w:pPr>
        <w:rPr>
          <w:color w:val="FF0000"/>
        </w:rPr>
      </w:pPr>
      <w:r>
        <w:rPr>
          <w:noProof/>
          <w:color w:val="FF0000"/>
          <w:shd w:val="clear" w:color="auto" w:fill="E6E6E6"/>
        </w:rPr>
        <w:drawing>
          <wp:inline distT="0" distB="0" distL="0" distR="0" wp14:anchorId="7C10C678" wp14:editId="12F6E760">
            <wp:extent cx="5962826" cy="3763108"/>
            <wp:effectExtent l="0" t="0" r="0" b="8890"/>
            <wp:docPr id="2131462057" name="Picture 2131462057" descr="The figure is a rate map of Massachusetts displaying the incidence rate of gonorrhea cases per 100,000 population by city/town. Cities and towns are in one of seven categories: no reported cases, less than or equal to 19 per 100,000, 20 - 39 per 100,000, 40 - 79 per 100,000, 80 - 199 per 100,000, or 200 - 299 per 100,000, and greater than or equal to 30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62057" name="Picture 1" descr="The figure is a rate map of Massachusetts displaying the incidence rate of gonorrhea cases per 100,000 population by city/town. Cities and towns are in one of seven categories: no reported cases, less than or equal to 19 per 100,000, 20 - 39 per 100,000, 40 - 79 per 100,000, 80 - 199 per 100,000, or 200 - 299 per 100,000, and greater than or equal to 300 per 100,00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6383" cy="3765353"/>
                    </a:xfrm>
                    <a:prstGeom prst="rect">
                      <a:avLst/>
                    </a:prstGeom>
                    <a:noFill/>
                  </pic:spPr>
                </pic:pic>
              </a:graphicData>
            </a:graphic>
          </wp:inline>
        </w:drawing>
      </w:r>
    </w:p>
    <w:p w14:paraId="3E58C269" w14:textId="3D9F114F" w:rsidR="52EDC52C" w:rsidRPr="00974AAC" w:rsidRDefault="52EDC52C" w:rsidP="2F702A1B">
      <w:pPr>
        <w:rPr>
          <w:sz w:val="20"/>
          <w:szCs w:val="20"/>
        </w:rPr>
      </w:pPr>
      <w:r w:rsidRPr="00974AAC">
        <w:rPr>
          <w:sz w:val="20"/>
          <w:szCs w:val="20"/>
          <w:vertAlign w:val="superscript"/>
        </w:rPr>
        <w:t xml:space="preserve">1 </w:t>
      </w:r>
      <w:r w:rsidRPr="00974AAC">
        <w:rPr>
          <w:sz w:val="20"/>
          <w:szCs w:val="20"/>
        </w:rPr>
        <w:t>Population based on University of Massachusetts Donahue Institute Estimates</w:t>
      </w:r>
    </w:p>
    <w:p w14:paraId="6CF2A724" w14:textId="059097C5" w:rsidR="008A29B3" w:rsidRPr="008A29B3" w:rsidRDefault="008A29B3" w:rsidP="00AA6A7E">
      <w:pPr>
        <w:rPr>
          <w:sz w:val="20"/>
          <w:szCs w:val="20"/>
        </w:rPr>
      </w:pPr>
      <w:r w:rsidRPr="008A29B3">
        <w:rPr>
          <w:sz w:val="20"/>
          <w:szCs w:val="20"/>
        </w:rPr>
        <w:t>There are two city/towns with &lt;10 cases of gonorrhea that fall within the top two rate categories (≥200 cases per 100,000): Chesterfield and Tyringham.</w:t>
      </w:r>
    </w:p>
    <w:p w14:paraId="202D0DD4" w14:textId="54982C91" w:rsidR="00AA6A7E" w:rsidRPr="00974AAC" w:rsidRDefault="00AA6A7E" w:rsidP="00AA6A7E">
      <w:pPr>
        <w:rPr>
          <w:sz w:val="20"/>
          <w:szCs w:val="20"/>
        </w:rPr>
      </w:pPr>
      <w:r w:rsidRPr="00974AAC">
        <w:rPr>
          <w:sz w:val="20"/>
          <w:szCs w:val="20"/>
        </w:rPr>
        <w:t>Note: regional data include individuals tested in a correctional facility.</w:t>
      </w:r>
    </w:p>
    <w:p w14:paraId="7B784100" w14:textId="303B659C" w:rsidR="00AA6A7E" w:rsidRPr="00974AAC" w:rsidRDefault="00AA6A7E" w:rsidP="00091FE6">
      <w:pPr>
        <w:spacing w:after="120"/>
        <w:rPr>
          <w:sz w:val="20"/>
          <w:szCs w:val="20"/>
        </w:rPr>
      </w:pPr>
      <w:r w:rsidRPr="00974AAC">
        <w:rPr>
          <w:sz w:val="20"/>
          <w:szCs w:val="20"/>
        </w:rPr>
        <w:t xml:space="preserve">Data Source: Bureau of Infectious Disease and Laboratory Sciences, data are current as of </w:t>
      </w:r>
      <w:r w:rsidR="00794545" w:rsidRPr="00974AAC">
        <w:rPr>
          <w:sz w:val="20"/>
          <w:szCs w:val="20"/>
        </w:rPr>
        <w:t>7/</w:t>
      </w:r>
      <w:r w:rsidR="007B78D6">
        <w:rPr>
          <w:sz w:val="20"/>
          <w:szCs w:val="20"/>
        </w:rPr>
        <w:t>22</w:t>
      </w:r>
      <w:r w:rsidR="00794545" w:rsidRPr="00974AAC">
        <w:rPr>
          <w:sz w:val="20"/>
          <w:szCs w:val="20"/>
        </w:rPr>
        <w:t>/202</w:t>
      </w:r>
      <w:r w:rsidR="007B78D6">
        <w:rPr>
          <w:sz w:val="20"/>
          <w:szCs w:val="20"/>
        </w:rPr>
        <w:t>4</w:t>
      </w:r>
      <w:r w:rsidRPr="00974AAC">
        <w:rPr>
          <w:sz w:val="20"/>
          <w:szCs w:val="20"/>
        </w:rPr>
        <w:t xml:space="preserve"> and subject to change</w:t>
      </w:r>
      <w:r w:rsidR="00B1580A" w:rsidRPr="00974AAC">
        <w:rPr>
          <w:sz w:val="20"/>
          <w:szCs w:val="20"/>
        </w:rPr>
        <w:t>.</w:t>
      </w:r>
    </w:p>
    <w:p w14:paraId="4FDBFF3F" w14:textId="0D027784" w:rsidR="00AA6A7E" w:rsidRPr="00960192" w:rsidRDefault="00CC03C5">
      <w:pPr>
        <w:pStyle w:val="spaced6"/>
      </w:pPr>
      <w:r>
        <w:t>Confirmed g</w:t>
      </w:r>
      <w:r w:rsidR="639A647D" w:rsidRPr="00960192">
        <w:t xml:space="preserve">onorrhea cases continued to be clustered in </w:t>
      </w:r>
      <w:r w:rsidR="02888166" w:rsidRPr="00960192">
        <w:t>the most populated cities</w:t>
      </w:r>
      <w:r w:rsidR="639A647D" w:rsidRPr="00960192">
        <w:t xml:space="preserve"> in Massachusetts in 202</w:t>
      </w:r>
      <w:r w:rsidR="00974AAC" w:rsidRPr="00960192">
        <w:t>3</w:t>
      </w:r>
      <w:r w:rsidR="639A647D" w:rsidRPr="00960192">
        <w:t>.</w:t>
      </w:r>
    </w:p>
    <w:p w14:paraId="45DBE842" w14:textId="118E692A" w:rsidR="00AA6A7E" w:rsidRDefault="525A09E0">
      <w:pPr>
        <w:pStyle w:val="spaced6"/>
      </w:pPr>
      <w:r w:rsidRPr="00960192">
        <w:t>The five cities</w:t>
      </w:r>
      <w:r w:rsidR="00271362" w:rsidRPr="00960192">
        <w:rPr>
          <w:rStyle w:val="FootnoteReference"/>
        </w:rPr>
        <w:footnoteReference w:id="31"/>
      </w:r>
      <w:r w:rsidRPr="00960192">
        <w:t xml:space="preserve"> with the highest incidence rates </w:t>
      </w:r>
      <w:r w:rsidR="00CC03C5">
        <w:t xml:space="preserve">of confirmed gonorrhea </w:t>
      </w:r>
      <w:r w:rsidRPr="00960192">
        <w:t>in 202</w:t>
      </w:r>
      <w:r w:rsidR="00974AAC" w:rsidRPr="00960192">
        <w:t>3</w:t>
      </w:r>
      <w:r w:rsidRPr="00960192">
        <w:t xml:space="preserve"> were Provincetown (</w:t>
      </w:r>
      <w:r w:rsidR="00960192" w:rsidRPr="00960192">
        <w:t>2,865.7 per 100,000</w:t>
      </w:r>
      <w:r w:rsidRPr="00960192">
        <w:t>),</w:t>
      </w:r>
      <w:r w:rsidR="00271362" w:rsidRPr="00960192">
        <w:rPr>
          <w:rStyle w:val="FootnoteReference"/>
        </w:rPr>
        <w:footnoteReference w:id="32"/>
      </w:r>
      <w:r w:rsidRPr="00960192">
        <w:t xml:space="preserve"> </w:t>
      </w:r>
      <w:r w:rsidR="00960192" w:rsidRPr="00960192">
        <w:t>Truro (489.0 per 100,000), Boston (412.8 per 100,000), Brockton (408.0 per 100,000), and Chelsea (328.5 per 100,000).</w:t>
      </w:r>
      <w:r w:rsidRPr="00960192">
        <w:t xml:space="preserve"> </w:t>
      </w:r>
    </w:p>
    <w:p w14:paraId="6229708D" w14:textId="60A177E6" w:rsidR="008B4190" w:rsidRPr="00974AAC" w:rsidRDefault="008B4190" w:rsidP="008B4190">
      <w:pPr>
        <w:pStyle w:val="spaced6"/>
      </w:pPr>
      <w:r w:rsidRPr="00974AAC">
        <w:t>In 2023,</w:t>
      </w:r>
      <w:r w:rsidRPr="00974AAC">
        <w:rPr>
          <w:rStyle w:val="FootnoteReference"/>
        </w:rPr>
        <w:footnoteReference w:id="33"/>
      </w:r>
      <w:r w:rsidRPr="00974AAC">
        <w:t xml:space="preserve"> the statewide incidence rate of</w:t>
      </w:r>
      <w:r w:rsidR="00CC03C5">
        <w:t xml:space="preserve"> confirmed </w:t>
      </w:r>
      <w:r w:rsidR="00CC03C5" w:rsidRPr="00974AAC">
        <w:t>gonorrhea</w:t>
      </w:r>
      <w:r w:rsidRPr="00974AAC">
        <w:t xml:space="preserve"> </w:t>
      </w:r>
      <w:r w:rsidR="00CC03C5">
        <w:t xml:space="preserve">of </w:t>
      </w:r>
      <w:r w:rsidRPr="00974AAC">
        <w:t>139.1 per 100,000 population was lower than the 2022 national rate of 194.4 per 100,000.</w:t>
      </w:r>
      <w:r w:rsidRPr="00974AAC">
        <w:rPr>
          <w:rStyle w:val="FootnoteReference"/>
        </w:rPr>
        <w:t xml:space="preserve"> </w:t>
      </w:r>
      <w:r w:rsidRPr="00974AAC">
        <w:rPr>
          <w:rStyle w:val="FootnoteReference"/>
        </w:rPr>
        <w:footnoteReference w:id="34"/>
      </w:r>
    </w:p>
    <w:p w14:paraId="6838B29F" w14:textId="6D7F1CDA" w:rsidR="008B4190" w:rsidRPr="00960192" w:rsidRDefault="008B4190" w:rsidP="008B4190">
      <w:pPr>
        <w:pStyle w:val="spaced6"/>
        <w:numPr>
          <w:ilvl w:val="1"/>
          <w:numId w:val="4"/>
        </w:numPr>
      </w:pPr>
      <w:r>
        <w:lastRenderedPageBreak/>
        <w:t>While Mississippi ranked first and Vermont ranked 50</w:t>
      </w:r>
      <w:r w:rsidRPr="6CD43B22">
        <w:rPr>
          <w:vertAlign w:val="superscript"/>
        </w:rPr>
        <w:t>th</w:t>
      </w:r>
      <w:r>
        <w:t xml:space="preserve">, </w:t>
      </w:r>
      <w:r w:rsidRPr="003752EC">
        <w:t>Massachusetts ranked 38th in gonorrhea incidence rate among the 50 states in 2022, the last year for which these national data are publicly available.</w:t>
      </w:r>
      <w:r w:rsidRPr="003752EC">
        <w:rPr>
          <w:rStyle w:val="FootnoteReference"/>
        </w:rPr>
        <w:footnoteReference w:id="35"/>
      </w:r>
    </w:p>
    <w:p w14:paraId="4718FD12" w14:textId="66232413" w:rsidR="00540C4B" w:rsidRPr="00234D05" w:rsidRDefault="00214D30" w:rsidP="00540C4B">
      <w:pPr>
        <w:pStyle w:val="Heading2"/>
        <w:rPr>
          <w:color w:val="FF0000"/>
        </w:rPr>
      </w:pPr>
      <w:bookmarkStart w:id="12" w:name="_Toc231739001"/>
      <w:r w:rsidRPr="1D5D99FC">
        <w:rPr>
          <w:color w:val="FF0000"/>
        </w:rPr>
        <w:br w:type="page"/>
      </w:r>
      <w:r w:rsidR="18CF13D8">
        <w:lastRenderedPageBreak/>
        <w:t>SVI AMONG GONORRHEA CASES BY CITY/TOWN</w:t>
      </w:r>
      <w:bookmarkEnd w:id="12"/>
    </w:p>
    <w:p w14:paraId="567A2678" w14:textId="5BCFC72A" w:rsidR="00540C4B" w:rsidRPr="00A7169C" w:rsidRDefault="00540C4B" w:rsidP="00540C4B">
      <w:pPr>
        <w:rPr>
          <w:szCs w:val="24"/>
        </w:rPr>
      </w:pPr>
      <w:r w:rsidRPr="00A7169C">
        <w:rPr>
          <w:b/>
          <w:bCs/>
          <w:szCs w:val="24"/>
        </w:rPr>
        <w:t xml:space="preserve">Figure 9. </w:t>
      </w:r>
      <w:r w:rsidRPr="00A7169C">
        <w:rPr>
          <w:szCs w:val="24"/>
        </w:rPr>
        <w:t>Median overall Social Vulnerability Index (SVI) by city/town for confirmed gonorrhea cases, Massachusetts 202</w:t>
      </w:r>
      <w:r w:rsidR="00A7169C" w:rsidRPr="00A7169C">
        <w:rPr>
          <w:szCs w:val="24"/>
        </w:rPr>
        <w:t>3</w:t>
      </w:r>
    </w:p>
    <w:p w14:paraId="12D418AA" w14:textId="46207342" w:rsidR="00540C4B" w:rsidRPr="00086AB0" w:rsidRDefault="00540C4B" w:rsidP="005C6590"/>
    <w:p w14:paraId="2E86736E" w14:textId="5B9E1FE2" w:rsidR="00540C4B" w:rsidRPr="00086AB0" w:rsidRDefault="7BCC871E" w:rsidP="00540C4B">
      <w:pPr>
        <w:rPr>
          <w:sz w:val="20"/>
          <w:szCs w:val="20"/>
        </w:rPr>
      </w:pPr>
      <w:r>
        <w:rPr>
          <w:noProof/>
        </w:rPr>
        <w:drawing>
          <wp:inline distT="0" distB="0" distL="0" distR="0" wp14:anchorId="3B310BC6" wp14:editId="6AA6212B">
            <wp:extent cx="6400800" cy="4038600"/>
            <wp:effectExtent l="0" t="0" r="0" b="0"/>
            <wp:docPr id="403184928" name="Picture 403184928" descr="The figure is a map of Massachusetts displaying the Median overall Social Vulnerability Index (SVI) by city/town. The SVI index ranges from 00.00 to 1.00, with increasing darkness in blue color indicating higher SVI index. Cities with no reported cases are white. SVI rankings were grouped into quartiles (low, &lt;0.25; mid low, 0.25 - &lt;0.5; mid high, 0.5 - &lt;0.75; high &gt;0.7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84928" name="Picture 403184928" descr="The figure is a map of Massachusetts displaying the Median overall Social Vulnerability Index (SVI) by city/town. The SVI index ranges from 00.00 to 1.00, with increasing darkness in blue color indicating higher SVI index. Cities with no reported cases are white. SVI rankings were grouped into quartiles (low, &lt;0.25; mid low, 0.25 - &lt;0.5; mid high, 0.5 - &lt;0.75; high &gt;0.75).&#10;&#10;"/>
                    <pic:cNvPicPr/>
                  </pic:nvPicPr>
                  <pic:blipFill>
                    <a:blip r:embed="rId32">
                      <a:extLst>
                        <a:ext uri="{28A0092B-C50C-407E-A947-70E740481C1C}">
                          <a14:useLocalDpi xmlns:a14="http://schemas.microsoft.com/office/drawing/2010/main" val="0"/>
                        </a:ext>
                      </a:extLst>
                    </a:blip>
                    <a:stretch>
                      <a:fillRect/>
                    </a:stretch>
                  </pic:blipFill>
                  <pic:spPr>
                    <a:xfrm>
                      <a:off x="0" y="0"/>
                      <a:ext cx="6400800" cy="4038600"/>
                    </a:xfrm>
                    <a:prstGeom prst="rect">
                      <a:avLst/>
                    </a:prstGeom>
                  </pic:spPr>
                </pic:pic>
              </a:graphicData>
            </a:graphic>
          </wp:inline>
        </w:drawing>
      </w:r>
      <w:r w:rsidR="3CB1020B" w:rsidRPr="00086AB0">
        <w:rPr>
          <w:sz w:val="20"/>
          <w:szCs w:val="20"/>
        </w:rPr>
        <w:t>Note: Census tract level overall SVI values for 2020 were obtained from the CDC/Agency for Toxic Substance and Disease Registry and assigned to all cases based on their street address at diagnosis</w:t>
      </w:r>
      <w:r w:rsidR="7C02F0D6" w:rsidRPr="00086AB0">
        <w:rPr>
          <w:sz w:val="20"/>
          <w:szCs w:val="20"/>
        </w:rPr>
        <w:t xml:space="preserve">, </w:t>
      </w:r>
      <w:r w:rsidR="00E642EB" w:rsidRPr="00086AB0">
        <w:rPr>
          <w:sz w:val="20"/>
          <w:szCs w:val="20"/>
        </w:rPr>
        <w:t>338</w:t>
      </w:r>
      <w:r w:rsidR="7C02F0D6" w:rsidRPr="00086AB0">
        <w:rPr>
          <w:sz w:val="20"/>
          <w:szCs w:val="20"/>
        </w:rPr>
        <w:t xml:space="preserve"> cases were excluded from this analysis because address was unknown or the</w:t>
      </w:r>
      <w:r w:rsidR="6689B7EF" w:rsidRPr="00086AB0">
        <w:rPr>
          <w:sz w:val="20"/>
          <w:szCs w:val="20"/>
        </w:rPr>
        <w:t xml:space="preserve"> individuals</w:t>
      </w:r>
      <w:r w:rsidR="7C02F0D6" w:rsidRPr="00086AB0">
        <w:rPr>
          <w:sz w:val="20"/>
          <w:szCs w:val="20"/>
        </w:rPr>
        <w:t xml:space="preserve"> were homeless</w:t>
      </w:r>
      <w:r w:rsidR="3CB1020B" w:rsidRPr="00086AB0">
        <w:rPr>
          <w:sz w:val="20"/>
          <w:szCs w:val="20"/>
        </w:rPr>
        <w:t>. City/Town level median is calculated from the median SVI score for that city/town among gonorrhea cases. Values range from 0 to 1, with higher values implying greater social vulnerability. Map should be interpreted with caution as it displays median SVI scores for cities/towns with one or more cases.</w:t>
      </w:r>
    </w:p>
    <w:p w14:paraId="77071395" w14:textId="0073AD34" w:rsidR="00540C4B" w:rsidRPr="00086AB0" w:rsidRDefault="00540C4B" w:rsidP="00540C4B">
      <w:pPr>
        <w:rPr>
          <w:sz w:val="20"/>
          <w:szCs w:val="20"/>
        </w:rPr>
      </w:pPr>
      <w:r w:rsidRPr="00086AB0">
        <w:rPr>
          <w:sz w:val="20"/>
          <w:szCs w:val="20"/>
        </w:rPr>
        <w:t xml:space="preserve">Data Sources: CDC/Agency for Toxic Substance and Disease, Bureau of Infectious Disease and Laboratory Sciences, data are </w:t>
      </w:r>
      <w:r w:rsidR="009F7C6D" w:rsidRPr="00086AB0">
        <w:rPr>
          <w:sz w:val="20"/>
          <w:szCs w:val="20"/>
        </w:rPr>
        <w:t>current as of 7/22/2024</w:t>
      </w:r>
      <w:r w:rsidRPr="00086AB0">
        <w:rPr>
          <w:sz w:val="20"/>
          <w:szCs w:val="20"/>
        </w:rPr>
        <w:t xml:space="preserve"> and subject to </w:t>
      </w:r>
      <w:r w:rsidR="00566AE2" w:rsidRPr="00086AB0">
        <w:rPr>
          <w:sz w:val="20"/>
          <w:szCs w:val="20"/>
        </w:rPr>
        <w:t>change.</w:t>
      </w:r>
    </w:p>
    <w:p w14:paraId="6CB8143D" w14:textId="77777777" w:rsidR="00540C4B" w:rsidRPr="00086AB0" w:rsidRDefault="00540C4B" w:rsidP="005C6590">
      <w:pPr>
        <w:rPr>
          <w:szCs w:val="24"/>
        </w:rPr>
      </w:pPr>
    </w:p>
    <w:p w14:paraId="273C12C0" w14:textId="7101700E" w:rsidR="00086AB0" w:rsidRPr="00086AB0" w:rsidRDefault="18CF13D8" w:rsidP="00F84E3A">
      <w:pPr>
        <w:numPr>
          <w:ilvl w:val="0"/>
          <w:numId w:val="45"/>
        </w:numPr>
        <w:spacing w:after="120"/>
      </w:pPr>
      <w:r w:rsidRPr="00086AB0">
        <w:t>In 202</w:t>
      </w:r>
      <w:r w:rsidR="00086AB0" w:rsidRPr="00086AB0">
        <w:t>3</w:t>
      </w:r>
      <w:r w:rsidRPr="00086AB0">
        <w:t>,</w:t>
      </w:r>
      <w:r w:rsidRPr="00086AB0">
        <w:rPr>
          <w:rStyle w:val="FootnoteReference"/>
        </w:rPr>
        <w:t xml:space="preserve"> </w:t>
      </w:r>
      <w:r w:rsidR="00540C4B" w:rsidRPr="00086AB0">
        <w:rPr>
          <w:rStyle w:val="FootnoteReference"/>
        </w:rPr>
        <w:footnoteReference w:id="36"/>
      </w:r>
      <w:r w:rsidRPr="00086AB0">
        <w:t xml:space="preserve"> the median SVI score among confirmed gonorrhea cases in Massachusetts </w:t>
      </w:r>
      <w:r w:rsidR="00086AB0" w:rsidRPr="00086AB0">
        <w:t>0.739, which would be categorized as moderately highly vulnerable.</w:t>
      </w:r>
    </w:p>
    <w:p w14:paraId="6679BB31" w14:textId="07044C47" w:rsidR="00540C4B" w:rsidRPr="00086AB0" w:rsidRDefault="00086AB0" w:rsidP="00F84E3A">
      <w:pPr>
        <w:numPr>
          <w:ilvl w:val="0"/>
          <w:numId w:val="45"/>
        </w:numPr>
        <w:spacing w:after="120"/>
        <w:rPr>
          <w:szCs w:val="24"/>
        </w:rPr>
      </w:pPr>
      <w:r w:rsidRPr="00086AB0">
        <w:t>The five cities with the highest SVI scores (i.e., the most highly vulnerable) among confirmed gonorrhea cases in 2023 were Lawrence (0.952), Holyoke (0.938), Milford (0.911), Chelsea (0.910), and Springfield (0.894)</w:t>
      </w:r>
      <w:r w:rsidR="00540C4B" w:rsidRPr="00086AB0">
        <w:rPr>
          <w:szCs w:val="24"/>
        </w:rPr>
        <w:t>.</w:t>
      </w:r>
    </w:p>
    <w:p w14:paraId="0A88AA9B" w14:textId="77777777" w:rsidR="00540C4B" w:rsidRPr="00234D05" w:rsidRDefault="00540C4B" w:rsidP="005C6590">
      <w:pPr>
        <w:rPr>
          <w:color w:val="FF0000"/>
          <w:szCs w:val="24"/>
        </w:rPr>
      </w:pPr>
    </w:p>
    <w:p w14:paraId="103E08DC" w14:textId="7D87055D" w:rsidR="00214D30" w:rsidRPr="00234D05" w:rsidRDefault="00540C4B" w:rsidP="005C6590">
      <w:pPr>
        <w:rPr>
          <w:color w:val="FF0000"/>
          <w:szCs w:val="24"/>
        </w:rPr>
      </w:pPr>
      <w:r w:rsidRPr="00234D05">
        <w:rPr>
          <w:color w:val="FF0000"/>
          <w:szCs w:val="24"/>
        </w:rPr>
        <w:br w:type="page"/>
      </w:r>
    </w:p>
    <w:p w14:paraId="03C8518E" w14:textId="75CC7F6E" w:rsidR="00AA6A7E" w:rsidRPr="000A18A8" w:rsidRDefault="00936271" w:rsidP="38A4F72D">
      <w:pPr>
        <w:pStyle w:val="Heading1"/>
        <w:rPr>
          <w:b w:val="0"/>
        </w:rPr>
      </w:pPr>
      <w:bookmarkStart w:id="13" w:name="_Toc1161395594"/>
      <w:r>
        <w:lastRenderedPageBreak/>
        <w:t>SYPHILIS</w:t>
      </w:r>
      <w:bookmarkEnd w:id="13"/>
    </w:p>
    <w:p w14:paraId="4141889C" w14:textId="584F60D9" w:rsidR="00936271" w:rsidRPr="000A18A8" w:rsidRDefault="00936271" w:rsidP="00936271">
      <w:pPr>
        <w:pStyle w:val="Heading2"/>
      </w:pPr>
      <w:bookmarkStart w:id="14" w:name="_Toc1877476778"/>
      <w:r>
        <w:t>SYPHILIS BY GENDER</w:t>
      </w:r>
      <w:bookmarkEnd w:id="14"/>
    </w:p>
    <w:p w14:paraId="2882D72C" w14:textId="42B74788" w:rsidR="00936271" w:rsidRPr="000A18A8" w:rsidRDefault="00BF5623" w:rsidP="00936271">
      <w:pPr>
        <w:rPr>
          <w:color w:val="3333FF"/>
        </w:rPr>
      </w:pPr>
      <w:r w:rsidRPr="000A18A8">
        <w:t>Syphilis is a sexually transmitted infection that can be spread through sexual contact with an infected person. The first symptom of syphilis infection is a sore or chancre at the site of inoculation that is usually firm, round, and painless. The most recognized symptom of the second stage of infection is a body rash which can be present on the palms of hands and soles of feet. As with primary syphilis symptoms, secondary symptoms also resolve with or without treatment. After the secondary stage of syphilis, untreated infected individuals enter a time of latent syphilis that can last for years. Individuals with syphilis are thought to be most infectious for the first year after acquisition. Syphilis infection can also be transmitted to an infant during pregnancy and birth. Syphilis transmission to an unborn baby is a serious complication of syphilis infection among pregnant individuals.</w:t>
      </w:r>
      <w:r w:rsidR="000A18A8" w:rsidRPr="000A18A8">
        <w:t xml:space="preserve"> From 2019 to 2023, the annual number of </w:t>
      </w:r>
      <w:r w:rsidR="00857148">
        <w:t xml:space="preserve">confirmed and </w:t>
      </w:r>
      <w:r w:rsidR="000A18A8" w:rsidRPr="000A18A8">
        <w:t>probable cases of congenital syphilis diagnosed in Massachusetts ranged from nine to fourteen after remaining between zero and four from 2011 to 2018</w:t>
      </w:r>
      <w:r w:rsidRPr="000A18A8">
        <w:t>. Syphilis is treatable and it is possible to be re-infected with repeated exposure. For more information</w:t>
      </w:r>
      <w:r w:rsidR="007F4F6F" w:rsidRPr="000A18A8">
        <w:t>,</w:t>
      </w:r>
      <w:r w:rsidRPr="000A18A8">
        <w:t xml:space="preserve"> see </w:t>
      </w:r>
      <w:hyperlink r:id="rId33">
        <w:r w:rsidR="03E03252" w:rsidRPr="000A18A8">
          <w:rPr>
            <w:rStyle w:val="Hyperlink"/>
            <w:color w:val="3333FF"/>
          </w:rPr>
          <w:t>https://www.cdc.gov/std/syphilis/stdfact-syphilis-detailed.htm</w:t>
        </w:r>
      </w:hyperlink>
      <w:r w:rsidR="03E03252" w:rsidRPr="000A18A8">
        <w:rPr>
          <w:color w:val="3333FF"/>
        </w:rPr>
        <w:t xml:space="preserve"> </w:t>
      </w:r>
    </w:p>
    <w:p w14:paraId="60111BEC" w14:textId="47518624" w:rsidR="00BB1D78" w:rsidRPr="00234D05" w:rsidRDefault="00BB1D78" w:rsidP="005C6590">
      <w:pPr>
        <w:rPr>
          <w:color w:val="FF0000"/>
          <w:szCs w:val="24"/>
        </w:rPr>
      </w:pPr>
    </w:p>
    <w:p w14:paraId="72B8249C" w14:textId="411A407D" w:rsidR="00936271" w:rsidRPr="000A18A8" w:rsidRDefault="00936271" w:rsidP="00936271">
      <w:r w:rsidRPr="06A3C928">
        <w:rPr>
          <w:b/>
          <w:bCs/>
        </w:rPr>
        <w:t xml:space="preserve">Figure </w:t>
      </w:r>
      <w:r w:rsidR="00BF5623" w:rsidRPr="06A3C928">
        <w:rPr>
          <w:b/>
          <w:bCs/>
        </w:rPr>
        <w:t>10</w:t>
      </w:r>
      <w:r w:rsidRPr="06A3C928">
        <w:rPr>
          <w:b/>
          <w:bCs/>
        </w:rPr>
        <w:t xml:space="preserve">. </w:t>
      </w:r>
      <w:r>
        <w:t xml:space="preserve">Number of confirmed and probable infectious syphilis cases reported by gender, Massachusetts </w:t>
      </w:r>
      <w:r w:rsidR="00F446E3">
        <w:t>2014–2023</w:t>
      </w:r>
    </w:p>
    <w:p w14:paraId="3A241D37" w14:textId="4089E21C" w:rsidR="000A5FB0" w:rsidRPr="00234D05" w:rsidRDefault="00936271" w:rsidP="7017D928">
      <w:pPr>
        <w:rPr>
          <w:color w:val="FF0000"/>
          <w:sz w:val="20"/>
          <w:szCs w:val="20"/>
        </w:rPr>
      </w:pPr>
      <w:r w:rsidRPr="00234D05">
        <w:rPr>
          <w:rFonts w:ascii="Arial Narrow" w:eastAsiaTheme="minorEastAsia" w:hAnsi="Arial Narrow"/>
          <w:color w:val="FF0000"/>
          <w:kern w:val="24"/>
          <w:sz w:val="16"/>
          <w:szCs w:val="16"/>
        </w:rPr>
        <w:t xml:space="preserve"> </w:t>
      </w:r>
    </w:p>
    <w:p w14:paraId="539D54E2" w14:textId="6B8CD8E8" w:rsidR="000A5FB0" w:rsidRPr="009F391B" w:rsidRDefault="07205540" w:rsidP="000A5FB0">
      <w:pPr>
        <w:rPr>
          <w:sz w:val="20"/>
          <w:szCs w:val="20"/>
        </w:rPr>
      </w:pPr>
      <w:r>
        <w:rPr>
          <w:noProof/>
        </w:rPr>
        <w:drawing>
          <wp:inline distT="0" distB="0" distL="0" distR="0" wp14:anchorId="41FE1715" wp14:editId="02A4887E">
            <wp:extent cx="6328196" cy="4291956"/>
            <wp:effectExtent l="0" t="0" r="0" b="0"/>
            <wp:docPr id="464897032" name="Picture 464897032" descr="The figure is a trendline graph displaying the number of infectious syphilis cases for four groups (male gender, female gender, transgender/nonbinary and statewide total)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97032" name="Picture 464897032" descr="The figure is a trendline graph displaying the number of infectious syphilis cases for four groups (male gender, female gender, transgender/nonbinary and statewide total) for each year of the ten-year period.&#10;"/>
                    <pic:cNvPicPr/>
                  </pic:nvPicPr>
                  <pic:blipFill>
                    <a:blip r:embed="rId34">
                      <a:extLst>
                        <a:ext uri="{28A0092B-C50C-407E-A947-70E740481C1C}">
                          <a14:useLocalDpi xmlns:a14="http://schemas.microsoft.com/office/drawing/2010/main" val="0"/>
                        </a:ext>
                      </a:extLst>
                    </a:blip>
                    <a:stretch>
                      <a:fillRect/>
                    </a:stretch>
                  </pic:blipFill>
                  <pic:spPr>
                    <a:xfrm>
                      <a:off x="0" y="0"/>
                      <a:ext cx="6328196" cy="4291956"/>
                    </a:xfrm>
                    <a:prstGeom prst="rect">
                      <a:avLst/>
                    </a:prstGeom>
                  </pic:spPr>
                </pic:pic>
              </a:graphicData>
            </a:graphic>
          </wp:inline>
        </w:drawing>
      </w:r>
      <w:r w:rsidR="000A5FB0" w:rsidRPr="009F391B">
        <w:rPr>
          <w:sz w:val="20"/>
          <w:szCs w:val="20"/>
        </w:rPr>
        <w:t>Note: Cases with no gender reported (</w:t>
      </w:r>
      <w:r w:rsidR="00F446E3" w:rsidRPr="009F391B">
        <w:rPr>
          <w:sz w:val="20"/>
          <w:szCs w:val="20"/>
        </w:rPr>
        <w:t>2014–2023</w:t>
      </w:r>
      <w:r w:rsidR="000A5FB0" w:rsidRPr="009F391B">
        <w:rPr>
          <w:sz w:val="20"/>
          <w:szCs w:val="20"/>
        </w:rPr>
        <w:t xml:space="preserve">: N=3) are included in the statewide total but are not depicted in Figure 10 separately due to small numbers. Data Source: Bureau of Infectious Disease and Laboratory Sciences, data are </w:t>
      </w:r>
      <w:r w:rsidR="009F7C6D" w:rsidRPr="009F391B">
        <w:rPr>
          <w:sz w:val="20"/>
          <w:szCs w:val="20"/>
        </w:rPr>
        <w:t>current as of 7/22/2024</w:t>
      </w:r>
      <w:r w:rsidR="000A5FB0" w:rsidRPr="009F391B">
        <w:rPr>
          <w:sz w:val="20"/>
          <w:szCs w:val="20"/>
        </w:rPr>
        <w:t xml:space="preserve"> and subject to </w:t>
      </w:r>
      <w:r w:rsidR="007F4F6F" w:rsidRPr="009F391B">
        <w:rPr>
          <w:sz w:val="20"/>
          <w:szCs w:val="20"/>
        </w:rPr>
        <w:t>change.</w:t>
      </w:r>
    </w:p>
    <w:p w14:paraId="71C3EF23" w14:textId="55CE36D8" w:rsidR="00936271" w:rsidRPr="00234D05" w:rsidRDefault="00936271" w:rsidP="00936271">
      <w:pPr>
        <w:rPr>
          <w:color w:val="FF0000"/>
          <w:sz w:val="20"/>
          <w:szCs w:val="20"/>
        </w:rPr>
      </w:pPr>
    </w:p>
    <w:p w14:paraId="75C1CF96" w14:textId="74D189DE" w:rsidR="000A5FB0" w:rsidRPr="00EA542E" w:rsidRDefault="009F391B" w:rsidP="000A5FB0">
      <w:pPr>
        <w:pStyle w:val="spaced6"/>
        <w:rPr>
          <w:rFonts w:ascii="Calibri" w:eastAsia="Calibri" w:hAnsi="Calibri" w:cs="Calibri"/>
        </w:rPr>
      </w:pPr>
      <w:r w:rsidRPr="00EA542E">
        <w:t>The total number of reported confirmed and probable infectious syphilis cases</w:t>
      </w:r>
      <w:r w:rsidRPr="00EA542E">
        <w:rPr>
          <w:rStyle w:val="FootnoteReference"/>
        </w:rPr>
        <w:footnoteReference w:id="37"/>
      </w:r>
      <w:r w:rsidRPr="00EA542E">
        <w:t xml:space="preserve"> increased to a ten-year high of 1,579 in 2022 and subsequently decreased to 1,449 in 2023</w:t>
      </w:r>
      <w:r w:rsidR="000A5FB0" w:rsidRPr="00EA542E">
        <w:t>.</w:t>
      </w:r>
      <w:r w:rsidR="00936271" w:rsidRPr="00EA542E">
        <w:rPr>
          <w:rStyle w:val="FootnoteReference"/>
        </w:rPr>
        <w:footnoteReference w:id="38"/>
      </w:r>
      <w:r w:rsidR="48CB3582" w:rsidRPr="00EA542E">
        <w:rPr>
          <w:rStyle w:val="FootnoteReference"/>
        </w:rPr>
        <w:t xml:space="preserve"> </w:t>
      </w:r>
      <w:r w:rsidR="0D1CAA86" w:rsidRPr="00EA542E">
        <w:t xml:space="preserve"> </w:t>
      </w:r>
      <w:r w:rsidR="00EA542E" w:rsidRPr="00EA542E">
        <w:rPr>
          <w:rFonts w:ascii="Calibri" w:eastAsia="Calibri" w:hAnsi="Calibri" w:cs="Calibri"/>
        </w:rPr>
        <w:t>A ten-year high was observed in 2022 among males (N=1,342) and in 2023 among females (N=211)</w:t>
      </w:r>
      <w:r w:rsidR="000A5FB0" w:rsidRPr="00EA542E">
        <w:rPr>
          <w:rFonts w:ascii="Calibri" w:eastAsia="Calibri" w:hAnsi="Calibri" w:cs="Calibri"/>
        </w:rPr>
        <w:t xml:space="preserve">. </w:t>
      </w:r>
    </w:p>
    <w:p w14:paraId="56B05190" w14:textId="1F467700" w:rsidR="00EA542E" w:rsidRPr="00EA542E" w:rsidRDefault="00EA542E" w:rsidP="00EA542E">
      <w:pPr>
        <w:numPr>
          <w:ilvl w:val="0"/>
          <w:numId w:val="4"/>
        </w:numPr>
        <w:spacing w:after="120"/>
      </w:pPr>
      <w:r w:rsidRPr="00EA542E">
        <w:t xml:space="preserve">The total number of </w:t>
      </w:r>
      <w:r w:rsidR="05C1F146">
        <w:t>confirmed and probable</w:t>
      </w:r>
      <w:r>
        <w:t xml:space="preserve"> </w:t>
      </w:r>
      <w:r w:rsidRPr="00EA542E">
        <w:t xml:space="preserve">infectious syphilis cases increased by 2.4 times from 2014 (N=600) to 2023 (N=1,449). In the most recent five years from 2019 to 2023 the number of cases increased by 16% (from 1,244 to 1,449). </w:t>
      </w:r>
    </w:p>
    <w:p w14:paraId="4535E797" w14:textId="123A532C" w:rsidR="00EA542E" w:rsidRPr="00AB66EC" w:rsidRDefault="00EA542E" w:rsidP="00EA542E">
      <w:pPr>
        <w:numPr>
          <w:ilvl w:val="0"/>
          <w:numId w:val="4"/>
        </w:numPr>
        <w:spacing w:after="120"/>
      </w:pPr>
      <w:r w:rsidRPr="00EA542E">
        <w:t xml:space="preserve">Between 2014 and 2023, the proportion of </w:t>
      </w:r>
      <w:r w:rsidR="47F14DB9">
        <w:t xml:space="preserve">confirmed and probable infectious </w:t>
      </w:r>
      <w:r w:rsidRPr="00EA542E">
        <w:t>syphilis cases among males remained between 81% and 94% each year. In 2023, there were 5.6 times as many syphilis cases reported among males (N=1,180) as among females (N=211).</w:t>
      </w:r>
    </w:p>
    <w:p w14:paraId="1D93F16A" w14:textId="2CAB486C" w:rsidR="002F56FF" w:rsidRPr="00AB66EC" w:rsidRDefault="00EA542E" w:rsidP="00AB66EC">
      <w:pPr>
        <w:pStyle w:val="spaced6"/>
      </w:pPr>
      <w:r w:rsidRPr="00AB66EC">
        <w:t xml:space="preserve">In 2023, 58 </w:t>
      </w:r>
      <w:r w:rsidR="206A4482" w:rsidRPr="00AB66EC">
        <w:t>confirmed and probable infectious</w:t>
      </w:r>
      <w:r w:rsidRPr="00AB66EC">
        <w:t xml:space="preserve"> syphilis cases were reported among individuals of transgender experience and/or nonbinary individuals.</w:t>
      </w:r>
      <w:r w:rsidRPr="00AB66EC">
        <w:rPr>
          <w:rStyle w:val="FootnoteReference"/>
        </w:rPr>
        <w:footnoteReference w:id="39"/>
      </w:r>
      <w:r w:rsidRPr="00AB66EC">
        <w:t xml:space="preserve"> </w:t>
      </w:r>
      <w:r w:rsidR="002F56FF" w:rsidRPr="00AB66EC">
        <w:br w:type="page"/>
      </w:r>
    </w:p>
    <w:p w14:paraId="0A22CA96" w14:textId="43C3955B" w:rsidR="00936271" w:rsidRPr="00F94053" w:rsidRDefault="002F56FF" w:rsidP="38A4F72D">
      <w:pPr>
        <w:pStyle w:val="Heading2"/>
      </w:pPr>
      <w:bookmarkStart w:id="15" w:name="_Toc1585710730"/>
      <w:r>
        <w:lastRenderedPageBreak/>
        <w:t>SYPHILIS BY AGE</w:t>
      </w:r>
      <w:bookmarkEnd w:id="15"/>
    </w:p>
    <w:p w14:paraId="3EA56899" w14:textId="21EC9B58" w:rsidR="002F56FF" w:rsidRPr="00F94053" w:rsidRDefault="14856048" w:rsidP="002F56FF">
      <w:r w:rsidRPr="00F94053">
        <w:rPr>
          <w:b/>
          <w:bCs/>
        </w:rPr>
        <w:t xml:space="preserve">Figure </w:t>
      </w:r>
      <w:r w:rsidR="00265838" w:rsidRPr="00F94053">
        <w:rPr>
          <w:b/>
          <w:bCs/>
        </w:rPr>
        <w:t>11</w:t>
      </w:r>
      <w:r w:rsidRPr="00F94053">
        <w:rPr>
          <w:b/>
          <w:bCs/>
        </w:rPr>
        <w:t xml:space="preserve">. </w:t>
      </w:r>
      <w:r w:rsidRPr="00F94053">
        <w:t>Number of confirmed and probable infectious syphilis</w:t>
      </w:r>
      <w:r w:rsidR="00446A17" w:rsidRPr="00F94053">
        <w:rPr>
          <w:rStyle w:val="FootnoteReference"/>
        </w:rPr>
        <w:footnoteReference w:id="40"/>
      </w:r>
      <w:r w:rsidRPr="00F94053">
        <w:t xml:space="preserve"> cases reported by age group (years), Massachusetts </w:t>
      </w:r>
      <w:r w:rsidR="00F446E3" w:rsidRPr="00F94053">
        <w:t>2014–2023</w:t>
      </w:r>
    </w:p>
    <w:p w14:paraId="4145A65D" w14:textId="5C483BA4" w:rsidR="002F56FF" w:rsidRPr="00234D05" w:rsidRDefault="00AB66EC" w:rsidP="002F56FF">
      <w:pPr>
        <w:rPr>
          <w:color w:val="FF0000"/>
        </w:rPr>
      </w:pPr>
      <w:r>
        <w:rPr>
          <w:noProof/>
          <w:color w:val="FF0000"/>
        </w:rPr>
        <w:drawing>
          <wp:inline distT="0" distB="0" distL="0" distR="0" wp14:anchorId="146A03E8" wp14:editId="2947F6AB">
            <wp:extent cx="6279515" cy="5017135"/>
            <wp:effectExtent l="0" t="0" r="0" b="0"/>
            <wp:docPr id="655487824" name="Picture 3" descr="The figure is a stacked bar chart displaying trends in the annual number of syphilis cases for seven age groups (&lt;15, 15-19, 20-24, 25-29, 30-39, 40-49, and 50+) for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87824" name="Picture 3" descr="The figure is a stacked bar chart displaying trends in the annual number of syphilis cases for seven age groups (&lt;15, 15-19, 20-24, 25-29, 30-39, 40-49, and 50+) for the ten-year period.&#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9515" cy="5017135"/>
                    </a:xfrm>
                    <a:prstGeom prst="rect">
                      <a:avLst/>
                    </a:prstGeom>
                    <a:noFill/>
                  </pic:spPr>
                </pic:pic>
              </a:graphicData>
            </a:graphic>
          </wp:inline>
        </w:drawing>
      </w:r>
    </w:p>
    <w:p w14:paraId="75F31171" w14:textId="77889B48" w:rsidR="00265838" w:rsidRPr="00F75A48" w:rsidRDefault="00265838" w:rsidP="00265838">
      <w:pPr>
        <w:rPr>
          <w:sz w:val="20"/>
          <w:szCs w:val="20"/>
        </w:rPr>
      </w:pPr>
      <w:r w:rsidRPr="00F75A48">
        <w:rPr>
          <w:sz w:val="20"/>
          <w:szCs w:val="20"/>
        </w:rPr>
        <w:t>Note: All syphilis cases from 201</w:t>
      </w:r>
      <w:r w:rsidR="00F75A48" w:rsidRPr="00F75A48">
        <w:rPr>
          <w:sz w:val="20"/>
          <w:szCs w:val="20"/>
        </w:rPr>
        <w:t>4</w:t>
      </w:r>
      <w:r w:rsidRPr="00F75A48">
        <w:rPr>
          <w:sz w:val="20"/>
          <w:szCs w:val="20"/>
        </w:rPr>
        <w:t xml:space="preserve"> to 202</w:t>
      </w:r>
      <w:r w:rsidR="00F75A48" w:rsidRPr="00F75A48">
        <w:rPr>
          <w:sz w:val="20"/>
          <w:szCs w:val="20"/>
        </w:rPr>
        <w:t>3</w:t>
      </w:r>
      <w:r w:rsidRPr="00F75A48">
        <w:rPr>
          <w:sz w:val="20"/>
          <w:szCs w:val="20"/>
        </w:rPr>
        <w:t xml:space="preserve"> were reported with age, none were excluded from this figure</w:t>
      </w:r>
    </w:p>
    <w:p w14:paraId="08F10CEF" w14:textId="21F5964B" w:rsidR="00265838" w:rsidRPr="00F75A48" w:rsidRDefault="00265838" w:rsidP="00265838">
      <w:pPr>
        <w:rPr>
          <w:sz w:val="20"/>
          <w:szCs w:val="20"/>
        </w:rPr>
      </w:pPr>
      <w:r w:rsidRPr="00F75A48">
        <w:rPr>
          <w:sz w:val="20"/>
          <w:szCs w:val="20"/>
        </w:rPr>
        <w:t xml:space="preserve">Data Source: Bureau of Infectious Disease and Laboratory Sciences, data are </w:t>
      </w:r>
      <w:r w:rsidR="009F7C6D" w:rsidRPr="00F75A48">
        <w:rPr>
          <w:sz w:val="20"/>
          <w:szCs w:val="20"/>
        </w:rPr>
        <w:t>current as of 7/22/2024</w:t>
      </w:r>
      <w:r w:rsidRPr="00F75A48">
        <w:rPr>
          <w:sz w:val="20"/>
          <w:szCs w:val="20"/>
        </w:rPr>
        <w:t xml:space="preserve"> and subject to change</w:t>
      </w:r>
      <w:r w:rsidR="00B1580A" w:rsidRPr="00F75A48">
        <w:rPr>
          <w:sz w:val="20"/>
          <w:szCs w:val="20"/>
        </w:rPr>
        <w:t>.</w:t>
      </w:r>
    </w:p>
    <w:p w14:paraId="2ECED54E" w14:textId="77777777" w:rsidR="00446A17" w:rsidRPr="00F00913" w:rsidRDefault="00446A17" w:rsidP="002F56FF">
      <w:pPr>
        <w:rPr>
          <w:sz w:val="20"/>
          <w:szCs w:val="20"/>
        </w:rPr>
      </w:pPr>
    </w:p>
    <w:p w14:paraId="692076BF" w14:textId="77777777" w:rsidR="00F00913" w:rsidRPr="00F00913" w:rsidRDefault="00265838" w:rsidP="00F00913">
      <w:pPr>
        <w:pStyle w:val="spaced6"/>
      </w:pPr>
      <w:r w:rsidRPr="00F00913">
        <w:t>From 201</w:t>
      </w:r>
      <w:r w:rsidR="00F75A48" w:rsidRPr="00F00913">
        <w:t>4</w:t>
      </w:r>
      <w:r w:rsidRPr="00F00913">
        <w:t xml:space="preserve"> to 202</w:t>
      </w:r>
      <w:r w:rsidR="00F75A48" w:rsidRPr="00F00913">
        <w:t>3</w:t>
      </w:r>
      <w:r w:rsidR="13F2DECB" w:rsidRPr="00F00913">
        <w:t>,</w:t>
      </w:r>
      <w:r w:rsidR="00446A17" w:rsidRPr="00F00913">
        <w:rPr>
          <w:rStyle w:val="FootnoteReference"/>
        </w:rPr>
        <w:footnoteReference w:id="41"/>
      </w:r>
      <w:r w:rsidR="13F2DECB" w:rsidRPr="00F00913">
        <w:t xml:space="preserve"> </w:t>
      </w:r>
      <w:r w:rsidR="00F00913" w:rsidRPr="00F00913">
        <w:t>the largest increases in the number of reported confirmed and probable infectious syphilis cases were among individuals aged 50 years and above (by 3.7 times from 80 to 299) and 30–39 years (by 2.9 times from 160 to 471).</w:t>
      </w:r>
    </w:p>
    <w:p w14:paraId="326D3700" w14:textId="33FB453C" w:rsidR="00D839FD" w:rsidRPr="00F00913" w:rsidRDefault="00F00913" w:rsidP="00F00913">
      <w:pPr>
        <w:pStyle w:val="spaced6"/>
      </w:pPr>
      <w:r>
        <w:t>The largest number of reported confirmed and probable infectious syphilis cases was among 30–39 year-olds for the past decade</w:t>
      </w:r>
      <w:r w:rsidR="7470603C">
        <w:t xml:space="preserve">. </w:t>
      </w:r>
    </w:p>
    <w:p w14:paraId="11A71592" w14:textId="0A5B5CF7" w:rsidR="72E089C3" w:rsidRDefault="72E089C3" w:rsidP="72E089C3">
      <w:pPr>
        <w:pStyle w:val="spaced6"/>
        <w:numPr>
          <w:ilvl w:val="0"/>
          <w:numId w:val="0"/>
        </w:numPr>
      </w:pPr>
    </w:p>
    <w:p w14:paraId="69BEE8E0" w14:textId="3EC119D8" w:rsidR="72E089C3" w:rsidRDefault="72E089C3">
      <w:r>
        <w:br w:type="page"/>
      </w:r>
    </w:p>
    <w:p w14:paraId="14EBA5B1" w14:textId="46ABAB80" w:rsidR="002F56FF" w:rsidRPr="00577197" w:rsidRDefault="00D839FD" w:rsidP="38A4F72D">
      <w:pPr>
        <w:pStyle w:val="Heading2"/>
      </w:pPr>
      <w:bookmarkStart w:id="16" w:name="_Toc2011940708"/>
      <w:r>
        <w:lastRenderedPageBreak/>
        <w:t>SYPHILIS BY CITY/TOWN</w:t>
      </w:r>
      <w:bookmarkEnd w:id="16"/>
    </w:p>
    <w:p w14:paraId="4B7E5093" w14:textId="72C8F9AF" w:rsidR="00D839FD" w:rsidRPr="00577197" w:rsidRDefault="7FA42140" w:rsidP="00D839FD">
      <w:r w:rsidRPr="00577197">
        <w:rPr>
          <w:b/>
          <w:bCs/>
        </w:rPr>
        <w:t>Figure 1</w:t>
      </w:r>
      <w:r w:rsidR="004623E2" w:rsidRPr="00577197">
        <w:rPr>
          <w:b/>
          <w:bCs/>
        </w:rPr>
        <w:t>2</w:t>
      </w:r>
      <w:r w:rsidRPr="00577197">
        <w:rPr>
          <w:b/>
          <w:bCs/>
        </w:rPr>
        <w:t>.</w:t>
      </w:r>
      <w:r w:rsidRPr="00577197">
        <w:t xml:space="preserve"> Incidence rate of confirmed and probable infectious syphilis</w:t>
      </w:r>
      <w:r w:rsidR="00D839FD" w:rsidRPr="00577197">
        <w:rPr>
          <w:rStyle w:val="FootnoteReference"/>
        </w:rPr>
        <w:footnoteReference w:id="42"/>
      </w:r>
      <w:r w:rsidRPr="00577197">
        <w:t xml:space="preserve"> cases per 100,000 population reported by city/town, Massachusetts 202</w:t>
      </w:r>
      <w:r w:rsidR="00577197" w:rsidRPr="00577197">
        <w:t>3</w:t>
      </w:r>
    </w:p>
    <w:p w14:paraId="70384B47" w14:textId="40DD5182" w:rsidR="00D839FD" w:rsidRPr="00234D05" w:rsidRDefault="00D57F1F" w:rsidP="00D839FD">
      <w:pPr>
        <w:rPr>
          <w:color w:val="FF0000"/>
        </w:rPr>
      </w:pPr>
      <w:r>
        <w:rPr>
          <w:noProof/>
          <w:color w:val="FF0000"/>
          <w:shd w:val="clear" w:color="auto" w:fill="E6E6E6"/>
        </w:rPr>
        <w:drawing>
          <wp:inline distT="0" distB="0" distL="0" distR="0" wp14:anchorId="05D823F7" wp14:editId="2850A7BB">
            <wp:extent cx="6773545" cy="4291965"/>
            <wp:effectExtent l="0" t="0" r="8255" b="0"/>
            <wp:docPr id="2094501363" name="Picture 2094501363" descr="The figure is a rate map of Massachusetts displaying the incidence rate of syphilis cases per 100,000 population by city/town. Cities and towns are in one of seven categories: no reported cases, less than or equal to 4 per 100,000, 5 - 14 per 100,000, 15 - 24 per 100,000, 25 - 39 per 100,000, or 40 - 59 per 100,000, and greater than or equal to 60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01363" name="Picture 2" descr="The figure is a rate map of Massachusetts displaying the incidence rate of syphilis cases per 100,000 population by city/town. Cities and towns are in one of seven categories: no reported cases, less than or equal to 4 per 100,000, 5 - 14 per 100,000, 15 - 24 per 100,000, 25 - 39 per 100,000, or 40 - 59 per 100,000, and greater than or equal to 60 per 100,00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73545" cy="4291965"/>
                    </a:xfrm>
                    <a:prstGeom prst="rect">
                      <a:avLst/>
                    </a:prstGeom>
                    <a:noFill/>
                  </pic:spPr>
                </pic:pic>
              </a:graphicData>
            </a:graphic>
          </wp:inline>
        </w:drawing>
      </w:r>
    </w:p>
    <w:p w14:paraId="4222DC22" w14:textId="1D1DB1C4" w:rsidR="2F702A1B" w:rsidRPr="00234D05" w:rsidRDefault="2F702A1B" w:rsidP="2F702A1B">
      <w:pPr>
        <w:rPr>
          <w:color w:val="FF0000"/>
          <w:sz w:val="20"/>
          <w:szCs w:val="20"/>
        </w:rPr>
      </w:pPr>
    </w:p>
    <w:p w14:paraId="1F1F6116" w14:textId="058C022C" w:rsidR="1AE13E10" w:rsidRPr="00234D05" w:rsidRDefault="1AE13E10" w:rsidP="7017D928">
      <w:pPr>
        <w:rPr>
          <w:color w:val="FF0000"/>
        </w:rPr>
      </w:pPr>
    </w:p>
    <w:p w14:paraId="2B516679" w14:textId="32E03371" w:rsidR="2F702A1B" w:rsidRPr="00234D05" w:rsidRDefault="2F702A1B" w:rsidP="2F702A1B">
      <w:pPr>
        <w:rPr>
          <w:color w:val="FF0000"/>
          <w:sz w:val="20"/>
          <w:szCs w:val="20"/>
        </w:rPr>
      </w:pPr>
    </w:p>
    <w:p w14:paraId="40A08D5B" w14:textId="14676AA0" w:rsidR="00D839FD" w:rsidRPr="001A0DC6" w:rsidRDefault="14FED9CE" w:rsidP="2F702A1B">
      <w:pPr>
        <w:rPr>
          <w:sz w:val="20"/>
          <w:szCs w:val="20"/>
        </w:rPr>
      </w:pPr>
      <w:r w:rsidRPr="001A0DC6">
        <w:rPr>
          <w:sz w:val="20"/>
          <w:szCs w:val="20"/>
          <w:vertAlign w:val="superscript"/>
        </w:rPr>
        <w:t xml:space="preserve">1 </w:t>
      </w:r>
      <w:r w:rsidRPr="001A0DC6">
        <w:rPr>
          <w:sz w:val="20"/>
          <w:szCs w:val="20"/>
        </w:rPr>
        <w:t xml:space="preserve">Population based on University of Massachusetts Donahue Institute Estimates. </w:t>
      </w:r>
    </w:p>
    <w:p w14:paraId="383C2E32" w14:textId="63D319CC" w:rsidR="00D839FD" w:rsidRPr="00C766BF" w:rsidRDefault="14FED9CE" w:rsidP="2F702A1B">
      <w:pPr>
        <w:rPr>
          <w:sz w:val="20"/>
          <w:szCs w:val="20"/>
        </w:rPr>
      </w:pPr>
      <w:r w:rsidRPr="00C766BF">
        <w:rPr>
          <w:sz w:val="20"/>
          <w:szCs w:val="20"/>
        </w:rPr>
        <w:t xml:space="preserve">There are seven city/towns with &lt;10 cases of syphilis that fall within the top two rate categories (≥40 cases per 100,00): </w:t>
      </w:r>
      <w:r w:rsidR="00C766BF" w:rsidRPr="00C766BF">
        <w:rPr>
          <w:sz w:val="20"/>
          <w:szCs w:val="20"/>
        </w:rPr>
        <w:t>Chesterfield, Tisbury, Boxborough, Oakham, Becket, Huntington, and Winthrop</w:t>
      </w:r>
      <w:r w:rsidRPr="00C766BF">
        <w:rPr>
          <w:sz w:val="20"/>
          <w:szCs w:val="20"/>
        </w:rPr>
        <w:t xml:space="preserve">. </w:t>
      </w:r>
    </w:p>
    <w:p w14:paraId="09FB3BF2" w14:textId="729F9F6F" w:rsidR="00D839FD" w:rsidRPr="001A0DC6" w:rsidRDefault="00D839FD" w:rsidP="00D839FD">
      <w:pPr>
        <w:rPr>
          <w:sz w:val="20"/>
          <w:szCs w:val="20"/>
        </w:rPr>
      </w:pPr>
      <w:r w:rsidRPr="001A0DC6">
        <w:rPr>
          <w:sz w:val="20"/>
          <w:szCs w:val="20"/>
        </w:rPr>
        <w:t>Note: regional data include individuals tested in a correctional facility.</w:t>
      </w:r>
    </w:p>
    <w:p w14:paraId="06377228" w14:textId="3B6D03AF" w:rsidR="00D839FD" w:rsidRPr="001A0DC6" w:rsidRDefault="00D839FD" w:rsidP="00D839FD">
      <w:pPr>
        <w:spacing w:after="120"/>
        <w:rPr>
          <w:sz w:val="20"/>
          <w:szCs w:val="20"/>
        </w:rPr>
      </w:pPr>
      <w:r w:rsidRPr="001A0DC6">
        <w:rPr>
          <w:sz w:val="20"/>
          <w:szCs w:val="20"/>
        </w:rPr>
        <w:t xml:space="preserve">Data Source: Bureau of Infectious Disease and Laboratory Sciences, data are current as of </w:t>
      </w:r>
      <w:r w:rsidR="00794545" w:rsidRPr="001A0DC6">
        <w:rPr>
          <w:sz w:val="20"/>
          <w:szCs w:val="20"/>
        </w:rPr>
        <w:t>7/</w:t>
      </w:r>
      <w:r w:rsidR="565E6BB5" w:rsidRPr="001A0DC6">
        <w:rPr>
          <w:sz w:val="20"/>
          <w:szCs w:val="20"/>
        </w:rPr>
        <w:t>10</w:t>
      </w:r>
      <w:r w:rsidR="00794545" w:rsidRPr="001A0DC6">
        <w:rPr>
          <w:sz w:val="20"/>
          <w:szCs w:val="20"/>
        </w:rPr>
        <w:t>/2023</w:t>
      </w:r>
      <w:r w:rsidRPr="001A0DC6">
        <w:rPr>
          <w:sz w:val="20"/>
          <w:szCs w:val="20"/>
        </w:rPr>
        <w:t xml:space="preserve"> and subject to change</w:t>
      </w:r>
      <w:r w:rsidR="00B1580A" w:rsidRPr="001A0DC6">
        <w:rPr>
          <w:sz w:val="20"/>
          <w:szCs w:val="20"/>
        </w:rPr>
        <w:t>.</w:t>
      </w:r>
    </w:p>
    <w:p w14:paraId="6B90B4CF" w14:textId="0CB3F2B0" w:rsidR="00D839FD" w:rsidRPr="001A0DC6" w:rsidRDefault="001A0DC6">
      <w:pPr>
        <w:pStyle w:val="spaced6"/>
      </w:pPr>
      <w:r w:rsidRPr="001A0DC6">
        <w:t xml:space="preserve">The statewide </w:t>
      </w:r>
      <w:r w:rsidR="74706EA7">
        <w:t xml:space="preserve">confirmed and probable infectious </w:t>
      </w:r>
      <w:r w:rsidR="67984C03" w:rsidRPr="001A0DC6">
        <w:t>syphilis</w:t>
      </w:r>
      <w:r w:rsidRPr="001A0DC6">
        <w:t xml:space="preserve"> incidence rate decreased from a ten-year high of 22.7 in 2022 to 20.6 in 2023</w:t>
      </w:r>
      <w:r w:rsidR="12805114" w:rsidRPr="001A0DC6">
        <w:t>.</w:t>
      </w:r>
      <w:r w:rsidR="00D839FD" w:rsidRPr="001A0DC6">
        <w:rPr>
          <w:rStyle w:val="FootnoteReference"/>
        </w:rPr>
        <w:footnoteReference w:id="43"/>
      </w:r>
      <w:r w:rsidR="12805114" w:rsidRPr="001A0DC6">
        <w:t xml:space="preserve"> </w:t>
      </w:r>
    </w:p>
    <w:p w14:paraId="7B374F72" w14:textId="3654956F" w:rsidR="00F80263" w:rsidRDefault="12805114" w:rsidP="00F80263">
      <w:pPr>
        <w:pStyle w:val="spaced6"/>
      </w:pPr>
      <w:r w:rsidRPr="00D57F1F">
        <w:lastRenderedPageBreak/>
        <w:t>The five cities</w:t>
      </w:r>
      <w:r w:rsidR="00D839FD" w:rsidRPr="00D57F1F">
        <w:rPr>
          <w:rStyle w:val="FootnoteReference"/>
        </w:rPr>
        <w:footnoteReference w:id="44"/>
      </w:r>
      <w:r w:rsidRPr="00D57F1F">
        <w:t xml:space="preserve"> with the highest </w:t>
      </w:r>
      <w:r w:rsidR="2BEC1413">
        <w:t xml:space="preserve">confirmed and probable infectious </w:t>
      </w:r>
      <w:r w:rsidRPr="00D57F1F">
        <w:t xml:space="preserve">syphilis incidence rates were </w:t>
      </w:r>
      <w:r w:rsidR="777D24F4" w:rsidRPr="00D57F1F">
        <w:t>Provincetown</w:t>
      </w:r>
      <w:r w:rsidRPr="00D57F1F">
        <w:t xml:space="preserve"> (</w:t>
      </w:r>
      <w:r w:rsidR="001A0DC6" w:rsidRPr="00D57F1F">
        <w:t>409.4 per 100,000</w:t>
      </w:r>
      <w:r w:rsidRPr="00D57F1F">
        <w:t>),</w:t>
      </w:r>
      <w:r w:rsidR="17297E76" w:rsidRPr="00D57F1F">
        <w:rPr>
          <w:rFonts w:ascii="Calibri" w:eastAsia="Calibri" w:hAnsi="Calibri" w:cs="Calibri"/>
          <w:sz w:val="19"/>
          <w:szCs w:val="19"/>
        </w:rPr>
        <w:t xml:space="preserve"> </w:t>
      </w:r>
      <w:r w:rsidRPr="00D57F1F">
        <w:rPr>
          <w:rStyle w:val="FootnoteReference"/>
        </w:rPr>
        <w:footnoteReference w:id="45"/>
      </w:r>
      <w:r w:rsidRPr="00D57F1F">
        <w:t xml:space="preserve"> </w:t>
      </w:r>
      <w:r w:rsidR="00D57F1F" w:rsidRPr="00D57F1F">
        <w:t>Chelsea (80.9 per 100,000), Springfield (72.5 per 100,000), Boston (53.9 per 100,000), and Holyoke (47.1 per 100,000).</w:t>
      </w:r>
    </w:p>
    <w:p w14:paraId="0EB7C1B7" w14:textId="77777777" w:rsidR="002066CC" w:rsidRPr="00577197" w:rsidRDefault="002066CC" w:rsidP="002066CC">
      <w:pPr>
        <w:pStyle w:val="spaced6"/>
      </w:pPr>
      <w:r>
        <w:t>While South Dakota ranked first and Vermont ranked 50</w:t>
      </w:r>
      <w:r w:rsidRPr="6CD43B22">
        <w:rPr>
          <w:vertAlign w:val="superscript"/>
        </w:rPr>
        <w:t>th</w:t>
      </w:r>
      <w:r>
        <w:t xml:space="preserve">, </w:t>
      </w:r>
      <w:r w:rsidRPr="00577197">
        <w:t>Massachusetts ranked 34th in primary and secondary syphilis incidence rate among the 50 states in 2022, the last year for which these national data are publicly available.</w:t>
      </w:r>
      <w:r w:rsidRPr="00577197">
        <w:rPr>
          <w:rStyle w:val="FootnoteReference"/>
        </w:rPr>
        <w:footnoteReference w:id="46"/>
      </w:r>
    </w:p>
    <w:p w14:paraId="467196EC" w14:textId="77777777" w:rsidR="002066CC" w:rsidRPr="00D57F1F" w:rsidRDefault="002066CC" w:rsidP="002066CC">
      <w:pPr>
        <w:pStyle w:val="spaced6"/>
        <w:numPr>
          <w:ilvl w:val="0"/>
          <w:numId w:val="0"/>
        </w:numPr>
        <w:ind w:left="720"/>
      </w:pPr>
    </w:p>
    <w:p w14:paraId="16F5C2C0" w14:textId="78269537" w:rsidR="004623E2" w:rsidRPr="00234D05" w:rsidRDefault="00D62257" w:rsidP="53F41526">
      <w:pPr>
        <w:pStyle w:val="Heading2"/>
        <w:rPr>
          <w:color w:val="FF0000"/>
        </w:rPr>
      </w:pPr>
      <w:bookmarkStart w:id="17" w:name="_Toc777216594"/>
      <w:r w:rsidRPr="1D5D99FC">
        <w:rPr>
          <w:color w:val="FF0000"/>
        </w:rPr>
        <w:br w:type="page"/>
      </w:r>
      <w:r w:rsidR="06A358D9">
        <w:lastRenderedPageBreak/>
        <w:t>SVI AMONG SYPHILIS CASES BY CITY/TOWN</w:t>
      </w:r>
      <w:bookmarkEnd w:id="17"/>
    </w:p>
    <w:p w14:paraId="40D2617F" w14:textId="648D964F" w:rsidR="00F80263" w:rsidRPr="00794731" w:rsidRDefault="00F80263" w:rsidP="00F80263">
      <w:r w:rsidRPr="06A3C928">
        <w:rPr>
          <w:b/>
          <w:bCs/>
        </w:rPr>
        <w:t xml:space="preserve">Figure 13. </w:t>
      </w:r>
      <w:r>
        <w:t xml:space="preserve">Median overall Social Vulnerability Index (SVI) by city/town for </w:t>
      </w:r>
      <w:r w:rsidR="00185E11">
        <w:t xml:space="preserve">confirmed and probable </w:t>
      </w:r>
      <w:r>
        <w:t>infectious syphilis cases,</w:t>
      </w:r>
      <w:r w:rsidR="00236A51" w:rsidRPr="00236A51">
        <w:rPr>
          <w:rStyle w:val="FootnoteReference"/>
        </w:rPr>
        <w:t xml:space="preserve"> </w:t>
      </w:r>
      <w:r w:rsidR="00236A51" w:rsidRPr="00577197">
        <w:rPr>
          <w:rStyle w:val="FootnoteReference"/>
        </w:rPr>
        <w:footnoteReference w:id="47"/>
      </w:r>
      <w:r>
        <w:t xml:space="preserve"> Massachusetts 202</w:t>
      </w:r>
      <w:r w:rsidR="00794731">
        <w:t>3</w:t>
      </w:r>
    </w:p>
    <w:p w14:paraId="313D35DE" w14:textId="7B7891CA" w:rsidR="00F80263" w:rsidRPr="00234D05" w:rsidRDefault="00F80263" w:rsidP="00F80263">
      <w:pPr>
        <w:rPr>
          <w:color w:val="FF0000"/>
        </w:rPr>
      </w:pPr>
    </w:p>
    <w:p w14:paraId="1C364E20" w14:textId="5551B3A6" w:rsidR="4B61FEBB" w:rsidRPr="00234D05" w:rsidRDefault="4B61FEBB" w:rsidP="4B61FEBB">
      <w:pPr>
        <w:pStyle w:val="spaced6"/>
        <w:numPr>
          <w:ilvl w:val="0"/>
          <w:numId w:val="0"/>
        </w:numPr>
        <w:spacing w:after="0"/>
        <w:rPr>
          <w:color w:val="FF0000"/>
          <w:sz w:val="20"/>
          <w:szCs w:val="20"/>
        </w:rPr>
      </w:pPr>
    </w:p>
    <w:p w14:paraId="08472AD4" w14:textId="70C4AA38" w:rsidR="19D89D47" w:rsidRPr="00234D05" w:rsidRDefault="19D89D47">
      <w:pPr>
        <w:pStyle w:val="ListParagraph"/>
        <w:rPr>
          <w:color w:val="FF0000"/>
          <w:szCs w:val="24"/>
        </w:rPr>
      </w:pPr>
    </w:p>
    <w:p w14:paraId="472C1EB9" w14:textId="20678262" w:rsidR="00F80263" w:rsidRPr="008E4393" w:rsidRDefault="6F1B1E23" w:rsidP="006916B2">
      <w:pPr>
        <w:pStyle w:val="spaced6"/>
        <w:numPr>
          <w:ilvl w:val="0"/>
          <w:numId w:val="0"/>
        </w:numPr>
        <w:spacing w:after="0"/>
        <w:rPr>
          <w:sz w:val="20"/>
          <w:szCs w:val="20"/>
        </w:rPr>
      </w:pPr>
      <w:r>
        <w:rPr>
          <w:noProof/>
        </w:rPr>
        <w:drawing>
          <wp:inline distT="0" distB="0" distL="0" distR="0" wp14:anchorId="061A9041" wp14:editId="3132762B">
            <wp:extent cx="6400800" cy="4152900"/>
            <wp:effectExtent l="0" t="0" r="0" b="0"/>
            <wp:docPr id="1102035241" name="Picture 1102035241" descr="The figure is a map of Massachusetts displaying the Median overall Social Vulnerability Index (SVI) by city/town. The SVI index ranges from 00.00 to 1.00, with increasing darkness in blue color indicating higher SVI index. Cities with no reported cases are white. SVI rankings were grouped into quartiles (low, &lt;0.25; mid low, 0.25 - &lt;0.5; mid high, 0.5 - &lt;0.75; high &gt;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35241" name="Picture 1102035241" descr="The figure is a map of Massachusetts displaying the Median overall Social Vulnerability Index (SVI) by city/town. The SVI index ranges from 00.00 to 1.00, with increasing darkness in blue color indicating higher SVI index. Cities with no reported cases are white. SVI rankings were grouped into quartiles (low, &lt;0.25; mid low, 0.25 - &lt;0.5; mid high, 0.5 - &lt;0.75; high &gt;0.75).&#10;"/>
                    <pic:cNvPicPr/>
                  </pic:nvPicPr>
                  <pic:blipFill>
                    <a:blip r:embed="rId37">
                      <a:extLst>
                        <a:ext uri="{28A0092B-C50C-407E-A947-70E740481C1C}">
                          <a14:useLocalDpi xmlns:a14="http://schemas.microsoft.com/office/drawing/2010/main" val="0"/>
                        </a:ext>
                      </a:extLst>
                    </a:blip>
                    <a:stretch>
                      <a:fillRect/>
                    </a:stretch>
                  </pic:blipFill>
                  <pic:spPr>
                    <a:xfrm>
                      <a:off x="0" y="0"/>
                      <a:ext cx="6400800" cy="4152900"/>
                    </a:xfrm>
                    <a:prstGeom prst="rect">
                      <a:avLst/>
                    </a:prstGeom>
                  </pic:spPr>
                </pic:pic>
              </a:graphicData>
            </a:graphic>
          </wp:inline>
        </w:drawing>
      </w:r>
      <w:r w:rsidR="605D5D57" w:rsidRPr="008E4393">
        <w:rPr>
          <w:sz w:val="20"/>
          <w:szCs w:val="20"/>
        </w:rPr>
        <w:t>Note: Census tract level overall SVI values for 2020 were obtained from the CDC/Agency for Toxic Substance and Disease Registry and assigned to all cases based on their street address at diagnosis</w:t>
      </w:r>
      <w:r w:rsidR="56B9383A" w:rsidRPr="008E4393">
        <w:rPr>
          <w:sz w:val="20"/>
          <w:szCs w:val="20"/>
        </w:rPr>
        <w:t>, 5</w:t>
      </w:r>
      <w:r w:rsidR="008E4393" w:rsidRPr="008E4393">
        <w:rPr>
          <w:sz w:val="20"/>
          <w:szCs w:val="20"/>
        </w:rPr>
        <w:t>8</w:t>
      </w:r>
      <w:r w:rsidR="56B9383A" w:rsidRPr="008E4393">
        <w:rPr>
          <w:sz w:val="20"/>
          <w:szCs w:val="20"/>
        </w:rPr>
        <w:t xml:space="preserve"> cases were excluded from this analysis because address was unknown or the</w:t>
      </w:r>
      <w:r w:rsidR="5DE9EDB2" w:rsidRPr="008E4393">
        <w:rPr>
          <w:sz w:val="20"/>
          <w:szCs w:val="20"/>
        </w:rPr>
        <w:t xml:space="preserve"> individuals</w:t>
      </w:r>
      <w:r w:rsidR="56B9383A" w:rsidRPr="008E4393">
        <w:rPr>
          <w:sz w:val="20"/>
          <w:szCs w:val="20"/>
        </w:rPr>
        <w:t xml:space="preserve"> were homeless</w:t>
      </w:r>
      <w:r w:rsidR="605D5D57" w:rsidRPr="008E4393">
        <w:rPr>
          <w:sz w:val="20"/>
          <w:szCs w:val="20"/>
        </w:rPr>
        <w:t>. City/Town level median is calculated from the median SVI score for that city/town among infectious syphilis cases. Values range from 0 to 1, with higher values implying greater social vulnerability. Map should be interpreted with caution as it displays median SVI scores for cities/towns with one or more cases.</w:t>
      </w:r>
    </w:p>
    <w:p w14:paraId="02A370A8" w14:textId="6513F4FB" w:rsidR="00F80263" w:rsidRPr="008E4393" w:rsidRDefault="00F80263" w:rsidP="00F80263">
      <w:pPr>
        <w:pStyle w:val="spaced6"/>
        <w:numPr>
          <w:ilvl w:val="0"/>
          <w:numId w:val="0"/>
        </w:numPr>
        <w:rPr>
          <w:sz w:val="20"/>
          <w:szCs w:val="20"/>
        </w:rPr>
      </w:pPr>
      <w:r w:rsidRPr="008E4393">
        <w:rPr>
          <w:sz w:val="20"/>
          <w:szCs w:val="20"/>
        </w:rPr>
        <w:t xml:space="preserve">Data Sources: CDC/Agency for Toxic Substance and Disease, Bureau of Infectious Disease and Laboratory Sciences, data are </w:t>
      </w:r>
      <w:r w:rsidR="009F7C6D" w:rsidRPr="008E4393">
        <w:rPr>
          <w:sz w:val="20"/>
          <w:szCs w:val="20"/>
        </w:rPr>
        <w:t>current as of 7/22/2024</w:t>
      </w:r>
      <w:r w:rsidRPr="008E4393">
        <w:rPr>
          <w:sz w:val="20"/>
          <w:szCs w:val="20"/>
        </w:rPr>
        <w:t xml:space="preserve"> and subject to </w:t>
      </w:r>
      <w:r w:rsidR="005A59A4" w:rsidRPr="008E4393">
        <w:rPr>
          <w:sz w:val="20"/>
          <w:szCs w:val="20"/>
        </w:rPr>
        <w:t>change.</w:t>
      </w:r>
    </w:p>
    <w:p w14:paraId="706FD4EB" w14:textId="3F8C3499" w:rsidR="008E4393" w:rsidRPr="008E4393" w:rsidRDefault="605D5D57" w:rsidP="008E4393">
      <w:pPr>
        <w:pStyle w:val="spaced6"/>
      </w:pPr>
      <w:r w:rsidRPr="008E4393">
        <w:t>In 202</w:t>
      </w:r>
      <w:r w:rsidR="008E4393" w:rsidRPr="008E4393">
        <w:t>3</w:t>
      </w:r>
      <w:r w:rsidRPr="008E4393">
        <w:t>,</w:t>
      </w:r>
      <w:r w:rsidR="00B45473" w:rsidRPr="008E4393">
        <w:rPr>
          <w:rStyle w:val="FootnoteReference"/>
        </w:rPr>
        <w:footnoteReference w:id="48"/>
      </w:r>
      <w:r w:rsidRPr="008E4393">
        <w:t xml:space="preserve"> the median SVI score among </w:t>
      </w:r>
      <w:r w:rsidR="2E216694">
        <w:t xml:space="preserve">confirmed and probable infectious </w:t>
      </w:r>
      <w:r w:rsidRPr="008E4393">
        <w:t xml:space="preserve">syphilis cases in Massachusetts was </w:t>
      </w:r>
      <w:r w:rsidR="008E4393" w:rsidRPr="008E4393">
        <w:t>0.748, which is highly vulnerable.</w:t>
      </w:r>
    </w:p>
    <w:p w14:paraId="2DFC67A4" w14:textId="22074560" w:rsidR="00F80263" w:rsidRPr="008E4393" w:rsidRDefault="008E4393" w:rsidP="008E4393">
      <w:pPr>
        <w:pStyle w:val="spaced6"/>
      </w:pPr>
      <w:r w:rsidRPr="008E4393">
        <w:lastRenderedPageBreak/>
        <w:t xml:space="preserve">The five cities with the highest SVI scores (i.e., the most highly vulnerable) among </w:t>
      </w:r>
      <w:r w:rsidR="4CBC01B1">
        <w:t xml:space="preserve">confirmed and probable infectious </w:t>
      </w:r>
      <w:r w:rsidRPr="008E4393">
        <w:t>syphilis cases in 2023 were Holyoke (0.975), Chelsea (0.944), Lawrence (0.928), Springfield (0.917), and Worcester (0.906)</w:t>
      </w:r>
      <w:r w:rsidR="605D5D57" w:rsidRPr="008E4393">
        <w:t>.</w:t>
      </w:r>
    </w:p>
    <w:p w14:paraId="0996D2E2" w14:textId="0E7229B6" w:rsidR="004623E2" w:rsidRPr="00234D05" w:rsidRDefault="004623E2" w:rsidP="00F80263">
      <w:pPr>
        <w:pStyle w:val="spaced6"/>
        <w:numPr>
          <w:ilvl w:val="0"/>
          <w:numId w:val="0"/>
        </w:numPr>
        <w:ind w:left="720" w:hanging="360"/>
        <w:rPr>
          <w:color w:val="FF0000"/>
        </w:rPr>
      </w:pPr>
      <w:r w:rsidRPr="00234D05">
        <w:rPr>
          <w:color w:val="FF0000"/>
        </w:rPr>
        <w:br w:type="page"/>
      </w:r>
    </w:p>
    <w:p w14:paraId="5970BE3A" w14:textId="60E312E3" w:rsidR="00D839FD" w:rsidRPr="0011728C" w:rsidRDefault="00D62257" w:rsidP="38A4F72D">
      <w:pPr>
        <w:pStyle w:val="Heading1"/>
        <w:rPr>
          <w:b w:val="0"/>
        </w:rPr>
      </w:pPr>
      <w:bookmarkStart w:id="18" w:name="_Toc631495155"/>
      <w:r>
        <w:lastRenderedPageBreak/>
        <w:t>HIV</w:t>
      </w:r>
      <w:bookmarkEnd w:id="18"/>
    </w:p>
    <w:p w14:paraId="02586CF4" w14:textId="728500F7" w:rsidR="00D62257" w:rsidRPr="0011728C" w:rsidRDefault="00D62257" w:rsidP="38A4F72D">
      <w:pPr>
        <w:pStyle w:val="Heading2"/>
      </w:pPr>
      <w:bookmarkStart w:id="19" w:name="_Toc497127037"/>
      <w:r>
        <w:t>HIV PREVALENCE</w:t>
      </w:r>
      <w:bookmarkEnd w:id="19"/>
    </w:p>
    <w:p w14:paraId="1E1AEB04" w14:textId="266E8EAA" w:rsidR="00D62257" w:rsidRPr="0011728C" w:rsidRDefault="52F2E685" w:rsidP="00C44371">
      <w:pPr>
        <w:spacing w:after="120"/>
        <w:rPr>
          <w:szCs w:val="24"/>
        </w:rPr>
      </w:pPr>
      <w:r w:rsidRPr="0011728C">
        <w:t xml:space="preserve">Human immunodeficiency virus (HIV) is transmitted through exposure to blood, semen, vaginal secretions, or breast milk, most commonly through unprotected sex or through sharing drug </w:t>
      </w:r>
      <w:r w:rsidR="002F4CF7" w:rsidRPr="0011728C">
        <w:t xml:space="preserve">injection </w:t>
      </w:r>
      <w:r w:rsidRPr="0011728C">
        <w:t>equipment. HIV attacks the body’s immune system, specifically the CD4 cells. Without treatment, HIV can destroy so many of these cells that the body can’t fight off infections and can lead to acquired immunodeficiency syndrome (AIDS). But with proper medical care, HIV can be controlled. People with HIV who get effective HIV treatment can live long, healthy lives and protect their partners by reducing the risk for HIV transmission.</w:t>
      </w:r>
      <w:r w:rsidR="00D62257" w:rsidRPr="0011728C">
        <w:rPr>
          <w:rStyle w:val="FootnoteReference"/>
        </w:rPr>
        <w:footnoteReference w:id="49"/>
      </w:r>
    </w:p>
    <w:p w14:paraId="53374FD4" w14:textId="469C1556" w:rsidR="00D62257" w:rsidRPr="0011728C" w:rsidRDefault="4015D995" w:rsidP="3405EFDC">
      <w:r w:rsidRPr="0011728C">
        <w:rPr>
          <w:b/>
          <w:bCs/>
        </w:rPr>
        <w:t>Figure 1</w:t>
      </w:r>
      <w:r w:rsidR="67F966A1" w:rsidRPr="0011728C">
        <w:rPr>
          <w:b/>
          <w:bCs/>
        </w:rPr>
        <w:t>4</w:t>
      </w:r>
      <w:r w:rsidRPr="0011728C">
        <w:rPr>
          <w:b/>
          <w:bCs/>
        </w:rPr>
        <w:t>.</w:t>
      </w:r>
      <w:r w:rsidRPr="0011728C">
        <w:t xml:space="preserve"> Number of persons living with HIV infection, Massachusetts </w:t>
      </w:r>
      <w:r w:rsidR="00F446E3" w:rsidRPr="0011728C">
        <w:t>2014–2023</w:t>
      </w:r>
    </w:p>
    <w:p w14:paraId="696DFBDF" w14:textId="6DFAC481" w:rsidR="00133F9A" w:rsidRPr="00234D05" w:rsidRDefault="00133F9A" w:rsidP="00CF3288">
      <w:pPr>
        <w:rPr>
          <w:color w:val="FF0000"/>
          <w:sz w:val="20"/>
          <w:szCs w:val="20"/>
        </w:rPr>
      </w:pPr>
    </w:p>
    <w:p w14:paraId="5744B188" w14:textId="3077DDD8" w:rsidR="00275BD1" w:rsidRPr="00461488" w:rsidRDefault="04AF1550" w:rsidP="00275BD1">
      <w:pPr>
        <w:ind w:left="360"/>
        <w:rPr>
          <w:sz w:val="20"/>
          <w:szCs w:val="20"/>
        </w:rPr>
      </w:pPr>
      <w:r>
        <w:rPr>
          <w:noProof/>
        </w:rPr>
        <w:drawing>
          <wp:inline distT="0" distB="0" distL="0" distR="0" wp14:anchorId="16CFE403" wp14:editId="35F9DB71">
            <wp:extent cx="6078241" cy="4054192"/>
            <wp:effectExtent l="0" t="0" r="0" b="0"/>
            <wp:docPr id="1280845519" name="Picture 1280845519" descr="The figure is a trendline displaying the annual number of individuals living with HIV infection from 2014 (N=21,785) to 2023 (N=24,1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45519" name="Picture 1280845519" descr="The figure is a trendline displaying the annual number of individuals living with HIV infection from 2014 (N=21,785) to 2023 (N=24,119).&#10;"/>
                    <pic:cNvPicPr/>
                  </pic:nvPicPr>
                  <pic:blipFill>
                    <a:blip r:embed="rId38">
                      <a:extLst>
                        <a:ext uri="{28A0092B-C50C-407E-A947-70E740481C1C}">
                          <a14:useLocalDpi xmlns:a14="http://schemas.microsoft.com/office/drawing/2010/main" val="0"/>
                        </a:ext>
                      </a:extLst>
                    </a:blip>
                    <a:stretch>
                      <a:fillRect/>
                    </a:stretch>
                  </pic:blipFill>
                  <pic:spPr>
                    <a:xfrm>
                      <a:off x="0" y="0"/>
                      <a:ext cx="6078241" cy="4054192"/>
                    </a:xfrm>
                    <a:prstGeom prst="rect">
                      <a:avLst/>
                    </a:prstGeom>
                  </pic:spPr>
                </pic:pic>
              </a:graphicData>
            </a:graphic>
          </wp:inline>
        </w:drawing>
      </w:r>
      <w:r w:rsidR="00275BD1" w:rsidRPr="00461488">
        <w:rPr>
          <w:sz w:val="20"/>
          <w:szCs w:val="20"/>
        </w:rPr>
        <w:t>Data Source: Bureau of Infectious Disease and Laboratory Sciences, data are current as of 7/1/202</w:t>
      </w:r>
      <w:r w:rsidR="00441EA6" w:rsidRPr="00461488">
        <w:rPr>
          <w:sz w:val="20"/>
          <w:szCs w:val="20"/>
        </w:rPr>
        <w:t>4</w:t>
      </w:r>
      <w:r w:rsidR="00275BD1" w:rsidRPr="00461488">
        <w:rPr>
          <w:sz w:val="20"/>
          <w:szCs w:val="20"/>
        </w:rPr>
        <w:t xml:space="preserve"> and subject to change</w:t>
      </w:r>
      <w:r w:rsidR="00B1580A" w:rsidRPr="00461488">
        <w:rPr>
          <w:sz w:val="20"/>
          <w:szCs w:val="20"/>
        </w:rPr>
        <w:t>.</w:t>
      </w:r>
    </w:p>
    <w:p w14:paraId="7820ACF4" w14:textId="77777777" w:rsidR="00CC2B76" w:rsidRPr="00461488" w:rsidRDefault="00CC2B76" w:rsidP="00275BD1">
      <w:pPr>
        <w:ind w:left="360"/>
        <w:rPr>
          <w:sz w:val="20"/>
          <w:szCs w:val="20"/>
        </w:rPr>
      </w:pPr>
    </w:p>
    <w:p w14:paraId="0D71CCC7" w14:textId="2668209D" w:rsidR="72E089C3" w:rsidRDefault="00461488" w:rsidP="00FE0BC9">
      <w:pPr>
        <w:numPr>
          <w:ilvl w:val="0"/>
          <w:numId w:val="5"/>
        </w:numPr>
      </w:pPr>
      <w:r w:rsidRPr="00461488">
        <w:t>The number of persons living with HIV infection (PLWH) in Massachusetts increased by 11% from 21,785 at the end of 2014 to 24,119 at the end of 2023</w:t>
      </w:r>
      <w:r w:rsidR="00275BD1" w:rsidRPr="00461488">
        <w:t>.</w:t>
      </w:r>
      <w:r w:rsidR="00D62257" w:rsidRPr="00461488">
        <w:rPr>
          <w:rStyle w:val="FootnoteReference"/>
        </w:rPr>
        <w:footnoteReference w:id="50"/>
      </w:r>
      <w:r w:rsidR="52F2E685" w:rsidRPr="00461488">
        <w:rPr>
          <w:vertAlign w:val="superscript"/>
        </w:rPr>
        <w:t>,</w:t>
      </w:r>
      <w:r w:rsidR="00D62257" w:rsidRPr="00461488">
        <w:rPr>
          <w:rStyle w:val="FootnoteReference"/>
        </w:rPr>
        <w:footnoteReference w:id="51"/>
      </w:r>
      <w:r w:rsidR="52F2E685" w:rsidRPr="00461488">
        <w:rPr>
          <w:szCs w:val="24"/>
        </w:rPr>
        <w:t xml:space="preserve"> </w:t>
      </w:r>
      <w:r w:rsidR="72E089C3">
        <w:br w:type="page"/>
      </w:r>
    </w:p>
    <w:p w14:paraId="4FED705D" w14:textId="396C51E9" w:rsidR="00D62257" w:rsidRPr="00A16D22" w:rsidRDefault="00445394" w:rsidP="00445394">
      <w:pPr>
        <w:pStyle w:val="Heading2"/>
      </w:pPr>
      <w:bookmarkStart w:id="20" w:name="_Toc1449131446"/>
      <w:r>
        <w:lastRenderedPageBreak/>
        <w:t>DIAGNOSES AND DEATHS FROM ANY CAUSE AMONG PERSONS REPORTED WITH HIV</w:t>
      </w:r>
      <w:bookmarkEnd w:id="20"/>
    </w:p>
    <w:p w14:paraId="537A139B" w14:textId="1E960582" w:rsidR="007C073D" w:rsidRPr="00A16D22" w:rsidRDefault="2C53A8D1" w:rsidP="034544F5">
      <w:r w:rsidRPr="00A16D22">
        <w:rPr>
          <w:b/>
          <w:bCs/>
        </w:rPr>
        <w:t>Figure 1</w:t>
      </w:r>
      <w:r w:rsidR="7527D82B" w:rsidRPr="00A16D22">
        <w:rPr>
          <w:b/>
          <w:bCs/>
        </w:rPr>
        <w:t>5</w:t>
      </w:r>
      <w:r w:rsidRPr="00A16D22">
        <w:rPr>
          <w:b/>
          <w:bCs/>
        </w:rPr>
        <w:t>.</w:t>
      </w:r>
      <w:r w:rsidRPr="00A16D22">
        <w:t xml:space="preserve"> Number of HIV infection diagnoses and deaths from any cause among persons with HIV, Massachusetts </w:t>
      </w:r>
      <w:r w:rsidR="00F446E3" w:rsidRPr="00A16D22">
        <w:t>2014–2023</w:t>
      </w:r>
    </w:p>
    <w:p w14:paraId="73045827" w14:textId="4E687923" w:rsidR="00D62257" w:rsidRPr="00234D05" w:rsidRDefault="00D62257" w:rsidP="00445394">
      <w:pPr>
        <w:rPr>
          <w:color w:val="FF0000"/>
        </w:rPr>
      </w:pPr>
    </w:p>
    <w:p w14:paraId="094EE638" w14:textId="77777777" w:rsidR="00EB7B06" w:rsidRDefault="74D32DDF" w:rsidP="007C073D">
      <w:pPr>
        <w:spacing w:after="120"/>
        <w:rPr>
          <w:sz w:val="20"/>
          <w:szCs w:val="20"/>
        </w:rPr>
      </w:pPr>
      <w:r>
        <w:rPr>
          <w:noProof/>
        </w:rPr>
        <w:drawing>
          <wp:inline distT="0" distB="0" distL="0" distR="0" wp14:anchorId="71DAFF8D" wp14:editId="7A2EFFB8">
            <wp:extent cx="6078241" cy="3987130"/>
            <wp:effectExtent l="0" t="0" r="0" b="0"/>
            <wp:docPr id="638242377" name="Picture 638242377" descr="The figure is a trendline displaying annual changes in the number of new HIV diagnoses and the number of deaths among individuals with HIV for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42377" name="Picture 638242377" descr="The figure is a trendline displaying annual changes in the number of new HIV diagnoses and the number of deaths among individuals with HIV for the ten-year period.&#10;"/>
                    <pic:cNvPicPr/>
                  </pic:nvPicPr>
                  <pic:blipFill>
                    <a:blip r:embed="rId39">
                      <a:extLst>
                        <a:ext uri="{28A0092B-C50C-407E-A947-70E740481C1C}">
                          <a14:useLocalDpi xmlns:a14="http://schemas.microsoft.com/office/drawing/2010/main" val="0"/>
                        </a:ext>
                      </a:extLst>
                    </a:blip>
                    <a:stretch>
                      <a:fillRect/>
                    </a:stretch>
                  </pic:blipFill>
                  <pic:spPr>
                    <a:xfrm>
                      <a:off x="0" y="0"/>
                      <a:ext cx="6078241" cy="3987130"/>
                    </a:xfrm>
                    <a:prstGeom prst="rect">
                      <a:avLst/>
                    </a:prstGeom>
                  </pic:spPr>
                </pic:pic>
              </a:graphicData>
            </a:graphic>
          </wp:inline>
        </w:drawing>
      </w:r>
    </w:p>
    <w:p w14:paraId="68C359F1" w14:textId="6F82D5BF" w:rsidR="007C073D" w:rsidRPr="004822C5" w:rsidRDefault="007C073D" w:rsidP="007C073D">
      <w:pPr>
        <w:spacing w:after="120"/>
        <w:rPr>
          <w:sz w:val="20"/>
          <w:szCs w:val="20"/>
        </w:rPr>
      </w:pPr>
      <w:r w:rsidRPr="004822C5">
        <w:rPr>
          <w:sz w:val="20"/>
          <w:szCs w:val="20"/>
        </w:rPr>
        <w:t xml:space="preserve">Data Source: Bureau of Infectious Disease and Laboratory Sciences, data are </w:t>
      </w:r>
      <w:r w:rsidR="004822C5" w:rsidRPr="004822C5">
        <w:rPr>
          <w:sz w:val="20"/>
          <w:szCs w:val="20"/>
        </w:rPr>
        <w:t>current as of 7/1/2024</w:t>
      </w:r>
      <w:r w:rsidRPr="004822C5">
        <w:rPr>
          <w:sz w:val="20"/>
          <w:szCs w:val="20"/>
        </w:rPr>
        <w:t xml:space="preserve"> and subject to change</w:t>
      </w:r>
      <w:r w:rsidR="00B1580A" w:rsidRPr="004822C5">
        <w:rPr>
          <w:sz w:val="20"/>
          <w:szCs w:val="20"/>
        </w:rPr>
        <w:t>.</w:t>
      </w:r>
    </w:p>
    <w:p w14:paraId="43F3C81D" w14:textId="2AFA938F" w:rsidR="007C073D" w:rsidRPr="004822C5" w:rsidRDefault="004822C5">
      <w:pPr>
        <w:pStyle w:val="spaced6"/>
      </w:pPr>
      <w:r w:rsidRPr="004822C5">
        <w:t xml:space="preserve">After averaging approximately 640 diagnoses per year from 2014 to 2018 (five-year average </w:t>
      </w:r>
      <w:r w:rsidR="00490D70">
        <w:t>of</w:t>
      </w:r>
      <w:r w:rsidRPr="004822C5">
        <w:t xml:space="preserve"> 636), the number of new HIV infection diagnoses declined to 532 in 2019. In 2020, the number of new HIV infection diagnoses further declined to 434 and then remained at this lower level in 2021 and 2022, when there were 449 and 446 diagnoses, respectively. In 2023, the number of new HIV infection diagnoses (N=540) returned to pre-pandemic levels, increasing by </w:t>
      </w:r>
      <w:r w:rsidR="002F4CF7">
        <w:t xml:space="preserve">94 diagnoses, or </w:t>
      </w:r>
      <w:r w:rsidRPr="004822C5">
        <w:t>21%</w:t>
      </w:r>
      <w:r w:rsidR="002F4CF7">
        <w:t>,</w:t>
      </w:r>
      <w:r w:rsidRPr="004822C5">
        <w:t xml:space="preserve"> compared to the prior year</w:t>
      </w:r>
      <w:r w:rsidR="51B6F75E" w:rsidRPr="004822C5">
        <w:t>.</w:t>
      </w:r>
      <w:r w:rsidR="002F4CF7">
        <w:t xml:space="preserve"> </w:t>
      </w:r>
      <w:r w:rsidR="002F4CF7" w:rsidRPr="002F4CF7">
        <w:t>By exposure mode, the largest increase in HIV diagnoses from 2022 to 2023 was among individuals with male-to-male sex (MSM) exposure mode (by 59 diagnoses, from 168 to 227), followed by presumed heterosexual (by 23 diagnoses, from 59 to 82), and no identified risk (NIR) (by 17 diagnoses, from 134 to 151) exposure modes.</w:t>
      </w:r>
      <w:r w:rsidR="007C073D" w:rsidRPr="004822C5">
        <w:rPr>
          <w:rStyle w:val="FootnoteReference"/>
        </w:rPr>
        <w:footnoteReference w:id="52"/>
      </w:r>
      <w:r w:rsidR="51B6F75E" w:rsidRPr="004822C5">
        <w:t xml:space="preserve"> </w:t>
      </w:r>
    </w:p>
    <w:p w14:paraId="6B90F1F1" w14:textId="1DC343D0" w:rsidR="00CC2B76" w:rsidRPr="004822C5" w:rsidRDefault="004822C5" w:rsidP="00CC2B76">
      <w:pPr>
        <w:numPr>
          <w:ilvl w:val="0"/>
          <w:numId w:val="4"/>
        </w:numPr>
      </w:pPr>
      <w:r w:rsidRPr="004822C5">
        <w:t>The number of deaths due to any cause among individuals reported with HIV infection increased by 32% from 279 in 2014 to a peak of 367 in 2022, and then decreased by 16% to 307 in 2023</w:t>
      </w:r>
      <w:r w:rsidR="00CC2B76" w:rsidRPr="004822C5">
        <w:t xml:space="preserve">. </w:t>
      </w:r>
    </w:p>
    <w:p w14:paraId="16324713" w14:textId="0DADC92A" w:rsidR="00B4171B" w:rsidRPr="004822C5" w:rsidRDefault="00B4171B" w:rsidP="00445394">
      <w:pPr>
        <w:rPr>
          <w:szCs w:val="24"/>
        </w:rPr>
      </w:pPr>
      <w:r w:rsidRPr="004822C5">
        <w:rPr>
          <w:szCs w:val="24"/>
        </w:rPr>
        <w:lastRenderedPageBreak/>
        <w:br w:type="page"/>
      </w:r>
    </w:p>
    <w:p w14:paraId="509E2821" w14:textId="77777777" w:rsidR="00690F7D" w:rsidRPr="004822C5" w:rsidRDefault="00690F7D" w:rsidP="38A4F72D">
      <w:pPr>
        <w:pStyle w:val="Heading2"/>
      </w:pPr>
      <w:bookmarkStart w:id="21" w:name="_Toc1571127092"/>
      <w:r>
        <w:lastRenderedPageBreak/>
        <w:t>HIV DIAGNOSES BY CITY/TOWN</w:t>
      </w:r>
      <w:bookmarkEnd w:id="21"/>
    </w:p>
    <w:p w14:paraId="5E764776" w14:textId="6EA7D980" w:rsidR="00690F7D" w:rsidRPr="004822C5" w:rsidRDefault="00690F7D" w:rsidP="00690F7D">
      <w:r w:rsidRPr="004822C5">
        <w:rPr>
          <w:b/>
          <w:bCs/>
        </w:rPr>
        <w:t>Figure 16.</w:t>
      </w:r>
      <w:r w:rsidRPr="004822C5">
        <w:t xml:space="preserve"> Average annual rate of HIV diagnosis per 100,000 population by city/town,</w:t>
      </w:r>
      <w:r w:rsidRPr="004822C5">
        <w:rPr>
          <w:vertAlign w:val="superscript"/>
        </w:rPr>
        <w:t xml:space="preserve"> </w:t>
      </w:r>
      <w:r w:rsidRPr="004822C5">
        <w:t xml:space="preserve">Massachusetts </w:t>
      </w:r>
      <w:r w:rsidR="004822C5" w:rsidRPr="004822C5">
        <w:t>2021–2023</w:t>
      </w:r>
    </w:p>
    <w:p w14:paraId="7AA07306" w14:textId="49714678" w:rsidR="00690F7D" w:rsidRPr="00234D05" w:rsidRDefault="004822C5" w:rsidP="00690F7D">
      <w:pPr>
        <w:rPr>
          <w:color w:val="FF0000"/>
        </w:rPr>
      </w:pPr>
      <w:r>
        <w:rPr>
          <w:noProof/>
          <w:color w:val="FF0000"/>
          <w:shd w:val="clear" w:color="auto" w:fill="E6E6E6"/>
        </w:rPr>
        <w:drawing>
          <wp:inline distT="0" distB="0" distL="0" distR="0" wp14:anchorId="3A59B254" wp14:editId="0E041F42">
            <wp:extent cx="6002932" cy="3779520"/>
            <wp:effectExtent l="0" t="0" r="0" b="0"/>
            <wp:docPr id="2034331156" name="Picture 2034331156" descr="The figure is a rate map of Massachusetts displaying the average annual rate of diagnosis per 100,000 population by city/town. Cities and towns are in one of six categories: no reported cases, less than 2.5 per 100,000, 2.5-3.9 per 100,000, 4.0-5.5 per 100,000, 5.6-8.6 per 100,000, or greater than 8.6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31156" name="Picture 5" descr="The figure is a rate map of Massachusetts displaying the average annual rate of diagnosis per 100,000 population by city/town. Cities and towns are in one of six categories: no reported cases, less than 2.5 per 100,000, 2.5-3.9 per 100,000, 4.0-5.5 per 100,000, 5.6-8.6 per 100,000, or greater than 8.6 per 100,00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3597" cy="3779939"/>
                    </a:xfrm>
                    <a:prstGeom prst="rect">
                      <a:avLst/>
                    </a:prstGeom>
                    <a:noFill/>
                  </pic:spPr>
                </pic:pic>
              </a:graphicData>
            </a:graphic>
          </wp:inline>
        </w:drawing>
      </w:r>
    </w:p>
    <w:p w14:paraId="0A467DBA" w14:textId="1A262CF6" w:rsidR="7017D928" w:rsidRPr="000D2FC5" w:rsidRDefault="7017D928" w:rsidP="7017D928"/>
    <w:p w14:paraId="47A899A7" w14:textId="77777777" w:rsidR="008132AB" w:rsidRPr="000D2FC5" w:rsidRDefault="008132AB" w:rsidP="008132AB">
      <w:pPr>
        <w:rPr>
          <w:sz w:val="20"/>
          <w:szCs w:val="20"/>
        </w:rPr>
      </w:pPr>
      <w:r w:rsidRPr="000D2FC5">
        <w:rPr>
          <w:sz w:val="20"/>
          <w:szCs w:val="20"/>
          <w:vertAlign w:val="superscript"/>
        </w:rPr>
        <w:t xml:space="preserve">1 </w:t>
      </w:r>
      <w:r w:rsidRPr="000D2FC5">
        <w:rPr>
          <w:sz w:val="20"/>
          <w:szCs w:val="20"/>
        </w:rPr>
        <w:t xml:space="preserve">Population based on University of Massachusetts Donahue Institute Estimates. </w:t>
      </w:r>
    </w:p>
    <w:p w14:paraId="7869A25D" w14:textId="7037F69A" w:rsidR="00690F7D" w:rsidRPr="000D2FC5" w:rsidRDefault="00690F7D" w:rsidP="00690F7D">
      <w:pPr>
        <w:pStyle w:val="fignote"/>
        <w:spacing w:after="0"/>
      </w:pPr>
      <w:r w:rsidRPr="000D2FC5">
        <w:t>Note: regional HIV data exclude individuals diagnosed in a correctional facility.</w:t>
      </w:r>
    </w:p>
    <w:p w14:paraId="0786CD4A" w14:textId="2B81C189" w:rsidR="00690F7D" w:rsidRPr="000D2FC5" w:rsidRDefault="00690F7D" w:rsidP="00690F7D">
      <w:pPr>
        <w:pStyle w:val="fignote"/>
      </w:pPr>
      <w:r w:rsidRPr="000D2FC5">
        <w:t xml:space="preserve">Data Source: Bureau of Infectious Disease and Laboratory Sciences, data are </w:t>
      </w:r>
      <w:r w:rsidR="004822C5" w:rsidRPr="000D2FC5">
        <w:t>current as of 7/1/2024</w:t>
      </w:r>
      <w:r w:rsidRPr="000D2FC5">
        <w:t xml:space="preserve"> and subject to </w:t>
      </w:r>
      <w:r w:rsidR="005A59A4" w:rsidRPr="000D2FC5">
        <w:t>change.</w:t>
      </w:r>
    </w:p>
    <w:p w14:paraId="47FD8407" w14:textId="77777777" w:rsidR="000D2FC5" w:rsidRPr="000D2FC5" w:rsidRDefault="00690F7D" w:rsidP="000D2FC5">
      <w:pPr>
        <w:pStyle w:val="spaced6"/>
      </w:pPr>
      <w:r w:rsidRPr="000D2FC5">
        <w:t>The cities and towns</w:t>
      </w:r>
      <w:r w:rsidRPr="000D2FC5">
        <w:rPr>
          <w:rStyle w:val="FootnoteReference"/>
        </w:rPr>
        <w:footnoteReference w:id="53"/>
      </w:r>
      <w:r w:rsidRPr="000D2FC5">
        <w:t xml:space="preserve"> with the highest average annual rate of HIV infection diagnosis during 202</w:t>
      </w:r>
      <w:r w:rsidR="000D2FC5" w:rsidRPr="000D2FC5">
        <w:t>1</w:t>
      </w:r>
      <w:r w:rsidRPr="000D2FC5">
        <w:t xml:space="preserve"> to 202</w:t>
      </w:r>
      <w:r w:rsidR="000D2FC5" w:rsidRPr="000D2FC5">
        <w:t>3</w:t>
      </w:r>
      <w:r w:rsidRPr="000D2FC5">
        <w:rPr>
          <w:rStyle w:val="FootnoteReference"/>
        </w:rPr>
        <w:footnoteReference w:id="54"/>
      </w:r>
      <w:r w:rsidRPr="000D2FC5">
        <w:t xml:space="preserve"> </w:t>
      </w:r>
      <w:r w:rsidR="000D2FC5" w:rsidRPr="000D2FC5">
        <w:t xml:space="preserve">included Brockton (23.7 per 100,000), Boston (17.3), Chelsea (17.2), Malden (14.6), and Lynn (14.5). </w:t>
      </w:r>
    </w:p>
    <w:p w14:paraId="5AA90094" w14:textId="75ACEFDA" w:rsidR="00992F88" w:rsidRPr="000D2FC5" w:rsidRDefault="000D2FC5" w:rsidP="000D2FC5">
      <w:pPr>
        <w:pStyle w:val="spaced6"/>
      </w:pPr>
      <w:r w:rsidRPr="000D2FC5">
        <w:t>Boston had the highest number of new HIV infection diagnoses from 2021–2023 (N=351), followed by Brockton (N=75), and Worcester (N=70)</w:t>
      </w:r>
      <w:r w:rsidR="00992F88" w:rsidRPr="000D2FC5">
        <w:t>.</w:t>
      </w:r>
    </w:p>
    <w:p w14:paraId="50831A8B" w14:textId="77777777" w:rsidR="00690F7D" w:rsidRPr="00234D05" w:rsidRDefault="00690F7D" w:rsidP="00D164C5">
      <w:pPr>
        <w:rPr>
          <w:color w:val="FF0000"/>
        </w:rPr>
      </w:pPr>
    </w:p>
    <w:p w14:paraId="600BA5F0" w14:textId="77777777" w:rsidR="00D35C56" w:rsidRPr="00234D05" w:rsidRDefault="00690F7D" w:rsidP="00D164C5">
      <w:pPr>
        <w:rPr>
          <w:color w:val="FF0000"/>
        </w:rPr>
      </w:pPr>
      <w:r w:rsidRPr="00234D05">
        <w:rPr>
          <w:color w:val="FF0000"/>
        </w:rPr>
        <w:br w:type="page"/>
      </w:r>
    </w:p>
    <w:p w14:paraId="4D47E34F" w14:textId="77777777" w:rsidR="00D35C56" w:rsidRPr="000D2FC5" w:rsidRDefault="00D35C56" w:rsidP="38A4F72D">
      <w:pPr>
        <w:pStyle w:val="Heading2"/>
      </w:pPr>
      <w:bookmarkStart w:id="22" w:name="_Toc1261945576"/>
      <w:r>
        <w:lastRenderedPageBreak/>
        <w:t>HIV PREVALENCE BY CITY/TOWN</w:t>
      </w:r>
      <w:bookmarkEnd w:id="22"/>
    </w:p>
    <w:p w14:paraId="59E823A4" w14:textId="676314D6" w:rsidR="00D35C56" w:rsidRPr="000D2FC5" w:rsidRDefault="00D35C56" w:rsidP="00D35C56">
      <w:r w:rsidRPr="000D2FC5">
        <w:rPr>
          <w:b/>
          <w:bCs/>
        </w:rPr>
        <w:t>Figure 17.</w:t>
      </w:r>
      <w:r w:rsidRPr="000D2FC5">
        <w:t xml:space="preserve"> Prevalence rate of persons living with HIV infection (PLWH) per 100,000 population by city/town,</w:t>
      </w:r>
      <w:r w:rsidRPr="000D2FC5">
        <w:rPr>
          <w:vertAlign w:val="superscript"/>
        </w:rPr>
        <w:t xml:space="preserve"> </w:t>
      </w:r>
      <w:r w:rsidRPr="000D2FC5">
        <w:t>Massachusetts 202</w:t>
      </w:r>
      <w:r w:rsidR="000D2FC5" w:rsidRPr="000D2FC5">
        <w:t>3</w:t>
      </w:r>
    </w:p>
    <w:p w14:paraId="39AC3188" w14:textId="04E4DE6B" w:rsidR="00D35C56" w:rsidRPr="00234D05" w:rsidRDefault="000D2FC5" w:rsidP="00D35C56">
      <w:pPr>
        <w:rPr>
          <w:color w:val="FF0000"/>
        </w:rPr>
      </w:pPr>
      <w:r>
        <w:rPr>
          <w:noProof/>
          <w:color w:val="FF0000"/>
          <w:shd w:val="clear" w:color="auto" w:fill="E6E6E6"/>
        </w:rPr>
        <w:drawing>
          <wp:inline distT="0" distB="0" distL="0" distR="0" wp14:anchorId="1C07DE1A" wp14:editId="6C81A580">
            <wp:extent cx="6687820" cy="4170045"/>
            <wp:effectExtent l="0" t="0" r="0" b="1905"/>
            <wp:docPr id="876150196" name="Picture 876150196" descr="The figure is a rate map of Massachusetts displaying the HIV prevalence rate per 100,000 population by city/town. Cities and towns are in one of six categories: no reported cases, less than 80.8 per 100,000, 80.8-117.6 per 100,000, 117.7-164.0 per 100,000, 164.1-253.3 per 100,000, or greater than 253.3 per 1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50196" name="Picture 6" descr="The figure is a rate map of Massachusetts displaying the HIV prevalence rate per 100,000 population by city/town. Cities and towns are in one of six categories: no reported cases, less than 80.8 per 100,000, 80.8-117.6 per 100,000, 117.7-164.0 per 100,000, 164.1-253.3 per 100,000, or greater than 253.3 per 100,00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7820" cy="4170045"/>
                    </a:xfrm>
                    <a:prstGeom prst="rect">
                      <a:avLst/>
                    </a:prstGeom>
                    <a:noFill/>
                  </pic:spPr>
                </pic:pic>
              </a:graphicData>
            </a:graphic>
          </wp:inline>
        </w:drawing>
      </w:r>
    </w:p>
    <w:p w14:paraId="7379C078" w14:textId="5F2355CB" w:rsidR="3CDDD9D9" w:rsidRPr="00234D05" w:rsidRDefault="3CDDD9D9" w:rsidP="7017D928">
      <w:pPr>
        <w:rPr>
          <w:color w:val="FF0000"/>
        </w:rPr>
      </w:pPr>
    </w:p>
    <w:p w14:paraId="6F3EFF51" w14:textId="3B15629D" w:rsidR="7017D928" w:rsidRPr="008D60A7" w:rsidRDefault="7017D928" w:rsidP="7017D928"/>
    <w:p w14:paraId="43452CCF" w14:textId="3639C568" w:rsidR="008132AB" w:rsidRPr="008D60A7" w:rsidRDefault="008132AB" w:rsidP="008132AB">
      <w:pPr>
        <w:rPr>
          <w:sz w:val="20"/>
          <w:szCs w:val="20"/>
        </w:rPr>
      </w:pPr>
      <w:r w:rsidRPr="008D60A7">
        <w:rPr>
          <w:sz w:val="20"/>
          <w:szCs w:val="20"/>
          <w:vertAlign w:val="superscript"/>
        </w:rPr>
        <w:t xml:space="preserve">1 </w:t>
      </w:r>
      <w:r w:rsidRPr="008D60A7">
        <w:rPr>
          <w:sz w:val="20"/>
          <w:szCs w:val="20"/>
        </w:rPr>
        <w:t xml:space="preserve">Population based on University of Massachusetts Donahue Institute Estimates. </w:t>
      </w:r>
    </w:p>
    <w:p w14:paraId="1DF4F7EA" w14:textId="400C3087" w:rsidR="00D35C56" w:rsidRPr="008D60A7" w:rsidRDefault="00D35C56" w:rsidP="00D35C56">
      <w:pPr>
        <w:pStyle w:val="fignote"/>
        <w:spacing w:after="0"/>
      </w:pPr>
      <w:r w:rsidRPr="008D60A7">
        <w:t xml:space="preserve">Note: </w:t>
      </w:r>
      <w:r w:rsidR="008D60A7" w:rsidRPr="008D60A7">
        <w:t>regional HIV data may include PLWH who may have been incarcerated in 2023.</w:t>
      </w:r>
    </w:p>
    <w:p w14:paraId="59D786C0" w14:textId="5BFFAFC0" w:rsidR="00D35C56" w:rsidRPr="00D0195F" w:rsidRDefault="00D35C56" w:rsidP="00D35C56">
      <w:pPr>
        <w:pStyle w:val="fignote"/>
      </w:pPr>
      <w:r w:rsidRPr="00D0195F">
        <w:t xml:space="preserve">Data Source: Bureau of Infectious Disease and Laboratory Sciences, data are </w:t>
      </w:r>
      <w:r w:rsidR="004822C5" w:rsidRPr="00D0195F">
        <w:t>current as of 7/1/2024</w:t>
      </w:r>
      <w:r w:rsidRPr="00D0195F">
        <w:t xml:space="preserve"> and subject to change</w:t>
      </w:r>
      <w:r w:rsidR="00B1580A" w:rsidRPr="00D0195F">
        <w:t>.</w:t>
      </w:r>
    </w:p>
    <w:p w14:paraId="3C595D2D" w14:textId="46968D2B" w:rsidR="00EC65B6" w:rsidRPr="00D0195F" w:rsidRDefault="00D35C56" w:rsidP="00D35C56">
      <w:pPr>
        <w:pStyle w:val="spaced6"/>
      </w:pPr>
      <w:r w:rsidRPr="00D0195F">
        <w:t>The cities and towns</w:t>
      </w:r>
      <w:r w:rsidRPr="00D0195F">
        <w:rPr>
          <w:rStyle w:val="FootnoteReference"/>
        </w:rPr>
        <w:footnoteReference w:id="55"/>
      </w:r>
      <w:r w:rsidRPr="00D0195F">
        <w:t xml:space="preserve"> with the highest prevalence rate of PLWH in 202</w:t>
      </w:r>
      <w:r w:rsidR="00D0195F" w:rsidRPr="00D0195F">
        <w:t>3</w:t>
      </w:r>
      <w:r w:rsidRPr="00D0195F">
        <w:rPr>
          <w:rStyle w:val="FootnoteReference"/>
        </w:rPr>
        <w:footnoteReference w:id="56"/>
      </w:r>
      <w:r w:rsidRPr="00D0195F">
        <w:t xml:space="preserve"> </w:t>
      </w:r>
      <w:r w:rsidR="00D0195F" w:rsidRPr="00D0195F">
        <w:t>included Provincetown (12,259.0 per 100,000), Shirley (847.8), Springfield (845.9), Boston (836.4), and Ayer (790.2)</w:t>
      </w:r>
      <w:r w:rsidR="00EC65B6" w:rsidRPr="00D0195F">
        <w:t>.</w:t>
      </w:r>
      <w:r w:rsidR="00A85C6D" w:rsidRPr="00D0195F">
        <w:rPr>
          <w:rStyle w:val="FootnoteReference"/>
        </w:rPr>
        <w:footnoteReference w:id="57"/>
      </w:r>
      <w:r w:rsidR="00EC65B6" w:rsidRPr="00D0195F">
        <w:t xml:space="preserve"> </w:t>
      </w:r>
    </w:p>
    <w:p w14:paraId="4B5850A1" w14:textId="3AD91825" w:rsidR="00EC65B6" w:rsidRPr="00D0195F" w:rsidRDefault="00D0195F" w:rsidP="00D35C56">
      <w:pPr>
        <w:pStyle w:val="spaced6"/>
      </w:pPr>
      <w:r w:rsidRPr="00D0195F">
        <w:t>Boston and Springfield had the highest numbers of PLWH in 2023, at 5,651 and 1,319, respectively</w:t>
      </w:r>
      <w:r w:rsidR="00EC65B6" w:rsidRPr="00D0195F">
        <w:t>.</w:t>
      </w:r>
    </w:p>
    <w:p w14:paraId="4AE055F2" w14:textId="7B2BB769" w:rsidR="00C31647" w:rsidRPr="00234D05" w:rsidRDefault="00D35C56" w:rsidP="53F41526">
      <w:pPr>
        <w:pStyle w:val="Heading2"/>
        <w:rPr>
          <w:color w:val="FF0000"/>
        </w:rPr>
      </w:pPr>
      <w:bookmarkStart w:id="23" w:name="_Toc771102171"/>
      <w:r w:rsidRPr="1D5D99FC">
        <w:rPr>
          <w:color w:val="auto"/>
        </w:rPr>
        <w:br w:type="page"/>
      </w:r>
      <w:r w:rsidR="3DCDC865">
        <w:lastRenderedPageBreak/>
        <w:t>SVI AMONG HIV DIAGNOSES BY CITY/TOWN</w:t>
      </w:r>
      <w:bookmarkEnd w:id="23"/>
    </w:p>
    <w:p w14:paraId="7E3CFC06" w14:textId="6DCB4CED" w:rsidR="00C31647" w:rsidRPr="0047028C" w:rsidRDefault="00C31647" w:rsidP="00C31647">
      <w:pPr>
        <w:pStyle w:val="spaced6"/>
        <w:numPr>
          <w:ilvl w:val="0"/>
          <w:numId w:val="0"/>
        </w:numPr>
      </w:pPr>
      <w:r w:rsidRPr="0047028C">
        <w:rPr>
          <w:b/>
          <w:bCs/>
        </w:rPr>
        <w:t xml:space="preserve">Figure 18. </w:t>
      </w:r>
      <w:r w:rsidRPr="0047028C">
        <w:t>Median overall Social Vulnerability Index (SVI) by city/town for HIV infection diagnoses, Massachusetts 202</w:t>
      </w:r>
      <w:r w:rsidR="0047028C" w:rsidRPr="0047028C">
        <w:t>3</w:t>
      </w:r>
    </w:p>
    <w:p w14:paraId="3CBA5ADF" w14:textId="57C986C8" w:rsidR="00C31647" w:rsidRPr="00234D05" w:rsidRDefault="05220698" w:rsidP="00866D2B">
      <w:pPr>
        <w:pStyle w:val="spaced6"/>
        <w:numPr>
          <w:ilvl w:val="0"/>
          <w:numId w:val="0"/>
        </w:numPr>
        <w:ind w:left="360"/>
        <w:jc w:val="center"/>
      </w:pPr>
      <w:r>
        <w:rPr>
          <w:noProof/>
        </w:rPr>
        <w:drawing>
          <wp:inline distT="0" distB="0" distL="0" distR="0" wp14:anchorId="1F834453" wp14:editId="489D4059">
            <wp:extent cx="6400800" cy="4162425"/>
            <wp:effectExtent l="0" t="0" r="0" b="0"/>
            <wp:docPr id="2092195755" name="Picture 2092195755" descr="The figure is a map of Massachusetts displaying the Median overall Social Vulnerability Index (SVI) by city/town. The SVI index ranges from 00.00 to 1.00, with increasing darkness in blue color indicating higher SVI index. Cities with no reported cases are marked with cross-hatch.&#10;SVI rankings were grouped into quartiles (low, &lt;0.25; mid low, 0.25 - &lt;0.5; mid high, 0.5 - &lt;0.75; high &gt;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95755" name="Picture 2092195755" descr="The figure is a map of Massachusetts displaying the Median overall Social Vulnerability Index (SVI) by city/town. The SVI index ranges from 00.00 to 1.00, with increasing darkness in blue color indicating higher SVI index. Cities with no reported cases are marked with cross-hatch.&#10;SVI rankings were grouped into quartiles (low, &lt;0.25; mid low, 0.25 - &lt;0.5; mid high, 0.5 - &lt;0.75; high &gt;0.75).&#10;"/>
                    <pic:cNvPicPr/>
                  </pic:nvPicPr>
                  <pic:blipFill>
                    <a:blip r:embed="rId42">
                      <a:extLst>
                        <a:ext uri="{28A0092B-C50C-407E-A947-70E740481C1C}">
                          <a14:useLocalDpi xmlns:a14="http://schemas.microsoft.com/office/drawing/2010/main" val="0"/>
                        </a:ext>
                      </a:extLst>
                    </a:blip>
                    <a:stretch>
                      <a:fillRect/>
                    </a:stretch>
                  </pic:blipFill>
                  <pic:spPr>
                    <a:xfrm>
                      <a:off x="0" y="0"/>
                      <a:ext cx="6400800" cy="4162425"/>
                    </a:xfrm>
                    <a:prstGeom prst="rect">
                      <a:avLst/>
                    </a:prstGeom>
                  </pic:spPr>
                </pic:pic>
              </a:graphicData>
            </a:graphic>
          </wp:inline>
        </w:drawing>
      </w:r>
    </w:p>
    <w:p w14:paraId="7F49620A" w14:textId="22A0073A" w:rsidR="009568B8" w:rsidRPr="007B3E9D" w:rsidRDefault="2CC1CD2B" w:rsidP="009568B8">
      <w:pPr>
        <w:pStyle w:val="spaced6"/>
        <w:numPr>
          <w:ilvl w:val="0"/>
          <w:numId w:val="0"/>
        </w:numPr>
        <w:spacing w:after="0"/>
        <w:rPr>
          <w:sz w:val="20"/>
          <w:szCs w:val="20"/>
        </w:rPr>
      </w:pPr>
      <w:r w:rsidRPr="007B3E9D">
        <w:rPr>
          <w:sz w:val="20"/>
          <w:szCs w:val="20"/>
        </w:rPr>
        <w:t>Note: Census tract level overall SVI values for 2020 were obtained from the CDC/Agency for Toxic Substance and Disease Registry and assigned to all cases based on their street address at diagnosis</w:t>
      </w:r>
      <w:r w:rsidR="0A78DD74" w:rsidRPr="007B3E9D">
        <w:rPr>
          <w:sz w:val="20"/>
          <w:szCs w:val="20"/>
        </w:rPr>
        <w:t xml:space="preserve">, </w:t>
      </w:r>
      <w:r w:rsidR="007B3E9D" w:rsidRPr="007B3E9D">
        <w:rPr>
          <w:sz w:val="20"/>
          <w:szCs w:val="20"/>
        </w:rPr>
        <w:t>49</w:t>
      </w:r>
      <w:r w:rsidR="0A78DD74" w:rsidRPr="007B3E9D">
        <w:rPr>
          <w:sz w:val="20"/>
          <w:szCs w:val="20"/>
        </w:rPr>
        <w:t xml:space="preserve"> cases were excluded from this analysis because </w:t>
      </w:r>
      <w:r w:rsidR="3E6804DB" w:rsidRPr="007B3E9D">
        <w:rPr>
          <w:sz w:val="20"/>
          <w:szCs w:val="20"/>
        </w:rPr>
        <w:t>address was unknown or the individuals were homeless</w:t>
      </w:r>
      <w:r w:rsidRPr="007B3E9D">
        <w:rPr>
          <w:sz w:val="20"/>
          <w:szCs w:val="20"/>
        </w:rPr>
        <w:t>. City/Town level median is calculated from the median SVI score for that city/town among HIV infection diagnoses. Values range from 0 to 1, with higher values implying greater social vulnerability. Map should be interpreted with caution as it displays median SVI scores for cities/towns with one or more cases.</w:t>
      </w:r>
    </w:p>
    <w:p w14:paraId="3D430BAD" w14:textId="3A4ADFF2" w:rsidR="009568B8" w:rsidRPr="007B3E9D" w:rsidRDefault="009568B8" w:rsidP="009568B8">
      <w:pPr>
        <w:pStyle w:val="spaced6"/>
        <w:numPr>
          <w:ilvl w:val="0"/>
          <w:numId w:val="0"/>
        </w:numPr>
        <w:spacing w:after="0"/>
        <w:rPr>
          <w:sz w:val="20"/>
          <w:szCs w:val="20"/>
        </w:rPr>
      </w:pPr>
      <w:r w:rsidRPr="007B3E9D">
        <w:rPr>
          <w:sz w:val="20"/>
          <w:szCs w:val="20"/>
        </w:rPr>
        <w:t xml:space="preserve">Data Sources: CDC/Agency for Toxic Substance and Disease, Bureau of Infectious Disease and Laboratory Sciences, data are </w:t>
      </w:r>
      <w:r w:rsidR="004822C5" w:rsidRPr="007B3E9D">
        <w:rPr>
          <w:sz w:val="20"/>
          <w:szCs w:val="20"/>
        </w:rPr>
        <w:t>current as of 7/1/2024</w:t>
      </w:r>
      <w:r w:rsidRPr="007B3E9D">
        <w:rPr>
          <w:sz w:val="20"/>
          <w:szCs w:val="20"/>
        </w:rPr>
        <w:t xml:space="preserve"> and subject to change</w:t>
      </w:r>
      <w:r w:rsidR="00B1580A" w:rsidRPr="007B3E9D">
        <w:rPr>
          <w:sz w:val="20"/>
          <w:szCs w:val="20"/>
        </w:rPr>
        <w:t>.</w:t>
      </w:r>
    </w:p>
    <w:p w14:paraId="306DB220" w14:textId="77777777" w:rsidR="009568B8" w:rsidRPr="00234D05" w:rsidRDefault="009568B8" w:rsidP="009568B8">
      <w:pPr>
        <w:pStyle w:val="spaced6"/>
        <w:numPr>
          <w:ilvl w:val="0"/>
          <w:numId w:val="0"/>
        </w:numPr>
        <w:spacing w:after="0"/>
        <w:rPr>
          <w:color w:val="FF0000"/>
          <w:sz w:val="20"/>
          <w:szCs w:val="20"/>
        </w:rPr>
      </w:pPr>
    </w:p>
    <w:p w14:paraId="1A460480" w14:textId="03A2AA05" w:rsidR="009568B8" w:rsidRPr="00A72EA7" w:rsidRDefault="2CC1CD2B" w:rsidP="7D910954">
      <w:pPr>
        <w:pStyle w:val="spaced6"/>
      </w:pPr>
      <w:r w:rsidRPr="007B3E9D">
        <w:t>In 202</w:t>
      </w:r>
      <w:r w:rsidR="007B3E9D" w:rsidRPr="007B3E9D">
        <w:t>3</w:t>
      </w:r>
      <w:r w:rsidRPr="007B3E9D">
        <w:t>,</w:t>
      </w:r>
      <w:r w:rsidR="009568B8" w:rsidRPr="007B3E9D">
        <w:rPr>
          <w:rStyle w:val="FootnoteReference"/>
        </w:rPr>
        <w:footnoteReference w:id="58"/>
      </w:r>
      <w:r w:rsidRPr="007B3E9D">
        <w:t xml:space="preserve"> </w:t>
      </w:r>
      <w:r w:rsidR="007B3E9D" w:rsidRPr="007B3E9D">
        <w:t>the median SVI score among HIV infection diagnoses in Massachusetts was 0.797, which equates to highly vulnerable</w:t>
      </w:r>
      <w:r w:rsidRPr="007B3E9D">
        <w:t>.</w:t>
      </w:r>
    </w:p>
    <w:p w14:paraId="1619FCB1" w14:textId="1158E2C6" w:rsidR="00C31647" w:rsidRPr="00A72EA7" w:rsidRDefault="009568B8" w:rsidP="00F84E3A">
      <w:pPr>
        <w:pStyle w:val="spaced6"/>
        <w:numPr>
          <w:ilvl w:val="0"/>
          <w:numId w:val="46"/>
        </w:numPr>
      </w:pPr>
      <w:r w:rsidRPr="00A72EA7">
        <w:t xml:space="preserve">The five cities with the highest SVI scores </w:t>
      </w:r>
      <w:r w:rsidR="00C32603" w:rsidRPr="00A72EA7">
        <w:t xml:space="preserve">(i.e., the most highly vulnerable) </w:t>
      </w:r>
      <w:r w:rsidRPr="00A72EA7">
        <w:t>among HIV infection diagnoses in 202</w:t>
      </w:r>
      <w:r w:rsidR="007B3E9D" w:rsidRPr="00A72EA7">
        <w:t>3</w:t>
      </w:r>
      <w:r w:rsidRPr="00A72EA7">
        <w:t xml:space="preserve"> </w:t>
      </w:r>
      <w:r w:rsidR="007B3E9D" w:rsidRPr="00A72EA7">
        <w:t>were Haverhill (0.983), Lawrence (0.936), Taunton (0.934), Malden (0.929), and Holyoke (0.926).</w:t>
      </w:r>
      <w:r w:rsidR="00C31647" w:rsidRPr="00A72EA7">
        <w:br w:type="page"/>
      </w:r>
    </w:p>
    <w:p w14:paraId="29D5AF2F" w14:textId="040EF872" w:rsidR="00D164C5" w:rsidRPr="000F630E" w:rsidRDefault="68D9E2FD" w:rsidP="00905F8B">
      <w:pPr>
        <w:pStyle w:val="Heading2"/>
      </w:pPr>
      <w:bookmarkStart w:id="24" w:name="_Toc1986661055"/>
      <w:r w:rsidRPr="000F630E">
        <w:lastRenderedPageBreak/>
        <w:t>HIV BY EXPOSURE MODE AND SEX ASSIGNED AT BIRTH</w:t>
      </w:r>
      <w:r w:rsidR="00905F8B" w:rsidRPr="000F630E">
        <w:rPr>
          <w:rStyle w:val="FootnoteReference"/>
        </w:rPr>
        <w:footnoteReference w:id="59"/>
      </w:r>
      <w:bookmarkEnd w:id="24"/>
    </w:p>
    <w:p w14:paraId="6AD9DF67" w14:textId="6673D9B4" w:rsidR="00905F8B" w:rsidRPr="000F630E" w:rsidRDefault="00905F8B" w:rsidP="06A3C928">
      <w:r w:rsidRPr="06A3C928">
        <w:rPr>
          <w:b/>
          <w:bCs/>
        </w:rPr>
        <w:t>Figure 1</w:t>
      </w:r>
      <w:r w:rsidR="00A067BD" w:rsidRPr="06A3C928">
        <w:rPr>
          <w:b/>
          <w:bCs/>
        </w:rPr>
        <w:t>9</w:t>
      </w:r>
      <w:r w:rsidRPr="06A3C928">
        <w:rPr>
          <w:b/>
          <w:bCs/>
        </w:rPr>
        <w:t>.</w:t>
      </w:r>
      <w:r>
        <w:t xml:space="preserve"> Percentage of HIV infection diagnoses by sex assigned at birth and exposure mode, Massachusetts</w:t>
      </w:r>
      <w:r w:rsidRPr="06A3C928">
        <w:rPr>
          <w:b/>
          <w:bCs/>
        </w:rPr>
        <w:t xml:space="preserve"> </w:t>
      </w:r>
      <w:r w:rsidR="004822C5">
        <w:t>2021–2023</w:t>
      </w:r>
    </w:p>
    <w:p w14:paraId="4D5DE28A" w14:textId="26D143AE" w:rsidR="00905F8B" w:rsidRPr="00E112BD" w:rsidRDefault="00CF438C" w:rsidP="00905F8B">
      <w:r>
        <w:rPr>
          <w:noProof/>
        </w:rPr>
        <w:drawing>
          <wp:inline distT="0" distB="0" distL="0" distR="0" wp14:anchorId="6CE93821" wp14:editId="69D4FF24">
            <wp:extent cx="6712585" cy="2981325"/>
            <wp:effectExtent l="0" t="0" r="0" b="0"/>
            <wp:docPr id="1016885123" name="Picture 4" descr="The figure is a set of two bar charts, one on the left displaying the distribution of individuals assigned male at birth (N=1,039) and diagnosed with HIV infection by exposure mode and the other on the right displaying the distribution of individuals assigned female at birth (N=396) and diagnosed with HIV infection by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85123" name="Picture 4" descr="The figure is a set of two bar charts, one on the left displaying the distribution of individuals assigned male at birth (N=1,039) and diagnosed with HIV infection by exposure mode and the other on the right displaying the distribution of individuals assigned female at birth (N=396) and diagnosed with HIV infection by exposure mod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12585" cy="2981325"/>
                    </a:xfrm>
                    <a:prstGeom prst="rect">
                      <a:avLst/>
                    </a:prstGeom>
                    <a:noFill/>
                  </pic:spPr>
                </pic:pic>
              </a:graphicData>
            </a:graphic>
          </wp:inline>
        </w:drawing>
      </w:r>
    </w:p>
    <w:p w14:paraId="6D8FB452" w14:textId="342B4D3C" w:rsidR="00B87580" w:rsidRPr="00E112BD" w:rsidRDefault="00B87580" w:rsidP="00287D29">
      <w:pPr>
        <w:spacing w:after="120"/>
        <w:rPr>
          <w:sz w:val="20"/>
          <w:szCs w:val="20"/>
        </w:rPr>
      </w:pPr>
      <w:r w:rsidRPr="00E112BD">
        <w:rPr>
          <w:sz w:val="20"/>
          <w:szCs w:val="20"/>
        </w:rPr>
        <w:t xml:space="preserve">Data Source: Bureau of Infectious Disease and Laboratory Sciences, data are </w:t>
      </w:r>
      <w:r w:rsidR="004822C5" w:rsidRPr="00E112BD">
        <w:rPr>
          <w:sz w:val="20"/>
          <w:szCs w:val="20"/>
        </w:rPr>
        <w:t>current as of 7/1/2024</w:t>
      </w:r>
      <w:r w:rsidRPr="00E112BD">
        <w:rPr>
          <w:sz w:val="20"/>
          <w:szCs w:val="20"/>
        </w:rPr>
        <w:t xml:space="preserve"> and subject to change</w:t>
      </w:r>
      <w:r w:rsidR="00B1580A" w:rsidRPr="00E112BD">
        <w:rPr>
          <w:sz w:val="20"/>
          <w:szCs w:val="20"/>
        </w:rPr>
        <w:t>.</w:t>
      </w:r>
    </w:p>
    <w:p w14:paraId="5153E549" w14:textId="566A8C8C" w:rsidR="5E61A15A" w:rsidRDefault="5E61A15A" w:rsidP="7D910954">
      <w:pPr>
        <w:spacing w:after="120"/>
        <w:rPr>
          <w:sz w:val="20"/>
          <w:szCs w:val="20"/>
        </w:rPr>
      </w:pPr>
      <w:r w:rsidRPr="7D910954">
        <w:rPr>
          <w:sz w:val="20"/>
          <w:szCs w:val="20"/>
        </w:rPr>
        <w:t>MSM=male-to-male sex; IDU=injection drug use; HTSX=heterosexual sex; Pres. HTSX=presumed heterosexual exposure, includes individuals assigned female at birth with a negative history of injection drug use who report having sex with an individual that identifies as male of unknown HIV status and risk; NIR=no identified risk.</w:t>
      </w:r>
      <w:r w:rsidR="6F88BFCB" w:rsidRPr="7D910954">
        <w:rPr>
          <w:sz w:val="20"/>
          <w:szCs w:val="20"/>
        </w:rPr>
        <w:t xml:space="preserve"> For detailed definitions of primary exposure mode categories see </w:t>
      </w:r>
      <w:hyperlink w:anchor="_INTERPRETING_HIV,_STD," w:history="1">
        <w:r w:rsidR="6F88BFCB" w:rsidRPr="008312F6">
          <w:rPr>
            <w:color w:val="3333FF"/>
            <w:sz w:val="20"/>
            <w:szCs w:val="20"/>
            <w:u w:val="single"/>
          </w:rPr>
          <w:t xml:space="preserve">Interpreting HIV, </w:t>
        </w:r>
        <w:r w:rsidR="00285320">
          <w:rPr>
            <w:color w:val="3333FF"/>
            <w:sz w:val="20"/>
            <w:szCs w:val="20"/>
            <w:u w:val="single"/>
          </w:rPr>
          <w:t>STI</w:t>
        </w:r>
        <w:r w:rsidR="6F88BFCB" w:rsidRPr="008312F6">
          <w:rPr>
            <w:color w:val="3333FF"/>
            <w:sz w:val="20"/>
            <w:szCs w:val="20"/>
            <w:u w:val="single"/>
          </w:rPr>
          <w:t>, a</w:t>
        </w:r>
        <w:r w:rsidR="3A4D8F46" w:rsidRPr="008312F6">
          <w:rPr>
            <w:rStyle w:val="Hyperlink"/>
            <w:color w:val="3333FF"/>
            <w:sz w:val="20"/>
            <w:szCs w:val="20"/>
          </w:rPr>
          <w:t>nd Viral Hepatitis Data</w:t>
        </w:r>
      </w:hyperlink>
      <w:r w:rsidR="30FD966F" w:rsidRPr="7D910954">
        <w:rPr>
          <w:sz w:val="20"/>
          <w:szCs w:val="20"/>
        </w:rPr>
        <w:t xml:space="preserve"> </w:t>
      </w:r>
      <w:r w:rsidR="3A4D8F46" w:rsidRPr="7D910954">
        <w:rPr>
          <w:sz w:val="20"/>
          <w:szCs w:val="20"/>
        </w:rPr>
        <w:t xml:space="preserve"> </w:t>
      </w:r>
    </w:p>
    <w:p w14:paraId="351378FA" w14:textId="2DDE0D18" w:rsidR="00B87580" w:rsidRPr="00E112BD" w:rsidRDefault="699BB509" w:rsidP="69F1B494">
      <w:pPr>
        <w:numPr>
          <w:ilvl w:val="0"/>
          <w:numId w:val="6"/>
        </w:numPr>
        <w:spacing w:after="120"/>
      </w:pPr>
      <w:r w:rsidRPr="00E112BD">
        <w:t>From 20</w:t>
      </w:r>
      <w:r w:rsidR="00D75BD1" w:rsidRPr="00E112BD">
        <w:t>2</w:t>
      </w:r>
      <w:r w:rsidR="00E112BD" w:rsidRPr="00E112BD">
        <w:t>1</w:t>
      </w:r>
      <w:r w:rsidRPr="00E112BD">
        <w:t xml:space="preserve"> to 202</w:t>
      </w:r>
      <w:r w:rsidR="00E112BD" w:rsidRPr="00E112BD">
        <w:t>3</w:t>
      </w:r>
      <w:r w:rsidRPr="00E112BD">
        <w:t>,</w:t>
      </w:r>
      <w:r w:rsidR="00B87580" w:rsidRPr="00E112BD">
        <w:rPr>
          <w:rStyle w:val="FootnoteReference"/>
        </w:rPr>
        <w:footnoteReference w:id="60"/>
      </w:r>
      <w:r w:rsidRPr="00E112BD">
        <w:t xml:space="preserve"> </w:t>
      </w:r>
      <w:r w:rsidR="00E112BD" w:rsidRPr="00E112BD">
        <w:t>of the 1,435 HIV infections newly diagnosed in Massachusetts, 1,039 (72%) were among individuals assigned male at birth (AMAB) and 396 (28%) were among individuals assigned female at birth (AFAB). Among the 1,435 HIV infections, 18 (1%) were among individuals of transgender experience</w:t>
      </w:r>
      <w:r w:rsidRPr="00E112BD">
        <w:t>,</w:t>
      </w:r>
      <w:r w:rsidR="00B87580" w:rsidRPr="00E112BD">
        <w:rPr>
          <w:rStyle w:val="FootnoteReference"/>
        </w:rPr>
        <w:footnoteReference w:id="61"/>
      </w:r>
      <w:r w:rsidRPr="00E112BD">
        <w:t xml:space="preserve"> </w:t>
      </w:r>
      <w:r w:rsidR="00E112BD" w:rsidRPr="00E112BD">
        <w:t>1,417 (99%) were among cisgender individuals</w:t>
      </w:r>
      <w:r w:rsidR="3251F24F" w:rsidRPr="00E112BD">
        <w:rPr>
          <w:szCs w:val="24"/>
        </w:rPr>
        <w:t>.</w:t>
      </w:r>
      <w:r w:rsidR="00AB4F8C" w:rsidRPr="00E112BD">
        <w:rPr>
          <w:rStyle w:val="FootnoteReference"/>
        </w:rPr>
        <w:footnoteReference w:id="62"/>
      </w:r>
      <w:r w:rsidRPr="00E112BD">
        <w:rPr>
          <w:szCs w:val="24"/>
        </w:rPr>
        <w:t xml:space="preserve">  </w:t>
      </w:r>
    </w:p>
    <w:p w14:paraId="1C780270" w14:textId="252DDD89" w:rsidR="00D75BD1" w:rsidRPr="00E112BD" w:rsidRDefault="00E112BD" w:rsidP="00933BC9">
      <w:pPr>
        <w:numPr>
          <w:ilvl w:val="0"/>
          <w:numId w:val="6"/>
        </w:numPr>
        <w:spacing w:after="120"/>
      </w:pPr>
      <w:r w:rsidRPr="00E112BD">
        <w:t>From 2021 to 2023, the most frequently reported known exposure mode among individuals AMAB was male-to-male sex (54%) and among individuals AFAB was presumed heterosexual sex</w:t>
      </w:r>
      <w:r w:rsidR="2058ADC7" w:rsidRPr="00E112BD">
        <w:rPr>
          <w:rStyle w:val="FootnoteReference"/>
        </w:rPr>
        <w:footnoteReference w:id="63"/>
      </w:r>
      <w:r w:rsidR="2058ADC7" w:rsidRPr="00E112BD">
        <w:t xml:space="preserve"> </w:t>
      </w:r>
      <w:r w:rsidRPr="00E112BD">
        <w:t>(47%). A substantial proportion of diagnoses among both individuals AMAB and AFAB were reported with no identified risk (28% and 27%, respectively).</w:t>
      </w:r>
    </w:p>
    <w:p w14:paraId="497F6DC8" w14:textId="77777777" w:rsidR="00933BC9" w:rsidRPr="00933BC9" w:rsidRDefault="00933BC9" w:rsidP="00933BC9">
      <w:pPr>
        <w:numPr>
          <w:ilvl w:val="0"/>
          <w:numId w:val="6"/>
        </w:numPr>
        <w:spacing w:after="120"/>
      </w:pPr>
      <w:r w:rsidRPr="00933BC9">
        <w:t xml:space="preserve">Among individuals AMAB, the proportion of HIV infection diagnoses with injection drug use (IDU) exposure mode increased from a low of 4% (N=19/486) in 2014 to 17% (N=76/456) in </w:t>
      </w:r>
      <w:r w:rsidRPr="00933BC9">
        <w:lastRenderedPageBreak/>
        <w:t>2017, decreased to 9% (N=34/392) in 2019, increased to 18% in 2021 (N=55/314), and then decreased again to 6% (N=25/397) in 2023.</w:t>
      </w:r>
    </w:p>
    <w:p w14:paraId="5AB9D5DC" w14:textId="38A37CE1" w:rsidR="00B20329" w:rsidRPr="00933BC9" w:rsidRDefault="00933BC9" w:rsidP="00933BC9">
      <w:pPr>
        <w:numPr>
          <w:ilvl w:val="0"/>
          <w:numId w:val="6"/>
        </w:numPr>
        <w:spacing w:after="120"/>
        <w:rPr>
          <w:szCs w:val="24"/>
        </w:rPr>
      </w:pPr>
      <w:r w:rsidRPr="00933BC9">
        <w:t xml:space="preserve">Among individuals AFAB, the proportion of HIV infection diagnoses with IDU exposure mode increased from a low of 7% (N=12/165) in 2014 to 25% (N=40/159) in 2017, decreased to 18% (N=25/140) in 2019, increased to 22% in 2020 (N=27/121), and then decreased again to 9% (N=13/143) in 2023. </w:t>
      </w:r>
      <w:r w:rsidR="00B20329" w:rsidRPr="00933BC9">
        <w:br w:type="page"/>
      </w:r>
    </w:p>
    <w:p w14:paraId="4991E4F6" w14:textId="2FF2AFA4" w:rsidR="00B87580" w:rsidRPr="00933BC9" w:rsidRDefault="00B20329" w:rsidP="00B20329">
      <w:pPr>
        <w:pStyle w:val="Heading2"/>
      </w:pPr>
      <w:bookmarkStart w:id="25" w:name="_Toc805394628"/>
      <w:r>
        <w:lastRenderedPageBreak/>
        <w:t>PERINATAL TRANSMISSION OF HIV</w:t>
      </w:r>
      <w:bookmarkEnd w:id="25"/>
    </w:p>
    <w:p w14:paraId="7D26FEDC" w14:textId="35DF0DA4" w:rsidR="00B20329" w:rsidRPr="00933BC9" w:rsidRDefault="7ECA6674" w:rsidP="034544F5">
      <w:r w:rsidRPr="00933BC9">
        <w:rPr>
          <w:b/>
          <w:bCs/>
        </w:rPr>
        <w:t xml:space="preserve">Figure </w:t>
      </w:r>
      <w:r w:rsidR="31BC646A" w:rsidRPr="00933BC9">
        <w:rPr>
          <w:b/>
          <w:bCs/>
        </w:rPr>
        <w:t>20</w:t>
      </w:r>
      <w:r w:rsidRPr="00933BC9">
        <w:t>. Number of reported cases of perinatal transmission of HIV infection, by year of birth, Massachusetts 1985–202</w:t>
      </w:r>
      <w:r w:rsidR="00933BC9" w:rsidRPr="00933BC9">
        <w:t>3</w:t>
      </w:r>
    </w:p>
    <w:p w14:paraId="756BF702" w14:textId="6727745B" w:rsidR="00B87580" w:rsidRPr="00234D05" w:rsidRDefault="00F34F50" w:rsidP="00B20329">
      <w:pPr>
        <w:rPr>
          <w:color w:val="FF0000"/>
          <w:szCs w:val="24"/>
        </w:rPr>
      </w:pPr>
      <w:r>
        <w:rPr>
          <w:noProof/>
          <w:color w:val="FF0000"/>
          <w:szCs w:val="24"/>
        </w:rPr>
        <w:drawing>
          <wp:inline distT="0" distB="0" distL="0" distR="0" wp14:anchorId="17FC50FD" wp14:editId="6343F1D5">
            <wp:extent cx="6334125" cy="4566285"/>
            <wp:effectExtent l="0" t="0" r="0" b="5715"/>
            <wp:docPr id="442849073" name="Picture 1" descr="The figure is a trendline graph displaying changes in the annual number of cases of perinatal transmission of HIV infection each year from 1985 to 2023 by year of birth. The text, “Introduction of anti-viral therapy to prevent perinatal transmission” has an arrow indicating that this happened in the year 1995 and the text “Promotion of universal screening of pregnant people” has a long arrow indicating that this began in 19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49073" name="Picture 1" descr="The figure is a trendline graph displaying changes in the annual number of cases of perinatal transmission of HIV infection each year from 1985 to 2023 by year of birth. The text, “Introduction of anti-viral therapy to prevent perinatal transmission” has an arrow indicating that this happened in the year 1995 and the text “Promotion of universal screening of pregnant people” has a long arrow indicating that this began in 1999.&#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4125" cy="4566285"/>
                    </a:xfrm>
                    <a:prstGeom prst="rect">
                      <a:avLst/>
                    </a:prstGeom>
                    <a:noFill/>
                  </pic:spPr>
                </pic:pic>
              </a:graphicData>
            </a:graphic>
          </wp:inline>
        </w:drawing>
      </w:r>
    </w:p>
    <w:p w14:paraId="653D8F08" w14:textId="502F2C82" w:rsidR="00B20329" w:rsidRPr="00933BC9" w:rsidRDefault="00B20329" w:rsidP="74C63B2F">
      <w:pPr>
        <w:rPr>
          <w:sz w:val="20"/>
          <w:szCs w:val="20"/>
        </w:rPr>
      </w:pPr>
    </w:p>
    <w:p w14:paraId="4E795F2C" w14:textId="7296736F" w:rsidR="00B20329" w:rsidRPr="00933BC9" w:rsidRDefault="00B20329" w:rsidP="00B20329">
      <w:pPr>
        <w:rPr>
          <w:sz w:val="20"/>
          <w:szCs w:val="20"/>
        </w:rPr>
      </w:pPr>
      <w:r w:rsidRPr="00933BC9">
        <w:rPr>
          <w:sz w:val="20"/>
          <w:szCs w:val="20"/>
        </w:rPr>
        <w:t xml:space="preserve">Data Source: Bureau of Infectious Disease and Laboratory Sciences, data are </w:t>
      </w:r>
      <w:r w:rsidR="004822C5" w:rsidRPr="00933BC9">
        <w:rPr>
          <w:sz w:val="20"/>
          <w:szCs w:val="20"/>
        </w:rPr>
        <w:t>current as of 7/1/2024</w:t>
      </w:r>
      <w:r w:rsidRPr="00933BC9">
        <w:rPr>
          <w:sz w:val="20"/>
          <w:szCs w:val="20"/>
        </w:rPr>
        <w:t xml:space="preserve"> and subject to change</w:t>
      </w:r>
      <w:r w:rsidR="00B1580A" w:rsidRPr="00933BC9">
        <w:rPr>
          <w:sz w:val="20"/>
          <w:szCs w:val="20"/>
        </w:rPr>
        <w:t>.</w:t>
      </w:r>
    </w:p>
    <w:p w14:paraId="175913A0" w14:textId="4F52A71B" w:rsidR="00B87580" w:rsidRPr="00933BC9" w:rsidRDefault="00B87580" w:rsidP="00B20329">
      <w:pPr>
        <w:rPr>
          <w:szCs w:val="24"/>
        </w:rPr>
      </w:pPr>
    </w:p>
    <w:p w14:paraId="0124AF19" w14:textId="77777777" w:rsidR="00933BC9" w:rsidRPr="00933BC9" w:rsidRDefault="00933BC9" w:rsidP="00933BC9">
      <w:pPr>
        <w:pStyle w:val="spaced6"/>
      </w:pPr>
      <w:r w:rsidRPr="00933BC9">
        <w:t>Since the mid-1990s, there has been a dramatic reduction in perinatal transmission of HIV infection related to high rates of antiretroviral treatment of HIV positive people and promotion of HIV screening during pregnancy.</w:t>
      </w:r>
    </w:p>
    <w:p w14:paraId="6C758665" w14:textId="7B3277D3" w:rsidR="00B20329" w:rsidRPr="00933BC9" w:rsidRDefault="00933BC9" w:rsidP="00933BC9">
      <w:pPr>
        <w:pStyle w:val="spaced6"/>
      </w:pPr>
      <w:r w:rsidRPr="00933BC9">
        <w:t>There were only four cases identified in the past nine years (two in 2018, one in 2020, and one in 2023)</w:t>
      </w:r>
      <w:r w:rsidR="3C4D1E2F" w:rsidRPr="00933BC9">
        <w:t>.</w:t>
      </w:r>
      <w:r w:rsidR="00B20329" w:rsidRPr="00933BC9">
        <w:rPr>
          <w:rStyle w:val="FootnoteReference"/>
        </w:rPr>
        <w:footnoteReference w:id="64"/>
      </w:r>
      <w:r w:rsidR="217D72E4" w:rsidRPr="00933BC9">
        <w:t xml:space="preserve"> </w:t>
      </w:r>
    </w:p>
    <w:p w14:paraId="7D79B678" w14:textId="6C3AC64D" w:rsidR="00607719" w:rsidRPr="00234D05" w:rsidRDefault="00607719" w:rsidP="00B20329">
      <w:pPr>
        <w:rPr>
          <w:color w:val="FF0000"/>
        </w:rPr>
      </w:pPr>
      <w:r w:rsidRPr="00234D05">
        <w:rPr>
          <w:color w:val="FF0000"/>
        </w:rPr>
        <w:br w:type="page"/>
      </w:r>
    </w:p>
    <w:p w14:paraId="25D6734E" w14:textId="7231DDF6" w:rsidR="00B87580" w:rsidRPr="00933BC9" w:rsidRDefault="003709C9" w:rsidP="38A4F72D">
      <w:pPr>
        <w:pStyle w:val="Heading2"/>
      </w:pPr>
      <w:bookmarkStart w:id="26" w:name="_Toc370630920"/>
      <w:r>
        <w:lastRenderedPageBreak/>
        <w:t>AGE AMONG PERSONS LIVING WITH HIV INFECTION</w:t>
      </w:r>
      <w:bookmarkEnd w:id="26"/>
    </w:p>
    <w:p w14:paraId="59CA34C8" w14:textId="3E74DF10" w:rsidR="003709C9" w:rsidRPr="00933BC9" w:rsidRDefault="4A7B9A69" w:rsidP="2AF4F12E">
      <w:r w:rsidRPr="00933BC9">
        <w:rPr>
          <w:b/>
          <w:bCs/>
        </w:rPr>
        <w:t xml:space="preserve">Figure </w:t>
      </w:r>
      <w:r w:rsidR="13572214" w:rsidRPr="00933BC9">
        <w:rPr>
          <w:b/>
          <w:bCs/>
        </w:rPr>
        <w:t>21</w:t>
      </w:r>
      <w:r w:rsidRPr="00933BC9">
        <w:rPr>
          <w:b/>
          <w:bCs/>
        </w:rPr>
        <w:t xml:space="preserve">. </w:t>
      </w:r>
      <w:r w:rsidRPr="00933BC9">
        <w:t xml:space="preserve">Percentage distribution of individuals living with HIV infection by age on December 31, Massachusetts </w:t>
      </w:r>
      <w:r w:rsidR="00F446E3" w:rsidRPr="00933BC9">
        <w:t>2014–2023</w:t>
      </w:r>
      <w:r w:rsidRPr="00933BC9">
        <w:t xml:space="preserve"> </w:t>
      </w:r>
    </w:p>
    <w:p w14:paraId="7E1D2717" w14:textId="1B856E43" w:rsidR="003709C9" w:rsidRPr="00234D05" w:rsidRDefault="00B94B0F" w:rsidP="7017D928">
      <w:pPr>
        <w:rPr>
          <w:color w:val="FF0000"/>
        </w:rPr>
      </w:pPr>
      <w:r>
        <w:rPr>
          <w:noProof/>
          <w:color w:val="FF0000"/>
        </w:rPr>
        <w:drawing>
          <wp:inline distT="0" distB="0" distL="0" distR="0" wp14:anchorId="35A19E55" wp14:editId="7290FDDD">
            <wp:extent cx="6401435" cy="5072380"/>
            <wp:effectExtent l="0" t="0" r="0" b="0"/>
            <wp:docPr id="365356882" name="Picture 6" descr="The figure is a stacked bar chart displaying the percentage distribution of persons living with HIV infection by age (0-19, 20-24, 25-29, 30-39, 40-49, 50-59, 60+ years) for each year of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56882" name="Picture 6" descr="The figure is a stacked bar chart displaying the percentage distribution of persons living with HIV infection by age (0-19, 20-24, 25-29, 30-39, 40-49, 50-59, 60+ years) for each year of the ten-year period.&#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1435" cy="5072380"/>
                    </a:xfrm>
                    <a:prstGeom prst="rect">
                      <a:avLst/>
                    </a:prstGeom>
                    <a:noFill/>
                  </pic:spPr>
                </pic:pic>
              </a:graphicData>
            </a:graphic>
          </wp:inline>
        </w:drawing>
      </w:r>
    </w:p>
    <w:p w14:paraId="75C3054A" w14:textId="6A7D77B4" w:rsidR="003709C9" w:rsidRPr="00271FB7" w:rsidRDefault="003709C9" w:rsidP="00287D29">
      <w:pPr>
        <w:pStyle w:val="fignote"/>
      </w:pPr>
      <w:r w:rsidRPr="00271FB7">
        <w:t xml:space="preserve">Data Source: Bureau of Infectious Disease and Laboratory Sciences, data are </w:t>
      </w:r>
      <w:r w:rsidR="004822C5" w:rsidRPr="00271FB7">
        <w:t>current as of 7/1/2024</w:t>
      </w:r>
      <w:r w:rsidRPr="00271FB7">
        <w:t xml:space="preserve"> and subject to change</w:t>
      </w:r>
      <w:r w:rsidR="00B1580A" w:rsidRPr="00271FB7">
        <w:t>.</w:t>
      </w:r>
    </w:p>
    <w:p w14:paraId="4C766134" w14:textId="050842CE" w:rsidR="003709C9" w:rsidRPr="00271FB7" w:rsidRDefault="00271FB7">
      <w:pPr>
        <w:numPr>
          <w:ilvl w:val="0"/>
          <w:numId w:val="7"/>
        </w:numPr>
      </w:pPr>
      <w:r w:rsidRPr="00271FB7">
        <w:t>Because of effective HIV treatment, people diagnosed with HIV infection are living longer, healthier lives. The proportion of people living with HIV infection who were aged 60 years or older increased from 16% on December 31, 2014 to 36% on December 31, 2023</w:t>
      </w:r>
      <w:r w:rsidR="70E2F5E9" w:rsidRPr="00271FB7">
        <w:t>.</w:t>
      </w:r>
      <w:r w:rsidR="003709C9" w:rsidRPr="00271FB7">
        <w:rPr>
          <w:rStyle w:val="FootnoteReference"/>
        </w:rPr>
        <w:footnoteReference w:id="65"/>
      </w:r>
      <w:r w:rsidR="29B4DF67" w:rsidRPr="00271FB7">
        <w:rPr>
          <w:vertAlign w:val="superscript"/>
        </w:rPr>
        <w:t>,</w:t>
      </w:r>
      <w:r w:rsidR="003709C9" w:rsidRPr="00271FB7">
        <w:rPr>
          <w:rStyle w:val="FootnoteReference"/>
        </w:rPr>
        <w:footnoteReference w:id="66"/>
      </w:r>
    </w:p>
    <w:p w14:paraId="1F014E68" w14:textId="29801A5D" w:rsidR="00E96B1A" w:rsidRPr="00234D05" w:rsidRDefault="00E96B1A" w:rsidP="003709C9">
      <w:pPr>
        <w:rPr>
          <w:color w:val="FF0000"/>
        </w:rPr>
      </w:pPr>
      <w:r w:rsidRPr="00234D05">
        <w:rPr>
          <w:color w:val="FF0000"/>
        </w:rPr>
        <w:br w:type="page"/>
      </w:r>
    </w:p>
    <w:p w14:paraId="32803D59" w14:textId="6A9FAE09" w:rsidR="003709C9" w:rsidRPr="00271FB7" w:rsidRDefault="00A22BBE" w:rsidP="38A4F72D">
      <w:pPr>
        <w:pStyle w:val="Heading2"/>
      </w:pPr>
      <w:bookmarkStart w:id="27" w:name="_Toc386786768"/>
      <w:r>
        <w:lastRenderedPageBreak/>
        <w:t>SURVIVAL AMONG INDIVIDUALS DIAGNOSED WITH HIV</w:t>
      </w:r>
      <w:bookmarkEnd w:id="27"/>
    </w:p>
    <w:p w14:paraId="18B3551E" w14:textId="3D1F674A" w:rsidR="00B30384" w:rsidRPr="00AA540A" w:rsidRDefault="7F353237" w:rsidP="7017D928">
      <w:r w:rsidRPr="00AA540A">
        <w:rPr>
          <w:b/>
          <w:bCs/>
        </w:rPr>
        <w:t xml:space="preserve">Figure </w:t>
      </w:r>
      <w:r w:rsidR="0F33EB2A" w:rsidRPr="00AA540A">
        <w:rPr>
          <w:b/>
          <w:bCs/>
        </w:rPr>
        <w:t>22</w:t>
      </w:r>
      <w:r w:rsidRPr="00AA540A">
        <w:rPr>
          <w:b/>
          <w:bCs/>
        </w:rPr>
        <w:t xml:space="preserve">. </w:t>
      </w:r>
      <w:r w:rsidR="008644A2" w:rsidRPr="008644A2">
        <w:t>Ten-year survival among individuals with HIV infection by year of diagnosis, Massachusetts 19</w:t>
      </w:r>
      <w:r w:rsidR="008644A2">
        <w:t>9</w:t>
      </w:r>
      <w:r w:rsidR="008644A2" w:rsidRPr="008644A2">
        <w:t>9–2023 (Total number of HIV diagnoses from 19</w:t>
      </w:r>
      <w:r w:rsidR="008644A2">
        <w:t>9</w:t>
      </w:r>
      <w:r w:rsidR="008644A2" w:rsidRPr="008644A2">
        <w:t>9–2023, N=</w:t>
      </w:r>
      <w:r w:rsidR="00F049E8">
        <w:t>18,618</w:t>
      </w:r>
      <w:r w:rsidR="008644A2" w:rsidRPr="008644A2">
        <w:t>)</w:t>
      </w:r>
    </w:p>
    <w:p w14:paraId="26CE5061" w14:textId="77777777" w:rsidR="00AA540A" w:rsidRDefault="00AA540A" w:rsidP="00A22BBE">
      <w:pPr>
        <w:rPr>
          <w:color w:val="FF0000"/>
          <w:sz w:val="20"/>
          <w:szCs w:val="20"/>
        </w:rPr>
      </w:pPr>
    </w:p>
    <w:p w14:paraId="7BB66F79" w14:textId="0CBBE34C" w:rsidR="00AA540A" w:rsidRDefault="008644A2" w:rsidP="00A22BBE">
      <w:pPr>
        <w:rPr>
          <w:color w:val="FF0000"/>
          <w:sz w:val="20"/>
          <w:szCs w:val="20"/>
        </w:rPr>
      </w:pPr>
      <w:r>
        <w:rPr>
          <w:noProof/>
          <w:color w:val="FF0000"/>
          <w:sz w:val="20"/>
          <w:szCs w:val="20"/>
        </w:rPr>
        <w:drawing>
          <wp:inline distT="0" distB="0" distL="0" distR="0" wp14:anchorId="71066E74" wp14:editId="1112DCF7">
            <wp:extent cx="6638925" cy="5322570"/>
            <wp:effectExtent l="0" t="0" r="9525" b="0"/>
            <wp:docPr id="761153753" name="Picture 7" descr="The figure is a trendline that displays the percent of individuals alive less than 1 – 10 years after HIV infection diagnosis for 5 cohorts by year of HIV infection diagnosis: 1999-2003, 2004-2008, 2009-2013, 2014-2018, 2019-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753" name="Picture 7" descr="The figure is a trendline that displays the percent of individuals alive less than 1 – 10 years after HIV infection diagnosis for 5 cohorts by year of HIV infection diagnosis: 1999-2003, 2004-2008, 2009-2013, 2014-2018, 2019-2023.&#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8925" cy="5322570"/>
                    </a:xfrm>
                    <a:prstGeom prst="rect">
                      <a:avLst/>
                    </a:prstGeom>
                    <a:noFill/>
                  </pic:spPr>
                </pic:pic>
              </a:graphicData>
            </a:graphic>
          </wp:inline>
        </w:drawing>
      </w:r>
    </w:p>
    <w:p w14:paraId="411495CE" w14:textId="53EE6571" w:rsidR="00A22BBE" w:rsidRPr="00234D05" w:rsidRDefault="72F6623F" w:rsidP="00A22BBE">
      <w:pPr>
        <w:rPr>
          <w:color w:val="FF0000"/>
          <w:sz w:val="20"/>
          <w:szCs w:val="20"/>
        </w:rPr>
      </w:pPr>
      <w:r w:rsidRPr="00AA540A">
        <w:rPr>
          <w:sz w:val="20"/>
          <w:szCs w:val="20"/>
        </w:rPr>
        <w:t xml:space="preserve">Data Source: Bureau of Infectious Disease and Laboratory Sciences, data are </w:t>
      </w:r>
      <w:r w:rsidR="004822C5" w:rsidRPr="00AA540A">
        <w:rPr>
          <w:sz w:val="20"/>
          <w:szCs w:val="20"/>
        </w:rPr>
        <w:t>current as of 7/1/2024</w:t>
      </w:r>
      <w:r w:rsidRPr="00AA540A">
        <w:rPr>
          <w:sz w:val="20"/>
          <w:szCs w:val="20"/>
        </w:rPr>
        <w:t xml:space="preserve"> and subject to change</w:t>
      </w:r>
      <w:r w:rsidR="00B1580A" w:rsidRPr="00AA540A">
        <w:rPr>
          <w:sz w:val="20"/>
          <w:szCs w:val="20"/>
        </w:rPr>
        <w:t>.</w:t>
      </w:r>
    </w:p>
    <w:p w14:paraId="25ED11D8" w14:textId="1D56938C" w:rsidR="00A22BBE" w:rsidRPr="00234D05" w:rsidRDefault="00A22BBE" w:rsidP="41714869">
      <w:pPr>
        <w:rPr>
          <w:color w:val="FF0000"/>
          <w:szCs w:val="24"/>
        </w:rPr>
      </w:pPr>
    </w:p>
    <w:p w14:paraId="5CDD69F8" w14:textId="3DB0368C" w:rsidR="00A22BBE" w:rsidRPr="00AA540A" w:rsidRDefault="004901A0" w:rsidP="69F1B494">
      <w:pPr>
        <w:numPr>
          <w:ilvl w:val="0"/>
          <w:numId w:val="8"/>
        </w:numPr>
      </w:pPr>
      <w:r w:rsidRPr="004901A0">
        <w:t>Survival of individuals diagnosed with HIV infection has increased over time. In the earliest cohort of HIV infection diagnoses (1999–2003), estimated survival at ten years after HIV infection diagnosis was 85%, compared to 89% among individuals diagnosed from 2004–2008, 91% among individuals diagnosed from 2009–2013, 93% among individuals diagnosed from 2014–2018, and 96% among individuals diagnosed from 2019–2023</w:t>
      </w:r>
      <w:r w:rsidR="005230C4" w:rsidRPr="00AA540A">
        <w:t>.</w:t>
      </w:r>
      <w:r w:rsidR="00A22BBE" w:rsidRPr="00AA540A">
        <w:rPr>
          <w:rStyle w:val="FootnoteReference"/>
        </w:rPr>
        <w:footnoteReference w:id="67"/>
      </w:r>
      <w:r w:rsidRPr="004901A0">
        <w:rPr>
          <w:vertAlign w:val="superscript"/>
        </w:rPr>
        <w:t>,</w:t>
      </w:r>
      <w:r>
        <w:rPr>
          <w:rStyle w:val="FootnoteReference"/>
        </w:rPr>
        <w:footnoteReference w:id="68"/>
      </w:r>
    </w:p>
    <w:p w14:paraId="229AFCA6" w14:textId="3AE28C0E" w:rsidR="00824CBF" w:rsidRPr="00234D05" w:rsidRDefault="00824CBF" w:rsidP="00A22BBE">
      <w:pPr>
        <w:rPr>
          <w:color w:val="FF0000"/>
          <w:szCs w:val="24"/>
        </w:rPr>
      </w:pPr>
      <w:r w:rsidRPr="00234D05">
        <w:rPr>
          <w:color w:val="FF0000"/>
          <w:szCs w:val="24"/>
        </w:rPr>
        <w:br w:type="page"/>
      </w:r>
    </w:p>
    <w:p w14:paraId="2023D0A7" w14:textId="31EA5DA8" w:rsidR="00A22BBE" w:rsidRPr="00271FB7" w:rsidRDefault="00A453A5" w:rsidP="38A4F72D">
      <w:pPr>
        <w:pStyle w:val="Heading1"/>
        <w:rPr>
          <w:b w:val="0"/>
        </w:rPr>
      </w:pPr>
      <w:bookmarkStart w:id="28" w:name="_Toc1141953803"/>
      <w:r>
        <w:lastRenderedPageBreak/>
        <w:t>VIRAL HEPATITIS</w:t>
      </w:r>
      <w:bookmarkEnd w:id="28"/>
    </w:p>
    <w:p w14:paraId="0717B520" w14:textId="4037E605" w:rsidR="00A453A5" w:rsidRPr="00271FB7" w:rsidRDefault="00A453A5" w:rsidP="38A4F72D">
      <w:pPr>
        <w:pStyle w:val="Heading2"/>
      </w:pPr>
      <w:bookmarkStart w:id="29" w:name="_Toc28772400"/>
      <w:r>
        <w:t>HEPATITIS A</w:t>
      </w:r>
      <w:bookmarkEnd w:id="29"/>
    </w:p>
    <w:p w14:paraId="6FC07522" w14:textId="3DD868FA" w:rsidR="00A453A5" w:rsidRPr="00271FB7" w:rsidRDefault="00A453A5" w:rsidP="00A453A5">
      <w:pPr>
        <w:rPr>
          <w:szCs w:val="24"/>
        </w:rPr>
      </w:pPr>
      <w:r w:rsidRPr="00271FB7">
        <w:rPr>
          <w:szCs w:val="24"/>
        </w:rPr>
        <w:t>Hepatitis A is a vaccine-preventable, viral liver disease that can cause mild to severe illness. It is usually transmitted person-</w:t>
      </w:r>
      <w:r w:rsidR="009947A6" w:rsidRPr="00271FB7">
        <w:rPr>
          <w:szCs w:val="24"/>
        </w:rPr>
        <w:t>to-</w:t>
      </w:r>
      <w:r w:rsidRPr="00271FB7">
        <w:rPr>
          <w:szCs w:val="24"/>
        </w:rPr>
        <w:t xml:space="preserve">person through the fecal-oral route or through consumption of contaminated food or water. Hepatitis A is a self-limited disease that does not result in chronic infection. </w:t>
      </w:r>
    </w:p>
    <w:p w14:paraId="3B803285" w14:textId="45656CE7" w:rsidR="00A453A5" w:rsidRPr="00271FB7" w:rsidRDefault="00A453A5" w:rsidP="00A453A5">
      <w:pPr>
        <w:rPr>
          <w:szCs w:val="24"/>
        </w:rPr>
      </w:pPr>
    </w:p>
    <w:p w14:paraId="0885366B" w14:textId="63BDF160" w:rsidR="00A453A5" w:rsidRPr="00271FB7" w:rsidRDefault="00A453A5" w:rsidP="00A453A5">
      <w:pPr>
        <w:rPr>
          <w:szCs w:val="24"/>
        </w:rPr>
      </w:pPr>
      <w:r w:rsidRPr="00271FB7">
        <w:rPr>
          <w:b/>
          <w:bCs/>
          <w:szCs w:val="24"/>
        </w:rPr>
        <w:t xml:space="preserve">Figure </w:t>
      </w:r>
      <w:r w:rsidR="00935DD5" w:rsidRPr="00271FB7">
        <w:rPr>
          <w:b/>
          <w:bCs/>
          <w:szCs w:val="24"/>
        </w:rPr>
        <w:t>23</w:t>
      </w:r>
      <w:r w:rsidRPr="00271FB7">
        <w:rPr>
          <w:b/>
          <w:bCs/>
          <w:szCs w:val="24"/>
        </w:rPr>
        <w:t>.</w:t>
      </w:r>
      <w:r w:rsidRPr="00271FB7">
        <w:rPr>
          <w:szCs w:val="24"/>
        </w:rPr>
        <w:t xml:space="preserve"> Number of hepatitis A cases reported by year, housing status, and presence of substance use disorder, Massachusetts </w:t>
      </w:r>
      <w:r w:rsidR="00F446E3" w:rsidRPr="00271FB7">
        <w:rPr>
          <w:szCs w:val="24"/>
        </w:rPr>
        <w:t>2014–2023</w:t>
      </w:r>
      <w:r w:rsidRPr="00271FB7">
        <w:rPr>
          <w:szCs w:val="24"/>
        </w:rPr>
        <w:t xml:space="preserve"> </w:t>
      </w:r>
    </w:p>
    <w:p w14:paraId="5F0FBD6C" w14:textId="7F878958" w:rsidR="00A453A5" w:rsidRPr="002E3AFB" w:rsidRDefault="00E00B2D" w:rsidP="00A453A5">
      <w:r>
        <w:rPr>
          <w:noProof/>
        </w:rPr>
        <w:drawing>
          <wp:inline distT="0" distB="0" distL="0" distR="0" wp14:anchorId="67047F78" wp14:editId="6C0DACC7">
            <wp:extent cx="5608320" cy="3088597"/>
            <wp:effectExtent l="0" t="0" r="0" b="0"/>
            <wp:docPr id="1061148985" name="Picture 8" descr="The figure is a stacked bar chart displaying the number of hepatitis A cases reported each year of the ten-year period by housing status (homelessness/unstable housing) and presence of substance use disorder. The number of cases each year with homelessness/unstable housing or substance use disorder reported verses those with no homelessness/unstable housing or substance use disorder reported i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48985" name="Picture 8" descr="The figure is a stacked bar chart displaying the number of hepatitis A cases reported each year of the ten-year period by housing status (homelessness/unstable housing) and presence of substance use disorder. The number of cases each year with homelessness/unstable housing or substance use disorder reported verses those with no homelessness/unstable housing or substance use disorder reported is displayed.&#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7215" cy="3099003"/>
                    </a:xfrm>
                    <a:prstGeom prst="rect">
                      <a:avLst/>
                    </a:prstGeom>
                    <a:noFill/>
                  </pic:spPr>
                </pic:pic>
              </a:graphicData>
            </a:graphic>
          </wp:inline>
        </w:drawing>
      </w:r>
    </w:p>
    <w:p w14:paraId="33D73753" w14:textId="41FF813F" w:rsidR="00923D7E" w:rsidRPr="002E3AFB" w:rsidRDefault="00923D7E" w:rsidP="00923D7E">
      <w:pPr>
        <w:rPr>
          <w:sz w:val="20"/>
          <w:szCs w:val="20"/>
        </w:rPr>
      </w:pPr>
      <w:r w:rsidRPr="002E3AFB">
        <w:rPr>
          <w:sz w:val="20"/>
          <w:szCs w:val="20"/>
        </w:rPr>
        <w:t>Data Source: Bureau of Infectious Disease and Laboratory Sciences, data are current as of 7/</w:t>
      </w:r>
      <w:r w:rsidR="00DE4588" w:rsidRPr="002E3AFB">
        <w:rPr>
          <w:sz w:val="20"/>
          <w:szCs w:val="20"/>
        </w:rPr>
        <w:t>17</w:t>
      </w:r>
      <w:r w:rsidRPr="002E3AFB">
        <w:rPr>
          <w:sz w:val="20"/>
          <w:szCs w:val="20"/>
        </w:rPr>
        <w:t>/202</w:t>
      </w:r>
      <w:r w:rsidR="00DE4588" w:rsidRPr="002E3AFB">
        <w:rPr>
          <w:sz w:val="20"/>
          <w:szCs w:val="20"/>
        </w:rPr>
        <w:t>4</w:t>
      </w:r>
      <w:r w:rsidRPr="002E3AFB">
        <w:rPr>
          <w:sz w:val="20"/>
          <w:szCs w:val="20"/>
        </w:rPr>
        <w:t xml:space="preserve"> and subject to change</w:t>
      </w:r>
      <w:r w:rsidR="00B1580A" w:rsidRPr="002E3AFB">
        <w:rPr>
          <w:sz w:val="20"/>
          <w:szCs w:val="20"/>
        </w:rPr>
        <w:t>.</w:t>
      </w:r>
    </w:p>
    <w:p w14:paraId="6957EB31" w14:textId="77777777" w:rsidR="00923D7E" w:rsidRPr="004B5823" w:rsidRDefault="00923D7E" w:rsidP="00A453A5">
      <w:pPr>
        <w:rPr>
          <w:sz w:val="16"/>
          <w:szCs w:val="16"/>
        </w:rPr>
      </w:pPr>
    </w:p>
    <w:p w14:paraId="6DCB646C" w14:textId="620490BA" w:rsidR="000907C2" w:rsidRPr="002E3AFB" w:rsidRDefault="002E3AFB" w:rsidP="224F3BC0">
      <w:pPr>
        <w:numPr>
          <w:ilvl w:val="0"/>
          <w:numId w:val="9"/>
        </w:numPr>
        <w:rPr>
          <w:rFonts w:eastAsiaTheme="minorEastAsia"/>
          <w:i/>
          <w:iCs/>
        </w:rPr>
      </w:pPr>
      <w:r w:rsidRPr="002E3AFB">
        <w:t>Between 2018 and 2020, the Massachusetts Department of Public Health (DPH) and local health departments investigated an outbreak of hepatitis A. The populations most affected by the outbreak were those reported with recent homelessness or unstable housing, and/or substance use disorder, accounting for 72% (N=268/373) and 64% (N=124/193) of cases in 2018 and 2019, respectively. DPH partnered with clinical and community-based providers to implement a hepatitis A (HAV) vaccination response by deploying mobile vaccination providers to shelters, correctional facilities, harm reduction programs, and outreach venues. The outbreak was declared over in spring of 2020</w:t>
      </w:r>
      <w:r w:rsidR="640927EA" w:rsidRPr="002E3AFB">
        <w:t>,</w:t>
      </w:r>
      <w:r w:rsidRPr="002E3AFB">
        <w:t xml:space="preserve"> and case counts among individuals with homelessness/unstable housing or substance use disorder remained low through 2022. </w:t>
      </w:r>
      <w:r w:rsidR="00C922E9">
        <w:t>A second,</w:t>
      </w:r>
      <w:r w:rsidRPr="002E3AFB">
        <w:t xml:space="preserve"> small</w:t>
      </w:r>
      <w:r w:rsidR="00C922E9">
        <w:t>er</w:t>
      </w:r>
      <w:r w:rsidRPr="002E3AFB">
        <w:t xml:space="preserve"> outbreak affecting the same populations was detected in fall 2023, prompting additional vaccination efforts</w:t>
      </w:r>
      <w:r w:rsidR="00935DD5" w:rsidRPr="002E3AFB">
        <w:rPr>
          <w:i/>
          <w:iCs/>
        </w:rPr>
        <w:t>.</w:t>
      </w:r>
      <w:r w:rsidR="00935DD5" w:rsidRPr="002E3AFB">
        <w:rPr>
          <w:rStyle w:val="FootnoteReference"/>
          <w:rFonts w:ascii="Arial" w:eastAsia="Arial" w:hAnsi="Arial" w:cs="Arial"/>
          <w:sz w:val="22"/>
        </w:rPr>
        <w:footnoteReference w:id="69"/>
      </w:r>
      <w:r w:rsidR="00C2115E" w:rsidRPr="002E3AFB">
        <w:rPr>
          <w:rFonts w:ascii="Arial" w:eastAsia="Arial" w:hAnsi="Arial" w:cs="Arial"/>
          <w:vertAlign w:val="superscript"/>
        </w:rPr>
        <w:t xml:space="preserve"> </w:t>
      </w:r>
      <w:r w:rsidR="5A0340BB">
        <w:t xml:space="preserve">This outbreak ended in May of 2024 with a total of 24 cases. </w:t>
      </w:r>
      <w:r w:rsidR="00D3661F" w:rsidRPr="002E3AFB">
        <w:t>DPH</w:t>
      </w:r>
      <w:r w:rsidR="17C5D9BA" w:rsidRPr="002E3AFB">
        <w:t xml:space="preserve"> encourages continued vaccination of populations </w:t>
      </w:r>
      <w:r w:rsidR="363768CC" w:rsidRPr="002E3AFB">
        <w:t>at high risk of acquiring hepatitis A</w:t>
      </w:r>
      <w:r w:rsidR="17C5D9BA" w:rsidRPr="002E3AFB">
        <w:t xml:space="preserve"> in accordance with recommendations from the Advisory Committee on Immunization Practices.</w:t>
      </w:r>
      <w:r w:rsidR="002F1CA2" w:rsidRPr="002E3AFB">
        <w:rPr>
          <w:rStyle w:val="FootnoteReference"/>
        </w:rPr>
        <w:footnoteReference w:id="70"/>
      </w:r>
      <w:r w:rsidR="000907C2" w:rsidRPr="002E3AFB">
        <w:br w:type="page"/>
      </w:r>
    </w:p>
    <w:p w14:paraId="0D881BB6" w14:textId="3234E519" w:rsidR="00A453A5" w:rsidRPr="002E3AFB" w:rsidRDefault="000907C2" w:rsidP="38A4F72D">
      <w:pPr>
        <w:pStyle w:val="Heading2"/>
      </w:pPr>
      <w:bookmarkStart w:id="30" w:name="_Toc1647969956"/>
      <w:r>
        <w:lastRenderedPageBreak/>
        <w:t>HEPATITIS B</w:t>
      </w:r>
      <w:bookmarkEnd w:id="30"/>
    </w:p>
    <w:p w14:paraId="226FD746" w14:textId="22045F64" w:rsidR="000907C2" w:rsidRPr="002E3AFB" w:rsidRDefault="000907C2" w:rsidP="000907C2">
      <w:r w:rsidRPr="002E3AFB">
        <w:t xml:space="preserve">Hepatitis B is a liver infection caused by the hepatitis B virus. Transmission occurs via contact with blood or other body fluids, including from </w:t>
      </w:r>
      <w:r w:rsidR="16EA4A32">
        <w:t>pregnant person</w:t>
      </w:r>
      <w:r w:rsidRPr="002E3AFB">
        <w:t xml:space="preserve"> to infant at birth, via sexual contact, and through sharing of drug injection equipment. Most people who get the disease recover from it and cannot be re-infected. However, about 10% of adults who get hepatitis B will go on to have chronic (long-term) infection and can pass it on to others. When it is chronic, it can be a serious disease that can lead to cirrhosis (scarring of the liver) and/or liver cancer. The younger a person is when infected, the more likely </w:t>
      </w:r>
      <w:r w:rsidR="1326AAD8">
        <w:t>they are</w:t>
      </w:r>
      <w:r w:rsidRPr="002E3AFB">
        <w:t xml:space="preserve"> to go on to have chronic infection and to develop serious liver disease. There is a vaccine to prevent hepatitis B infection. </w:t>
      </w:r>
    </w:p>
    <w:p w14:paraId="7EF562AC" w14:textId="32951A23" w:rsidR="224F3BC0" w:rsidRPr="002E3AFB" w:rsidRDefault="224F3BC0"/>
    <w:p w14:paraId="37A25EF0" w14:textId="0A7E9AA7" w:rsidR="000907C2" w:rsidRPr="002E3AFB" w:rsidRDefault="000907C2" w:rsidP="000907C2">
      <w:pPr>
        <w:rPr>
          <w:szCs w:val="24"/>
        </w:rPr>
      </w:pPr>
      <w:r w:rsidRPr="002E3AFB">
        <w:rPr>
          <w:szCs w:val="24"/>
        </w:rPr>
        <w:t xml:space="preserve">The </w:t>
      </w:r>
      <w:r w:rsidR="007C06A7" w:rsidRPr="002E3AFB">
        <w:rPr>
          <w:szCs w:val="24"/>
        </w:rPr>
        <w:t>impact</w:t>
      </w:r>
      <w:r w:rsidRPr="002E3AFB">
        <w:rPr>
          <w:szCs w:val="24"/>
        </w:rPr>
        <w:t xml:space="preserve"> of chronic hepatitis B in the US is greater among people born in regions of the world with high or moderate prevalence of chronic hepatitis B, including much of Asia and the Pacific Islands.</w:t>
      </w:r>
    </w:p>
    <w:p w14:paraId="65C90EDD" w14:textId="3245AF53" w:rsidR="000907C2" w:rsidRPr="002E3AFB" w:rsidRDefault="000907C2" w:rsidP="004C3766">
      <w:pPr>
        <w:rPr>
          <w:szCs w:val="24"/>
        </w:rPr>
      </w:pPr>
    </w:p>
    <w:p w14:paraId="2E3CC637" w14:textId="5D70D032" w:rsidR="004C3766" w:rsidRPr="002E3AFB" w:rsidRDefault="004C3766" w:rsidP="004C3766">
      <w:r w:rsidRPr="002E3AFB">
        <w:rPr>
          <w:b/>
          <w:bCs/>
        </w:rPr>
        <w:t xml:space="preserve">Figure </w:t>
      </w:r>
      <w:r w:rsidR="00EA41D8" w:rsidRPr="002E3AFB">
        <w:rPr>
          <w:b/>
          <w:bCs/>
        </w:rPr>
        <w:t>24</w:t>
      </w:r>
      <w:r w:rsidRPr="002E3AFB">
        <w:rPr>
          <w:b/>
          <w:bCs/>
        </w:rPr>
        <w:t xml:space="preserve">. </w:t>
      </w:r>
      <w:r w:rsidRPr="002E3AFB">
        <w:t xml:space="preserve">Number of confirmed and probable chronic hepatitis B cases reported by year, Massachusetts </w:t>
      </w:r>
      <w:r w:rsidR="00F446E3" w:rsidRPr="002E3AFB">
        <w:t>2014–2023</w:t>
      </w:r>
      <w:r w:rsidRPr="002E3AFB">
        <w:t xml:space="preserve"> </w:t>
      </w:r>
    </w:p>
    <w:p w14:paraId="3663C251" w14:textId="3A61208E" w:rsidR="004C3766" w:rsidRPr="00234D05" w:rsidRDefault="002D2F1B" w:rsidP="004C3766">
      <w:pPr>
        <w:rPr>
          <w:color w:val="FF0000"/>
        </w:rPr>
      </w:pPr>
      <w:r>
        <w:rPr>
          <w:noProof/>
          <w:color w:val="FF0000"/>
        </w:rPr>
        <w:drawing>
          <wp:inline distT="0" distB="0" distL="0" distR="0" wp14:anchorId="0B0B2DAE" wp14:editId="29AF49C6">
            <wp:extent cx="6066155" cy="4542155"/>
            <wp:effectExtent l="0" t="0" r="0" b="0"/>
            <wp:docPr id="284013741" name="Picture 9" descr="The figure is a stacked bar chart displaying the number of both confirmed and probable chronic hepatitis B cases each year for the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13741" name="Picture 9" descr="The figure is a stacked bar chart displaying the number of both confirmed and probable chronic hepatitis B cases each year for the ten-year period.&#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6155" cy="4542155"/>
                    </a:xfrm>
                    <a:prstGeom prst="rect">
                      <a:avLst/>
                    </a:prstGeom>
                    <a:noFill/>
                  </pic:spPr>
                </pic:pic>
              </a:graphicData>
            </a:graphic>
          </wp:inline>
        </w:drawing>
      </w:r>
    </w:p>
    <w:p w14:paraId="1BF6B2A3" w14:textId="26D86989" w:rsidR="004C3766" w:rsidRPr="00234D05" w:rsidRDefault="004C3766" w:rsidP="23C0B236">
      <w:pPr>
        <w:spacing w:after="120"/>
        <w:rPr>
          <w:color w:val="FF0000"/>
        </w:rPr>
      </w:pPr>
    </w:p>
    <w:p w14:paraId="35434ACB" w14:textId="5539B244" w:rsidR="004C3766" w:rsidRPr="002E3AFB" w:rsidRDefault="508645B6" w:rsidP="76F421E0">
      <w:pPr>
        <w:spacing w:after="120"/>
        <w:rPr>
          <w:sz w:val="20"/>
          <w:szCs w:val="20"/>
        </w:rPr>
      </w:pPr>
      <w:r w:rsidRPr="002E3AFB">
        <w:rPr>
          <w:sz w:val="20"/>
          <w:szCs w:val="20"/>
        </w:rPr>
        <w:t xml:space="preserve">Data Source: Bureau of Infectious Disease and Laboratory Sciences, data are current as of </w:t>
      </w:r>
      <w:r w:rsidR="001A56F5" w:rsidRPr="002E3AFB">
        <w:rPr>
          <w:sz w:val="20"/>
          <w:szCs w:val="20"/>
        </w:rPr>
        <w:t>7/</w:t>
      </w:r>
      <w:r w:rsidR="002E3AFB" w:rsidRPr="002E3AFB">
        <w:rPr>
          <w:sz w:val="20"/>
          <w:szCs w:val="20"/>
        </w:rPr>
        <w:t>17</w:t>
      </w:r>
      <w:r w:rsidR="001A56F5" w:rsidRPr="002E3AFB">
        <w:rPr>
          <w:sz w:val="20"/>
          <w:szCs w:val="20"/>
        </w:rPr>
        <w:t>/202</w:t>
      </w:r>
      <w:r w:rsidR="002E3AFB" w:rsidRPr="002E3AFB">
        <w:rPr>
          <w:sz w:val="20"/>
          <w:szCs w:val="20"/>
        </w:rPr>
        <w:t>4</w:t>
      </w:r>
      <w:r w:rsidRPr="002E3AFB">
        <w:rPr>
          <w:sz w:val="20"/>
          <w:szCs w:val="20"/>
        </w:rPr>
        <w:t xml:space="preserve"> and subject to change</w:t>
      </w:r>
      <w:r w:rsidR="00B1580A" w:rsidRPr="002E3AFB">
        <w:rPr>
          <w:sz w:val="20"/>
          <w:szCs w:val="20"/>
        </w:rPr>
        <w:t>.</w:t>
      </w:r>
    </w:p>
    <w:p w14:paraId="0AC3C669" w14:textId="77777777" w:rsidR="002E3AFB" w:rsidRPr="002E3AFB" w:rsidRDefault="62E2D17B" w:rsidP="007C2B4D">
      <w:pPr>
        <w:pStyle w:val="spaced6"/>
      </w:pPr>
      <w:r w:rsidRPr="002E3AFB">
        <w:lastRenderedPageBreak/>
        <w:t>From 201</w:t>
      </w:r>
      <w:r w:rsidR="002E3AFB" w:rsidRPr="002E3AFB">
        <w:t>4</w:t>
      </w:r>
      <w:r w:rsidRPr="002E3AFB">
        <w:t xml:space="preserve"> to 202</w:t>
      </w:r>
      <w:r w:rsidR="002E3AFB" w:rsidRPr="002E3AFB">
        <w:t>3</w:t>
      </w:r>
      <w:r w:rsidRPr="002E3AFB">
        <w:t>,</w:t>
      </w:r>
      <w:r w:rsidR="004C3766" w:rsidRPr="002E3AFB">
        <w:rPr>
          <w:rStyle w:val="FootnoteReference"/>
        </w:rPr>
        <w:footnoteReference w:id="71"/>
      </w:r>
      <w:r w:rsidRPr="002E3AFB">
        <w:t xml:space="preserve"> </w:t>
      </w:r>
      <w:r w:rsidR="002E3AFB" w:rsidRPr="002E3AFB">
        <w:t>an average of 1,733 cases of confirmed and probable chronic hepatitis B virus (HBV) infection were reported each year (with a low of 1,172 in 2020 and a high of 1,994 in 2017). Changes in testing behaviors and travel due to the COVID-19 pandemic likely influenced the number of reported cases and may contribute to the decrease in 2020, followed by the rebound from 2021 to 2023.</w:t>
      </w:r>
    </w:p>
    <w:p w14:paraId="1250C44F" w14:textId="5B5EC2FF" w:rsidR="00B4452B" w:rsidRPr="002E3AFB" w:rsidRDefault="002E3AFB" w:rsidP="007C2B4D">
      <w:pPr>
        <w:pStyle w:val="spaced6"/>
      </w:pPr>
      <w:r w:rsidRPr="002E3AFB">
        <w:t>The surveillance case definition for chronic HBV requires two positive tests; for certain test types, these two tests must be taken at least six months apart. Reported cases are classified as "probable" following the initial test result and are re-classified as "confirmed" if additional test results are received. During the most recent year of data, 2023, some cases currently reported as probable may be eventually confirmed in future reports as additional information is obtained</w:t>
      </w:r>
      <w:r w:rsidR="62E2D17B" w:rsidRPr="002E3AFB">
        <w:t>.</w:t>
      </w:r>
      <w:r w:rsidR="004C3766" w:rsidRPr="002E3AFB">
        <w:rPr>
          <w:rStyle w:val="FootnoteReference"/>
        </w:rPr>
        <w:footnoteReference w:id="72"/>
      </w:r>
      <w:r w:rsidR="00B4452B" w:rsidRPr="002E3AFB">
        <w:br w:type="page"/>
      </w:r>
    </w:p>
    <w:p w14:paraId="074787E1" w14:textId="2B678DFB" w:rsidR="004C3766" w:rsidRPr="004E64FD" w:rsidRDefault="00B4452B" w:rsidP="38A4F72D">
      <w:pPr>
        <w:pStyle w:val="Heading2"/>
      </w:pPr>
      <w:bookmarkStart w:id="31" w:name="_Toc112902357"/>
      <w:r>
        <w:lastRenderedPageBreak/>
        <w:t>HEPATITIS B BY GENDER</w:t>
      </w:r>
      <w:bookmarkEnd w:id="31"/>
    </w:p>
    <w:p w14:paraId="1E6047AE" w14:textId="51759410" w:rsidR="00B4452B" w:rsidRPr="004E64FD" w:rsidRDefault="00B4452B" w:rsidP="00B4452B">
      <w:pPr>
        <w:rPr>
          <w:szCs w:val="24"/>
        </w:rPr>
      </w:pPr>
      <w:r w:rsidRPr="004E64FD">
        <w:rPr>
          <w:b/>
          <w:bCs/>
          <w:szCs w:val="24"/>
        </w:rPr>
        <w:t>Figure 2</w:t>
      </w:r>
      <w:r w:rsidR="001A56F5" w:rsidRPr="004E64FD">
        <w:rPr>
          <w:b/>
          <w:bCs/>
          <w:szCs w:val="24"/>
        </w:rPr>
        <w:t>5</w:t>
      </w:r>
      <w:r w:rsidRPr="004E64FD">
        <w:rPr>
          <w:b/>
          <w:bCs/>
          <w:szCs w:val="24"/>
        </w:rPr>
        <w:t xml:space="preserve">. </w:t>
      </w:r>
      <w:r w:rsidRPr="004E64FD">
        <w:rPr>
          <w:szCs w:val="24"/>
        </w:rPr>
        <w:t xml:space="preserve">Number of confirmed and probable chronic hepatitis B cases reported by female and male gender, Massachusetts </w:t>
      </w:r>
      <w:r w:rsidR="00F446E3" w:rsidRPr="004E64FD">
        <w:rPr>
          <w:szCs w:val="24"/>
        </w:rPr>
        <w:t>2014–2023</w:t>
      </w:r>
    </w:p>
    <w:p w14:paraId="3EBE9A25" w14:textId="554659FC" w:rsidR="00B4452B" w:rsidRPr="00234D05" w:rsidRDefault="00B4452B" w:rsidP="00B4452B">
      <w:pPr>
        <w:rPr>
          <w:color w:val="FF0000"/>
        </w:rPr>
      </w:pPr>
    </w:p>
    <w:p w14:paraId="75C41E97" w14:textId="77777777" w:rsidR="00610B08" w:rsidRDefault="26D8964F" w:rsidP="00AC303E">
      <w:pPr>
        <w:rPr>
          <w:sz w:val="20"/>
          <w:szCs w:val="20"/>
        </w:rPr>
      </w:pPr>
      <w:r>
        <w:rPr>
          <w:noProof/>
        </w:rPr>
        <w:drawing>
          <wp:inline distT="0" distB="0" distL="0" distR="0" wp14:anchorId="4005983E" wp14:editId="6990949F">
            <wp:extent cx="5806440" cy="3867076"/>
            <wp:effectExtent l="0" t="0" r="0" b="0"/>
            <wp:docPr id="365914802" name="Picture 365914802" descr="The figure is a trendline graph displaying the number confirmed and probable chronic hepatitis B cases for three groups (female and male gender and statewide total) for each yea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14802" name="Picture 365914802" descr="The figure is a trendline graph displaying the number confirmed and probable chronic hepatitis B cases for three groups (female and male gender and statewide total) for each year for the most recent ten-year period.&#10;"/>
                    <pic:cNvPicPr/>
                  </pic:nvPicPr>
                  <pic:blipFill>
                    <a:blip r:embed="rId49">
                      <a:extLst>
                        <a:ext uri="{28A0092B-C50C-407E-A947-70E740481C1C}">
                          <a14:useLocalDpi xmlns:a14="http://schemas.microsoft.com/office/drawing/2010/main" val="0"/>
                        </a:ext>
                      </a:extLst>
                    </a:blip>
                    <a:stretch>
                      <a:fillRect/>
                    </a:stretch>
                  </pic:blipFill>
                  <pic:spPr>
                    <a:xfrm>
                      <a:off x="0" y="0"/>
                      <a:ext cx="5815763" cy="3873285"/>
                    </a:xfrm>
                    <a:prstGeom prst="rect">
                      <a:avLst/>
                    </a:prstGeom>
                  </pic:spPr>
                </pic:pic>
              </a:graphicData>
            </a:graphic>
          </wp:inline>
        </w:drawing>
      </w:r>
    </w:p>
    <w:p w14:paraId="69733973" w14:textId="59E9B4A6" w:rsidR="00AC303E" w:rsidRPr="00D471DD" w:rsidRDefault="441B5107" w:rsidP="00AC303E">
      <w:pPr>
        <w:rPr>
          <w:sz w:val="20"/>
          <w:szCs w:val="20"/>
        </w:rPr>
      </w:pPr>
      <w:r w:rsidRPr="00D471DD">
        <w:rPr>
          <w:sz w:val="20"/>
          <w:szCs w:val="20"/>
        </w:rPr>
        <w:t>Note: Cases reported as transgender</w:t>
      </w:r>
      <w:r w:rsidR="00053294" w:rsidRPr="00D471DD">
        <w:rPr>
          <w:sz w:val="20"/>
          <w:szCs w:val="20"/>
        </w:rPr>
        <w:t xml:space="preserve"> </w:t>
      </w:r>
      <w:r w:rsidRPr="00D471DD">
        <w:rPr>
          <w:sz w:val="20"/>
          <w:szCs w:val="20"/>
        </w:rPr>
        <w:t>or missing gender (</w:t>
      </w:r>
      <w:r w:rsidR="00F446E3" w:rsidRPr="00D471DD">
        <w:rPr>
          <w:sz w:val="20"/>
          <w:szCs w:val="20"/>
        </w:rPr>
        <w:t>2014–2023</w:t>
      </w:r>
      <w:r w:rsidRPr="00D471DD">
        <w:rPr>
          <w:sz w:val="20"/>
          <w:szCs w:val="20"/>
        </w:rPr>
        <w:t>: N=7</w:t>
      </w:r>
      <w:r w:rsidR="00251EFD" w:rsidRPr="00D471DD">
        <w:rPr>
          <w:sz w:val="20"/>
          <w:szCs w:val="20"/>
        </w:rPr>
        <w:t>8</w:t>
      </w:r>
      <w:r w:rsidRPr="00D471DD">
        <w:rPr>
          <w:sz w:val="20"/>
          <w:szCs w:val="20"/>
        </w:rPr>
        <w:t>) are included in the statewide total but are not depicted in Figure 25 separately due to small numbers.</w:t>
      </w:r>
    </w:p>
    <w:p w14:paraId="732A1063" w14:textId="6D5CE065" w:rsidR="005B0A6B" w:rsidRPr="00D471DD" w:rsidRDefault="00AC303E" w:rsidP="00AC303E">
      <w:pPr>
        <w:spacing w:after="120"/>
        <w:rPr>
          <w:sz w:val="20"/>
          <w:szCs w:val="20"/>
        </w:rPr>
      </w:pPr>
      <w:r w:rsidRPr="00D471DD">
        <w:rPr>
          <w:sz w:val="20"/>
          <w:szCs w:val="20"/>
        </w:rPr>
        <w:t>Data Source: Bureau of Infectious Disease and Laboratory Sciences, data are current as of 7/</w:t>
      </w:r>
      <w:r w:rsidR="00251EFD" w:rsidRPr="00D471DD">
        <w:rPr>
          <w:sz w:val="20"/>
          <w:szCs w:val="20"/>
        </w:rPr>
        <w:t>17</w:t>
      </w:r>
      <w:r w:rsidRPr="00D471DD">
        <w:rPr>
          <w:sz w:val="20"/>
          <w:szCs w:val="20"/>
        </w:rPr>
        <w:t>/202</w:t>
      </w:r>
      <w:r w:rsidR="00251EFD" w:rsidRPr="00D471DD">
        <w:rPr>
          <w:sz w:val="20"/>
          <w:szCs w:val="20"/>
        </w:rPr>
        <w:t>4</w:t>
      </w:r>
      <w:r w:rsidRPr="00D471DD">
        <w:rPr>
          <w:sz w:val="20"/>
          <w:szCs w:val="20"/>
        </w:rPr>
        <w:t xml:space="preserve"> and subject to </w:t>
      </w:r>
      <w:r w:rsidR="00E171E2" w:rsidRPr="00D471DD">
        <w:rPr>
          <w:sz w:val="20"/>
          <w:szCs w:val="20"/>
        </w:rPr>
        <w:t>change.</w:t>
      </w:r>
    </w:p>
    <w:p w14:paraId="08BA83E7" w14:textId="7CBB2884" w:rsidR="00D471DD" w:rsidRPr="00D471DD" w:rsidRDefault="56903A97" w:rsidP="007C2B4D">
      <w:pPr>
        <w:pStyle w:val="spaced6"/>
      </w:pPr>
      <w:r w:rsidRPr="00D471DD">
        <w:t>In 202</w:t>
      </w:r>
      <w:r w:rsidR="00D471DD" w:rsidRPr="00D471DD">
        <w:t>3</w:t>
      </w:r>
      <w:r w:rsidRPr="00D471DD">
        <w:t>,</w:t>
      </w:r>
      <w:r w:rsidR="005B0A6B" w:rsidRPr="00D471DD">
        <w:rPr>
          <w:rStyle w:val="FootnoteReference"/>
        </w:rPr>
        <w:footnoteReference w:id="73"/>
      </w:r>
      <w:r w:rsidRPr="00D471DD">
        <w:t xml:space="preserve"> </w:t>
      </w:r>
      <w:r w:rsidR="00D471DD" w:rsidRPr="00D471DD">
        <w:t>1,012 (55%) cases of confirmed and probable chronic HBV infection were newly reported among males, 817 (45%) were reported among females, and fewer than five were reported among individuals of transgender experience.</w:t>
      </w:r>
      <w:r w:rsidR="000B4549" w:rsidRPr="000B4549">
        <w:rPr>
          <w:rStyle w:val="FootnoteReference"/>
        </w:rPr>
        <w:t xml:space="preserve"> </w:t>
      </w:r>
      <w:r w:rsidR="000B4549" w:rsidRPr="00AB66EC">
        <w:rPr>
          <w:rStyle w:val="FootnoteReference"/>
        </w:rPr>
        <w:footnoteReference w:id="74"/>
      </w:r>
      <w:r w:rsidR="000B4549" w:rsidRPr="00AB66EC">
        <w:t xml:space="preserve"> </w:t>
      </w:r>
      <w:r w:rsidR="00D471DD" w:rsidRPr="00D471DD">
        <w:t xml:space="preserve"> </w:t>
      </w:r>
    </w:p>
    <w:p w14:paraId="1DBD2EFD" w14:textId="1AFD7692" w:rsidR="00CE121E" w:rsidRPr="00D471DD" w:rsidRDefault="441B5107" w:rsidP="007C2B4D">
      <w:pPr>
        <w:pStyle w:val="spaced6"/>
      </w:pPr>
      <w:r w:rsidRPr="00D471DD">
        <w:t xml:space="preserve">Hepatitis B in people of childbearing age is of particular concern due to the risk of transmission from pregnant person to infant at birth. Perinatal HBV transmission can be prevented by identifying </w:t>
      </w:r>
      <w:r w:rsidR="1FA0BD02" w:rsidRPr="00D471DD">
        <w:t>HBV-</w:t>
      </w:r>
      <w:r w:rsidRPr="00D471DD">
        <w:t xml:space="preserve">positive pregnant people and providing post-exposure prophylaxis (PEP) to their infants within 12 hours of birth. The </w:t>
      </w:r>
      <w:r w:rsidR="00D3661F" w:rsidRPr="00D471DD">
        <w:t>DPH</w:t>
      </w:r>
      <w:r w:rsidRPr="00D471DD">
        <w:t xml:space="preserve"> Perinatal Hepatitis B Prevention Program provides case management to pregnant people who are </w:t>
      </w:r>
      <w:r w:rsidR="1FA0BD02" w:rsidRPr="00D471DD">
        <w:t>HBV-</w:t>
      </w:r>
      <w:r w:rsidRPr="00D471DD">
        <w:t>positive and their infants to ensure appropriate PEP, vaccination, and post-vaccination serologic testing.</w:t>
      </w:r>
    </w:p>
    <w:p w14:paraId="3992ECDD" w14:textId="63F088CE" w:rsidR="00B4452B" w:rsidRPr="00234D05" w:rsidRDefault="00AC303E" w:rsidP="0072033B">
      <w:pPr>
        <w:pStyle w:val="spaced6"/>
        <w:numPr>
          <w:ilvl w:val="0"/>
          <w:numId w:val="0"/>
        </w:numPr>
        <w:rPr>
          <w:color w:val="FF0000"/>
        </w:rPr>
      </w:pPr>
      <w:r w:rsidRPr="72E089C3">
        <w:rPr>
          <w:color w:val="FF0000"/>
        </w:rPr>
        <w:br w:type="page"/>
      </w:r>
      <w:r w:rsidR="009F1852" w:rsidRPr="72E089C3">
        <w:rPr>
          <w:rStyle w:val="Heading1Char"/>
        </w:rPr>
        <w:lastRenderedPageBreak/>
        <w:t>ACUTE HEPATITIS B</w:t>
      </w:r>
    </w:p>
    <w:p w14:paraId="12B6A857" w14:textId="7255561E" w:rsidR="003D0661" w:rsidRPr="00714280" w:rsidRDefault="003D0661" w:rsidP="003D0661">
      <w:pPr>
        <w:rPr>
          <w:szCs w:val="24"/>
        </w:rPr>
      </w:pPr>
      <w:r w:rsidRPr="00714280">
        <w:rPr>
          <w:b/>
          <w:bCs/>
          <w:szCs w:val="24"/>
        </w:rPr>
        <w:t>Figure 2</w:t>
      </w:r>
      <w:r w:rsidR="00533BCA" w:rsidRPr="00714280">
        <w:rPr>
          <w:b/>
          <w:bCs/>
          <w:szCs w:val="24"/>
        </w:rPr>
        <w:t>6</w:t>
      </w:r>
      <w:r w:rsidRPr="00714280">
        <w:rPr>
          <w:b/>
          <w:bCs/>
          <w:szCs w:val="24"/>
        </w:rPr>
        <w:t xml:space="preserve">. </w:t>
      </w:r>
      <w:r w:rsidRPr="00714280">
        <w:rPr>
          <w:szCs w:val="24"/>
        </w:rPr>
        <w:t xml:space="preserve">Number of confirmed and suspect acute hepatitis B cases reported by year, Massachusetts </w:t>
      </w:r>
      <w:r w:rsidR="00F446E3" w:rsidRPr="00714280">
        <w:rPr>
          <w:szCs w:val="24"/>
        </w:rPr>
        <w:t>2014–2023</w:t>
      </w:r>
      <w:r w:rsidRPr="00714280">
        <w:rPr>
          <w:szCs w:val="24"/>
        </w:rPr>
        <w:t xml:space="preserve"> </w:t>
      </w:r>
    </w:p>
    <w:p w14:paraId="5670C8E5" w14:textId="1449CEBF" w:rsidR="00FF6102" w:rsidRPr="00234D05" w:rsidRDefault="00610B08" w:rsidP="003D0661">
      <w:pPr>
        <w:rPr>
          <w:color w:val="FF0000"/>
          <w:szCs w:val="24"/>
        </w:rPr>
      </w:pPr>
      <w:r>
        <w:rPr>
          <w:noProof/>
          <w:color w:val="FF0000"/>
          <w:szCs w:val="24"/>
        </w:rPr>
        <w:drawing>
          <wp:inline distT="0" distB="0" distL="0" distR="0" wp14:anchorId="7353FA21" wp14:editId="282E7DAB">
            <wp:extent cx="6078220" cy="4029710"/>
            <wp:effectExtent l="0" t="0" r="0" b="0"/>
            <wp:docPr id="1223482566" name="Picture 10" descr="The figure is a stacked bar chart displaying the number of both confirmed and suspect acute hepatitis B cases each yea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82566" name="Picture 10" descr="The figure is a stacked bar chart displaying the number of both confirmed and suspect acute hepatitis B cases each year for the most recent ten-year period.&#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8220" cy="4029710"/>
                    </a:xfrm>
                    <a:prstGeom prst="rect">
                      <a:avLst/>
                    </a:prstGeom>
                    <a:noFill/>
                  </pic:spPr>
                </pic:pic>
              </a:graphicData>
            </a:graphic>
          </wp:inline>
        </w:drawing>
      </w:r>
    </w:p>
    <w:p w14:paraId="25D3A4BE" w14:textId="03981C3B" w:rsidR="003D0661" w:rsidRPr="00714280" w:rsidRDefault="003D0661" w:rsidP="003D0661">
      <w:pPr>
        <w:spacing w:after="120"/>
        <w:rPr>
          <w:sz w:val="20"/>
          <w:szCs w:val="20"/>
        </w:rPr>
      </w:pPr>
      <w:r w:rsidRPr="00714280">
        <w:rPr>
          <w:sz w:val="20"/>
          <w:szCs w:val="20"/>
        </w:rPr>
        <w:t xml:space="preserve">Data Source: Bureau of Infectious Disease and Laboratory Sciences, data are current as of </w:t>
      </w:r>
      <w:r w:rsidR="00FF71B6" w:rsidRPr="00714280">
        <w:rPr>
          <w:sz w:val="20"/>
          <w:szCs w:val="20"/>
        </w:rPr>
        <w:t>7/</w:t>
      </w:r>
      <w:r w:rsidR="00714280" w:rsidRPr="00714280">
        <w:rPr>
          <w:sz w:val="20"/>
          <w:szCs w:val="20"/>
        </w:rPr>
        <w:t>17</w:t>
      </w:r>
      <w:r w:rsidR="00FF71B6" w:rsidRPr="00714280">
        <w:rPr>
          <w:sz w:val="20"/>
          <w:szCs w:val="20"/>
        </w:rPr>
        <w:t>/202</w:t>
      </w:r>
      <w:r w:rsidR="00714280" w:rsidRPr="00714280">
        <w:rPr>
          <w:sz w:val="20"/>
          <w:szCs w:val="20"/>
        </w:rPr>
        <w:t>4</w:t>
      </w:r>
      <w:r w:rsidRPr="00714280">
        <w:rPr>
          <w:sz w:val="20"/>
          <w:szCs w:val="20"/>
        </w:rPr>
        <w:t xml:space="preserve"> and subject to change</w:t>
      </w:r>
      <w:r w:rsidR="00B1580A" w:rsidRPr="00714280">
        <w:rPr>
          <w:sz w:val="20"/>
          <w:szCs w:val="20"/>
        </w:rPr>
        <w:t>.</w:t>
      </w:r>
    </w:p>
    <w:p w14:paraId="52B805D2" w14:textId="56D8D094" w:rsidR="003D0661" w:rsidRPr="00714280" w:rsidRDefault="641A72B0">
      <w:pPr>
        <w:pStyle w:val="spaced6"/>
      </w:pPr>
      <w:r w:rsidRPr="00714280">
        <w:t>In 202</w:t>
      </w:r>
      <w:r w:rsidR="00714280" w:rsidRPr="00714280">
        <w:t>3</w:t>
      </w:r>
      <w:r w:rsidRPr="00714280">
        <w:t>,</w:t>
      </w:r>
      <w:r w:rsidR="003D0661" w:rsidRPr="00714280">
        <w:rPr>
          <w:rStyle w:val="FootnoteReference"/>
        </w:rPr>
        <w:footnoteReference w:id="75"/>
      </w:r>
      <w:r w:rsidRPr="00714280">
        <w:t xml:space="preserve"> </w:t>
      </w:r>
      <w:r w:rsidR="00714280" w:rsidRPr="00714280">
        <w:t>there were 36 confirmed acute and 133 suspect acute HBV cases for a total of 169 acute cases</w:t>
      </w:r>
      <w:r w:rsidRPr="00714280">
        <w:t>.</w:t>
      </w:r>
      <w:r w:rsidR="003D0661" w:rsidRPr="00714280">
        <w:rPr>
          <w:rStyle w:val="FootnoteReference"/>
        </w:rPr>
        <w:footnoteReference w:id="76"/>
      </w:r>
      <w:r w:rsidRPr="00714280">
        <w:t xml:space="preserve"> </w:t>
      </w:r>
    </w:p>
    <w:p w14:paraId="61F6BC4C" w14:textId="77777777" w:rsidR="00D0145B" w:rsidRPr="00D0145B" w:rsidRDefault="00D0145B" w:rsidP="00D0145B">
      <w:pPr>
        <w:pStyle w:val="spaced6"/>
      </w:pPr>
      <w:r w:rsidRPr="00D0145B">
        <w:t>The total number of confirmed acute HBV cases reported decreased from 53 cases in 2017 to 14 cases in 2021 and subsequently increased to 36 cases in 2023.</w:t>
      </w:r>
    </w:p>
    <w:p w14:paraId="7F947350" w14:textId="51A2A4FC" w:rsidR="00661C6E" w:rsidRPr="00234D05" w:rsidRDefault="00D0145B" w:rsidP="00D0145B">
      <w:pPr>
        <w:pStyle w:val="spaced6"/>
      </w:pPr>
      <w:r w:rsidRPr="00D0145B">
        <w:t>Injection drug use (IDU) is a significant, and increasingly important, risk factor for acquisition of acute HBV infection.</w:t>
      </w:r>
      <w:r w:rsidR="00661C6E" w:rsidRPr="00234D05">
        <w:br w:type="page"/>
      </w:r>
    </w:p>
    <w:p w14:paraId="23C00F59" w14:textId="01549F08" w:rsidR="003D0661" w:rsidRPr="002D5591" w:rsidRDefault="00661C6E" w:rsidP="38A4F72D">
      <w:pPr>
        <w:pStyle w:val="Heading2"/>
      </w:pPr>
      <w:bookmarkStart w:id="32" w:name="_Toc1113551555"/>
      <w:r>
        <w:lastRenderedPageBreak/>
        <w:t>HEPATITIS C</w:t>
      </w:r>
      <w:bookmarkEnd w:id="32"/>
      <w:r w:rsidR="008203AA">
        <w:t xml:space="preserve"> (HCV)</w:t>
      </w:r>
    </w:p>
    <w:p w14:paraId="1A38C488" w14:textId="2726C4C4" w:rsidR="00661C6E" w:rsidRPr="00DF4F77" w:rsidRDefault="008203AA" w:rsidP="00661C6E">
      <w:pPr>
        <w:rPr>
          <w:szCs w:val="24"/>
        </w:rPr>
      </w:pPr>
      <w:r>
        <w:rPr>
          <w:szCs w:val="24"/>
        </w:rPr>
        <w:t>Hepatitis C (HCV)</w:t>
      </w:r>
      <w:r w:rsidR="00661C6E" w:rsidRPr="002D5591">
        <w:rPr>
          <w:szCs w:val="24"/>
        </w:rPr>
        <w:t xml:space="preserve"> is a liver infection caused by the </w:t>
      </w:r>
      <w:r>
        <w:rPr>
          <w:szCs w:val="24"/>
        </w:rPr>
        <w:t>hepatitis C</w:t>
      </w:r>
      <w:r w:rsidR="00661C6E" w:rsidRPr="002D5591">
        <w:rPr>
          <w:szCs w:val="24"/>
        </w:rPr>
        <w:t xml:space="preserve"> virus. The majority of infected individuals are asymptomatic, but symptoms</w:t>
      </w:r>
      <w:r w:rsidR="000179A6" w:rsidRPr="002D5591">
        <w:rPr>
          <w:szCs w:val="24"/>
        </w:rPr>
        <w:t>, when present,</w:t>
      </w:r>
      <w:r w:rsidR="00661C6E" w:rsidRPr="002D5591">
        <w:rPr>
          <w:szCs w:val="24"/>
        </w:rPr>
        <w:t xml:space="preserve"> can include fatigue, loss of appetite, nausea, vomiting, abdominal pain, and jaundice. Over time, liver damage can result, and complications can include cirrhosis and liver cancer. </w:t>
      </w:r>
      <w:r>
        <w:rPr>
          <w:szCs w:val="24"/>
        </w:rPr>
        <w:t>HCV</w:t>
      </w:r>
      <w:r w:rsidR="00661C6E" w:rsidRPr="002D5591">
        <w:rPr>
          <w:szCs w:val="24"/>
        </w:rPr>
        <w:t xml:space="preserve"> infection is spread by direct contact with the blood of an infected person. Transmission mechanisms can include: sharing equipment used to inject drugs, blood transfusions and organ transplants (primarily prior to 1992 when widespread screening of the blood supply began), from </w:t>
      </w:r>
      <w:r w:rsidR="00696870">
        <w:rPr>
          <w:szCs w:val="24"/>
        </w:rPr>
        <w:t>pregnant person</w:t>
      </w:r>
      <w:r w:rsidR="008A780B" w:rsidRPr="002D5591">
        <w:rPr>
          <w:szCs w:val="24"/>
        </w:rPr>
        <w:t xml:space="preserve"> </w:t>
      </w:r>
      <w:r w:rsidR="00661C6E" w:rsidRPr="002D5591">
        <w:rPr>
          <w:szCs w:val="24"/>
        </w:rPr>
        <w:t xml:space="preserve">to child at birth, sharing personal items such as toothbrushes or razors, tattoos and piercings in non-sterile environments, infection control breaches in healthcare settings, and, rarely, through sexual contact (more likely with HIV co-infection). Most people who get the infection will go on to have chronic infection. With the advent of direct-acting antivirals, </w:t>
      </w:r>
      <w:r>
        <w:rPr>
          <w:szCs w:val="24"/>
        </w:rPr>
        <w:t>HCV</w:t>
      </w:r>
      <w:r w:rsidR="00661C6E" w:rsidRPr="002D5591">
        <w:rPr>
          <w:szCs w:val="24"/>
        </w:rPr>
        <w:t xml:space="preserve"> infection is curable with a</w:t>
      </w:r>
      <w:r w:rsidR="00C271C0" w:rsidRPr="002D5591">
        <w:rPr>
          <w:szCs w:val="24"/>
        </w:rPr>
        <w:t>n</w:t>
      </w:r>
      <w:r w:rsidR="00661C6E" w:rsidRPr="002D5591">
        <w:rPr>
          <w:szCs w:val="24"/>
        </w:rPr>
        <w:t xml:space="preserve"> </w:t>
      </w:r>
      <w:r w:rsidR="00EB6386" w:rsidRPr="002D5591">
        <w:rPr>
          <w:szCs w:val="24"/>
        </w:rPr>
        <w:t>8-12 week</w:t>
      </w:r>
      <w:r w:rsidR="00661C6E" w:rsidRPr="002D5591">
        <w:rPr>
          <w:szCs w:val="24"/>
        </w:rPr>
        <w:t xml:space="preserve"> course of treatment.</w:t>
      </w:r>
    </w:p>
    <w:p w14:paraId="63626B53" w14:textId="77777777" w:rsidR="00661C6E" w:rsidRPr="00DF4F77" w:rsidRDefault="00661C6E" w:rsidP="00661C6E">
      <w:pPr>
        <w:rPr>
          <w:szCs w:val="24"/>
        </w:rPr>
      </w:pPr>
    </w:p>
    <w:p w14:paraId="5A85288E" w14:textId="346BD133" w:rsidR="00397A43" w:rsidRPr="002D5591" w:rsidRDefault="00397A43" w:rsidP="3405EFDC">
      <w:r w:rsidRPr="002D5591">
        <w:rPr>
          <w:b/>
          <w:bCs/>
        </w:rPr>
        <w:t>Figure 2</w:t>
      </w:r>
      <w:r w:rsidR="005962B4" w:rsidRPr="002D5591">
        <w:rPr>
          <w:b/>
          <w:bCs/>
        </w:rPr>
        <w:t>7</w:t>
      </w:r>
      <w:r w:rsidRPr="002D5591">
        <w:rPr>
          <w:b/>
          <w:bCs/>
        </w:rPr>
        <w:t xml:space="preserve">. </w:t>
      </w:r>
      <w:r w:rsidRPr="002D5591">
        <w:t xml:space="preserve">Number of confirmed and probable </w:t>
      </w:r>
      <w:r w:rsidR="008203AA">
        <w:t>HCV</w:t>
      </w:r>
      <w:r w:rsidRPr="002D5591">
        <w:t xml:space="preserve"> cases reported by year, Massachusetts </w:t>
      </w:r>
      <w:r w:rsidR="00F446E3" w:rsidRPr="002D5591">
        <w:t>2014–2023</w:t>
      </w:r>
      <w:r w:rsidRPr="002D5591">
        <w:t xml:space="preserve"> </w:t>
      </w:r>
    </w:p>
    <w:p w14:paraId="555E492D" w14:textId="4A9A092A" w:rsidR="108B362E" w:rsidRPr="00234D05" w:rsidRDefault="002A6982" w:rsidP="005962B4">
      <w:pPr>
        <w:rPr>
          <w:color w:val="FF0000"/>
        </w:rPr>
      </w:pPr>
      <w:r>
        <w:rPr>
          <w:noProof/>
          <w:color w:val="FF0000"/>
        </w:rPr>
        <w:drawing>
          <wp:inline distT="0" distB="0" distL="0" distR="0" wp14:anchorId="668868A0" wp14:editId="0865980F">
            <wp:extent cx="5905500" cy="3473534"/>
            <wp:effectExtent l="0" t="0" r="0" b="0"/>
            <wp:docPr id="1667737357" name="Picture 11" descr="The figure is a stacked bar chart displaying the number of both confirmed and probable hepatitis C cases for each year of the most recent ten-year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37357" name="Picture 11" descr="The figure is a stacked bar chart displaying the number of both confirmed and probable hepatitis C cases for each year of the most recent ten-year period.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393" cy="3475824"/>
                    </a:xfrm>
                    <a:prstGeom prst="rect">
                      <a:avLst/>
                    </a:prstGeom>
                    <a:noFill/>
                  </pic:spPr>
                </pic:pic>
              </a:graphicData>
            </a:graphic>
          </wp:inline>
        </w:drawing>
      </w:r>
    </w:p>
    <w:p w14:paraId="60226F73" w14:textId="24B29469" w:rsidR="00986826" w:rsidRPr="00ED06EB" w:rsidRDefault="00986826" w:rsidP="00946EE0">
      <w:pPr>
        <w:pStyle w:val="fignote"/>
      </w:pPr>
      <w:r w:rsidRPr="002D5591">
        <w:t xml:space="preserve">Data </w:t>
      </w:r>
      <w:r w:rsidRPr="00ED06EB">
        <w:t xml:space="preserve">Source: Bureau of Infectious Disease and Laboratory Sciences, data are current as of </w:t>
      </w:r>
      <w:r w:rsidR="002D5591" w:rsidRPr="00ED06EB">
        <w:t>7</w:t>
      </w:r>
      <w:r w:rsidR="005962B4" w:rsidRPr="00ED06EB">
        <w:t>/</w:t>
      </w:r>
      <w:r w:rsidR="002D5591" w:rsidRPr="00ED06EB">
        <w:t>31</w:t>
      </w:r>
      <w:r w:rsidR="005962B4" w:rsidRPr="00ED06EB">
        <w:t>/202</w:t>
      </w:r>
      <w:r w:rsidR="002D5591" w:rsidRPr="00ED06EB">
        <w:t>4</w:t>
      </w:r>
      <w:r w:rsidRPr="00ED06EB">
        <w:t xml:space="preserve"> and subject to change</w:t>
      </w:r>
      <w:r w:rsidR="00B1580A" w:rsidRPr="00ED06EB">
        <w:t>.</w:t>
      </w:r>
    </w:p>
    <w:p w14:paraId="3AF12008" w14:textId="2BE475F4" w:rsidR="00043A4F" w:rsidRPr="00ED06EB" w:rsidRDefault="00ED06EB" w:rsidP="38A4F72D">
      <w:pPr>
        <w:pStyle w:val="spaced6"/>
      </w:pPr>
      <w:r w:rsidRPr="00ED06EB">
        <w:t xml:space="preserve">The total number of reported confirmed and probable </w:t>
      </w:r>
      <w:r w:rsidR="008203AA">
        <w:t>HCV</w:t>
      </w:r>
      <w:r w:rsidRPr="00ED06EB">
        <w:t xml:space="preserve"> cases decreased from 8,741 in 2014 to 2,580 in 2023</w:t>
      </w:r>
      <w:r w:rsidR="51DB373C" w:rsidRPr="00ED06EB">
        <w:t>.</w:t>
      </w:r>
      <w:r w:rsidR="00986826" w:rsidRPr="00ED06EB">
        <w:rPr>
          <w:rStyle w:val="FootnoteReference"/>
        </w:rPr>
        <w:footnoteReference w:id="77"/>
      </w:r>
    </w:p>
    <w:p w14:paraId="722533B8" w14:textId="4D15BD62" w:rsidR="00217F6A" w:rsidRPr="00ED06EB" w:rsidRDefault="7A206BFB" w:rsidP="00043A4F">
      <w:pPr>
        <w:pStyle w:val="spaced6"/>
        <w:numPr>
          <w:ilvl w:val="1"/>
          <w:numId w:val="4"/>
        </w:numPr>
      </w:pPr>
      <w:r w:rsidRPr="00ED06EB">
        <w:t xml:space="preserve">Most reported cases are chronically infected and </w:t>
      </w:r>
      <w:r w:rsidR="00D3661F" w:rsidRPr="00ED06EB">
        <w:t>DPH</w:t>
      </w:r>
      <w:r w:rsidRPr="00ED06EB">
        <w:t xml:space="preserve"> currently estimates that there are over 250,000 people living with HCV infection in Massachusetts.</w:t>
      </w:r>
    </w:p>
    <w:p w14:paraId="16A33179" w14:textId="1F99AE5B" w:rsidR="006B6062" w:rsidRPr="00234D05" w:rsidRDefault="00217F6A" w:rsidP="00217F6A">
      <w:pPr>
        <w:spacing w:after="160" w:line="259" w:lineRule="auto"/>
        <w:rPr>
          <w:color w:val="FF0000"/>
        </w:rPr>
      </w:pPr>
      <w:r w:rsidRPr="72E089C3">
        <w:rPr>
          <w:color w:val="FF0000"/>
        </w:rPr>
        <w:br w:type="page"/>
      </w:r>
      <w:r w:rsidR="006B6062" w:rsidRPr="72E089C3">
        <w:rPr>
          <w:rStyle w:val="Heading1Char"/>
        </w:rPr>
        <w:lastRenderedPageBreak/>
        <w:t>H</w:t>
      </w:r>
      <w:r w:rsidR="006B043E">
        <w:rPr>
          <w:rStyle w:val="Heading1Char"/>
        </w:rPr>
        <w:t>CV</w:t>
      </w:r>
      <w:r w:rsidR="006B6062" w:rsidRPr="72E089C3">
        <w:rPr>
          <w:rStyle w:val="Heading1Char"/>
        </w:rPr>
        <w:t xml:space="preserve"> BY GENDER</w:t>
      </w:r>
    </w:p>
    <w:p w14:paraId="5F3CC70D" w14:textId="3B031CB7" w:rsidR="005E3164" w:rsidRPr="00DF4F77" w:rsidRDefault="005E3164" w:rsidP="005E3164">
      <w:r w:rsidRPr="00DF4F77">
        <w:rPr>
          <w:b/>
          <w:bCs/>
        </w:rPr>
        <w:t xml:space="preserve">Figure 28. </w:t>
      </w:r>
      <w:r w:rsidRPr="00DF4F77">
        <w:t xml:space="preserve">Number of confirmed and probable </w:t>
      </w:r>
      <w:r w:rsidR="008203AA">
        <w:t>HCV</w:t>
      </w:r>
      <w:r w:rsidRPr="00DF4F77">
        <w:t xml:space="preserve"> cases reported by female and male gender, Massachusetts </w:t>
      </w:r>
      <w:r w:rsidR="00F446E3" w:rsidRPr="00DF4F77">
        <w:t>2014–2023</w:t>
      </w:r>
    </w:p>
    <w:p w14:paraId="556717AB" w14:textId="38F6BB1B" w:rsidR="005E3164" w:rsidRPr="001940FA" w:rsidRDefault="005E3164" w:rsidP="005E3164"/>
    <w:p w14:paraId="45F072FE" w14:textId="33FEE01B" w:rsidR="005E3164" w:rsidRPr="001940FA" w:rsidRDefault="3BBB2EA0" w:rsidP="005E3164">
      <w:pPr>
        <w:rPr>
          <w:sz w:val="20"/>
          <w:szCs w:val="20"/>
        </w:rPr>
      </w:pPr>
      <w:r>
        <w:rPr>
          <w:noProof/>
        </w:rPr>
        <w:drawing>
          <wp:inline distT="0" distB="0" distL="0" distR="0" wp14:anchorId="779C2B8D" wp14:editId="03C51965">
            <wp:extent cx="6248941" cy="4694328"/>
            <wp:effectExtent l="0" t="0" r="0" b="0"/>
            <wp:docPr id="1344409202" name="Picture 1344409202" descr="The figure is a trendline graph displaying the number confirmed and probable chronic hepatitis C cases for three groups (female and male gender and statewide total) for each year of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09202" name="Picture 1344409202" descr="The figure is a trendline graph displaying the number confirmed and probable chronic hepatitis C cases for three groups (female and male gender and statewide total) for each year of the most recent ten-year period.&#10;"/>
                    <pic:cNvPicPr/>
                  </pic:nvPicPr>
                  <pic:blipFill>
                    <a:blip r:embed="rId52">
                      <a:extLst>
                        <a:ext uri="{28A0092B-C50C-407E-A947-70E740481C1C}">
                          <a14:useLocalDpi xmlns:a14="http://schemas.microsoft.com/office/drawing/2010/main" val="0"/>
                        </a:ext>
                      </a:extLst>
                    </a:blip>
                    <a:stretch>
                      <a:fillRect/>
                    </a:stretch>
                  </pic:blipFill>
                  <pic:spPr>
                    <a:xfrm>
                      <a:off x="0" y="0"/>
                      <a:ext cx="6248941" cy="4694328"/>
                    </a:xfrm>
                    <a:prstGeom prst="rect">
                      <a:avLst/>
                    </a:prstGeom>
                  </pic:spPr>
                </pic:pic>
              </a:graphicData>
            </a:graphic>
          </wp:inline>
        </w:drawing>
      </w:r>
      <w:r w:rsidR="04930184" w:rsidRPr="001940FA">
        <w:rPr>
          <w:sz w:val="20"/>
          <w:szCs w:val="20"/>
        </w:rPr>
        <w:t>Note: Cases reported as transgender or missing gender (</w:t>
      </w:r>
      <w:r w:rsidR="00F446E3" w:rsidRPr="001940FA">
        <w:rPr>
          <w:sz w:val="20"/>
          <w:szCs w:val="20"/>
        </w:rPr>
        <w:t>2014–2023</w:t>
      </w:r>
      <w:r w:rsidR="04930184" w:rsidRPr="001940FA">
        <w:rPr>
          <w:sz w:val="20"/>
          <w:szCs w:val="20"/>
        </w:rPr>
        <w:t>: N=</w:t>
      </w:r>
      <w:r w:rsidR="001940FA" w:rsidRPr="001940FA">
        <w:rPr>
          <w:sz w:val="20"/>
          <w:szCs w:val="20"/>
        </w:rPr>
        <w:t>840</w:t>
      </w:r>
      <w:r w:rsidR="04930184" w:rsidRPr="001940FA">
        <w:rPr>
          <w:sz w:val="20"/>
          <w:szCs w:val="20"/>
        </w:rPr>
        <w:t>) are included in the statewide total but are not depicted in Figure 28 separately due to small numbers.</w:t>
      </w:r>
    </w:p>
    <w:p w14:paraId="34785C21" w14:textId="4B4C7127" w:rsidR="005E3164" w:rsidRPr="001940FA" w:rsidRDefault="005E3164" w:rsidP="005E3164">
      <w:pPr>
        <w:rPr>
          <w:sz w:val="20"/>
          <w:szCs w:val="18"/>
        </w:rPr>
      </w:pPr>
      <w:r w:rsidRPr="001940FA">
        <w:rPr>
          <w:sz w:val="20"/>
          <w:szCs w:val="18"/>
        </w:rPr>
        <w:t xml:space="preserve">Data Source: Bureau of Infectious Disease and Laboratory Sciences, data are current as of </w:t>
      </w:r>
      <w:r w:rsidR="001940FA" w:rsidRPr="001940FA">
        <w:rPr>
          <w:sz w:val="20"/>
          <w:szCs w:val="18"/>
        </w:rPr>
        <w:t>7</w:t>
      </w:r>
      <w:r w:rsidRPr="001940FA">
        <w:rPr>
          <w:sz w:val="20"/>
          <w:szCs w:val="18"/>
        </w:rPr>
        <w:t>/</w:t>
      </w:r>
      <w:r w:rsidR="001940FA" w:rsidRPr="001940FA">
        <w:rPr>
          <w:sz w:val="20"/>
          <w:szCs w:val="18"/>
        </w:rPr>
        <w:t>31</w:t>
      </w:r>
      <w:r w:rsidRPr="001940FA">
        <w:rPr>
          <w:sz w:val="20"/>
          <w:szCs w:val="18"/>
        </w:rPr>
        <w:t>/202</w:t>
      </w:r>
      <w:r w:rsidR="001940FA" w:rsidRPr="001940FA">
        <w:rPr>
          <w:sz w:val="20"/>
          <w:szCs w:val="18"/>
        </w:rPr>
        <w:t>4</w:t>
      </w:r>
      <w:r w:rsidRPr="001940FA">
        <w:rPr>
          <w:sz w:val="20"/>
          <w:szCs w:val="18"/>
        </w:rPr>
        <w:t xml:space="preserve"> and subject to </w:t>
      </w:r>
      <w:r w:rsidR="00ED25CD" w:rsidRPr="001940FA">
        <w:rPr>
          <w:sz w:val="20"/>
          <w:szCs w:val="18"/>
        </w:rPr>
        <w:t>change.</w:t>
      </w:r>
    </w:p>
    <w:p w14:paraId="0D2C2061" w14:textId="77777777" w:rsidR="005E3164" w:rsidRPr="001940FA" w:rsidRDefault="005E3164" w:rsidP="005E3164"/>
    <w:p w14:paraId="19BB4968" w14:textId="2DE6F70B" w:rsidR="006B6062" w:rsidRPr="001940FA" w:rsidRDefault="005E3164" w:rsidP="00F84E3A">
      <w:pPr>
        <w:numPr>
          <w:ilvl w:val="0"/>
          <w:numId w:val="47"/>
        </w:numPr>
        <w:spacing w:after="120"/>
      </w:pPr>
      <w:r w:rsidRPr="001940FA">
        <w:t xml:space="preserve">In </w:t>
      </w:r>
      <w:r w:rsidR="00513A40" w:rsidRPr="001940FA">
        <w:t>202</w:t>
      </w:r>
      <w:r w:rsidR="00513A40">
        <w:t>3</w:t>
      </w:r>
      <w:r w:rsidRPr="001940FA">
        <w:t>,</w:t>
      </w:r>
      <w:r w:rsidRPr="001940FA">
        <w:rPr>
          <w:rStyle w:val="FootnoteReference"/>
        </w:rPr>
        <w:t xml:space="preserve"> </w:t>
      </w:r>
      <w:r w:rsidRPr="001940FA">
        <w:rPr>
          <w:rStyle w:val="FootnoteReference"/>
        </w:rPr>
        <w:footnoteReference w:id="78"/>
      </w:r>
      <w:r w:rsidRPr="001940FA">
        <w:t xml:space="preserve"> </w:t>
      </w:r>
      <w:r w:rsidR="001940FA" w:rsidRPr="001940FA">
        <w:t xml:space="preserve">1,563 (61%) cases of confirmed and probable HCV infection were newly reported among males, 977 (38%) were reported among females, </w:t>
      </w:r>
      <w:r w:rsidR="00DF2756">
        <w:t xml:space="preserve">and 40 </w:t>
      </w:r>
      <w:r w:rsidR="006A1FE0">
        <w:t xml:space="preserve">(1%) were reported among </w:t>
      </w:r>
      <w:r w:rsidR="00014BE5">
        <w:t>individuals with transgender experience or unknown gender</w:t>
      </w:r>
      <w:r w:rsidR="001940FA" w:rsidRPr="001940FA">
        <w:t>.</w:t>
      </w:r>
      <w:r w:rsidRPr="348AFD48">
        <w:rPr>
          <w:rStyle w:val="FootnoteReference"/>
        </w:rPr>
        <w:footnoteReference w:id="79"/>
      </w:r>
      <w:r w:rsidR="006B6062" w:rsidRPr="001940FA">
        <w:br w:type="page"/>
      </w:r>
    </w:p>
    <w:p w14:paraId="5444EF17" w14:textId="77E013A7" w:rsidR="00986826" w:rsidRPr="001940FA" w:rsidRDefault="00986826" w:rsidP="00986826">
      <w:pPr>
        <w:pStyle w:val="Heading2"/>
      </w:pPr>
      <w:bookmarkStart w:id="33" w:name="_Toc1268811456"/>
      <w:r>
        <w:lastRenderedPageBreak/>
        <w:t>HC</w:t>
      </w:r>
      <w:r w:rsidR="006B043E">
        <w:t>V</w:t>
      </w:r>
      <w:r>
        <w:t xml:space="preserve"> BY AGE</w:t>
      </w:r>
      <w:bookmarkEnd w:id="33"/>
    </w:p>
    <w:p w14:paraId="1D63DA21" w14:textId="74A3AED8" w:rsidR="00986826" w:rsidRPr="001940FA" w:rsidRDefault="00986826" w:rsidP="00986826">
      <w:pPr>
        <w:rPr>
          <w:szCs w:val="24"/>
        </w:rPr>
      </w:pPr>
      <w:r w:rsidRPr="001940FA">
        <w:rPr>
          <w:b/>
          <w:bCs/>
          <w:szCs w:val="24"/>
        </w:rPr>
        <w:t>Figure 2</w:t>
      </w:r>
      <w:r w:rsidR="00D5781E" w:rsidRPr="001940FA">
        <w:rPr>
          <w:b/>
          <w:bCs/>
          <w:szCs w:val="24"/>
        </w:rPr>
        <w:t>9</w:t>
      </w:r>
      <w:r w:rsidRPr="001940FA">
        <w:rPr>
          <w:b/>
          <w:bCs/>
          <w:szCs w:val="24"/>
        </w:rPr>
        <w:t xml:space="preserve">. </w:t>
      </w:r>
      <w:r w:rsidRPr="001940FA">
        <w:rPr>
          <w:szCs w:val="24"/>
        </w:rPr>
        <w:t xml:space="preserve">Distribution of confirmed and probable </w:t>
      </w:r>
      <w:r w:rsidR="008203AA">
        <w:rPr>
          <w:szCs w:val="24"/>
        </w:rPr>
        <w:t>HCV</w:t>
      </w:r>
      <w:r w:rsidRPr="001940FA">
        <w:rPr>
          <w:szCs w:val="24"/>
        </w:rPr>
        <w:t xml:space="preserve"> cases by age: 2007 versus 202</w:t>
      </w:r>
      <w:r w:rsidR="001940FA" w:rsidRPr="001940FA">
        <w:rPr>
          <w:szCs w:val="24"/>
        </w:rPr>
        <w:t>3</w:t>
      </w:r>
    </w:p>
    <w:p w14:paraId="084BCC60" w14:textId="1C409D5E" w:rsidR="009B1FD9" w:rsidRPr="00567F5A" w:rsidRDefault="00BF5A65" w:rsidP="00661C6E">
      <w:pPr>
        <w:rPr>
          <w:szCs w:val="24"/>
        </w:rPr>
      </w:pPr>
      <w:r>
        <w:rPr>
          <w:noProof/>
          <w:szCs w:val="24"/>
        </w:rPr>
        <w:drawing>
          <wp:inline distT="0" distB="0" distL="0" distR="0" wp14:anchorId="152C1C56" wp14:editId="79906BE7">
            <wp:extent cx="6675755" cy="4615180"/>
            <wp:effectExtent l="0" t="0" r="0" b="0"/>
            <wp:docPr id="1225862762" name="Picture 12" descr="The figure is a series of two bar charts side by side displaying the percentage distribution of hepatitis C cases by age in 2007 (N=8,264 excludes 789 missing age) on the left and 2023 on the right (N=2,542, excludes 38 missing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62762" name="Picture 12" descr="The figure is a series of two bar charts side by side displaying the percentage distribution of hepatitis C cases by age in 2007 (N=8,264 excludes 789 missing age) on the left and 2023 on the right (N=2,542, excludes 38 missing age).&#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5755" cy="4615180"/>
                    </a:xfrm>
                    <a:prstGeom prst="rect">
                      <a:avLst/>
                    </a:prstGeom>
                    <a:noFill/>
                  </pic:spPr>
                </pic:pic>
              </a:graphicData>
            </a:graphic>
          </wp:inline>
        </w:drawing>
      </w:r>
    </w:p>
    <w:p w14:paraId="47E76AB4" w14:textId="77777777" w:rsidR="00D5781E" w:rsidRPr="00567F5A" w:rsidRDefault="00D5781E" w:rsidP="00986826">
      <w:pPr>
        <w:rPr>
          <w:sz w:val="20"/>
          <w:szCs w:val="20"/>
        </w:rPr>
      </w:pPr>
    </w:p>
    <w:p w14:paraId="227C7C40" w14:textId="5BF02B98" w:rsidR="00986826" w:rsidRPr="00567F5A" w:rsidRDefault="00986826" w:rsidP="00986826">
      <w:pPr>
        <w:rPr>
          <w:sz w:val="20"/>
          <w:szCs w:val="20"/>
        </w:rPr>
      </w:pPr>
      <w:r w:rsidRPr="00567F5A">
        <w:rPr>
          <w:sz w:val="20"/>
          <w:szCs w:val="20"/>
        </w:rPr>
        <w:t xml:space="preserve">Data Source: Bureau of Infectious Disease and Laboratory Sciences, data are </w:t>
      </w:r>
      <w:r w:rsidR="001940FA" w:rsidRPr="00567F5A">
        <w:rPr>
          <w:sz w:val="20"/>
          <w:szCs w:val="20"/>
        </w:rPr>
        <w:t>current as of 7/31/2024</w:t>
      </w:r>
      <w:r w:rsidRPr="00567F5A">
        <w:rPr>
          <w:sz w:val="20"/>
          <w:szCs w:val="20"/>
        </w:rPr>
        <w:t xml:space="preserve"> and subject to change</w:t>
      </w:r>
      <w:r w:rsidR="00B1580A" w:rsidRPr="00567F5A">
        <w:rPr>
          <w:sz w:val="20"/>
          <w:szCs w:val="20"/>
        </w:rPr>
        <w:t>.</w:t>
      </w:r>
    </w:p>
    <w:p w14:paraId="12372C19" w14:textId="69A3870F" w:rsidR="00986826" w:rsidRPr="00567F5A" w:rsidRDefault="00986826" w:rsidP="00661C6E">
      <w:pPr>
        <w:rPr>
          <w:szCs w:val="24"/>
        </w:rPr>
      </w:pPr>
    </w:p>
    <w:p w14:paraId="6F2E5888" w14:textId="70E651ED" w:rsidR="00986826" w:rsidRPr="00567F5A" w:rsidRDefault="0DED2AAD">
      <w:pPr>
        <w:pStyle w:val="spaced6"/>
      </w:pPr>
      <w:r w:rsidRPr="00567F5A">
        <w:t xml:space="preserve">In 2007, reported cases of </w:t>
      </w:r>
      <w:r w:rsidR="008203AA">
        <w:t>HCV</w:t>
      </w:r>
      <w:r w:rsidRPr="00567F5A">
        <w:t xml:space="preserve"> were distributed in a curve with two age peaks, with the lower peak at age 24 years and the higher peak at age 49 years. </w:t>
      </w:r>
    </w:p>
    <w:p w14:paraId="600744A1" w14:textId="20943ED8" w:rsidR="00986826" w:rsidRPr="00567F5A" w:rsidRDefault="51DB373C">
      <w:pPr>
        <w:pStyle w:val="spaced6"/>
      </w:pPr>
      <w:r w:rsidRPr="00567F5A">
        <w:t>In 202</w:t>
      </w:r>
      <w:r w:rsidR="00567F5A" w:rsidRPr="00567F5A">
        <w:t>3</w:t>
      </w:r>
      <w:r w:rsidRPr="00567F5A">
        <w:t>,</w:t>
      </w:r>
      <w:r w:rsidR="00986826" w:rsidRPr="00567F5A">
        <w:rPr>
          <w:rStyle w:val="FootnoteReference"/>
        </w:rPr>
        <w:footnoteReference w:id="80"/>
      </w:r>
      <w:r w:rsidRPr="00567F5A">
        <w:t xml:space="preserve"> </w:t>
      </w:r>
      <w:r w:rsidR="00567F5A" w:rsidRPr="00567F5A">
        <w:t>the reported cases were again distributed in a bi-modal curve, but with the higher peak at age 36 years, and a lower, smaller peak at 59 years, reflecting a continuing shift in the age profile of newly reported cases</w:t>
      </w:r>
      <w:r w:rsidRPr="00567F5A">
        <w:t>.</w:t>
      </w:r>
    </w:p>
    <w:p w14:paraId="41812B55" w14:textId="2523C614" w:rsidR="009B1FD9" w:rsidRPr="00567F5A" w:rsidRDefault="009B1FD9" w:rsidP="00661C6E">
      <w:pPr>
        <w:rPr>
          <w:szCs w:val="24"/>
        </w:rPr>
      </w:pPr>
      <w:r w:rsidRPr="00234D05">
        <w:rPr>
          <w:color w:val="FF0000"/>
          <w:szCs w:val="24"/>
        </w:rPr>
        <w:br w:type="page"/>
      </w:r>
    </w:p>
    <w:p w14:paraId="6872AF20" w14:textId="32DC44EB" w:rsidR="00986826" w:rsidRPr="00565A43" w:rsidRDefault="00FC0547" w:rsidP="38A4F72D">
      <w:pPr>
        <w:pStyle w:val="Heading2"/>
      </w:pPr>
      <w:bookmarkStart w:id="34" w:name="_Toc532125256"/>
      <w:r>
        <w:lastRenderedPageBreak/>
        <w:t>HC</w:t>
      </w:r>
      <w:r w:rsidR="006B043E">
        <w:t>V</w:t>
      </w:r>
      <w:r>
        <w:t xml:space="preserve"> BY AGE AND GENDER</w:t>
      </w:r>
      <w:bookmarkEnd w:id="34"/>
    </w:p>
    <w:p w14:paraId="0E14F0A7" w14:textId="4DE17E0F" w:rsidR="00FC0547" w:rsidRPr="00E04919" w:rsidRDefault="00FC0547" w:rsidP="00FC0547">
      <w:pPr>
        <w:rPr>
          <w:szCs w:val="24"/>
        </w:rPr>
      </w:pPr>
      <w:r w:rsidRPr="00E04919">
        <w:rPr>
          <w:b/>
          <w:bCs/>
          <w:szCs w:val="24"/>
        </w:rPr>
        <w:t xml:space="preserve">Figure </w:t>
      </w:r>
      <w:r w:rsidR="00C54EC7" w:rsidRPr="00E04919">
        <w:rPr>
          <w:b/>
          <w:bCs/>
          <w:szCs w:val="24"/>
        </w:rPr>
        <w:t>30</w:t>
      </w:r>
      <w:r w:rsidRPr="00E04919">
        <w:rPr>
          <w:b/>
          <w:bCs/>
          <w:szCs w:val="24"/>
        </w:rPr>
        <w:t xml:space="preserve">. </w:t>
      </w:r>
      <w:r w:rsidRPr="00E04919">
        <w:rPr>
          <w:szCs w:val="24"/>
        </w:rPr>
        <w:t xml:space="preserve">Number of confirmed and probable </w:t>
      </w:r>
      <w:r w:rsidR="008203AA">
        <w:rPr>
          <w:szCs w:val="24"/>
        </w:rPr>
        <w:t>HCV</w:t>
      </w:r>
      <w:r w:rsidRPr="00E04919">
        <w:rPr>
          <w:szCs w:val="24"/>
        </w:rPr>
        <w:t xml:space="preserve"> cases reported by age, and female and male gender, Massachusetts</w:t>
      </w:r>
      <w:r w:rsidRPr="00E04919">
        <w:rPr>
          <w:b/>
          <w:bCs/>
          <w:szCs w:val="24"/>
        </w:rPr>
        <w:t xml:space="preserve"> </w:t>
      </w:r>
      <w:r w:rsidRPr="00E04919">
        <w:rPr>
          <w:szCs w:val="24"/>
        </w:rPr>
        <w:t>202</w:t>
      </w:r>
      <w:r w:rsidR="00E04919" w:rsidRPr="00E04919">
        <w:rPr>
          <w:szCs w:val="24"/>
        </w:rPr>
        <w:t>3</w:t>
      </w:r>
    </w:p>
    <w:p w14:paraId="349152B6" w14:textId="073966AB" w:rsidR="00FC0547" w:rsidRPr="00234D05" w:rsidRDefault="00D05C84" w:rsidP="00FC0547">
      <w:pPr>
        <w:rPr>
          <w:color w:val="FF0000"/>
          <w:szCs w:val="24"/>
        </w:rPr>
      </w:pPr>
      <w:r>
        <w:rPr>
          <w:noProof/>
          <w:color w:val="FF0000"/>
          <w:szCs w:val="24"/>
        </w:rPr>
        <w:drawing>
          <wp:inline distT="0" distB="0" distL="0" distR="0" wp14:anchorId="3DE0FF80" wp14:editId="299EACF3">
            <wp:extent cx="5913120" cy="4266006"/>
            <wp:effectExtent l="0" t="0" r="0" b="0"/>
            <wp:docPr id="1712826340" name="Picture 13" descr="The figure is a stacked bar chart displaying the number of both male and female hepatitis C cases reported at each age from 0 to 95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26340" name="Picture 13" descr="The figure is a stacked bar chart displaying the number of both male and female hepatitis C cases reported at each age from 0 to 95 years.&#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4147" cy="4266747"/>
                    </a:xfrm>
                    <a:prstGeom prst="rect">
                      <a:avLst/>
                    </a:prstGeom>
                    <a:noFill/>
                  </pic:spPr>
                </pic:pic>
              </a:graphicData>
            </a:graphic>
          </wp:inline>
        </w:drawing>
      </w:r>
    </w:p>
    <w:p w14:paraId="043770D1" w14:textId="2CE3C8A4" w:rsidR="00163E25" w:rsidRPr="00E27045" w:rsidRDefault="6C966A1D" w:rsidP="00163E25">
      <w:pPr>
        <w:pStyle w:val="spaced6"/>
        <w:numPr>
          <w:ilvl w:val="0"/>
          <w:numId w:val="0"/>
        </w:numPr>
        <w:rPr>
          <w:rFonts w:ascii="Calibri" w:eastAsia="Calibri" w:hAnsi="Calibri" w:cs="Calibri"/>
        </w:rPr>
      </w:pPr>
      <w:r w:rsidRPr="00E27045">
        <w:rPr>
          <w:sz w:val="20"/>
          <w:szCs w:val="20"/>
        </w:rPr>
        <w:t>Note:</w:t>
      </w:r>
      <w:r w:rsidR="00E27045" w:rsidRPr="00E27045">
        <w:rPr>
          <w:sz w:val="20"/>
          <w:szCs w:val="20"/>
        </w:rPr>
        <w:t xml:space="preserve"> Confirmed and Probable </w:t>
      </w:r>
      <w:r w:rsidR="008203AA">
        <w:rPr>
          <w:sz w:val="20"/>
          <w:szCs w:val="20"/>
        </w:rPr>
        <w:t>HCV</w:t>
      </w:r>
      <w:r w:rsidR="00E27045" w:rsidRPr="00E27045">
        <w:rPr>
          <w:sz w:val="20"/>
          <w:szCs w:val="20"/>
        </w:rPr>
        <w:t xml:space="preserve"> 2023: N=2,542, excludes 38 missing age and/or gender. Cases reported as transgender are not depicted in Figure 30 separately due to small numbers. Data Source: Bureau of Infectious Disease and Laboratory Sciences, data are current as of 7/31/2024 and subject to change</w:t>
      </w:r>
      <w:r w:rsidR="00B1580A" w:rsidRPr="00E27045">
        <w:rPr>
          <w:sz w:val="20"/>
          <w:szCs w:val="20"/>
        </w:rPr>
        <w:t>.</w:t>
      </w:r>
    </w:p>
    <w:p w14:paraId="2308191D" w14:textId="677C4543" w:rsidR="00E27045" w:rsidRPr="00E27045" w:rsidRDefault="50462E9B" w:rsidP="00E27045">
      <w:pPr>
        <w:pStyle w:val="spaced6"/>
      </w:pPr>
      <w:r w:rsidRPr="00E27045">
        <w:t>In 202</w:t>
      </w:r>
      <w:r w:rsidR="00E27045" w:rsidRPr="00E27045">
        <w:t>3</w:t>
      </w:r>
      <w:r w:rsidRPr="00E27045">
        <w:t>,</w:t>
      </w:r>
      <w:r w:rsidR="00FC0547" w:rsidRPr="00E27045">
        <w:rPr>
          <w:rStyle w:val="FootnoteReference"/>
        </w:rPr>
        <w:footnoteReference w:id="81"/>
      </w:r>
      <w:r w:rsidRPr="00E27045">
        <w:t xml:space="preserve"> </w:t>
      </w:r>
      <w:r w:rsidR="00E27045" w:rsidRPr="00E27045">
        <w:t>1,</w:t>
      </w:r>
      <w:r w:rsidR="008612FB" w:rsidRPr="00E27045">
        <w:t>56</w:t>
      </w:r>
      <w:r w:rsidR="008612FB">
        <w:t>3</w:t>
      </w:r>
      <w:r w:rsidR="008612FB" w:rsidRPr="00E27045">
        <w:t xml:space="preserve"> </w:t>
      </w:r>
      <w:r w:rsidR="00E27045" w:rsidRPr="00E27045">
        <w:t xml:space="preserve">(61%) confirmed and probable </w:t>
      </w:r>
      <w:r w:rsidR="008203AA">
        <w:t>HCV</w:t>
      </w:r>
      <w:r w:rsidR="00E27045" w:rsidRPr="00E27045">
        <w:t xml:space="preserve"> cases were reported among males, 977 (38%) were reported among females, and fewer than five were reported among individuals of transgender experience.</w:t>
      </w:r>
      <w:r w:rsidRPr="5BA4DA66">
        <w:rPr>
          <w:rStyle w:val="FootnoteReference"/>
        </w:rPr>
        <w:footnoteReference w:id="82"/>
      </w:r>
      <w:r w:rsidR="00E27045" w:rsidRPr="00E27045">
        <w:t xml:space="preserve"> Fifty-three percent (N=182/343) of confirmed and probable </w:t>
      </w:r>
      <w:r w:rsidR="008203AA">
        <w:t>HCV</w:t>
      </w:r>
      <w:r w:rsidR="00E27045" w:rsidRPr="00E27045">
        <w:t xml:space="preserve"> infection cases in those less than 30 years of age were reported among males, 47% (N=161/343) were reported among females, and none were reported among individuals of transgender experience.</w:t>
      </w:r>
      <w:r w:rsidR="00E27045" w:rsidRPr="00E27045">
        <w:rPr>
          <w:vertAlign w:val="superscript"/>
        </w:rPr>
        <w:t xml:space="preserve"> </w:t>
      </w:r>
    </w:p>
    <w:p w14:paraId="08B84042" w14:textId="53AE4CA6" w:rsidR="00E27045" w:rsidRPr="00E27045" w:rsidRDefault="00E27045" w:rsidP="00E27045">
      <w:pPr>
        <w:pStyle w:val="spaced6"/>
        <w:numPr>
          <w:ilvl w:val="1"/>
          <w:numId w:val="4"/>
        </w:numPr>
      </w:pPr>
      <w:r w:rsidRPr="00E27045">
        <w:t xml:space="preserve">For newly reported </w:t>
      </w:r>
      <w:r w:rsidR="008203AA">
        <w:t>HCV</w:t>
      </w:r>
      <w:r w:rsidRPr="00E27045">
        <w:t xml:space="preserve"> infections among persons less than 30 years of age with a known risk history, injection drug use was the most commonly reported risk factor for infection.</w:t>
      </w:r>
    </w:p>
    <w:p w14:paraId="27FCF077" w14:textId="1F85EBD6" w:rsidR="009410EE" w:rsidRPr="00234D05" w:rsidRDefault="00163E25" w:rsidP="72E089C3">
      <w:pPr>
        <w:pStyle w:val="spaced6"/>
        <w:numPr>
          <w:ilvl w:val="0"/>
          <w:numId w:val="0"/>
        </w:numPr>
        <w:rPr>
          <w:color w:val="FF0000"/>
        </w:rPr>
      </w:pPr>
      <w:r w:rsidRPr="72E089C3">
        <w:rPr>
          <w:color w:val="FF0000"/>
        </w:rPr>
        <w:br w:type="page"/>
      </w:r>
    </w:p>
    <w:p w14:paraId="5027C9E8" w14:textId="06722CD4" w:rsidR="00FC0547" w:rsidRPr="00E27045" w:rsidRDefault="009410EE" w:rsidP="38A4F72D">
      <w:pPr>
        <w:pStyle w:val="Heading1"/>
        <w:rPr>
          <w:b w:val="0"/>
        </w:rPr>
      </w:pPr>
      <w:bookmarkStart w:id="35" w:name="_Toc793953245"/>
      <w:r>
        <w:lastRenderedPageBreak/>
        <w:t>CO-INFECTIONS-</w:t>
      </w:r>
      <w:bookmarkEnd w:id="35"/>
    </w:p>
    <w:p w14:paraId="652E62BB" w14:textId="34F90783" w:rsidR="009410EE" w:rsidRPr="00E27045" w:rsidRDefault="009410EE" w:rsidP="009410EE">
      <w:pPr>
        <w:pStyle w:val="Heading2"/>
      </w:pPr>
      <w:bookmarkStart w:id="36" w:name="_HIV/SYPHILIS"/>
      <w:bookmarkStart w:id="37" w:name="_Toc1232967702"/>
      <w:bookmarkEnd w:id="36"/>
      <w:r>
        <w:t>HIV/SYPHILIS</w:t>
      </w:r>
      <w:bookmarkEnd w:id="37"/>
    </w:p>
    <w:p w14:paraId="76108447" w14:textId="288667DD" w:rsidR="009410EE" w:rsidRPr="006D7701" w:rsidRDefault="6EC66494" w:rsidP="009410EE">
      <w:r w:rsidRPr="006D7701">
        <w:rPr>
          <w:b/>
          <w:bCs/>
        </w:rPr>
        <w:t xml:space="preserve">Table 1. </w:t>
      </w:r>
      <w:r w:rsidRPr="006D7701">
        <w:t>Percentage of 202</w:t>
      </w:r>
      <w:r w:rsidR="00E27045" w:rsidRPr="006D7701">
        <w:t>3</w:t>
      </w:r>
      <w:r w:rsidRPr="006D7701">
        <w:t xml:space="preserve"> confirmed and probable infectious syphilis</w:t>
      </w:r>
      <w:r w:rsidR="007E659D" w:rsidRPr="006D7701">
        <w:rPr>
          <w:rStyle w:val="FootnoteReference"/>
        </w:rPr>
        <w:footnoteReference w:id="83"/>
      </w:r>
      <w:r w:rsidRPr="006D7701">
        <w:t xml:space="preserve"> cases ever co-infected with HIV by gender,</w:t>
      </w:r>
      <w:r w:rsidR="006337C3">
        <w:t xml:space="preserve"> race/ethnicity</w:t>
      </w:r>
      <w:r w:rsidR="5177FCB3" w:rsidRPr="006D7701">
        <w:t>, and age</w:t>
      </w:r>
    </w:p>
    <w:tbl>
      <w:tblPr>
        <w:tblStyle w:val="TableGrid"/>
        <w:tblW w:w="9560" w:type="dxa"/>
        <w:tblLook w:val="0420" w:firstRow="1" w:lastRow="0" w:firstColumn="0" w:lastColumn="0" w:noHBand="0" w:noVBand="1"/>
        <w:tblCaption w:val="Table 1. Percentage of 2022 confirmed and probable infectious syphilis cases ever co-infected with HIV by gender, race/ethnicity, and age"/>
        <w:tblDescription w:val="The table displays the number of syphilis cases, the number of HIV/syphilis co-infections and the percentage of syphilis cases ever co-infected with HIV by gender, race/ethnicity, and age for the most recent year.&#10;"/>
      </w:tblPr>
      <w:tblGrid>
        <w:gridCol w:w="2475"/>
        <w:gridCol w:w="2014"/>
        <w:gridCol w:w="2465"/>
        <w:gridCol w:w="2606"/>
      </w:tblGrid>
      <w:tr w:rsidR="006D7701" w:rsidRPr="006D7701" w14:paraId="4CE45B93" w14:textId="77777777" w:rsidTr="006337C3">
        <w:trPr>
          <w:trHeight w:val="20"/>
        </w:trPr>
        <w:tc>
          <w:tcPr>
            <w:tcW w:w="2475" w:type="dxa"/>
            <w:hideMark/>
          </w:tcPr>
          <w:p w14:paraId="380B77B6" w14:textId="77777777" w:rsidR="009410EE" w:rsidRPr="006D7701" w:rsidRDefault="009410EE" w:rsidP="009410EE"/>
        </w:tc>
        <w:tc>
          <w:tcPr>
            <w:tcW w:w="2014" w:type="dxa"/>
            <w:hideMark/>
          </w:tcPr>
          <w:p w14:paraId="2E7F3793" w14:textId="4466CC17" w:rsidR="009410EE" w:rsidRPr="006D7701" w:rsidRDefault="5BF5C9E5" w:rsidP="034544F5">
            <w:pPr>
              <w:jc w:val="center"/>
              <w:rPr>
                <w:rFonts w:eastAsia="Calibri"/>
                <w:b/>
                <w:bCs/>
              </w:rPr>
            </w:pPr>
            <w:r w:rsidRPr="006D7701">
              <w:rPr>
                <w:rFonts w:eastAsia="Calibri"/>
                <w:b/>
                <w:bCs/>
                <w:kern w:val="24"/>
              </w:rPr>
              <w:t>HIV/</w:t>
            </w:r>
            <w:r w:rsidR="01C516CE" w:rsidRPr="006D7701">
              <w:rPr>
                <w:rFonts w:eastAsia="Calibri"/>
                <w:b/>
                <w:bCs/>
                <w:kern w:val="24"/>
              </w:rPr>
              <w:t xml:space="preserve">Syphilis </w:t>
            </w:r>
            <w:r w:rsidR="57096478" w:rsidRPr="006D7701">
              <w:rPr>
                <w:rFonts w:eastAsia="Calibri"/>
                <w:b/>
                <w:bCs/>
                <w:kern w:val="24"/>
              </w:rPr>
              <w:t>Co-infections</w:t>
            </w:r>
            <w:r w:rsidR="009410EE" w:rsidRPr="006D7701">
              <w:rPr>
                <w:rStyle w:val="FootnoteReference"/>
                <w:rFonts w:eastAsia="Calibri"/>
                <w:b/>
                <w:bCs/>
              </w:rPr>
              <w:footnoteReference w:id="84"/>
            </w:r>
            <w:r w:rsidR="01C516CE" w:rsidRPr="006D7701">
              <w:rPr>
                <w:rFonts w:eastAsia="Calibri"/>
                <w:b/>
                <w:bCs/>
                <w:kern w:val="24"/>
              </w:rPr>
              <w:t xml:space="preserve"> </w:t>
            </w:r>
          </w:p>
        </w:tc>
        <w:tc>
          <w:tcPr>
            <w:tcW w:w="2465" w:type="dxa"/>
            <w:hideMark/>
          </w:tcPr>
          <w:p w14:paraId="79B53E5D" w14:textId="36B0596F" w:rsidR="009410EE" w:rsidRPr="006D7701" w:rsidRDefault="009410EE" w:rsidP="38A4F72D">
            <w:pPr>
              <w:pStyle w:val="NormalWeb"/>
              <w:spacing w:before="0" w:beforeAutospacing="0" w:after="0" w:afterAutospacing="0" w:line="256" w:lineRule="auto"/>
              <w:jc w:val="center"/>
              <w:rPr>
                <w:rFonts w:asciiTheme="minorHAnsi" w:hAnsiTheme="minorHAnsi" w:cstheme="minorBidi"/>
                <w:sz w:val="22"/>
                <w:szCs w:val="22"/>
              </w:rPr>
            </w:pPr>
            <w:r w:rsidRPr="006D7701">
              <w:rPr>
                <w:rFonts w:asciiTheme="minorHAnsi" w:eastAsia="Calibri" w:hAnsiTheme="minorHAnsi" w:cstheme="minorBidi"/>
                <w:b/>
                <w:bCs/>
                <w:kern w:val="24"/>
                <w:sz w:val="22"/>
                <w:szCs w:val="22"/>
              </w:rPr>
              <w:t xml:space="preserve">Syphilis </w:t>
            </w:r>
          </w:p>
          <w:p w14:paraId="1740EF41" w14:textId="5E61C9AB" w:rsidR="009410EE" w:rsidRPr="006D7701" w:rsidRDefault="1C0CFBA3" w:rsidP="38A4F72D">
            <w:pPr>
              <w:jc w:val="center"/>
              <w:rPr>
                <w:rStyle w:val="FootnoteReference"/>
                <w:rFonts w:eastAsia="Calibri"/>
                <w:b/>
                <w:bCs/>
              </w:rPr>
            </w:pPr>
            <w:r w:rsidRPr="006D7701">
              <w:rPr>
                <w:rFonts w:eastAsia="Calibri"/>
                <w:b/>
                <w:bCs/>
                <w:kern w:val="24"/>
              </w:rPr>
              <w:t>C</w:t>
            </w:r>
            <w:r w:rsidR="1E22D37F" w:rsidRPr="006D7701">
              <w:rPr>
                <w:rFonts w:eastAsia="Calibri"/>
                <w:b/>
                <w:bCs/>
                <w:kern w:val="24"/>
              </w:rPr>
              <w:t>ases</w:t>
            </w:r>
          </w:p>
        </w:tc>
        <w:tc>
          <w:tcPr>
            <w:tcW w:w="2606" w:type="dxa"/>
            <w:hideMark/>
          </w:tcPr>
          <w:p w14:paraId="31275493" w14:textId="774F77A3" w:rsidR="009410EE" w:rsidRPr="006D7701" w:rsidRDefault="009410EE" w:rsidP="009410EE">
            <w:pPr>
              <w:jc w:val="center"/>
              <w:rPr>
                <w:rFonts w:cstheme="minorHAnsi"/>
              </w:rPr>
            </w:pPr>
            <w:r w:rsidRPr="006D7701">
              <w:rPr>
                <w:rFonts w:cstheme="minorHAnsi"/>
                <w:b/>
                <w:bCs/>
                <w:kern w:val="24"/>
              </w:rPr>
              <w:t>% of Syphilis Cases Co-infected with HIV</w:t>
            </w:r>
          </w:p>
        </w:tc>
      </w:tr>
      <w:tr w:rsidR="006D7701" w:rsidRPr="006D7701" w14:paraId="4AA38F49" w14:textId="77777777" w:rsidTr="006337C3">
        <w:trPr>
          <w:trHeight w:val="20"/>
        </w:trPr>
        <w:tc>
          <w:tcPr>
            <w:tcW w:w="2475" w:type="dxa"/>
            <w:hideMark/>
          </w:tcPr>
          <w:p w14:paraId="6E4ACC4B" w14:textId="0319A6F0" w:rsidR="006D7701" w:rsidRPr="006D7701" w:rsidRDefault="006D7701" w:rsidP="006D7701">
            <w:pPr>
              <w:rPr>
                <w:b/>
                <w:bCs/>
              </w:rPr>
            </w:pPr>
            <w:r w:rsidRPr="006D7701">
              <w:rPr>
                <w:b/>
                <w:bCs/>
              </w:rPr>
              <w:t xml:space="preserve">Total: </w:t>
            </w:r>
          </w:p>
        </w:tc>
        <w:tc>
          <w:tcPr>
            <w:tcW w:w="2014" w:type="dxa"/>
            <w:hideMark/>
          </w:tcPr>
          <w:p w14:paraId="643A14C6" w14:textId="05064CA1" w:rsidR="006D7701" w:rsidRPr="006D7701" w:rsidRDefault="006D7701" w:rsidP="006D7701">
            <w:pPr>
              <w:jc w:val="center"/>
              <w:rPr>
                <w:rFonts w:cstheme="minorHAnsi"/>
              </w:rPr>
            </w:pPr>
            <w:r w:rsidRPr="006D7701">
              <w:rPr>
                <w:rFonts w:eastAsia="Calibri" w:cstheme="minorHAnsi"/>
                <w:b/>
                <w:bCs/>
                <w:kern w:val="24"/>
              </w:rPr>
              <w:t>382</w:t>
            </w:r>
          </w:p>
        </w:tc>
        <w:tc>
          <w:tcPr>
            <w:tcW w:w="2465" w:type="dxa"/>
            <w:hideMark/>
          </w:tcPr>
          <w:p w14:paraId="496D0564" w14:textId="3D22AF2F" w:rsidR="006D7701" w:rsidRPr="006D7701" w:rsidRDefault="006D7701" w:rsidP="006D7701">
            <w:pPr>
              <w:jc w:val="center"/>
              <w:rPr>
                <w:rFonts w:cstheme="minorHAnsi"/>
              </w:rPr>
            </w:pPr>
            <w:r w:rsidRPr="006D7701">
              <w:rPr>
                <w:rFonts w:eastAsia="Calibri" w:cstheme="minorHAnsi"/>
                <w:b/>
                <w:bCs/>
                <w:kern w:val="24"/>
              </w:rPr>
              <w:t>1,449</w:t>
            </w:r>
          </w:p>
        </w:tc>
        <w:tc>
          <w:tcPr>
            <w:tcW w:w="2606" w:type="dxa"/>
            <w:hideMark/>
          </w:tcPr>
          <w:p w14:paraId="01C071DA" w14:textId="11EC7AF8" w:rsidR="006D7701" w:rsidRPr="006D7701" w:rsidRDefault="006D7701" w:rsidP="006D7701">
            <w:pPr>
              <w:jc w:val="center"/>
              <w:rPr>
                <w:rFonts w:cstheme="minorHAnsi"/>
              </w:rPr>
            </w:pPr>
            <w:r w:rsidRPr="006D7701">
              <w:rPr>
                <w:rFonts w:eastAsia="Calibri" w:cstheme="minorHAnsi"/>
                <w:b/>
                <w:bCs/>
                <w:kern w:val="24"/>
              </w:rPr>
              <w:t>26%</w:t>
            </w:r>
          </w:p>
        </w:tc>
      </w:tr>
      <w:tr w:rsidR="006D7701" w:rsidRPr="006D7701" w14:paraId="59C3978D" w14:textId="77777777" w:rsidTr="006337C3">
        <w:trPr>
          <w:trHeight w:val="20"/>
        </w:trPr>
        <w:tc>
          <w:tcPr>
            <w:tcW w:w="2475" w:type="dxa"/>
            <w:hideMark/>
          </w:tcPr>
          <w:p w14:paraId="6F99FDE0" w14:textId="77777777" w:rsidR="006D7701" w:rsidRPr="006D7701" w:rsidRDefault="006D7701" w:rsidP="06A3C928">
            <w:pPr>
              <w:rPr>
                <w:b/>
                <w:bCs/>
              </w:rPr>
            </w:pPr>
            <w:r w:rsidRPr="6CD43B22">
              <w:rPr>
                <w:b/>
                <w:bCs/>
              </w:rPr>
              <w:t>Gender:</w:t>
            </w:r>
          </w:p>
        </w:tc>
        <w:tc>
          <w:tcPr>
            <w:tcW w:w="2014" w:type="dxa"/>
            <w:vAlign w:val="bottom"/>
            <w:hideMark/>
          </w:tcPr>
          <w:p w14:paraId="01AD74A9" w14:textId="77777777" w:rsidR="006D7701" w:rsidRPr="006D7701" w:rsidRDefault="006D7701" w:rsidP="006D7701">
            <w:pPr>
              <w:jc w:val="center"/>
              <w:rPr>
                <w:rFonts w:cstheme="minorHAnsi"/>
              </w:rPr>
            </w:pPr>
          </w:p>
        </w:tc>
        <w:tc>
          <w:tcPr>
            <w:tcW w:w="2465" w:type="dxa"/>
            <w:vAlign w:val="bottom"/>
            <w:hideMark/>
          </w:tcPr>
          <w:p w14:paraId="76613BA7" w14:textId="77777777" w:rsidR="006D7701" w:rsidRPr="006D7701" w:rsidRDefault="006D7701" w:rsidP="006D7701">
            <w:pPr>
              <w:jc w:val="center"/>
              <w:rPr>
                <w:rFonts w:cstheme="minorHAnsi"/>
              </w:rPr>
            </w:pPr>
          </w:p>
        </w:tc>
        <w:tc>
          <w:tcPr>
            <w:tcW w:w="2606" w:type="dxa"/>
            <w:vAlign w:val="bottom"/>
            <w:hideMark/>
          </w:tcPr>
          <w:p w14:paraId="0B3A61B8" w14:textId="77777777" w:rsidR="006D7701" w:rsidRPr="006D7701" w:rsidRDefault="006D7701" w:rsidP="006D7701">
            <w:pPr>
              <w:jc w:val="center"/>
              <w:rPr>
                <w:rFonts w:cstheme="minorHAnsi"/>
              </w:rPr>
            </w:pPr>
          </w:p>
        </w:tc>
      </w:tr>
      <w:tr w:rsidR="006D7701" w:rsidRPr="006D7701" w14:paraId="7B6350A8" w14:textId="77777777" w:rsidTr="006337C3">
        <w:trPr>
          <w:trHeight w:val="20"/>
        </w:trPr>
        <w:tc>
          <w:tcPr>
            <w:tcW w:w="2475" w:type="dxa"/>
            <w:hideMark/>
          </w:tcPr>
          <w:p w14:paraId="3F99CF8B" w14:textId="77777777" w:rsidR="006D7701" w:rsidRPr="006D7701" w:rsidRDefault="006D7701" w:rsidP="006D7701">
            <w:r w:rsidRPr="006D7701">
              <w:t>Male</w:t>
            </w:r>
          </w:p>
        </w:tc>
        <w:tc>
          <w:tcPr>
            <w:tcW w:w="2014" w:type="dxa"/>
            <w:vAlign w:val="bottom"/>
            <w:hideMark/>
          </w:tcPr>
          <w:p w14:paraId="7E4B32C5" w14:textId="43353093" w:rsidR="006D7701" w:rsidRPr="006D7701" w:rsidRDefault="006D7701" w:rsidP="006D7701">
            <w:pPr>
              <w:jc w:val="center"/>
              <w:rPr>
                <w:rFonts w:eastAsia="Calibri" w:cstheme="minorHAnsi"/>
                <w:szCs w:val="24"/>
              </w:rPr>
            </w:pPr>
            <w:r w:rsidRPr="006D7701">
              <w:rPr>
                <w:rFonts w:cstheme="minorHAnsi"/>
                <w:kern w:val="24"/>
              </w:rPr>
              <w:t>354</w:t>
            </w:r>
          </w:p>
        </w:tc>
        <w:tc>
          <w:tcPr>
            <w:tcW w:w="2465" w:type="dxa"/>
            <w:vAlign w:val="bottom"/>
            <w:hideMark/>
          </w:tcPr>
          <w:p w14:paraId="6BDDE7D9" w14:textId="7D352AE0" w:rsidR="006D7701" w:rsidRPr="006D7701" w:rsidRDefault="006D7701" w:rsidP="006D7701">
            <w:pPr>
              <w:jc w:val="center"/>
              <w:rPr>
                <w:rFonts w:eastAsia="Calibri" w:cstheme="minorHAnsi"/>
                <w:szCs w:val="24"/>
              </w:rPr>
            </w:pPr>
            <w:r w:rsidRPr="006D7701">
              <w:rPr>
                <w:rFonts w:cstheme="minorHAnsi"/>
                <w:kern w:val="24"/>
              </w:rPr>
              <w:t>1,180</w:t>
            </w:r>
          </w:p>
        </w:tc>
        <w:tc>
          <w:tcPr>
            <w:tcW w:w="2606" w:type="dxa"/>
            <w:vAlign w:val="bottom"/>
            <w:hideMark/>
          </w:tcPr>
          <w:p w14:paraId="53ABA845" w14:textId="45CA2F2D" w:rsidR="006D7701" w:rsidRPr="006D7701" w:rsidRDefault="006D7701" w:rsidP="006D7701">
            <w:pPr>
              <w:jc w:val="center"/>
              <w:rPr>
                <w:rFonts w:cstheme="minorHAnsi"/>
              </w:rPr>
            </w:pPr>
            <w:r w:rsidRPr="006D7701">
              <w:rPr>
                <w:rFonts w:cstheme="minorHAnsi"/>
                <w:kern w:val="24"/>
              </w:rPr>
              <w:t>24%</w:t>
            </w:r>
          </w:p>
        </w:tc>
      </w:tr>
      <w:tr w:rsidR="006D7701" w:rsidRPr="006D7701" w14:paraId="359F4456" w14:textId="77777777" w:rsidTr="006337C3">
        <w:trPr>
          <w:trHeight w:val="20"/>
        </w:trPr>
        <w:tc>
          <w:tcPr>
            <w:tcW w:w="2475" w:type="dxa"/>
            <w:hideMark/>
          </w:tcPr>
          <w:p w14:paraId="2C1A24F5" w14:textId="77777777" w:rsidR="006D7701" w:rsidRPr="006D7701" w:rsidRDefault="006D7701" w:rsidP="006D7701">
            <w:r w:rsidRPr="006D7701">
              <w:t>Female</w:t>
            </w:r>
          </w:p>
        </w:tc>
        <w:tc>
          <w:tcPr>
            <w:tcW w:w="2014" w:type="dxa"/>
            <w:vAlign w:val="bottom"/>
            <w:hideMark/>
          </w:tcPr>
          <w:p w14:paraId="7ECF6F32" w14:textId="7A372D7D" w:rsidR="006D7701" w:rsidRPr="006D7701" w:rsidRDefault="006D7701" w:rsidP="006D7701">
            <w:pPr>
              <w:jc w:val="center"/>
              <w:rPr>
                <w:rFonts w:eastAsia="Calibri" w:cstheme="minorHAnsi"/>
                <w:szCs w:val="24"/>
              </w:rPr>
            </w:pPr>
            <w:r w:rsidRPr="006D7701">
              <w:rPr>
                <w:rFonts w:cstheme="minorHAnsi"/>
                <w:kern w:val="24"/>
              </w:rPr>
              <w:t>4</w:t>
            </w:r>
          </w:p>
        </w:tc>
        <w:tc>
          <w:tcPr>
            <w:tcW w:w="2465" w:type="dxa"/>
            <w:vAlign w:val="bottom"/>
            <w:hideMark/>
          </w:tcPr>
          <w:p w14:paraId="3D8E8ED3" w14:textId="6CC84182" w:rsidR="006D7701" w:rsidRPr="006D7701" w:rsidRDefault="006D7701" w:rsidP="006D7701">
            <w:pPr>
              <w:jc w:val="center"/>
              <w:rPr>
                <w:rFonts w:eastAsia="Calibri" w:cstheme="minorHAnsi"/>
                <w:szCs w:val="24"/>
              </w:rPr>
            </w:pPr>
            <w:r w:rsidRPr="006D7701">
              <w:rPr>
                <w:rFonts w:cstheme="minorHAnsi"/>
                <w:kern w:val="24"/>
              </w:rPr>
              <w:t>211</w:t>
            </w:r>
          </w:p>
        </w:tc>
        <w:tc>
          <w:tcPr>
            <w:tcW w:w="2606" w:type="dxa"/>
            <w:vAlign w:val="bottom"/>
            <w:hideMark/>
          </w:tcPr>
          <w:p w14:paraId="3CAC35F8" w14:textId="0689BB20" w:rsidR="006D7701" w:rsidRPr="006D7701" w:rsidRDefault="006D7701" w:rsidP="006D7701">
            <w:pPr>
              <w:jc w:val="center"/>
              <w:rPr>
                <w:rFonts w:cstheme="minorHAnsi"/>
              </w:rPr>
            </w:pPr>
            <w:r w:rsidRPr="006D7701">
              <w:rPr>
                <w:rFonts w:cstheme="minorHAnsi"/>
                <w:kern w:val="24"/>
              </w:rPr>
              <w:t>2%</w:t>
            </w:r>
          </w:p>
        </w:tc>
      </w:tr>
      <w:tr w:rsidR="006D7701" w:rsidRPr="006D7701" w14:paraId="3EAE3304" w14:textId="77777777" w:rsidTr="006337C3">
        <w:trPr>
          <w:trHeight w:val="20"/>
        </w:trPr>
        <w:tc>
          <w:tcPr>
            <w:tcW w:w="2475" w:type="dxa"/>
            <w:hideMark/>
          </w:tcPr>
          <w:p w14:paraId="3A0D5788" w14:textId="3561BD53" w:rsidR="006D7701" w:rsidRPr="006D7701" w:rsidRDefault="006D7701" w:rsidP="006D7701">
            <w:r>
              <w:t>Transgender</w:t>
            </w:r>
            <w:r w:rsidR="0FE2E178">
              <w:t>/Nonbinary</w:t>
            </w:r>
          </w:p>
        </w:tc>
        <w:tc>
          <w:tcPr>
            <w:tcW w:w="2014" w:type="dxa"/>
            <w:vAlign w:val="bottom"/>
            <w:hideMark/>
          </w:tcPr>
          <w:p w14:paraId="40EC3961" w14:textId="5FE8C812" w:rsidR="006D7701" w:rsidRPr="006D7701" w:rsidRDefault="006D7701" w:rsidP="006D7701">
            <w:pPr>
              <w:jc w:val="center"/>
              <w:rPr>
                <w:rFonts w:eastAsia="Calibri" w:cstheme="minorHAnsi"/>
                <w:szCs w:val="24"/>
              </w:rPr>
            </w:pPr>
            <w:r w:rsidRPr="006D7701">
              <w:rPr>
                <w:rFonts w:cstheme="minorHAnsi"/>
                <w:kern w:val="24"/>
              </w:rPr>
              <w:t>24</w:t>
            </w:r>
          </w:p>
        </w:tc>
        <w:tc>
          <w:tcPr>
            <w:tcW w:w="2465" w:type="dxa"/>
            <w:vAlign w:val="bottom"/>
            <w:hideMark/>
          </w:tcPr>
          <w:p w14:paraId="049EFA38" w14:textId="2490C9E3" w:rsidR="006D7701" w:rsidRPr="006D7701" w:rsidRDefault="006D7701" w:rsidP="006D7701">
            <w:pPr>
              <w:jc w:val="center"/>
              <w:rPr>
                <w:rFonts w:eastAsia="Calibri" w:cstheme="minorHAnsi"/>
                <w:szCs w:val="24"/>
              </w:rPr>
            </w:pPr>
            <w:r w:rsidRPr="006D7701">
              <w:rPr>
                <w:rFonts w:cstheme="minorHAnsi"/>
                <w:kern w:val="24"/>
              </w:rPr>
              <w:t>58</w:t>
            </w:r>
          </w:p>
        </w:tc>
        <w:tc>
          <w:tcPr>
            <w:tcW w:w="2606" w:type="dxa"/>
            <w:vAlign w:val="bottom"/>
            <w:hideMark/>
          </w:tcPr>
          <w:p w14:paraId="447103DE" w14:textId="00D58B05" w:rsidR="006D7701" w:rsidRPr="006D7701" w:rsidRDefault="006D7701" w:rsidP="006D7701">
            <w:pPr>
              <w:jc w:val="center"/>
              <w:rPr>
                <w:rFonts w:cstheme="minorHAnsi"/>
              </w:rPr>
            </w:pPr>
            <w:r w:rsidRPr="006D7701">
              <w:rPr>
                <w:rFonts w:cstheme="minorHAnsi"/>
                <w:kern w:val="24"/>
              </w:rPr>
              <w:t>41%</w:t>
            </w:r>
          </w:p>
        </w:tc>
      </w:tr>
      <w:tr w:rsidR="006D7701" w:rsidRPr="006D7701" w14:paraId="16B2A5D1" w14:textId="77777777" w:rsidTr="006337C3">
        <w:trPr>
          <w:trHeight w:val="20"/>
        </w:trPr>
        <w:tc>
          <w:tcPr>
            <w:tcW w:w="2475" w:type="dxa"/>
            <w:hideMark/>
          </w:tcPr>
          <w:p w14:paraId="3BE7F25A" w14:textId="34EE0E3D" w:rsidR="006D7701" w:rsidRPr="006D7701" w:rsidRDefault="006D7701" w:rsidP="006D7701">
            <w:r w:rsidRPr="006D7701">
              <w:rPr>
                <w:b/>
                <w:bCs/>
              </w:rPr>
              <w:t>Race/Ethnicity:</w:t>
            </w:r>
          </w:p>
        </w:tc>
        <w:tc>
          <w:tcPr>
            <w:tcW w:w="2014" w:type="dxa"/>
            <w:vAlign w:val="center"/>
            <w:hideMark/>
          </w:tcPr>
          <w:p w14:paraId="518AADA8" w14:textId="40429EEB" w:rsidR="006D7701" w:rsidRPr="006D7701" w:rsidRDefault="006D7701" w:rsidP="006D7701">
            <w:pPr>
              <w:rPr>
                <w:rFonts w:cstheme="minorHAnsi"/>
              </w:rPr>
            </w:pPr>
          </w:p>
        </w:tc>
        <w:tc>
          <w:tcPr>
            <w:tcW w:w="2465" w:type="dxa"/>
            <w:vAlign w:val="center"/>
            <w:hideMark/>
          </w:tcPr>
          <w:p w14:paraId="38FDDD48" w14:textId="7D04D201" w:rsidR="006D7701" w:rsidRPr="006D7701" w:rsidRDefault="006D7701" w:rsidP="006D7701">
            <w:pPr>
              <w:rPr>
                <w:rFonts w:cstheme="minorHAnsi"/>
              </w:rPr>
            </w:pPr>
          </w:p>
        </w:tc>
        <w:tc>
          <w:tcPr>
            <w:tcW w:w="2606" w:type="dxa"/>
            <w:vAlign w:val="bottom"/>
            <w:hideMark/>
          </w:tcPr>
          <w:p w14:paraId="2F778193" w14:textId="77777777" w:rsidR="006D7701" w:rsidRPr="006D7701" w:rsidRDefault="006D7701" w:rsidP="006D7701">
            <w:pPr>
              <w:jc w:val="center"/>
              <w:rPr>
                <w:rFonts w:cstheme="minorHAnsi"/>
              </w:rPr>
            </w:pPr>
          </w:p>
        </w:tc>
      </w:tr>
      <w:tr w:rsidR="006D7701" w:rsidRPr="006D7701" w14:paraId="7E7668FA" w14:textId="77777777" w:rsidTr="006337C3">
        <w:trPr>
          <w:trHeight w:val="20"/>
        </w:trPr>
        <w:tc>
          <w:tcPr>
            <w:tcW w:w="2475" w:type="dxa"/>
            <w:hideMark/>
          </w:tcPr>
          <w:p w14:paraId="5E900C5B" w14:textId="77777777" w:rsidR="006D7701" w:rsidRPr="006D7701" w:rsidRDefault="006D7701" w:rsidP="006D7701">
            <w:r w:rsidRPr="006D7701">
              <w:t>White NH</w:t>
            </w:r>
          </w:p>
        </w:tc>
        <w:tc>
          <w:tcPr>
            <w:tcW w:w="2014" w:type="dxa"/>
            <w:vAlign w:val="bottom"/>
            <w:hideMark/>
          </w:tcPr>
          <w:p w14:paraId="599D7647" w14:textId="71984174" w:rsidR="006D7701" w:rsidRPr="006D7701" w:rsidRDefault="006D7701" w:rsidP="006D7701">
            <w:pPr>
              <w:jc w:val="center"/>
              <w:rPr>
                <w:rFonts w:eastAsia="Calibri" w:cstheme="minorHAnsi"/>
                <w:szCs w:val="24"/>
              </w:rPr>
            </w:pPr>
            <w:r w:rsidRPr="006D7701">
              <w:rPr>
                <w:rFonts w:eastAsiaTheme="minorEastAsia" w:cstheme="minorHAnsi"/>
                <w:kern w:val="24"/>
              </w:rPr>
              <w:t>152</w:t>
            </w:r>
          </w:p>
        </w:tc>
        <w:tc>
          <w:tcPr>
            <w:tcW w:w="2465" w:type="dxa"/>
            <w:vAlign w:val="bottom"/>
            <w:hideMark/>
          </w:tcPr>
          <w:p w14:paraId="508EC347" w14:textId="0BA41DF2" w:rsidR="006D7701" w:rsidRPr="006D7701" w:rsidRDefault="006D7701" w:rsidP="006D7701">
            <w:pPr>
              <w:jc w:val="center"/>
              <w:rPr>
                <w:rFonts w:eastAsia="Calibri" w:cstheme="minorHAnsi"/>
                <w:szCs w:val="24"/>
              </w:rPr>
            </w:pPr>
            <w:r w:rsidRPr="006D7701">
              <w:rPr>
                <w:rFonts w:eastAsiaTheme="minorEastAsia" w:cstheme="minorHAnsi"/>
                <w:kern w:val="24"/>
              </w:rPr>
              <w:t>514</w:t>
            </w:r>
          </w:p>
        </w:tc>
        <w:tc>
          <w:tcPr>
            <w:tcW w:w="2606" w:type="dxa"/>
            <w:vAlign w:val="bottom"/>
            <w:hideMark/>
          </w:tcPr>
          <w:p w14:paraId="58BA4F05" w14:textId="3390AE72" w:rsidR="006D7701" w:rsidRPr="006D7701" w:rsidRDefault="006D7701" w:rsidP="006D7701">
            <w:pPr>
              <w:jc w:val="center"/>
              <w:rPr>
                <w:rFonts w:cstheme="minorHAnsi"/>
              </w:rPr>
            </w:pPr>
            <w:r w:rsidRPr="006D7701">
              <w:rPr>
                <w:rFonts w:eastAsiaTheme="minorEastAsia" w:cstheme="minorHAnsi"/>
                <w:kern w:val="24"/>
              </w:rPr>
              <w:t>30%</w:t>
            </w:r>
          </w:p>
        </w:tc>
      </w:tr>
      <w:tr w:rsidR="006D7701" w:rsidRPr="006D7701" w14:paraId="7A5B172B" w14:textId="77777777" w:rsidTr="006337C3">
        <w:trPr>
          <w:trHeight w:val="20"/>
        </w:trPr>
        <w:tc>
          <w:tcPr>
            <w:tcW w:w="2475" w:type="dxa"/>
            <w:hideMark/>
          </w:tcPr>
          <w:p w14:paraId="1FA629D2" w14:textId="77777777" w:rsidR="006D7701" w:rsidRPr="006D7701" w:rsidRDefault="006D7701" w:rsidP="006D7701">
            <w:r w:rsidRPr="006D7701">
              <w:t>Black NH</w:t>
            </w:r>
          </w:p>
        </w:tc>
        <w:tc>
          <w:tcPr>
            <w:tcW w:w="2014" w:type="dxa"/>
            <w:vAlign w:val="bottom"/>
            <w:hideMark/>
          </w:tcPr>
          <w:p w14:paraId="40D68FE5" w14:textId="04374F08" w:rsidR="006D7701" w:rsidRPr="006D7701" w:rsidRDefault="006D7701" w:rsidP="006D7701">
            <w:pPr>
              <w:jc w:val="center"/>
              <w:rPr>
                <w:rFonts w:eastAsia="Calibri" w:cstheme="minorHAnsi"/>
                <w:szCs w:val="24"/>
              </w:rPr>
            </w:pPr>
            <w:r w:rsidRPr="006D7701">
              <w:rPr>
                <w:rFonts w:eastAsiaTheme="minorEastAsia" w:cstheme="minorHAnsi"/>
                <w:kern w:val="24"/>
              </w:rPr>
              <w:t>80</w:t>
            </w:r>
          </w:p>
        </w:tc>
        <w:tc>
          <w:tcPr>
            <w:tcW w:w="2465" w:type="dxa"/>
            <w:vAlign w:val="bottom"/>
            <w:hideMark/>
          </w:tcPr>
          <w:p w14:paraId="0580DE39" w14:textId="166506C2" w:rsidR="006D7701" w:rsidRPr="006D7701" w:rsidRDefault="006D7701" w:rsidP="006D7701">
            <w:pPr>
              <w:jc w:val="center"/>
              <w:rPr>
                <w:rFonts w:eastAsia="Calibri" w:cstheme="minorHAnsi"/>
                <w:szCs w:val="24"/>
              </w:rPr>
            </w:pPr>
            <w:r w:rsidRPr="006D7701">
              <w:rPr>
                <w:rFonts w:eastAsiaTheme="minorEastAsia" w:cstheme="minorHAnsi"/>
                <w:kern w:val="24"/>
              </w:rPr>
              <w:t>255</w:t>
            </w:r>
          </w:p>
        </w:tc>
        <w:tc>
          <w:tcPr>
            <w:tcW w:w="2606" w:type="dxa"/>
            <w:vAlign w:val="bottom"/>
            <w:hideMark/>
          </w:tcPr>
          <w:p w14:paraId="6A3E7D55" w14:textId="51EB62D8" w:rsidR="006D7701" w:rsidRPr="006D7701" w:rsidRDefault="006D7701" w:rsidP="006D7701">
            <w:pPr>
              <w:jc w:val="center"/>
              <w:rPr>
                <w:rFonts w:cstheme="minorHAnsi"/>
              </w:rPr>
            </w:pPr>
            <w:r w:rsidRPr="006D7701">
              <w:rPr>
                <w:rFonts w:eastAsiaTheme="minorEastAsia" w:cstheme="minorHAnsi"/>
                <w:kern w:val="24"/>
              </w:rPr>
              <w:t>31%</w:t>
            </w:r>
          </w:p>
        </w:tc>
      </w:tr>
      <w:tr w:rsidR="006D7701" w:rsidRPr="006D7701" w14:paraId="06C9F045" w14:textId="77777777" w:rsidTr="006337C3">
        <w:trPr>
          <w:trHeight w:val="20"/>
        </w:trPr>
        <w:tc>
          <w:tcPr>
            <w:tcW w:w="2475" w:type="dxa"/>
            <w:hideMark/>
          </w:tcPr>
          <w:p w14:paraId="1394BF0A" w14:textId="77777777" w:rsidR="006D7701" w:rsidRPr="006D7701" w:rsidRDefault="006D7701" w:rsidP="006D7701">
            <w:r w:rsidRPr="006D7701">
              <w:t>Hispanic/Latino</w:t>
            </w:r>
          </w:p>
        </w:tc>
        <w:tc>
          <w:tcPr>
            <w:tcW w:w="2014" w:type="dxa"/>
            <w:vAlign w:val="bottom"/>
            <w:hideMark/>
          </w:tcPr>
          <w:p w14:paraId="24A8BCF3" w14:textId="6B8C4980" w:rsidR="006D7701" w:rsidRPr="006D7701" w:rsidRDefault="006D7701" w:rsidP="006D7701">
            <w:pPr>
              <w:jc w:val="center"/>
              <w:rPr>
                <w:rFonts w:eastAsia="Calibri" w:cstheme="minorHAnsi"/>
                <w:szCs w:val="24"/>
              </w:rPr>
            </w:pPr>
            <w:r w:rsidRPr="006D7701">
              <w:rPr>
                <w:rFonts w:eastAsiaTheme="minorEastAsia" w:cstheme="minorHAnsi"/>
                <w:kern w:val="24"/>
              </w:rPr>
              <w:t>125</w:t>
            </w:r>
          </w:p>
        </w:tc>
        <w:tc>
          <w:tcPr>
            <w:tcW w:w="2465" w:type="dxa"/>
            <w:vAlign w:val="bottom"/>
            <w:hideMark/>
          </w:tcPr>
          <w:p w14:paraId="2988A9D0" w14:textId="36F60F4B" w:rsidR="006D7701" w:rsidRPr="006D7701" w:rsidRDefault="006D7701" w:rsidP="006D7701">
            <w:pPr>
              <w:jc w:val="center"/>
              <w:rPr>
                <w:rFonts w:eastAsia="Calibri" w:cstheme="minorHAnsi"/>
                <w:szCs w:val="24"/>
              </w:rPr>
            </w:pPr>
            <w:r w:rsidRPr="006D7701">
              <w:rPr>
                <w:rFonts w:eastAsiaTheme="minorEastAsia" w:cstheme="minorHAnsi"/>
                <w:kern w:val="24"/>
              </w:rPr>
              <w:t>510</w:t>
            </w:r>
          </w:p>
        </w:tc>
        <w:tc>
          <w:tcPr>
            <w:tcW w:w="2606" w:type="dxa"/>
            <w:vAlign w:val="bottom"/>
            <w:hideMark/>
          </w:tcPr>
          <w:p w14:paraId="3D6FD84E" w14:textId="06658C58" w:rsidR="006D7701" w:rsidRPr="006D7701" w:rsidRDefault="006D7701" w:rsidP="006D7701">
            <w:pPr>
              <w:jc w:val="center"/>
              <w:rPr>
                <w:rFonts w:cstheme="minorHAnsi"/>
              </w:rPr>
            </w:pPr>
            <w:r w:rsidRPr="006D7701">
              <w:rPr>
                <w:rFonts w:eastAsiaTheme="minorEastAsia" w:cstheme="minorHAnsi"/>
                <w:kern w:val="24"/>
              </w:rPr>
              <w:t>25%</w:t>
            </w:r>
          </w:p>
        </w:tc>
      </w:tr>
      <w:tr w:rsidR="006D7701" w:rsidRPr="006D7701" w14:paraId="50168E06" w14:textId="77777777" w:rsidTr="006337C3">
        <w:trPr>
          <w:trHeight w:val="20"/>
        </w:trPr>
        <w:tc>
          <w:tcPr>
            <w:tcW w:w="2475" w:type="dxa"/>
            <w:hideMark/>
          </w:tcPr>
          <w:p w14:paraId="0C1348EF" w14:textId="233B3724" w:rsidR="006D7701" w:rsidRPr="006D7701" w:rsidRDefault="006D7701" w:rsidP="006D7701">
            <w:r w:rsidRPr="006D7701">
              <w:t>Other NH</w:t>
            </w:r>
          </w:p>
        </w:tc>
        <w:tc>
          <w:tcPr>
            <w:tcW w:w="2014" w:type="dxa"/>
            <w:vAlign w:val="bottom"/>
            <w:hideMark/>
          </w:tcPr>
          <w:p w14:paraId="15B07DF7" w14:textId="3A856A29" w:rsidR="006D7701" w:rsidRPr="006D7701" w:rsidRDefault="006D7701" w:rsidP="006D7701">
            <w:pPr>
              <w:jc w:val="center"/>
              <w:rPr>
                <w:rFonts w:eastAsia="Calibri" w:cstheme="minorHAnsi"/>
                <w:szCs w:val="24"/>
              </w:rPr>
            </w:pPr>
            <w:r w:rsidRPr="006D7701">
              <w:rPr>
                <w:rFonts w:eastAsiaTheme="minorEastAsia" w:cstheme="minorHAnsi"/>
                <w:kern w:val="24"/>
              </w:rPr>
              <w:t>24</w:t>
            </w:r>
          </w:p>
        </w:tc>
        <w:tc>
          <w:tcPr>
            <w:tcW w:w="2465" w:type="dxa"/>
            <w:vAlign w:val="bottom"/>
            <w:hideMark/>
          </w:tcPr>
          <w:p w14:paraId="6B45639B" w14:textId="48A36201" w:rsidR="006D7701" w:rsidRPr="006D7701" w:rsidRDefault="006D7701" w:rsidP="006D7701">
            <w:pPr>
              <w:jc w:val="center"/>
              <w:rPr>
                <w:rFonts w:eastAsia="Calibri" w:cstheme="minorHAnsi"/>
                <w:szCs w:val="24"/>
              </w:rPr>
            </w:pPr>
            <w:r w:rsidRPr="006D7701">
              <w:rPr>
                <w:rFonts w:eastAsiaTheme="minorEastAsia" w:cstheme="minorHAnsi"/>
                <w:kern w:val="24"/>
              </w:rPr>
              <w:t>125</w:t>
            </w:r>
          </w:p>
        </w:tc>
        <w:tc>
          <w:tcPr>
            <w:tcW w:w="2606" w:type="dxa"/>
            <w:vAlign w:val="bottom"/>
            <w:hideMark/>
          </w:tcPr>
          <w:p w14:paraId="56171F3F" w14:textId="23866205" w:rsidR="006D7701" w:rsidRPr="006D7701" w:rsidRDefault="006D7701" w:rsidP="006D7701">
            <w:pPr>
              <w:jc w:val="center"/>
              <w:rPr>
                <w:rFonts w:cstheme="minorHAnsi"/>
              </w:rPr>
            </w:pPr>
            <w:r w:rsidRPr="006D7701">
              <w:rPr>
                <w:rFonts w:eastAsiaTheme="minorEastAsia" w:cstheme="minorHAnsi"/>
                <w:kern w:val="24"/>
              </w:rPr>
              <w:t>19%</w:t>
            </w:r>
          </w:p>
        </w:tc>
      </w:tr>
      <w:tr w:rsidR="006D7701" w:rsidRPr="006D7701" w14:paraId="4256CDD3" w14:textId="77777777" w:rsidTr="006337C3">
        <w:trPr>
          <w:trHeight w:val="20"/>
        </w:trPr>
        <w:tc>
          <w:tcPr>
            <w:tcW w:w="2475" w:type="dxa"/>
            <w:hideMark/>
          </w:tcPr>
          <w:p w14:paraId="0C5369BA" w14:textId="77777777" w:rsidR="006D7701" w:rsidRPr="006D7701" w:rsidRDefault="006D7701" w:rsidP="006D7701">
            <w:r w:rsidRPr="006D7701">
              <w:t>Unreported</w:t>
            </w:r>
          </w:p>
        </w:tc>
        <w:tc>
          <w:tcPr>
            <w:tcW w:w="2014" w:type="dxa"/>
            <w:vAlign w:val="bottom"/>
            <w:hideMark/>
          </w:tcPr>
          <w:p w14:paraId="40F7CA9B" w14:textId="2A2E4249" w:rsidR="006D7701" w:rsidRPr="006D7701" w:rsidRDefault="006D7701" w:rsidP="006D7701">
            <w:pPr>
              <w:jc w:val="center"/>
              <w:rPr>
                <w:rFonts w:eastAsia="Calibri" w:cstheme="minorHAnsi"/>
                <w:szCs w:val="24"/>
              </w:rPr>
            </w:pPr>
            <w:r w:rsidRPr="006D7701">
              <w:rPr>
                <w:rFonts w:eastAsiaTheme="minorEastAsia" w:cstheme="minorHAnsi"/>
                <w:kern w:val="24"/>
              </w:rPr>
              <w:t>1</w:t>
            </w:r>
          </w:p>
        </w:tc>
        <w:tc>
          <w:tcPr>
            <w:tcW w:w="2465" w:type="dxa"/>
            <w:vAlign w:val="bottom"/>
            <w:hideMark/>
          </w:tcPr>
          <w:p w14:paraId="56EE3703" w14:textId="7C3A20F0" w:rsidR="006D7701" w:rsidRPr="006D7701" w:rsidRDefault="006D7701" w:rsidP="006D7701">
            <w:pPr>
              <w:jc w:val="center"/>
              <w:rPr>
                <w:rFonts w:eastAsia="Calibri" w:cstheme="minorHAnsi"/>
                <w:szCs w:val="24"/>
              </w:rPr>
            </w:pPr>
            <w:r w:rsidRPr="006D7701">
              <w:rPr>
                <w:rFonts w:eastAsiaTheme="minorEastAsia" w:cstheme="minorHAnsi"/>
                <w:kern w:val="24"/>
              </w:rPr>
              <w:t>45</w:t>
            </w:r>
          </w:p>
        </w:tc>
        <w:tc>
          <w:tcPr>
            <w:tcW w:w="2606" w:type="dxa"/>
            <w:vAlign w:val="bottom"/>
            <w:hideMark/>
          </w:tcPr>
          <w:p w14:paraId="34873707" w14:textId="12BEB57E" w:rsidR="006D7701" w:rsidRPr="006D7701" w:rsidRDefault="006D7701" w:rsidP="006D7701">
            <w:pPr>
              <w:jc w:val="center"/>
              <w:rPr>
                <w:rFonts w:cstheme="minorHAnsi"/>
              </w:rPr>
            </w:pPr>
            <w:r w:rsidRPr="006D7701">
              <w:rPr>
                <w:rFonts w:eastAsiaTheme="minorEastAsia" w:cstheme="minorHAnsi"/>
                <w:kern w:val="24"/>
              </w:rPr>
              <w:t>2%</w:t>
            </w:r>
          </w:p>
        </w:tc>
      </w:tr>
      <w:tr w:rsidR="006D7701" w:rsidRPr="006D7701" w14:paraId="57A85E26" w14:textId="77777777" w:rsidTr="006337C3">
        <w:trPr>
          <w:trHeight w:val="20"/>
        </w:trPr>
        <w:tc>
          <w:tcPr>
            <w:tcW w:w="2475" w:type="dxa"/>
            <w:hideMark/>
          </w:tcPr>
          <w:p w14:paraId="17230008" w14:textId="77777777" w:rsidR="006D7701" w:rsidRPr="006D7701" w:rsidRDefault="006D7701" w:rsidP="006D7701">
            <w:pPr>
              <w:rPr>
                <w:b/>
                <w:bCs/>
              </w:rPr>
            </w:pPr>
            <w:r w:rsidRPr="006D7701">
              <w:rPr>
                <w:b/>
                <w:bCs/>
              </w:rPr>
              <w:t>Age:</w:t>
            </w:r>
          </w:p>
        </w:tc>
        <w:tc>
          <w:tcPr>
            <w:tcW w:w="2014" w:type="dxa"/>
            <w:hideMark/>
          </w:tcPr>
          <w:p w14:paraId="06D3CC44" w14:textId="534B7A72" w:rsidR="006D7701" w:rsidRPr="006D7701" w:rsidRDefault="006D7701" w:rsidP="006D7701">
            <w:pPr>
              <w:rPr>
                <w:rFonts w:cstheme="minorHAnsi"/>
              </w:rPr>
            </w:pPr>
          </w:p>
        </w:tc>
        <w:tc>
          <w:tcPr>
            <w:tcW w:w="2465" w:type="dxa"/>
            <w:hideMark/>
          </w:tcPr>
          <w:p w14:paraId="0B08DB0E" w14:textId="7D991526" w:rsidR="006D7701" w:rsidRPr="006D7701" w:rsidRDefault="006D7701" w:rsidP="006D7701">
            <w:pPr>
              <w:rPr>
                <w:rFonts w:cstheme="minorHAnsi"/>
              </w:rPr>
            </w:pPr>
          </w:p>
        </w:tc>
        <w:tc>
          <w:tcPr>
            <w:tcW w:w="2606" w:type="dxa"/>
            <w:hideMark/>
          </w:tcPr>
          <w:p w14:paraId="09352A67" w14:textId="77777777" w:rsidR="006D7701" w:rsidRPr="006D7701" w:rsidRDefault="006D7701" w:rsidP="006D7701">
            <w:pPr>
              <w:jc w:val="center"/>
              <w:rPr>
                <w:rFonts w:cstheme="minorHAnsi"/>
              </w:rPr>
            </w:pPr>
          </w:p>
        </w:tc>
      </w:tr>
      <w:tr w:rsidR="006D7701" w:rsidRPr="006D7701" w14:paraId="0766B233" w14:textId="77777777" w:rsidTr="006337C3">
        <w:trPr>
          <w:trHeight w:val="20"/>
        </w:trPr>
        <w:tc>
          <w:tcPr>
            <w:tcW w:w="2475" w:type="dxa"/>
            <w:hideMark/>
          </w:tcPr>
          <w:p w14:paraId="7130CE00" w14:textId="77777777" w:rsidR="006D7701" w:rsidRPr="006D7701" w:rsidRDefault="006D7701" w:rsidP="006D7701">
            <w:pPr>
              <w:rPr>
                <w:rFonts w:cstheme="minorHAnsi"/>
              </w:rPr>
            </w:pPr>
            <w:r w:rsidRPr="006D7701">
              <w:rPr>
                <w:rFonts w:cstheme="minorHAnsi"/>
                <w:kern w:val="24"/>
              </w:rPr>
              <w:t>&lt;15 years</w:t>
            </w:r>
          </w:p>
        </w:tc>
        <w:tc>
          <w:tcPr>
            <w:tcW w:w="2014" w:type="dxa"/>
            <w:vAlign w:val="bottom"/>
            <w:hideMark/>
          </w:tcPr>
          <w:p w14:paraId="6E49C8E9" w14:textId="36D0A6FB" w:rsidR="006D7701" w:rsidRPr="006D7701" w:rsidRDefault="006D7701" w:rsidP="006D7701">
            <w:pPr>
              <w:jc w:val="center"/>
              <w:rPr>
                <w:rFonts w:eastAsia="Calibri" w:cstheme="minorHAnsi"/>
                <w:szCs w:val="24"/>
              </w:rPr>
            </w:pPr>
            <w:r w:rsidRPr="006D7701">
              <w:rPr>
                <w:rFonts w:eastAsiaTheme="minorEastAsia" w:cstheme="minorHAnsi"/>
                <w:kern w:val="24"/>
              </w:rPr>
              <w:t>0</w:t>
            </w:r>
          </w:p>
        </w:tc>
        <w:tc>
          <w:tcPr>
            <w:tcW w:w="2465" w:type="dxa"/>
            <w:vAlign w:val="bottom"/>
            <w:hideMark/>
          </w:tcPr>
          <w:p w14:paraId="6C1AF3D3" w14:textId="654B4CEE" w:rsidR="006D7701" w:rsidRPr="006D7701" w:rsidRDefault="006D7701" w:rsidP="006D7701">
            <w:pPr>
              <w:jc w:val="center"/>
              <w:rPr>
                <w:rFonts w:eastAsia="Calibri" w:cstheme="minorHAnsi"/>
                <w:szCs w:val="24"/>
              </w:rPr>
            </w:pPr>
            <w:r w:rsidRPr="006D7701">
              <w:rPr>
                <w:rFonts w:eastAsiaTheme="minorEastAsia" w:cstheme="minorHAnsi"/>
                <w:kern w:val="24"/>
              </w:rPr>
              <w:t>1</w:t>
            </w:r>
          </w:p>
        </w:tc>
        <w:tc>
          <w:tcPr>
            <w:tcW w:w="2606" w:type="dxa"/>
            <w:vAlign w:val="bottom"/>
            <w:hideMark/>
          </w:tcPr>
          <w:p w14:paraId="271FBB71" w14:textId="08113C05" w:rsidR="006D7701" w:rsidRPr="006D7701" w:rsidRDefault="006D7701" w:rsidP="006D7701">
            <w:pPr>
              <w:jc w:val="center"/>
              <w:rPr>
                <w:rFonts w:cstheme="minorHAnsi"/>
              </w:rPr>
            </w:pPr>
            <w:r w:rsidRPr="006D7701">
              <w:rPr>
                <w:rFonts w:eastAsiaTheme="minorEastAsia" w:cstheme="minorHAnsi"/>
                <w:kern w:val="24"/>
              </w:rPr>
              <w:t>0%</w:t>
            </w:r>
          </w:p>
        </w:tc>
      </w:tr>
      <w:tr w:rsidR="006D7701" w:rsidRPr="006D7701" w14:paraId="091BC633" w14:textId="77777777" w:rsidTr="006337C3">
        <w:trPr>
          <w:trHeight w:val="20"/>
        </w:trPr>
        <w:tc>
          <w:tcPr>
            <w:tcW w:w="2475" w:type="dxa"/>
            <w:hideMark/>
          </w:tcPr>
          <w:p w14:paraId="09CF0155" w14:textId="77777777" w:rsidR="006D7701" w:rsidRPr="006D7701" w:rsidRDefault="006D7701" w:rsidP="006D7701">
            <w:pPr>
              <w:rPr>
                <w:rFonts w:cstheme="minorHAnsi"/>
              </w:rPr>
            </w:pPr>
            <w:r w:rsidRPr="006D7701">
              <w:rPr>
                <w:rFonts w:cstheme="minorHAnsi"/>
                <w:kern w:val="24"/>
              </w:rPr>
              <w:t>15–19 years</w:t>
            </w:r>
          </w:p>
        </w:tc>
        <w:tc>
          <w:tcPr>
            <w:tcW w:w="2014" w:type="dxa"/>
            <w:vAlign w:val="bottom"/>
            <w:hideMark/>
          </w:tcPr>
          <w:p w14:paraId="2F1CC047" w14:textId="41AA28DE" w:rsidR="006D7701" w:rsidRPr="006D7701" w:rsidRDefault="006D7701" w:rsidP="006D7701">
            <w:pPr>
              <w:jc w:val="center"/>
              <w:rPr>
                <w:rFonts w:eastAsia="Calibri" w:cstheme="minorHAnsi"/>
                <w:szCs w:val="24"/>
              </w:rPr>
            </w:pPr>
            <w:r w:rsidRPr="006D7701">
              <w:rPr>
                <w:rFonts w:eastAsiaTheme="minorEastAsia" w:cstheme="minorHAnsi"/>
                <w:kern w:val="24"/>
              </w:rPr>
              <w:t>1</w:t>
            </w:r>
          </w:p>
        </w:tc>
        <w:tc>
          <w:tcPr>
            <w:tcW w:w="2465" w:type="dxa"/>
            <w:vAlign w:val="bottom"/>
            <w:hideMark/>
          </w:tcPr>
          <w:p w14:paraId="1B58FD2B" w14:textId="5667FE42" w:rsidR="006D7701" w:rsidRPr="006D7701" w:rsidRDefault="006D7701" w:rsidP="006D7701">
            <w:pPr>
              <w:jc w:val="center"/>
              <w:rPr>
                <w:rFonts w:eastAsia="Calibri" w:cstheme="minorHAnsi"/>
                <w:szCs w:val="24"/>
              </w:rPr>
            </w:pPr>
            <w:r w:rsidRPr="006D7701">
              <w:rPr>
                <w:rFonts w:eastAsiaTheme="minorEastAsia" w:cstheme="minorHAnsi"/>
                <w:kern w:val="24"/>
              </w:rPr>
              <w:t>36</w:t>
            </w:r>
          </w:p>
        </w:tc>
        <w:tc>
          <w:tcPr>
            <w:tcW w:w="2606" w:type="dxa"/>
            <w:vAlign w:val="bottom"/>
            <w:hideMark/>
          </w:tcPr>
          <w:p w14:paraId="55ED3BCB" w14:textId="73D9ECE3" w:rsidR="006D7701" w:rsidRPr="006D7701" w:rsidRDefault="006D7701" w:rsidP="006D7701">
            <w:pPr>
              <w:jc w:val="center"/>
              <w:rPr>
                <w:rFonts w:cstheme="minorHAnsi"/>
              </w:rPr>
            </w:pPr>
            <w:r w:rsidRPr="006D7701">
              <w:rPr>
                <w:rFonts w:eastAsiaTheme="minorEastAsia" w:cstheme="minorHAnsi"/>
                <w:kern w:val="24"/>
              </w:rPr>
              <w:t>3%</w:t>
            </w:r>
          </w:p>
        </w:tc>
      </w:tr>
      <w:tr w:rsidR="006D7701" w:rsidRPr="006D7701" w14:paraId="64946E6A" w14:textId="77777777" w:rsidTr="006337C3">
        <w:trPr>
          <w:trHeight w:val="20"/>
        </w:trPr>
        <w:tc>
          <w:tcPr>
            <w:tcW w:w="2475" w:type="dxa"/>
            <w:hideMark/>
          </w:tcPr>
          <w:p w14:paraId="098F3D3D" w14:textId="77777777" w:rsidR="006D7701" w:rsidRPr="006D7701" w:rsidRDefault="006D7701" w:rsidP="006D7701">
            <w:pPr>
              <w:rPr>
                <w:rFonts w:cstheme="minorHAnsi"/>
              </w:rPr>
            </w:pPr>
            <w:r w:rsidRPr="006D7701">
              <w:rPr>
                <w:rFonts w:cstheme="minorHAnsi"/>
                <w:kern w:val="24"/>
              </w:rPr>
              <w:t>20–24 years</w:t>
            </w:r>
          </w:p>
        </w:tc>
        <w:tc>
          <w:tcPr>
            <w:tcW w:w="2014" w:type="dxa"/>
            <w:vAlign w:val="bottom"/>
            <w:hideMark/>
          </w:tcPr>
          <w:p w14:paraId="299CBF63" w14:textId="60DECC40" w:rsidR="006D7701" w:rsidRPr="006D7701" w:rsidRDefault="006D7701" w:rsidP="006D7701">
            <w:pPr>
              <w:jc w:val="center"/>
              <w:rPr>
                <w:rFonts w:eastAsia="Calibri" w:cstheme="minorHAnsi"/>
                <w:szCs w:val="24"/>
              </w:rPr>
            </w:pPr>
            <w:r w:rsidRPr="006D7701">
              <w:rPr>
                <w:rFonts w:eastAsiaTheme="minorEastAsia" w:cstheme="minorHAnsi"/>
                <w:kern w:val="24"/>
              </w:rPr>
              <w:t>14</w:t>
            </w:r>
          </w:p>
        </w:tc>
        <w:tc>
          <w:tcPr>
            <w:tcW w:w="2465" w:type="dxa"/>
            <w:vAlign w:val="bottom"/>
            <w:hideMark/>
          </w:tcPr>
          <w:p w14:paraId="024D4E23" w14:textId="07031778" w:rsidR="006D7701" w:rsidRPr="006D7701" w:rsidRDefault="006D7701" w:rsidP="006D7701">
            <w:pPr>
              <w:jc w:val="center"/>
              <w:rPr>
                <w:rFonts w:eastAsia="Calibri" w:cstheme="minorHAnsi"/>
                <w:szCs w:val="24"/>
              </w:rPr>
            </w:pPr>
            <w:r w:rsidRPr="006D7701">
              <w:rPr>
                <w:rFonts w:eastAsiaTheme="minorEastAsia" w:cstheme="minorHAnsi"/>
                <w:kern w:val="24"/>
              </w:rPr>
              <w:t>145</w:t>
            </w:r>
          </w:p>
        </w:tc>
        <w:tc>
          <w:tcPr>
            <w:tcW w:w="2606" w:type="dxa"/>
            <w:vAlign w:val="bottom"/>
            <w:hideMark/>
          </w:tcPr>
          <w:p w14:paraId="319CB9E6" w14:textId="77B66DC4" w:rsidR="006D7701" w:rsidRPr="006D7701" w:rsidRDefault="006D7701" w:rsidP="006D7701">
            <w:pPr>
              <w:jc w:val="center"/>
              <w:rPr>
                <w:rFonts w:cstheme="minorHAnsi"/>
              </w:rPr>
            </w:pPr>
            <w:r w:rsidRPr="006D7701">
              <w:rPr>
                <w:rFonts w:eastAsiaTheme="minorEastAsia" w:cstheme="minorHAnsi"/>
                <w:kern w:val="24"/>
              </w:rPr>
              <w:t>10%</w:t>
            </w:r>
          </w:p>
        </w:tc>
      </w:tr>
      <w:tr w:rsidR="006D7701" w:rsidRPr="006D7701" w14:paraId="0B60EA73" w14:textId="77777777" w:rsidTr="006337C3">
        <w:trPr>
          <w:trHeight w:val="20"/>
        </w:trPr>
        <w:tc>
          <w:tcPr>
            <w:tcW w:w="2475" w:type="dxa"/>
            <w:hideMark/>
          </w:tcPr>
          <w:p w14:paraId="2D5CCBC0" w14:textId="77777777" w:rsidR="006D7701" w:rsidRPr="006D7701" w:rsidRDefault="006D7701" w:rsidP="006D7701">
            <w:pPr>
              <w:rPr>
                <w:rFonts w:cstheme="minorHAnsi"/>
              </w:rPr>
            </w:pPr>
            <w:r w:rsidRPr="006D7701">
              <w:rPr>
                <w:rFonts w:cstheme="minorHAnsi"/>
                <w:kern w:val="24"/>
              </w:rPr>
              <w:t>25–29 years</w:t>
            </w:r>
          </w:p>
        </w:tc>
        <w:tc>
          <w:tcPr>
            <w:tcW w:w="2014" w:type="dxa"/>
            <w:vAlign w:val="bottom"/>
            <w:hideMark/>
          </w:tcPr>
          <w:p w14:paraId="75417F22" w14:textId="4180B46D" w:rsidR="006D7701" w:rsidRPr="006D7701" w:rsidRDefault="006D7701" w:rsidP="006D7701">
            <w:pPr>
              <w:jc w:val="center"/>
              <w:rPr>
                <w:rFonts w:eastAsia="Calibri" w:cstheme="minorHAnsi"/>
                <w:szCs w:val="24"/>
              </w:rPr>
            </w:pPr>
            <w:r w:rsidRPr="006D7701">
              <w:rPr>
                <w:rFonts w:eastAsiaTheme="minorEastAsia" w:cstheme="minorHAnsi"/>
                <w:kern w:val="24"/>
              </w:rPr>
              <w:t>37</w:t>
            </w:r>
          </w:p>
        </w:tc>
        <w:tc>
          <w:tcPr>
            <w:tcW w:w="2465" w:type="dxa"/>
            <w:vAlign w:val="bottom"/>
            <w:hideMark/>
          </w:tcPr>
          <w:p w14:paraId="1BF5CC91" w14:textId="069AB8C5" w:rsidR="006D7701" w:rsidRPr="006D7701" w:rsidRDefault="006D7701" w:rsidP="006D7701">
            <w:pPr>
              <w:jc w:val="center"/>
              <w:rPr>
                <w:rFonts w:eastAsia="Calibri" w:cstheme="minorHAnsi"/>
                <w:szCs w:val="24"/>
              </w:rPr>
            </w:pPr>
            <w:r w:rsidRPr="006D7701">
              <w:rPr>
                <w:rFonts w:eastAsiaTheme="minorEastAsia" w:cstheme="minorHAnsi"/>
                <w:kern w:val="24"/>
              </w:rPr>
              <w:t>260</w:t>
            </w:r>
          </w:p>
        </w:tc>
        <w:tc>
          <w:tcPr>
            <w:tcW w:w="2606" w:type="dxa"/>
            <w:vAlign w:val="bottom"/>
            <w:hideMark/>
          </w:tcPr>
          <w:p w14:paraId="2DBB7414" w14:textId="71A8F395" w:rsidR="006D7701" w:rsidRPr="006D7701" w:rsidRDefault="006D7701" w:rsidP="006D7701">
            <w:pPr>
              <w:jc w:val="center"/>
              <w:rPr>
                <w:rFonts w:cstheme="minorHAnsi"/>
              </w:rPr>
            </w:pPr>
            <w:r w:rsidRPr="006D7701">
              <w:rPr>
                <w:rFonts w:eastAsiaTheme="minorEastAsia" w:cstheme="minorHAnsi"/>
                <w:kern w:val="24"/>
              </w:rPr>
              <w:t>14%</w:t>
            </w:r>
          </w:p>
        </w:tc>
      </w:tr>
      <w:tr w:rsidR="006D7701" w:rsidRPr="006D7701" w14:paraId="17EBE72C" w14:textId="77777777" w:rsidTr="006337C3">
        <w:trPr>
          <w:trHeight w:val="20"/>
        </w:trPr>
        <w:tc>
          <w:tcPr>
            <w:tcW w:w="2475" w:type="dxa"/>
            <w:hideMark/>
          </w:tcPr>
          <w:p w14:paraId="200F06AF" w14:textId="77777777" w:rsidR="006D7701" w:rsidRPr="006D7701" w:rsidRDefault="006D7701" w:rsidP="006D7701">
            <w:pPr>
              <w:rPr>
                <w:rFonts w:cstheme="minorHAnsi"/>
              </w:rPr>
            </w:pPr>
            <w:r w:rsidRPr="006D7701">
              <w:rPr>
                <w:rFonts w:cstheme="minorHAnsi"/>
                <w:kern w:val="24"/>
              </w:rPr>
              <w:t>30–39 years</w:t>
            </w:r>
          </w:p>
        </w:tc>
        <w:tc>
          <w:tcPr>
            <w:tcW w:w="2014" w:type="dxa"/>
            <w:vAlign w:val="bottom"/>
            <w:hideMark/>
          </w:tcPr>
          <w:p w14:paraId="12749831" w14:textId="78334321" w:rsidR="006D7701" w:rsidRPr="006D7701" w:rsidRDefault="006D7701" w:rsidP="006D7701">
            <w:pPr>
              <w:jc w:val="center"/>
              <w:rPr>
                <w:rFonts w:eastAsia="Calibri" w:cstheme="minorHAnsi"/>
                <w:szCs w:val="24"/>
              </w:rPr>
            </w:pPr>
            <w:r w:rsidRPr="006D7701">
              <w:rPr>
                <w:rFonts w:eastAsiaTheme="minorEastAsia" w:cstheme="minorHAnsi"/>
                <w:kern w:val="24"/>
              </w:rPr>
              <w:t>126</w:t>
            </w:r>
          </w:p>
        </w:tc>
        <w:tc>
          <w:tcPr>
            <w:tcW w:w="2465" w:type="dxa"/>
            <w:vAlign w:val="bottom"/>
            <w:hideMark/>
          </w:tcPr>
          <w:p w14:paraId="6C9DB28E" w14:textId="4C591B4B" w:rsidR="006D7701" w:rsidRPr="006D7701" w:rsidRDefault="006D7701" w:rsidP="006D7701">
            <w:pPr>
              <w:jc w:val="center"/>
              <w:rPr>
                <w:rFonts w:eastAsia="Calibri" w:cstheme="minorHAnsi"/>
                <w:szCs w:val="24"/>
              </w:rPr>
            </w:pPr>
            <w:r w:rsidRPr="006D7701">
              <w:rPr>
                <w:rFonts w:eastAsiaTheme="minorEastAsia" w:cstheme="minorHAnsi"/>
                <w:kern w:val="24"/>
              </w:rPr>
              <w:t>471</w:t>
            </w:r>
          </w:p>
        </w:tc>
        <w:tc>
          <w:tcPr>
            <w:tcW w:w="2606" w:type="dxa"/>
            <w:vAlign w:val="bottom"/>
            <w:hideMark/>
          </w:tcPr>
          <w:p w14:paraId="36C753F0" w14:textId="6810F54A" w:rsidR="006D7701" w:rsidRPr="006D7701" w:rsidRDefault="006D7701" w:rsidP="006D7701">
            <w:pPr>
              <w:jc w:val="center"/>
              <w:rPr>
                <w:rFonts w:cstheme="minorHAnsi"/>
              </w:rPr>
            </w:pPr>
            <w:r w:rsidRPr="006D7701">
              <w:rPr>
                <w:rFonts w:eastAsiaTheme="minorEastAsia" w:cstheme="minorHAnsi"/>
                <w:kern w:val="24"/>
              </w:rPr>
              <w:t>27%</w:t>
            </w:r>
          </w:p>
        </w:tc>
      </w:tr>
      <w:tr w:rsidR="006D7701" w:rsidRPr="006D7701" w14:paraId="7CF7A110" w14:textId="77777777" w:rsidTr="006337C3">
        <w:trPr>
          <w:trHeight w:val="20"/>
        </w:trPr>
        <w:tc>
          <w:tcPr>
            <w:tcW w:w="2475" w:type="dxa"/>
            <w:hideMark/>
          </w:tcPr>
          <w:p w14:paraId="50103EC7" w14:textId="77777777" w:rsidR="006D7701" w:rsidRPr="006D7701" w:rsidRDefault="006D7701" w:rsidP="006D7701">
            <w:pPr>
              <w:rPr>
                <w:rFonts w:cstheme="minorHAnsi"/>
              </w:rPr>
            </w:pPr>
            <w:r w:rsidRPr="006D7701">
              <w:rPr>
                <w:rFonts w:cstheme="minorHAnsi"/>
                <w:kern w:val="24"/>
              </w:rPr>
              <w:t>40–49 years</w:t>
            </w:r>
          </w:p>
        </w:tc>
        <w:tc>
          <w:tcPr>
            <w:tcW w:w="2014" w:type="dxa"/>
            <w:vAlign w:val="bottom"/>
            <w:hideMark/>
          </w:tcPr>
          <w:p w14:paraId="3D2BA3A7" w14:textId="07FF1D1D" w:rsidR="006D7701" w:rsidRPr="006D7701" w:rsidRDefault="006D7701" w:rsidP="006D7701">
            <w:pPr>
              <w:jc w:val="center"/>
              <w:rPr>
                <w:rFonts w:eastAsia="Calibri" w:cstheme="minorHAnsi"/>
                <w:szCs w:val="24"/>
              </w:rPr>
            </w:pPr>
            <w:r w:rsidRPr="006D7701">
              <w:rPr>
                <w:rFonts w:eastAsiaTheme="minorEastAsia" w:cstheme="minorHAnsi"/>
                <w:kern w:val="24"/>
              </w:rPr>
              <w:t>76</w:t>
            </w:r>
          </w:p>
        </w:tc>
        <w:tc>
          <w:tcPr>
            <w:tcW w:w="2465" w:type="dxa"/>
            <w:vAlign w:val="bottom"/>
            <w:hideMark/>
          </w:tcPr>
          <w:p w14:paraId="14739CFA" w14:textId="3953360F" w:rsidR="006D7701" w:rsidRPr="006D7701" w:rsidRDefault="006D7701" w:rsidP="006D7701">
            <w:pPr>
              <w:jc w:val="center"/>
              <w:rPr>
                <w:rFonts w:eastAsia="Calibri" w:cstheme="minorHAnsi"/>
                <w:szCs w:val="24"/>
              </w:rPr>
            </w:pPr>
            <w:r w:rsidRPr="006D7701">
              <w:rPr>
                <w:rFonts w:eastAsiaTheme="minorEastAsia" w:cstheme="minorHAnsi"/>
                <w:kern w:val="24"/>
              </w:rPr>
              <w:t>237</w:t>
            </w:r>
          </w:p>
        </w:tc>
        <w:tc>
          <w:tcPr>
            <w:tcW w:w="2606" w:type="dxa"/>
            <w:vAlign w:val="bottom"/>
            <w:hideMark/>
          </w:tcPr>
          <w:p w14:paraId="6A634269" w14:textId="65C0031C" w:rsidR="006D7701" w:rsidRPr="006D7701" w:rsidRDefault="006D7701" w:rsidP="006D7701">
            <w:pPr>
              <w:jc w:val="center"/>
              <w:rPr>
                <w:rFonts w:cstheme="minorHAnsi"/>
              </w:rPr>
            </w:pPr>
            <w:r w:rsidRPr="006D7701">
              <w:rPr>
                <w:rFonts w:eastAsiaTheme="minorEastAsia" w:cstheme="minorHAnsi"/>
                <w:kern w:val="24"/>
              </w:rPr>
              <w:t>32%</w:t>
            </w:r>
          </w:p>
        </w:tc>
      </w:tr>
      <w:tr w:rsidR="006D7701" w:rsidRPr="006D7701" w14:paraId="373D8860" w14:textId="77777777" w:rsidTr="006337C3">
        <w:trPr>
          <w:trHeight w:val="20"/>
        </w:trPr>
        <w:tc>
          <w:tcPr>
            <w:tcW w:w="2475" w:type="dxa"/>
          </w:tcPr>
          <w:p w14:paraId="42EAEABC" w14:textId="77777777" w:rsidR="006D7701" w:rsidRPr="006D7701" w:rsidRDefault="006D7701" w:rsidP="006D7701">
            <w:pPr>
              <w:rPr>
                <w:rFonts w:cstheme="minorHAnsi"/>
              </w:rPr>
            </w:pPr>
            <w:r w:rsidRPr="006D7701">
              <w:rPr>
                <w:rFonts w:cstheme="minorHAnsi"/>
                <w:kern w:val="24"/>
              </w:rPr>
              <w:t>50+ years</w:t>
            </w:r>
          </w:p>
        </w:tc>
        <w:tc>
          <w:tcPr>
            <w:tcW w:w="2014" w:type="dxa"/>
            <w:vAlign w:val="bottom"/>
          </w:tcPr>
          <w:p w14:paraId="21D87BE7" w14:textId="5C252E92" w:rsidR="006D7701" w:rsidRPr="006D7701" w:rsidRDefault="006D7701" w:rsidP="006D7701">
            <w:pPr>
              <w:jc w:val="center"/>
              <w:rPr>
                <w:rFonts w:eastAsia="Calibri" w:cstheme="minorHAnsi"/>
                <w:szCs w:val="24"/>
              </w:rPr>
            </w:pPr>
            <w:r w:rsidRPr="006D7701">
              <w:rPr>
                <w:rFonts w:eastAsiaTheme="minorEastAsia" w:cstheme="minorHAnsi"/>
                <w:kern w:val="24"/>
              </w:rPr>
              <w:t>128</w:t>
            </w:r>
          </w:p>
        </w:tc>
        <w:tc>
          <w:tcPr>
            <w:tcW w:w="2465" w:type="dxa"/>
            <w:vAlign w:val="bottom"/>
          </w:tcPr>
          <w:p w14:paraId="2248802B" w14:textId="3CBD3757" w:rsidR="006D7701" w:rsidRPr="006D7701" w:rsidRDefault="006D7701" w:rsidP="006D7701">
            <w:pPr>
              <w:jc w:val="center"/>
              <w:rPr>
                <w:rFonts w:eastAsia="Calibri" w:cstheme="minorHAnsi"/>
                <w:szCs w:val="24"/>
              </w:rPr>
            </w:pPr>
            <w:r w:rsidRPr="006D7701">
              <w:rPr>
                <w:rFonts w:eastAsiaTheme="minorEastAsia" w:cstheme="minorHAnsi"/>
                <w:kern w:val="24"/>
              </w:rPr>
              <w:t>299</w:t>
            </w:r>
          </w:p>
        </w:tc>
        <w:tc>
          <w:tcPr>
            <w:tcW w:w="2606" w:type="dxa"/>
            <w:vAlign w:val="bottom"/>
          </w:tcPr>
          <w:p w14:paraId="22ABE359" w14:textId="37EF3B3D" w:rsidR="006D7701" w:rsidRPr="006D7701" w:rsidRDefault="006D7701" w:rsidP="006D7701">
            <w:pPr>
              <w:jc w:val="center"/>
              <w:rPr>
                <w:rFonts w:cstheme="minorHAnsi"/>
              </w:rPr>
            </w:pPr>
            <w:r w:rsidRPr="006D7701">
              <w:rPr>
                <w:rFonts w:eastAsiaTheme="minorEastAsia" w:cstheme="minorHAnsi"/>
                <w:kern w:val="24"/>
              </w:rPr>
              <w:t>43%</w:t>
            </w:r>
          </w:p>
        </w:tc>
      </w:tr>
    </w:tbl>
    <w:p w14:paraId="0F2C981F" w14:textId="1E76BFDF" w:rsidR="007E659D" w:rsidRPr="006D7701" w:rsidRDefault="007E659D" w:rsidP="007E659D">
      <w:pPr>
        <w:spacing w:after="120"/>
        <w:rPr>
          <w:sz w:val="20"/>
          <w:szCs w:val="20"/>
        </w:rPr>
      </w:pPr>
      <w:r w:rsidRPr="006D7701">
        <w:rPr>
          <w:sz w:val="20"/>
          <w:szCs w:val="20"/>
        </w:rPr>
        <w:t xml:space="preserve">Data Source: Bureau of Infectious Disease and Laboratory Sciences, data are </w:t>
      </w:r>
      <w:r w:rsidR="009F7C6D" w:rsidRPr="006D7701">
        <w:rPr>
          <w:sz w:val="20"/>
          <w:szCs w:val="20"/>
        </w:rPr>
        <w:t>current as of 7/22/2024</w:t>
      </w:r>
      <w:r w:rsidRPr="006D7701">
        <w:rPr>
          <w:sz w:val="20"/>
          <w:szCs w:val="20"/>
        </w:rPr>
        <w:t xml:space="preserve"> and subject to change</w:t>
      </w:r>
      <w:r w:rsidR="00B1580A" w:rsidRPr="006D7701">
        <w:rPr>
          <w:sz w:val="20"/>
          <w:szCs w:val="20"/>
        </w:rPr>
        <w:t>.</w:t>
      </w:r>
    </w:p>
    <w:p w14:paraId="3425FFB0" w14:textId="3E3FBE46" w:rsidR="007E659D" w:rsidRPr="003F75CA" w:rsidRDefault="193A94DA" w:rsidP="00AA6657">
      <w:pPr>
        <w:pStyle w:val="spaced6"/>
      </w:pPr>
      <w:r w:rsidRPr="003F75CA">
        <w:t>In 202</w:t>
      </w:r>
      <w:r w:rsidR="006D7701" w:rsidRPr="003F75CA">
        <w:t>3</w:t>
      </w:r>
      <w:r w:rsidRPr="003F75CA">
        <w:t>,</w:t>
      </w:r>
      <w:r w:rsidR="007E659D" w:rsidRPr="003F75CA">
        <w:rPr>
          <w:rStyle w:val="FootnoteReference"/>
        </w:rPr>
        <w:footnoteReference w:id="85"/>
      </w:r>
      <w:r w:rsidRPr="003F75CA">
        <w:t xml:space="preserve"> </w:t>
      </w:r>
      <w:r w:rsidR="003F75CA" w:rsidRPr="003F75CA">
        <w:t xml:space="preserve">among 1,449 reported cases of </w:t>
      </w:r>
      <w:r w:rsidR="00185E11">
        <w:t xml:space="preserve">confirmed and probable </w:t>
      </w:r>
      <w:r w:rsidR="003F75CA" w:rsidRPr="003F75CA">
        <w:t>infectious syphilis, 26% (N=382/1,449) were co-infected with HIV</w:t>
      </w:r>
      <w:r w:rsidRPr="003F75CA">
        <w:t>.</w:t>
      </w:r>
    </w:p>
    <w:p w14:paraId="5C7660CE" w14:textId="2C87A1EF" w:rsidR="002F63B3" w:rsidRPr="00444501" w:rsidRDefault="002F63B3" w:rsidP="002F63B3">
      <w:pPr>
        <w:pStyle w:val="spaced6"/>
      </w:pPr>
      <w:r w:rsidRPr="002F63B3">
        <w:t xml:space="preserve">Among </w:t>
      </w:r>
      <w:r w:rsidR="00185E11">
        <w:t xml:space="preserve">confirmed and probable </w:t>
      </w:r>
      <w:r w:rsidRPr="002F63B3">
        <w:t>infectious syphilis cases reported in 2023, proportions of HIV co-infection</w:t>
      </w:r>
      <w:r w:rsidR="00AB1B3C">
        <w:t xml:space="preserve"> higher than the total proportion (26%) were </w:t>
      </w:r>
      <w:r w:rsidRPr="002F63B3">
        <w:t>observed in transgender individuals,</w:t>
      </w:r>
      <w:r w:rsidRPr="14217D49">
        <w:rPr>
          <w:rStyle w:val="FootnoteReference"/>
        </w:rPr>
        <w:footnoteReference w:id="86"/>
      </w:r>
      <w:r w:rsidRPr="002F63B3">
        <w:t xml:space="preserve"> Black (non-Hispanic) and White (non-Hispanic) individuals, and individuals aged 40 years and above. </w:t>
      </w:r>
    </w:p>
    <w:p w14:paraId="6BB9CA70" w14:textId="2BC85D1B" w:rsidR="00854B5E" w:rsidRPr="00444501" w:rsidRDefault="002F63B3" w:rsidP="002F63B3">
      <w:pPr>
        <w:pStyle w:val="spaced6"/>
      </w:pPr>
      <w:r w:rsidRPr="00444501">
        <w:lastRenderedPageBreak/>
        <w:t xml:space="preserve">Seventy-two percent (N=850/1,180) of </w:t>
      </w:r>
      <w:r w:rsidR="00185E11">
        <w:t xml:space="preserve">confirmed and probable </w:t>
      </w:r>
      <w:r w:rsidRPr="00444501">
        <w:t>infectious syphilis cases among males reported same sex contact. Of those who reported male-to-male sex, 35% (N=296/850) were co-infected with HIV, compared to 18% (N=58/330) of males with unknown risk</w:t>
      </w:r>
      <w:r w:rsidR="00AA6657" w:rsidRPr="00444501">
        <w:t>.</w:t>
      </w:r>
      <w:r w:rsidR="00AA6657" w:rsidRPr="00444501">
        <w:rPr>
          <w:rStyle w:val="FootnoteReference"/>
        </w:rPr>
        <w:footnoteReference w:id="87"/>
      </w:r>
      <w:r w:rsidR="007E659D" w:rsidRPr="00444501">
        <w:br w:type="page"/>
      </w:r>
    </w:p>
    <w:p w14:paraId="19DD1B1A" w14:textId="7920B8A9" w:rsidR="007E659D" w:rsidRPr="002F63B3" w:rsidRDefault="00854B5E" w:rsidP="00854B5E">
      <w:pPr>
        <w:pStyle w:val="Heading2"/>
      </w:pPr>
      <w:bookmarkStart w:id="38" w:name="_Toc265212173"/>
      <w:r>
        <w:lastRenderedPageBreak/>
        <w:t>HIV/GONORRHEA</w:t>
      </w:r>
      <w:bookmarkEnd w:id="38"/>
    </w:p>
    <w:p w14:paraId="53218C21" w14:textId="658D28A3" w:rsidR="00854B5E" w:rsidRPr="002F63B3" w:rsidRDefault="00854B5E" w:rsidP="00854B5E">
      <w:r w:rsidRPr="533627D5">
        <w:rPr>
          <w:b/>
        </w:rPr>
        <w:t xml:space="preserve">Table 2. </w:t>
      </w:r>
      <w:r>
        <w:t>Percentage of 202</w:t>
      </w:r>
      <w:r w:rsidR="002F63B3">
        <w:t>3</w:t>
      </w:r>
      <w:r>
        <w:t xml:space="preserve"> confirmed gonorrhea cases ever co-infected with HIV by gender, race/ethnicity</w:t>
      </w:r>
      <w:r w:rsidR="2C6DFA14">
        <w:t>, and age</w:t>
      </w:r>
    </w:p>
    <w:tbl>
      <w:tblPr>
        <w:tblStyle w:val="TableGrid"/>
        <w:tblW w:w="9560" w:type="dxa"/>
        <w:tblLook w:val="0420" w:firstRow="1" w:lastRow="0" w:firstColumn="0" w:lastColumn="0" w:noHBand="0" w:noVBand="1"/>
        <w:tblCaption w:val="Percentage of 2023 laboratory-confirmed gonorrhea cases ever co-infected with HIV by gender, race/ethnicity, and age"/>
        <w:tblDescription w:val="The table displays the number of gonorrhea cases the number of HIV/gonorrhea co-infections and the percentage of gonorrhea cases co-infected with HIV by gender, race/ethnicity, and age for the most recent year.&#10;"/>
      </w:tblPr>
      <w:tblGrid>
        <w:gridCol w:w="2550"/>
        <w:gridCol w:w="1941"/>
        <w:gridCol w:w="2466"/>
        <w:gridCol w:w="2603"/>
      </w:tblGrid>
      <w:tr w:rsidR="002F63B3" w:rsidRPr="002F63B3" w14:paraId="5859F9E0" w14:textId="77777777" w:rsidTr="003B0BB0">
        <w:trPr>
          <w:trHeight w:val="715"/>
        </w:trPr>
        <w:tc>
          <w:tcPr>
            <w:tcW w:w="2550" w:type="dxa"/>
            <w:hideMark/>
          </w:tcPr>
          <w:p w14:paraId="56E3FBCF" w14:textId="77777777" w:rsidR="00854B5E" w:rsidRPr="002F63B3" w:rsidRDefault="00854B5E" w:rsidP="00854B5E"/>
        </w:tc>
        <w:tc>
          <w:tcPr>
            <w:tcW w:w="1941" w:type="dxa"/>
            <w:hideMark/>
          </w:tcPr>
          <w:p w14:paraId="7B5D097C" w14:textId="77777777" w:rsidR="00854B5E" w:rsidRPr="002F63B3" w:rsidRDefault="1719D1B4" w:rsidP="38A4F72D">
            <w:pPr>
              <w:pStyle w:val="NormalWeb"/>
              <w:spacing w:before="0" w:beforeAutospacing="0" w:after="0" w:afterAutospacing="0" w:line="256" w:lineRule="auto"/>
              <w:jc w:val="center"/>
              <w:rPr>
                <w:rFonts w:asciiTheme="minorHAnsi" w:hAnsiTheme="minorHAnsi" w:cstheme="minorBidi"/>
              </w:rPr>
            </w:pPr>
            <w:r w:rsidRPr="002F63B3">
              <w:rPr>
                <w:rFonts w:asciiTheme="minorHAnsi" w:eastAsia="Calibri" w:hAnsiTheme="minorHAnsi" w:cstheme="minorBidi"/>
                <w:b/>
                <w:bCs/>
              </w:rPr>
              <w:t xml:space="preserve">HIV/Gonorrhea </w:t>
            </w:r>
          </w:p>
          <w:p w14:paraId="03400B58" w14:textId="7E7B5D7B" w:rsidR="00854B5E" w:rsidRPr="002F63B3" w:rsidRDefault="51134479" w:rsidP="38A4F72D">
            <w:pPr>
              <w:jc w:val="center"/>
            </w:pPr>
            <w:r w:rsidRPr="002F63B3">
              <w:rPr>
                <w:rFonts w:eastAsia="Calibri"/>
                <w:b/>
                <w:bCs/>
              </w:rPr>
              <w:t>Co-infections</w:t>
            </w:r>
            <w:r w:rsidR="00854B5E" w:rsidRPr="002F63B3">
              <w:rPr>
                <w:rStyle w:val="FootnoteReference"/>
                <w:rFonts w:eastAsia="Calibri"/>
                <w:b/>
                <w:bCs/>
              </w:rPr>
              <w:footnoteReference w:id="88"/>
            </w:r>
            <w:r w:rsidRPr="002F63B3">
              <w:rPr>
                <w:rFonts w:eastAsia="Calibri"/>
                <w:b/>
                <w:bCs/>
              </w:rPr>
              <w:t xml:space="preserve"> </w:t>
            </w:r>
          </w:p>
        </w:tc>
        <w:tc>
          <w:tcPr>
            <w:tcW w:w="2466" w:type="dxa"/>
            <w:hideMark/>
          </w:tcPr>
          <w:p w14:paraId="570C10AA" w14:textId="5CCCA08B" w:rsidR="00854B5E" w:rsidRPr="002F63B3" w:rsidRDefault="67EA15CD" w:rsidP="38A4F72D">
            <w:pPr>
              <w:jc w:val="center"/>
              <w:rPr>
                <w:rStyle w:val="FootnoteReference"/>
                <w:rFonts w:eastAsia="Calibri"/>
                <w:b/>
                <w:bCs/>
              </w:rPr>
            </w:pPr>
            <w:r w:rsidRPr="002F63B3">
              <w:rPr>
                <w:rFonts w:eastAsia="Calibri"/>
                <w:b/>
                <w:bCs/>
              </w:rPr>
              <w:t xml:space="preserve"> Gonorrhea Cases</w:t>
            </w:r>
          </w:p>
        </w:tc>
        <w:tc>
          <w:tcPr>
            <w:tcW w:w="2603" w:type="dxa"/>
            <w:hideMark/>
          </w:tcPr>
          <w:p w14:paraId="04E82181" w14:textId="7D8EEF7F" w:rsidR="00854B5E" w:rsidRPr="002F63B3" w:rsidRDefault="00854B5E" w:rsidP="00854B5E">
            <w:pPr>
              <w:jc w:val="center"/>
              <w:rPr>
                <w:rFonts w:cstheme="minorHAnsi"/>
                <w:szCs w:val="24"/>
              </w:rPr>
            </w:pPr>
            <w:r w:rsidRPr="002F63B3">
              <w:rPr>
                <w:rFonts w:cstheme="minorHAnsi"/>
                <w:b/>
                <w:bCs/>
                <w:kern w:val="24"/>
                <w:szCs w:val="24"/>
              </w:rPr>
              <w:t>% of Gonorrhea Cases Co-infected with HIV</w:t>
            </w:r>
          </w:p>
        </w:tc>
      </w:tr>
      <w:tr w:rsidR="002F63B3" w:rsidRPr="002F63B3" w14:paraId="17EE8E88" w14:textId="77777777" w:rsidTr="003B0BB0">
        <w:trPr>
          <w:trHeight w:val="300"/>
        </w:trPr>
        <w:tc>
          <w:tcPr>
            <w:tcW w:w="2550" w:type="dxa"/>
            <w:hideMark/>
          </w:tcPr>
          <w:p w14:paraId="2FC58380" w14:textId="340041F9" w:rsidR="002F63B3" w:rsidRPr="002F63B3" w:rsidRDefault="002F63B3" w:rsidP="002F63B3">
            <w:pPr>
              <w:rPr>
                <w:b/>
                <w:bCs/>
              </w:rPr>
            </w:pPr>
            <w:r w:rsidRPr="002F63B3">
              <w:rPr>
                <w:b/>
                <w:bCs/>
              </w:rPr>
              <w:t>Total:</w:t>
            </w:r>
          </w:p>
        </w:tc>
        <w:tc>
          <w:tcPr>
            <w:tcW w:w="1941" w:type="dxa"/>
            <w:hideMark/>
          </w:tcPr>
          <w:p w14:paraId="44A83592" w14:textId="125D46D3" w:rsidR="002F63B3" w:rsidRPr="002F63B3" w:rsidRDefault="002F63B3" w:rsidP="002F63B3">
            <w:pPr>
              <w:jc w:val="center"/>
              <w:rPr>
                <w:rFonts w:cstheme="minorHAnsi"/>
              </w:rPr>
            </w:pPr>
            <w:r w:rsidRPr="002F63B3">
              <w:rPr>
                <w:rFonts w:eastAsia="Calibri" w:cstheme="minorHAnsi"/>
                <w:b/>
                <w:bCs/>
                <w:kern w:val="24"/>
              </w:rPr>
              <w:t>711</w:t>
            </w:r>
          </w:p>
        </w:tc>
        <w:tc>
          <w:tcPr>
            <w:tcW w:w="2466" w:type="dxa"/>
            <w:hideMark/>
          </w:tcPr>
          <w:p w14:paraId="341D856A" w14:textId="101385BC" w:rsidR="002F63B3" w:rsidRPr="002F63B3" w:rsidRDefault="002F63B3" w:rsidP="002F63B3">
            <w:pPr>
              <w:jc w:val="center"/>
              <w:rPr>
                <w:rFonts w:cstheme="minorHAnsi"/>
              </w:rPr>
            </w:pPr>
            <w:r w:rsidRPr="002F63B3">
              <w:rPr>
                <w:rFonts w:eastAsia="Calibri" w:cstheme="minorHAnsi"/>
                <w:b/>
                <w:bCs/>
                <w:kern w:val="24"/>
              </w:rPr>
              <w:t>9,779</w:t>
            </w:r>
          </w:p>
        </w:tc>
        <w:tc>
          <w:tcPr>
            <w:tcW w:w="2603" w:type="dxa"/>
            <w:hideMark/>
          </w:tcPr>
          <w:p w14:paraId="64849B71" w14:textId="4BF2C100" w:rsidR="002F63B3" w:rsidRPr="002F63B3" w:rsidRDefault="002F63B3" w:rsidP="002F63B3">
            <w:pPr>
              <w:jc w:val="center"/>
              <w:rPr>
                <w:rFonts w:cstheme="minorHAnsi"/>
              </w:rPr>
            </w:pPr>
            <w:r w:rsidRPr="002F63B3">
              <w:rPr>
                <w:rFonts w:eastAsia="Calibri" w:cstheme="minorHAnsi"/>
                <w:b/>
                <w:bCs/>
                <w:kern w:val="24"/>
              </w:rPr>
              <w:t>7%</w:t>
            </w:r>
          </w:p>
        </w:tc>
      </w:tr>
      <w:tr w:rsidR="002F63B3" w:rsidRPr="002F63B3" w14:paraId="37A5ADBC" w14:textId="77777777" w:rsidTr="003B0BB0">
        <w:trPr>
          <w:trHeight w:val="300"/>
        </w:trPr>
        <w:tc>
          <w:tcPr>
            <w:tcW w:w="2550" w:type="dxa"/>
            <w:hideMark/>
          </w:tcPr>
          <w:p w14:paraId="0ED3E011" w14:textId="77777777" w:rsidR="00854B5E" w:rsidRPr="002F63B3" w:rsidRDefault="00854B5E" w:rsidP="00854B5E">
            <w:r w:rsidRPr="002F63B3">
              <w:rPr>
                <w:b/>
                <w:bCs/>
              </w:rPr>
              <w:t>Gender:</w:t>
            </w:r>
          </w:p>
        </w:tc>
        <w:tc>
          <w:tcPr>
            <w:tcW w:w="1941" w:type="dxa"/>
            <w:hideMark/>
          </w:tcPr>
          <w:p w14:paraId="7147AFE9" w14:textId="77777777" w:rsidR="00854B5E" w:rsidRPr="002F63B3" w:rsidRDefault="00854B5E" w:rsidP="00854B5E">
            <w:pPr>
              <w:jc w:val="center"/>
              <w:rPr>
                <w:rFonts w:cstheme="minorHAnsi"/>
                <w:szCs w:val="24"/>
              </w:rPr>
            </w:pPr>
          </w:p>
        </w:tc>
        <w:tc>
          <w:tcPr>
            <w:tcW w:w="2466" w:type="dxa"/>
            <w:hideMark/>
          </w:tcPr>
          <w:p w14:paraId="66345F46" w14:textId="77777777" w:rsidR="00854B5E" w:rsidRPr="002F63B3" w:rsidRDefault="00854B5E" w:rsidP="00854B5E">
            <w:pPr>
              <w:jc w:val="center"/>
              <w:rPr>
                <w:rFonts w:cstheme="minorHAnsi"/>
                <w:szCs w:val="24"/>
              </w:rPr>
            </w:pPr>
          </w:p>
        </w:tc>
        <w:tc>
          <w:tcPr>
            <w:tcW w:w="2603" w:type="dxa"/>
            <w:hideMark/>
          </w:tcPr>
          <w:p w14:paraId="0237F459" w14:textId="77777777" w:rsidR="00854B5E" w:rsidRPr="002F63B3" w:rsidRDefault="00854B5E" w:rsidP="00854B5E">
            <w:pPr>
              <w:jc w:val="center"/>
              <w:rPr>
                <w:rFonts w:cstheme="minorHAnsi"/>
                <w:szCs w:val="24"/>
              </w:rPr>
            </w:pPr>
          </w:p>
        </w:tc>
      </w:tr>
      <w:tr w:rsidR="002F63B3" w:rsidRPr="002F63B3" w14:paraId="6B31CCFB" w14:textId="77777777" w:rsidTr="003B0BB0">
        <w:trPr>
          <w:trHeight w:val="343"/>
        </w:trPr>
        <w:tc>
          <w:tcPr>
            <w:tcW w:w="2550" w:type="dxa"/>
            <w:hideMark/>
          </w:tcPr>
          <w:p w14:paraId="6A06D000" w14:textId="77777777" w:rsidR="002F63B3" w:rsidRPr="002F63B3" w:rsidRDefault="002F63B3" w:rsidP="002F63B3">
            <w:r w:rsidRPr="002F63B3">
              <w:t>Male</w:t>
            </w:r>
          </w:p>
        </w:tc>
        <w:tc>
          <w:tcPr>
            <w:tcW w:w="1941" w:type="dxa"/>
            <w:vAlign w:val="bottom"/>
            <w:hideMark/>
          </w:tcPr>
          <w:p w14:paraId="32F5F62F" w14:textId="5933F9BF" w:rsidR="002F63B3" w:rsidRPr="002F63B3" w:rsidRDefault="002F63B3" w:rsidP="002F63B3">
            <w:pPr>
              <w:jc w:val="center"/>
              <w:rPr>
                <w:rFonts w:eastAsia="Calibri" w:cstheme="minorHAnsi"/>
                <w:szCs w:val="24"/>
              </w:rPr>
            </w:pPr>
            <w:r w:rsidRPr="002F63B3">
              <w:rPr>
                <w:rFonts w:cstheme="minorHAnsi"/>
                <w:kern w:val="24"/>
              </w:rPr>
              <w:t xml:space="preserve">488 </w:t>
            </w:r>
          </w:p>
        </w:tc>
        <w:tc>
          <w:tcPr>
            <w:tcW w:w="2466" w:type="dxa"/>
            <w:vAlign w:val="bottom"/>
            <w:hideMark/>
          </w:tcPr>
          <w:p w14:paraId="63B64CCE" w14:textId="5380390E" w:rsidR="002F63B3" w:rsidRPr="002F63B3" w:rsidRDefault="002F63B3" w:rsidP="002F63B3">
            <w:pPr>
              <w:jc w:val="center"/>
              <w:rPr>
                <w:rFonts w:eastAsia="Calibri" w:cstheme="minorHAnsi"/>
                <w:szCs w:val="24"/>
              </w:rPr>
            </w:pPr>
            <w:r w:rsidRPr="002F63B3">
              <w:rPr>
                <w:rFonts w:cstheme="minorHAnsi"/>
                <w:kern w:val="24"/>
              </w:rPr>
              <w:t xml:space="preserve">6,662 </w:t>
            </w:r>
          </w:p>
        </w:tc>
        <w:tc>
          <w:tcPr>
            <w:tcW w:w="2603" w:type="dxa"/>
            <w:vAlign w:val="bottom"/>
            <w:hideMark/>
          </w:tcPr>
          <w:p w14:paraId="78B5A2C1" w14:textId="6C25F469" w:rsidR="002F63B3" w:rsidRPr="002F63B3" w:rsidRDefault="002F63B3" w:rsidP="002F63B3">
            <w:pPr>
              <w:jc w:val="center"/>
              <w:rPr>
                <w:rFonts w:cstheme="minorHAnsi"/>
                <w:szCs w:val="24"/>
              </w:rPr>
            </w:pPr>
            <w:r w:rsidRPr="002F63B3">
              <w:rPr>
                <w:rFonts w:cstheme="minorHAnsi"/>
                <w:kern w:val="24"/>
              </w:rPr>
              <w:t>7%</w:t>
            </w:r>
          </w:p>
        </w:tc>
      </w:tr>
      <w:tr w:rsidR="002F63B3" w:rsidRPr="002F63B3" w14:paraId="214206C3" w14:textId="77777777" w:rsidTr="003B0BB0">
        <w:trPr>
          <w:trHeight w:val="343"/>
        </w:trPr>
        <w:tc>
          <w:tcPr>
            <w:tcW w:w="2550" w:type="dxa"/>
            <w:hideMark/>
          </w:tcPr>
          <w:p w14:paraId="7091B796" w14:textId="77777777" w:rsidR="002F63B3" w:rsidRPr="002F63B3" w:rsidRDefault="002F63B3" w:rsidP="002F63B3">
            <w:r w:rsidRPr="002F63B3">
              <w:t>Female</w:t>
            </w:r>
          </w:p>
        </w:tc>
        <w:tc>
          <w:tcPr>
            <w:tcW w:w="1941" w:type="dxa"/>
            <w:vAlign w:val="bottom"/>
            <w:hideMark/>
          </w:tcPr>
          <w:p w14:paraId="02D0952A" w14:textId="2E7800BA" w:rsidR="002F63B3" w:rsidRPr="002F63B3" w:rsidRDefault="002F63B3" w:rsidP="002F63B3">
            <w:pPr>
              <w:jc w:val="center"/>
              <w:rPr>
                <w:rFonts w:eastAsia="Calibri" w:cstheme="minorHAnsi"/>
                <w:szCs w:val="24"/>
              </w:rPr>
            </w:pPr>
            <w:r w:rsidRPr="002F63B3">
              <w:rPr>
                <w:rFonts w:cstheme="minorHAnsi"/>
                <w:kern w:val="24"/>
              </w:rPr>
              <w:t xml:space="preserve">221 </w:t>
            </w:r>
          </w:p>
        </w:tc>
        <w:tc>
          <w:tcPr>
            <w:tcW w:w="2466" w:type="dxa"/>
            <w:vAlign w:val="bottom"/>
            <w:hideMark/>
          </w:tcPr>
          <w:p w14:paraId="1AE9B7E7" w14:textId="141AD66C" w:rsidR="002F63B3" w:rsidRPr="002F63B3" w:rsidRDefault="002F63B3" w:rsidP="002F63B3">
            <w:pPr>
              <w:jc w:val="center"/>
              <w:rPr>
                <w:rFonts w:eastAsia="Calibri" w:cstheme="minorHAnsi"/>
                <w:szCs w:val="24"/>
              </w:rPr>
            </w:pPr>
            <w:r w:rsidRPr="002F63B3">
              <w:rPr>
                <w:rFonts w:cstheme="minorHAnsi"/>
                <w:kern w:val="24"/>
              </w:rPr>
              <w:t xml:space="preserve">3,038 </w:t>
            </w:r>
          </w:p>
        </w:tc>
        <w:tc>
          <w:tcPr>
            <w:tcW w:w="2603" w:type="dxa"/>
            <w:vAlign w:val="bottom"/>
            <w:hideMark/>
          </w:tcPr>
          <w:p w14:paraId="7195F76D" w14:textId="0064E1C0" w:rsidR="002F63B3" w:rsidRPr="002F63B3" w:rsidRDefault="002F63B3" w:rsidP="002F63B3">
            <w:pPr>
              <w:jc w:val="center"/>
              <w:rPr>
                <w:rFonts w:cstheme="minorHAnsi"/>
                <w:szCs w:val="24"/>
              </w:rPr>
            </w:pPr>
            <w:r w:rsidRPr="002F63B3">
              <w:rPr>
                <w:rFonts w:cstheme="minorHAnsi"/>
                <w:kern w:val="24"/>
              </w:rPr>
              <w:t>7%</w:t>
            </w:r>
          </w:p>
        </w:tc>
      </w:tr>
      <w:tr w:rsidR="002F63B3" w:rsidRPr="002F63B3" w14:paraId="454BE0B2" w14:textId="77777777" w:rsidTr="003B0BB0">
        <w:trPr>
          <w:trHeight w:val="343"/>
        </w:trPr>
        <w:tc>
          <w:tcPr>
            <w:tcW w:w="2550" w:type="dxa"/>
            <w:hideMark/>
          </w:tcPr>
          <w:p w14:paraId="7D0A2B8C" w14:textId="23462270" w:rsidR="002F63B3" w:rsidRPr="002F63B3" w:rsidRDefault="002F63B3" w:rsidP="002F63B3">
            <w:r>
              <w:t>Transgender</w:t>
            </w:r>
            <w:r w:rsidR="7BAA4073">
              <w:t>/Nonbinary</w:t>
            </w:r>
          </w:p>
        </w:tc>
        <w:tc>
          <w:tcPr>
            <w:tcW w:w="1941" w:type="dxa"/>
            <w:vAlign w:val="bottom"/>
            <w:hideMark/>
          </w:tcPr>
          <w:p w14:paraId="1E7CCB05" w14:textId="4AEC6F8B" w:rsidR="002F63B3" w:rsidRPr="002F63B3" w:rsidRDefault="002F63B3" w:rsidP="002F63B3">
            <w:pPr>
              <w:jc w:val="center"/>
              <w:rPr>
                <w:rFonts w:eastAsia="Calibri" w:cstheme="minorHAnsi"/>
                <w:szCs w:val="24"/>
              </w:rPr>
            </w:pPr>
            <w:r w:rsidRPr="002F63B3">
              <w:rPr>
                <w:rFonts w:cstheme="minorHAnsi"/>
                <w:kern w:val="24"/>
              </w:rPr>
              <w:t xml:space="preserve">2 </w:t>
            </w:r>
          </w:p>
        </w:tc>
        <w:tc>
          <w:tcPr>
            <w:tcW w:w="2466" w:type="dxa"/>
            <w:vAlign w:val="bottom"/>
            <w:hideMark/>
          </w:tcPr>
          <w:p w14:paraId="0F35A532" w14:textId="29302CDF" w:rsidR="002F63B3" w:rsidRPr="002F63B3" w:rsidRDefault="002F63B3" w:rsidP="002F63B3">
            <w:pPr>
              <w:jc w:val="center"/>
              <w:rPr>
                <w:rFonts w:eastAsia="Calibri" w:cstheme="minorHAnsi"/>
                <w:szCs w:val="24"/>
              </w:rPr>
            </w:pPr>
            <w:r w:rsidRPr="002F63B3">
              <w:rPr>
                <w:rFonts w:cstheme="minorHAnsi"/>
                <w:kern w:val="24"/>
              </w:rPr>
              <w:t xml:space="preserve">71 </w:t>
            </w:r>
          </w:p>
        </w:tc>
        <w:tc>
          <w:tcPr>
            <w:tcW w:w="2603" w:type="dxa"/>
            <w:vAlign w:val="bottom"/>
            <w:hideMark/>
          </w:tcPr>
          <w:p w14:paraId="1F4215D2" w14:textId="133D8A10" w:rsidR="002F63B3" w:rsidRPr="002F63B3" w:rsidRDefault="002F63B3" w:rsidP="002F63B3">
            <w:pPr>
              <w:jc w:val="center"/>
              <w:rPr>
                <w:rFonts w:cstheme="minorHAnsi"/>
                <w:szCs w:val="24"/>
              </w:rPr>
            </w:pPr>
            <w:r w:rsidRPr="002F63B3">
              <w:rPr>
                <w:rFonts w:cstheme="minorHAnsi"/>
                <w:kern w:val="24"/>
              </w:rPr>
              <w:t>3%</w:t>
            </w:r>
          </w:p>
        </w:tc>
      </w:tr>
      <w:tr w:rsidR="002F63B3" w:rsidRPr="002F63B3" w14:paraId="5A61FB92" w14:textId="77777777" w:rsidTr="003B0BB0">
        <w:trPr>
          <w:trHeight w:val="343"/>
        </w:trPr>
        <w:tc>
          <w:tcPr>
            <w:tcW w:w="2550" w:type="dxa"/>
            <w:hideMark/>
          </w:tcPr>
          <w:p w14:paraId="0AF7EA7A" w14:textId="45476FEE" w:rsidR="002F63B3" w:rsidRPr="002F63B3" w:rsidRDefault="002F63B3" w:rsidP="002F63B3">
            <w:r w:rsidRPr="002F63B3">
              <w:rPr>
                <w:b/>
                <w:bCs/>
              </w:rPr>
              <w:t>Race/Ethnicity:</w:t>
            </w:r>
          </w:p>
        </w:tc>
        <w:tc>
          <w:tcPr>
            <w:tcW w:w="1941" w:type="dxa"/>
            <w:vAlign w:val="bottom"/>
            <w:hideMark/>
          </w:tcPr>
          <w:p w14:paraId="3FA50A35" w14:textId="2D2CDB2D" w:rsidR="002F63B3" w:rsidRPr="002F63B3" w:rsidRDefault="002F63B3" w:rsidP="002F63B3">
            <w:pPr>
              <w:jc w:val="center"/>
              <w:rPr>
                <w:rFonts w:eastAsia="Calibri" w:cstheme="minorHAnsi"/>
                <w:szCs w:val="24"/>
              </w:rPr>
            </w:pPr>
            <w:r w:rsidRPr="002F63B3">
              <w:rPr>
                <w:rFonts w:cstheme="minorHAnsi"/>
                <w:kern w:val="24"/>
              </w:rPr>
              <w:t xml:space="preserve">0 </w:t>
            </w:r>
          </w:p>
        </w:tc>
        <w:tc>
          <w:tcPr>
            <w:tcW w:w="2466" w:type="dxa"/>
            <w:vAlign w:val="bottom"/>
            <w:hideMark/>
          </w:tcPr>
          <w:p w14:paraId="6E0F2E2F" w14:textId="54A36E5E" w:rsidR="002F63B3" w:rsidRPr="002F63B3" w:rsidRDefault="002F63B3" w:rsidP="002F63B3">
            <w:pPr>
              <w:jc w:val="center"/>
              <w:rPr>
                <w:rFonts w:eastAsia="Calibri" w:cstheme="minorHAnsi"/>
                <w:szCs w:val="24"/>
              </w:rPr>
            </w:pPr>
            <w:r w:rsidRPr="002F63B3">
              <w:rPr>
                <w:rFonts w:cstheme="minorHAnsi"/>
                <w:kern w:val="24"/>
              </w:rPr>
              <w:t xml:space="preserve">8 </w:t>
            </w:r>
          </w:p>
        </w:tc>
        <w:tc>
          <w:tcPr>
            <w:tcW w:w="2603" w:type="dxa"/>
            <w:vAlign w:val="bottom"/>
            <w:hideMark/>
          </w:tcPr>
          <w:p w14:paraId="70391EDD" w14:textId="2327DF22" w:rsidR="002F63B3" w:rsidRPr="002F63B3" w:rsidRDefault="002F63B3" w:rsidP="002F63B3">
            <w:pPr>
              <w:jc w:val="center"/>
              <w:rPr>
                <w:rFonts w:cstheme="minorHAnsi"/>
              </w:rPr>
            </w:pPr>
            <w:r w:rsidRPr="002F63B3">
              <w:rPr>
                <w:rFonts w:cstheme="minorHAnsi"/>
                <w:kern w:val="24"/>
              </w:rPr>
              <w:t>0%</w:t>
            </w:r>
          </w:p>
        </w:tc>
      </w:tr>
      <w:tr w:rsidR="002F63B3" w:rsidRPr="002F63B3" w14:paraId="045FA2A5" w14:textId="77777777" w:rsidTr="003B0BB0">
        <w:trPr>
          <w:trHeight w:val="343"/>
        </w:trPr>
        <w:tc>
          <w:tcPr>
            <w:tcW w:w="2550" w:type="dxa"/>
            <w:hideMark/>
          </w:tcPr>
          <w:p w14:paraId="7BFCF078" w14:textId="77777777" w:rsidR="002F63B3" w:rsidRPr="002F63B3" w:rsidRDefault="002F63B3" w:rsidP="002F63B3">
            <w:r w:rsidRPr="002F63B3">
              <w:t>White NH</w:t>
            </w:r>
          </w:p>
        </w:tc>
        <w:tc>
          <w:tcPr>
            <w:tcW w:w="1941" w:type="dxa"/>
            <w:vAlign w:val="bottom"/>
            <w:hideMark/>
          </w:tcPr>
          <w:p w14:paraId="1A485E34" w14:textId="5D38C42F" w:rsidR="002F63B3" w:rsidRPr="002F63B3" w:rsidRDefault="002F63B3" w:rsidP="002F63B3">
            <w:pPr>
              <w:rPr>
                <w:rFonts w:cstheme="minorHAnsi"/>
              </w:rPr>
            </w:pPr>
          </w:p>
        </w:tc>
        <w:tc>
          <w:tcPr>
            <w:tcW w:w="2466" w:type="dxa"/>
            <w:vAlign w:val="bottom"/>
            <w:hideMark/>
          </w:tcPr>
          <w:p w14:paraId="1727CCA1" w14:textId="6E7CF73E" w:rsidR="002F63B3" w:rsidRPr="002F63B3" w:rsidRDefault="002F63B3" w:rsidP="002F63B3">
            <w:pPr>
              <w:rPr>
                <w:rFonts w:cstheme="minorHAnsi"/>
              </w:rPr>
            </w:pPr>
          </w:p>
        </w:tc>
        <w:tc>
          <w:tcPr>
            <w:tcW w:w="2603" w:type="dxa"/>
            <w:vAlign w:val="bottom"/>
            <w:hideMark/>
          </w:tcPr>
          <w:p w14:paraId="43B0671D" w14:textId="23AE29F6" w:rsidR="002F63B3" w:rsidRPr="002F63B3" w:rsidRDefault="002F63B3" w:rsidP="002F63B3">
            <w:pPr>
              <w:jc w:val="center"/>
              <w:rPr>
                <w:rFonts w:cstheme="minorHAnsi"/>
              </w:rPr>
            </w:pPr>
          </w:p>
        </w:tc>
      </w:tr>
      <w:tr w:rsidR="002F63B3" w:rsidRPr="002F63B3" w14:paraId="5B9882F6" w14:textId="77777777" w:rsidTr="003B0BB0">
        <w:trPr>
          <w:trHeight w:val="343"/>
        </w:trPr>
        <w:tc>
          <w:tcPr>
            <w:tcW w:w="2550" w:type="dxa"/>
            <w:hideMark/>
          </w:tcPr>
          <w:p w14:paraId="63EF567A" w14:textId="77777777" w:rsidR="002F63B3" w:rsidRPr="002F63B3" w:rsidRDefault="002F63B3" w:rsidP="002F63B3">
            <w:r w:rsidRPr="002F63B3">
              <w:t>Black NH</w:t>
            </w:r>
          </w:p>
        </w:tc>
        <w:tc>
          <w:tcPr>
            <w:tcW w:w="1941" w:type="dxa"/>
            <w:vAlign w:val="bottom"/>
            <w:hideMark/>
          </w:tcPr>
          <w:p w14:paraId="5BD6F884" w14:textId="0467F6A2" w:rsidR="002F63B3" w:rsidRPr="002F63B3" w:rsidRDefault="002F63B3" w:rsidP="002F63B3">
            <w:pPr>
              <w:jc w:val="center"/>
              <w:rPr>
                <w:rFonts w:eastAsia="Calibri" w:cstheme="minorHAnsi"/>
                <w:szCs w:val="24"/>
              </w:rPr>
            </w:pPr>
            <w:r w:rsidRPr="002F63B3">
              <w:rPr>
                <w:rFonts w:cstheme="minorHAnsi"/>
                <w:kern w:val="24"/>
              </w:rPr>
              <w:t xml:space="preserve">178 </w:t>
            </w:r>
          </w:p>
        </w:tc>
        <w:tc>
          <w:tcPr>
            <w:tcW w:w="2466" w:type="dxa"/>
            <w:vAlign w:val="bottom"/>
            <w:hideMark/>
          </w:tcPr>
          <w:p w14:paraId="14CF65E3" w14:textId="3560DA80" w:rsidR="002F63B3" w:rsidRPr="002F63B3" w:rsidRDefault="002F63B3" w:rsidP="002F63B3">
            <w:pPr>
              <w:jc w:val="center"/>
              <w:rPr>
                <w:rFonts w:eastAsia="Calibri" w:cstheme="minorHAnsi"/>
                <w:szCs w:val="24"/>
              </w:rPr>
            </w:pPr>
            <w:r w:rsidRPr="002F63B3">
              <w:rPr>
                <w:rFonts w:cstheme="minorHAnsi"/>
                <w:kern w:val="24"/>
              </w:rPr>
              <w:t>2,358</w:t>
            </w:r>
          </w:p>
        </w:tc>
        <w:tc>
          <w:tcPr>
            <w:tcW w:w="2603" w:type="dxa"/>
            <w:vAlign w:val="bottom"/>
            <w:hideMark/>
          </w:tcPr>
          <w:p w14:paraId="14DF33D0" w14:textId="42AB5E2A" w:rsidR="002F63B3" w:rsidRPr="002F63B3" w:rsidRDefault="002F63B3" w:rsidP="002F63B3">
            <w:pPr>
              <w:jc w:val="center"/>
              <w:rPr>
                <w:rFonts w:cstheme="minorHAnsi"/>
              </w:rPr>
            </w:pPr>
            <w:r w:rsidRPr="002F63B3">
              <w:rPr>
                <w:rFonts w:cstheme="minorHAnsi"/>
                <w:kern w:val="24"/>
              </w:rPr>
              <w:t>8%</w:t>
            </w:r>
          </w:p>
        </w:tc>
      </w:tr>
      <w:tr w:rsidR="002F63B3" w:rsidRPr="002F63B3" w14:paraId="1EF1C7CA" w14:textId="77777777" w:rsidTr="003B0BB0">
        <w:trPr>
          <w:trHeight w:val="343"/>
        </w:trPr>
        <w:tc>
          <w:tcPr>
            <w:tcW w:w="2550" w:type="dxa"/>
            <w:hideMark/>
          </w:tcPr>
          <w:p w14:paraId="04E5030B" w14:textId="77777777" w:rsidR="002F63B3" w:rsidRPr="002F63B3" w:rsidRDefault="002F63B3" w:rsidP="002F63B3">
            <w:r w:rsidRPr="002F63B3">
              <w:t>Hispanic/Latino</w:t>
            </w:r>
          </w:p>
        </w:tc>
        <w:tc>
          <w:tcPr>
            <w:tcW w:w="1941" w:type="dxa"/>
            <w:vAlign w:val="bottom"/>
            <w:hideMark/>
          </w:tcPr>
          <w:p w14:paraId="6D7C3CB1" w14:textId="451FEAA7" w:rsidR="002F63B3" w:rsidRPr="002F63B3" w:rsidRDefault="002F63B3" w:rsidP="002F63B3">
            <w:pPr>
              <w:jc w:val="center"/>
              <w:rPr>
                <w:rFonts w:eastAsia="Calibri" w:cstheme="minorHAnsi"/>
                <w:szCs w:val="24"/>
              </w:rPr>
            </w:pPr>
            <w:r w:rsidRPr="002F63B3">
              <w:rPr>
                <w:rFonts w:cstheme="minorHAnsi"/>
                <w:kern w:val="24"/>
              </w:rPr>
              <w:t xml:space="preserve">119 </w:t>
            </w:r>
          </w:p>
        </w:tc>
        <w:tc>
          <w:tcPr>
            <w:tcW w:w="2466" w:type="dxa"/>
            <w:vAlign w:val="bottom"/>
            <w:hideMark/>
          </w:tcPr>
          <w:p w14:paraId="2E04BA8D" w14:textId="04DC10EB" w:rsidR="002F63B3" w:rsidRPr="002F63B3" w:rsidRDefault="002F63B3" w:rsidP="002F63B3">
            <w:pPr>
              <w:jc w:val="center"/>
              <w:rPr>
                <w:rFonts w:eastAsia="Calibri" w:cstheme="minorHAnsi"/>
                <w:szCs w:val="24"/>
              </w:rPr>
            </w:pPr>
            <w:r w:rsidRPr="002F63B3">
              <w:rPr>
                <w:rFonts w:cstheme="minorHAnsi"/>
                <w:kern w:val="24"/>
              </w:rPr>
              <w:t>1,714</w:t>
            </w:r>
          </w:p>
        </w:tc>
        <w:tc>
          <w:tcPr>
            <w:tcW w:w="2603" w:type="dxa"/>
            <w:vAlign w:val="bottom"/>
            <w:hideMark/>
          </w:tcPr>
          <w:p w14:paraId="284756DF" w14:textId="4F577A9C" w:rsidR="002F63B3" w:rsidRPr="002F63B3" w:rsidRDefault="002F63B3" w:rsidP="002F63B3">
            <w:pPr>
              <w:jc w:val="center"/>
              <w:rPr>
                <w:rFonts w:cstheme="minorHAnsi"/>
              </w:rPr>
            </w:pPr>
            <w:r w:rsidRPr="002F63B3">
              <w:rPr>
                <w:rFonts w:cstheme="minorHAnsi"/>
                <w:kern w:val="24"/>
              </w:rPr>
              <w:t>7%</w:t>
            </w:r>
          </w:p>
        </w:tc>
      </w:tr>
      <w:tr w:rsidR="002F63B3" w:rsidRPr="002F63B3" w14:paraId="697EACB3" w14:textId="77777777" w:rsidTr="003B0BB0">
        <w:trPr>
          <w:trHeight w:val="343"/>
        </w:trPr>
        <w:tc>
          <w:tcPr>
            <w:tcW w:w="2550" w:type="dxa"/>
            <w:hideMark/>
          </w:tcPr>
          <w:p w14:paraId="3C8A62CE" w14:textId="6B0C0231" w:rsidR="002F63B3" w:rsidRPr="002F63B3" w:rsidRDefault="002F63B3" w:rsidP="002F63B3">
            <w:r w:rsidRPr="002F63B3">
              <w:t>Other NH</w:t>
            </w:r>
          </w:p>
        </w:tc>
        <w:tc>
          <w:tcPr>
            <w:tcW w:w="1941" w:type="dxa"/>
            <w:vAlign w:val="bottom"/>
            <w:hideMark/>
          </w:tcPr>
          <w:p w14:paraId="3C4C972D" w14:textId="3ECE8D74" w:rsidR="002F63B3" w:rsidRPr="002F63B3" w:rsidRDefault="002F63B3" w:rsidP="002F63B3">
            <w:pPr>
              <w:jc w:val="center"/>
              <w:rPr>
                <w:rFonts w:eastAsia="Calibri" w:cstheme="minorHAnsi"/>
                <w:szCs w:val="24"/>
              </w:rPr>
            </w:pPr>
            <w:r w:rsidRPr="002F63B3">
              <w:rPr>
                <w:rFonts w:cstheme="minorHAnsi"/>
                <w:kern w:val="24"/>
              </w:rPr>
              <w:t xml:space="preserve">130 </w:t>
            </w:r>
          </w:p>
        </w:tc>
        <w:tc>
          <w:tcPr>
            <w:tcW w:w="2466" w:type="dxa"/>
            <w:vAlign w:val="bottom"/>
            <w:hideMark/>
          </w:tcPr>
          <w:p w14:paraId="02E78781" w14:textId="703EB4FF" w:rsidR="002F63B3" w:rsidRPr="002F63B3" w:rsidRDefault="002F63B3" w:rsidP="002F63B3">
            <w:pPr>
              <w:jc w:val="center"/>
              <w:rPr>
                <w:rFonts w:eastAsia="Calibri" w:cstheme="minorHAnsi"/>
                <w:szCs w:val="24"/>
              </w:rPr>
            </w:pPr>
            <w:r w:rsidRPr="002F63B3">
              <w:rPr>
                <w:rFonts w:cstheme="minorHAnsi"/>
                <w:kern w:val="24"/>
              </w:rPr>
              <w:t>1,795</w:t>
            </w:r>
          </w:p>
        </w:tc>
        <w:tc>
          <w:tcPr>
            <w:tcW w:w="2603" w:type="dxa"/>
            <w:vAlign w:val="bottom"/>
            <w:hideMark/>
          </w:tcPr>
          <w:p w14:paraId="626274B7" w14:textId="4B2AE70C" w:rsidR="002F63B3" w:rsidRPr="002F63B3" w:rsidRDefault="002F63B3" w:rsidP="002F63B3">
            <w:pPr>
              <w:jc w:val="center"/>
              <w:rPr>
                <w:rFonts w:cstheme="minorHAnsi"/>
              </w:rPr>
            </w:pPr>
            <w:r w:rsidRPr="002F63B3">
              <w:rPr>
                <w:rFonts w:cstheme="minorHAnsi"/>
                <w:kern w:val="24"/>
              </w:rPr>
              <w:t>7%</w:t>
            </w:r>
          </w:p>
        </w:tc>
      </w:tr>
      <w:tr w:rsidR="002F63B3" w:rsidRPr="002F63B3" w14:paraId="7AF8F770" w14:textId="77777777" w:rsidTr="003B0BB0">
        <w:trPr>
          <w:trHeight w:val="343"/>
        </w:trPr>
        <w:tc>
          <w:tcPr>
            <w:tcW w:w="2550" w:type="dxa"/>
            <w:hideMark/>
          </w:tcPr>
          <w:p w14:paraId="3BB4480A" w14:textId="77777777" w:rsidR="002F63B3" w:rsidRPr="002F63B3" w:rsidRDefault="002F63B3" w:rsidP="002F63B3">
            <w:r w:rsidRPr="002F63B3">
              <w:t>Unreported</w:t>
            </w:r>
          </w:p>
        </w:tc>
        <w:tc>
          <w:tcPr>
            <w:tcW w:w="1941" w:type="dxa"/>
            <w:vAlign w:val="bottom"/>
            <w:hideMark/>
          </w:tcPr>
          <w:p w14:paraId="110451B3" w14:textId="268CFFF8" w:rsidR="002F63B3" w:rsidRPr="002F63B3" w:rsidRDefault="002F63B3" w:rsidP="002F63B3">
            <w:pPr>
              <w:jc w:val="center"/>
              <w:rPr>
                <w:rFonts w:eastAsia="Calibri" w:cstheme="minorHAnsi"/>
                <w:szCs w:val="24"/>
              </w:rPr>
            </w:pPr>
            <w:r w:rsidRPr="002F63B3">
              <w:rPr>
                <w:rFonts w:cstheme="minorHAnsi"/>
                <w:kern w:val="24"/>
              </w:rPr>
              <w:t xml:space="preserve">61 </w:t>
            </w:r>
          </w:p>
        </w:tc>
        <w:tc>
          <w:tcPr>
            <w:tcW w:w="2466" w:type="dxa"/>
            <w:vAlign w:val="bottom"/>
            <w:hideMark/>
          </w:tcPr>
          <w:p w14:paraId="16450A10" w14:textId="02C2BEAB" w:rsidR="002F63B3" w:rsidRPr="002F63B3" w:rsidRDefault="002F63B3" w:rsidP="002F63B3">
            <w:pPr>
              <w:jc w:val="center"/>
              <w:rPr>
                <w:rFonts w:eastAsia="Calibri" w:cstheme="minorHAnsi"/>
                <w:szCs w:val="24"/>
              </w:rPr>
            </w:pPr>
            <w:r w:rsidRPr="002F63B3">
              <w:rPr>
                <w:rFonts w:cstheme="minorHAnsi"/>
                <w:kern w:val="24"/>
              </w:rPr>
              <w:t>840</w:t>
            </w:r>
          </w:p>
        </w:tc>
        <w:tc>
          <w:tcPr>
            <w:tcW w:w="2603" w:type="dxa"/>
            <w:vAlign w:val="bottom"/>
            <w:hideMark/>
          </w:tcPr>
          <w:p w14:paraId="6DEF8ED9" w14:textId="5D805DE2" w:rsidR="002F63B3" w:rsidRPr="002F63B3" w:rsidRDefault="002F63B3" w:rsidP="002F63B3">
            <w:pPr>
              <w:jc w:val="center"/>
              <w:rPr>
                <w:rFonts w:cstheme="minorHAnsi"/>
              </w:rPr>
            </w:pPr>
            <w:r w:rsidRPr="002F63B3">
              <w:rPr>
                <w:rFonts w:cstheme="minorHAnsi"/>
                <w:kern w:val="24"/>
              </w:rPr>
              <w:t>7%</w:t>
            </w:r>
          </w:p>
        </w:tc>
      </w:tr>
      <w:tr w:rsidR="002F63B3" w:rsidRPr="002F63B3" w14:paraId="6F28FF3F" w14:textId="77777777" w:rsidTr="003B0BB0">
        <w:trPr>
          <w:trHeight w:val="300"/>
        </w:trPr>
        <w:tc>
          <w:tcPr>
            <w:tcW w:w="2550" w:type="dxa"/>
            <w:hideMark/>
          </w:tcPr>
          <w:p w14:paraId="3C398B9C" w14:textId="77777777" w:rsidR="002F63B3" w:rsidRPr="002F63B3" w:rsidRDefault="002F63B3" w:rsidP="002F63B3">
            <w:pPr>
              <w:rPr>
                <w:b/>
                <w:bCs/>
              </w:rPr>
            </w:pPr>
            <w:r w:rsidRPr="002F63B3">
              <w:rPr>
                <w:b/>
                <w:bCs/>
              </w:rPr>
              <w:t>Age:</w:t>
            </w:r>
          </w:p>
        </w:tc>
        <w:tc>
          <w:tcPr>
            <w:tcW w:w="1941" w:type="dxa"/>
            <w:vAlign w:val="bottom"/>
            <w:hideMark/>
          </w:tcPr>
          <w:p w14:paraId="74F34821" w14:textId="7BCAD2F3" w:rsidR="002F63B3" w:rsidRPr="002F63B3" w:rsidRDefault="002F63B3" w:rsidP="002F63B3">
            <w:pPr>
              <w:jc w:val="center"/>
              <w:rPr>
                <w:rFonts w:eastAsia="Calibri" w:cstheme="minorHAnsi"/>
                <w:szCs w:val="24"/>
              </w:rPr>
            </w:pPr>
            <w:r w:rsidRPr="002F63B3">
              <w:rPr>
                <w:rFonts w:cstheme="minorHAnsi"/>
                <w:kern w:val="24"/>
              </w:rPr>
              <w:t xml:space="preserve">223 </w:t>
            </w:r>
          </w:p>
        </w:tc>
        <w:tc>
          <w:tcPr>
            <w:tcW w:w="2466" w:type="dxa"/>
            <w:vAlign w:val="bottom"/>
            <w:hideMark/>
          </w:tcPr>
          <w:p w14:paraId="5F46FABD" w14:textId="6D79B70D" w:rsidR="002F63B3" w:rsidRPr="002F63B3" w:rsidRDefault="002F63B3" w:rsidP="002F63B3">
            <w:pPr>
              <w:jc w:val="center"/>
              <w:rPr>
                <w:rFonts w:eastAsia="Calibri" w:cstheme="minorHAnsi"/>
                <w:szCs w:val="24"/>
              </w:rPr>
            </w:pPr>
            <w:r w:rsidRPr="002F63B3">
              <w:rPr>
                <w:rFonts w:cstheme="minorHAnsi"/>
                <w:kern w:val="24"/>
              </w:rPr>
              <w:t>3,072</w:t>
            </w:r>
          </w:p>
        </w:tc>
        <w:tc>
          <w:tcPr>
            <w:tcW w:w="2603" w:type="dxa"/>
            <w:vAlign w:val="bottom"/>
            <w:hideMark/>
          </w:tcPr>
          <w:p w14:paraId="078407B9" w14:textId="7F2226D7" w:rsidR="002F63B3" w:rsidRPr="002F63B3" w:rsidRDefault="002F63B3" w:rsidP="002F63B3">
            <w:pPr>
              <w:jc w:val="center"/>
              <w:rPr>
                <w:rFonts w:cstheme="minorHAnsi"/>
              </w:rPr>
            </w:pPr>
            <w:r w:rsidRPr="002F63B3">
              <w:rPr>
                <w:rFonts w:cstheme="minorHAnsi"/>
                <w:kern w:val="24"/>
              </w:rPr>
              <w:t>7%</w:t>
            </w:r>
          </w:p>
        </w:tc>
      </w:tr>
      <w:tr w:rsidR="002F63B3" w:rsidRPr="002F63B3" w14:paraId="37C47BC5" w14:textId="77777777" w:rsidTr="003B0BB0">
        <w:trPr>
          <w:trHeight w:val="343"/>
        </w:trPr>
        <w:tc>
          <w:tcPr>
            <w:tcW w:w="2550" w:type="dxa"/>
            <w:hideMark/>
          </w:tcPr>
          <w:p w14:paraId="12D51930" w14:textId="77777777" w:rsidR="002F63B3" w:rsidRPr="002F63B3" w:rsidRDefault="002F63B3" w:rsidP="002F63B3">
            <w:pPr>
              <w:rPr>
                <w:rFonts w:cstheme="minorHAnsi"/>
              </w:rPr>
            </w:pPr>
            <w:r w:rsidRPr="002F63B3">
              <w:rPr>
                <w:rFonts w:cstheme="minorHAnsi"/>
                <w:kern w:val="24"/>
              </w:rPr>
              <w:t>&lt;15 years</w:t>
            </w:r>
          </w:p>
        </w:tc>
        <w:tc>
          <w:tcPr>
            <w:tcW w:w="1941" w:type="dxa"/>
            <w:vAlign w:val="bottom"/>
            <w:hideMark/>
          </w:tcPr>
          <w:p w14:paraId="7CAB964D" w14:textId="38D9A959" w:rsidR="002F63B3" w:rsidRPr="002F63B3" w:rsidRDefault="002F63B3" w:rsidP="002F63B3">
            <w:pPr>
              <w:rPr>
                <w:rFonts w:cstheme="minorHAnsi"/>
              </w:rPr>
            </w:pPr>
          </w:p>
        </w:tc>
        <w:tc>
          <w:tcPr>
            <w:tcW w:w="2466" w:type="dxa"/>
            <w:vAlign w:val="bottom"/>
            <w:hideMark/>
          </w:tcPr>
          <w:p w14:paraId="513CA929" w14:textId="29E8BD77" w:rsidR="002F63B3" w:rsidRPr="002F63B3" w:rsidRDefault="002F63B3" w:rsidP="002F63B3">
            <w:pPr>
              <w:rPr>
                <w:rFonts w:cstheme="minorHAnsi"/>
              </w:rPr>
            </w:pPr>
          </w:p>
        </w:tc>
        <w:tc>
          <w:tcPr>
            <w:tcW w:w="2603" w:type="dxa"/>
            <w:vAlign w:val="bottom"/>
            <w:hideMark/>
          </w:tcPr>
          <w:p w14:paraId="5FC7C2FE" w14:textId="125C6B67" w:rsidR="002F63B3" w:rsidRPr="002F63B3" w:rsidRDefault="002F63B3" w:rsidP="002F63B3">
            <w:pPr>
              <w:jc w:val="center"/>
              <w:rPr>
                <w:rFonts w:cstheme="minorHAnsi"/>
              </w:rPr>
            </w:pPr>
          </w:p>
        </w:tc>
      </w:tr>
      <w:tr w:rsidR="002F63B3" w:rsidRPr="002F63B3" w14:paraId="10130209" w14:textId="77777777" w:rsidTr="003B0BB0">
        <w:trPr>
          <w:trHeight w:val="343"/>
        </w:trPr>
        <w:tc>
          <w:tcPr>
            <w:tcW w:w="2550" w:type="dxa"/>
            <w:hideMark/>
          </w:tcPr>
          <w:p w14:paraId="07CD0F4F" w14:textId="77777777" w:rsidR="002F63B3" w:rsidRPr="002F63B3" w:rsidRDefault="002F63B3" w:rsidP="002F63B3">
            <w:pPr>
              <w:rPr>
                <w:rFonts w:cstheme="minorHAnsi"/>
              </w:rPr>
            </w:pPr>
            <w:r w:rsidRPr="002F63B3">
              <w:rPr>
                <w:rFonts w:cstheme="minorHAnsi"/>
                <w:kern w:val="24"/>
              </w:rPr>
              <w:t>15–19 years</w:t>
            </w:r>
          </w:p>
        </w:tc>
        <w:tc>
          <w:tcPr>
            <w:tcW w:w="1941" w:type="dxa"/>
            <w:vAlign w:val="bottom"/>
            <w:hideMark/>
          </w:tcPr>
          <w:p w14:paraId="33C895BC" w14:textId="14014772" w:rsidR="002F63B3" w:rsidRPr="002F63B3" w:rsidRDefault="002F63B3" w:rsidP="002F63B3">
            <w:pPr>
              <w:jc w:val="center"/>
              <w:rPr>
                <w:rFonts w:eastAsia="Calibri" w:cstheme="minorHAnsi"/>
                <w:szCs w:val="24"/>
              </w:rPr>
            </w:pPr>
            <w:r w:rsidRPr="002F63B3">
              <w:rPr>
                <w:rFonts w:cstheme="minorHAnsi"/>
                <w:kern w:val="24"/>
              </w:rPr>
              <w:t xml:space="preserve">2 </w:t>
            </w:r>
          </w:p>
        </w:tc>
        <w:tc>
          <w:tcPr>
            <w:tcW w:w="2466" w:type="dxa"/>
            <w:vAlign w:val="bottom"/>
            <w:hideMark/>
          </w:tcPr>
          <w:p w14:paraId="79787C1A" w14:textId="042FD48F" w:rsidR="002F63B3" w:rsidRPr="002F63B3" w:rsidRDefault="002F63B3" w:rsidP="002F63B3">
            <w:pPr>
              <w:jc w:val="center"/>
              <w:rPr>
                <w:rFonts w:eastAsia="Calibri" w:cstheme="minorHAnsi"/>
                <w:szCs w:val="24"/>
              </w:rPr>
            </w:pPr>
            <w:r w:rsidRPr="002F63B3">
              <w:rPr>
                <w:rFonts w:cstheme="minorHAnsi"/>
                <w:kern w:val="24"/>
              </w:rPr>
              <w:t xml:space="preserve">29 </w:t>
            </w:r>
          </w:p>
        </w:tc>
        <w:tc>
          <w:tcPr>
            <w:tcW w:w="2603" w:type="dxa"/>
            <w:vAlign w:val="bottom"/>
            <w:hideMark/>
          </w:tcPr>
          <w:p w14:paraId="7AC957F4" w14:textId="4C71F8A8" w:rsidR="002F63B3" w:rsidRPr="002F63B3" w:rsidRDefault="002F63B3" w:rsidP="002F63B3">
            <w:pPr>
              <w:jc w:val="center"/>
              <w:rPr>
                <w:rFonts w:cstheme="minorHAnsi"/>
              </w:rPr>
            </w:pPr>
            <w:r w:rsidRPr="002F63B3">
              <w:rPr>
                <w:rFonts w:cstheme="minorHAnsi"/>
                <w:kern w:val="24"/>
              </w:rPr>
              <w:t>7%</w:t>
            </w:r>
          </w:p>
        </w:tc>
      </w:tr>
      <w:tr w:rsidR="002F63B3" w:rsidRPr="002F63B3" w14:paraId="0091B32B" w14:textId="77777777" w:rsidTr="003B0BB0">
        <w:trPr>
          <w:trHeight w:val="343"/>
        </w:trPr>
        <w:tc>
          <w:tcPr>
            <w:tcW w:w="2550" w:type="dxa"/>
            <w:hideMark/>
          </w:tcPr>
          <w:p w14:paraId="4441CE2A" w14:textId="77777777" w:rsidR="002F63B3" w:rsidRPr="002F63B3" w:rsidRDefault="002F63B3" w:rsidP="002F63B3">
            <w:pPr>
              <w:rPr>
                <w:rFonts w:cstheme="minorHAnsi"/>
              </w:rPr>
            </w:pPr>
            <w:r w:rsidRPr="002F63B3">
              <w:rPr>
                <w:rFonts w:cstheme="minorHAnsi"/>
                <w:kern w:val="24"/>
              </w:rPr>
              <w:t>20–24 years</w:t>
            </w:r>
          </w:p>
        </w:tc>
        <w:tc>
          <w:tcPr>
            <w:tcW w:w="1941" w:type="dxa"/>
            <w:vAlign w:val="bottom"/>
            <w:hideMark/>
          </w:tcPr>
          <w:p w14:paraId="22C99990" w14:textId="503F2E1F" w:rsidR="002F63B3" w:rsidRPr="002F63B3" w:rsidRDefault="002F63B3" w:rsidP="002F63B3">
            <w:pPr>
              <w:jc w:val="center"/>
              <w:rPr>
                <w:rFonts w:eastAsia="Calibri" w:cstheme="minorHAnsi"/>
                <w:szCs w:val="24"/>
              </w:rPr>
            </w:pPr>
            <w:r w:rsidRPr="002F63B3">
              <w:rPr>
                <w:rFonts w:cstheme="minorHAnsi"/>
                <w:kern w:val="24"/>
              </w:rPr>
              <w:t xml:space="preserve">83 </w:t>
            </w:r>
          </w:p>
        </w:tc>
        <w:tc>
          <w:tcPr>
            <w:tcW w:w="2466" w:type="dxa"/>
            <w:vAlign w:val="bottom"/>
            <w:hideMark/>
          </w:tcPr>
          <w:p w14:paraId="1A6F1245" w14:textId="014FDE33" w:rsidR="002F63B3" w:rsidRPr="002F63B3" w:rsidRDefault="002F63B3" w:rsidP="002F63B3">
            <w:pPr>
              <w:jc w:val="center"/>
              <w:rPr>
                <w:rFonts w:eastAsia="Calibri" w:cstheme="minorHAnsi"/>
                <w:szCs w:val="24"/>
              </w:rPr>
            </w:pPr>
            <w:r w:rsidRPr="002F63B3">
              <w:rPr>
                <w:rFonts w:cstheme="minorHAnsi"/>
                <w:kern w:val="24"/>
              </w:rPr>
              <w:t xml:space="preserve">1,204 </w:t>
            </w:r>
          </w:p>
        </w:tc>
        <w:tc>
          <w:tcPr>
            <w:tcW w:w="2603" w:type="dxa"/>
            <w:vAlign w:val="bottom"/>
            <w:hideMark/>
          </w:tcPr>
          <w:p w14:paraId="19B423E6" w14:textId="1752DB95" w:rsidR="002F63B3" w:rsidRPr="002F63B3" w:rsidRDefault="002F63B3" w:rsidP="002F63B3">
            <w:pPr>
              <w:jc w:val="center"/>
              <w:rPr>
                <w:rFonts w:cstheme="minorHAnsi"/>
              </w:rPr>
            </w:pPr>
            <w:r w:rsidRPr="002F63B3">
              <w:rPr>
                <w:rFonts w:cstheme="minorHAnsi"/>
                <w:kern w:val="24"/>
              </w:rPr>
              <w:t>7%</w:t>
            </w:r>
          </w:p>
        </w:tc>
      </w:tr>
      <w:tr w:rsidR="002F63B3" w:rsidRPr="002F63B3" w14:paraId="650E8E2A" w14:textId="77777777" w:rsidTr="003B0BB0">
        <w:trPr>
          <w:trHeight w:val="343"/>
        </w:trPr>
        <w:tc>
          <w:tcPr>
            <w:tcW w:w="2550" w:type="dxa"/>
            <w:hideMark/>
          </w:tcPr>
          <w:p w14:paraId="70931790" w14:textId="77777777" w:rsidR="002F63B3" w:rsidRPr="002F63B3" w:rsidRDefault="002F63B3" w:rsidP="002F63B3">
            <w:pPr>
              <w:rPr>
                <w:rFonts w:cstheme="minorHAnsi"/>
              </w:rPr>
            </w:pPr>
            <w:r w:rsidRPr="002F63B3">
              <w:rPr>
                <w:rFonts w:cstheme="minorHAnsi"/>
                <w:kern w:val="24"/>
              </w:rPr>
              <w:t>25–29 years</w:t>
            </w:r>
          </w:p>
        </w:tc>
        <w:tc>
          <w:tcPr>
            <w:tcW w:w="1941" w:type="dxa"/>
            <w:vAlign w:val="bottom"/>
            <w:hideMark/>
          </w:tcPr>
          <w:p w14:paraId="6ADC7037" w14:textId="0C14796E" w:rsidR="002F63B3" w:rsidRPr="002F63B3" w:rsidRDefault="002F63B3" w:rsidP="002F63B3">
            <w:pPr>
              <w:jc w:val="center"/>
              <w:rPr>
                <w:rFonts w:eastAsia="Calibri" w:cstheme="minorHAnsi"/>
                <w:szCs w:val="24"/>
              </w:rPr>
            </w:pPr>
            <w:r w:rsidRPr="002F63B3">
              <w:rPr>
                <w:rFonts w:cstheme="minorHAnsi"/>
                <w:kern w:val="24"/>
              </w:rPr>
              <w:t xml:space="preserve">155 </w:t>
            </w:r>
          </w:p>
        </w:tc>
        <w:tc>
          <w:tcPr>
            <w:tcW w:w="2466" w:type="dxa"/>
            <w:vAlign w:val="bottom"/>
            <w:hideMark/>
          </w:tcPr>
          <w:p w14:paraId="73CB23E0" w14:textId="2B785E95" w:rsidR="002F63B3" w:rsidRPr="002F63B3" w:rsidRDefault="002F63B3" w:rsidP="002F63B3">
            <w:pPr>
              <w:jc w:val="center"/>
              <w:rPr>
                <w:rFonts w:eastAsia="Calibri" w:cstheme="minorHAnsi"/>
                <w:szCs w:val="24"/>
              </w:rPr>
            </w:pPr>
            <w:r w:rsidRPr="002F63B3">
              <w:rPr>
                <w:rFonts w:cstheme="minorHAnsi"/>
                <w:kern w:val="24"/>
              </w:rPr>
              <w:t xml:space="preserve">2,245 </w:t>
            </w:r>
          </w:p>
        </w:tc>
        <w:tc>
          <w:tcPr>
            <w:tcW w:w="2603" w:type="dxa"/>
            <w:vAlign w:val="bottom"/>
            <w:hideMark/>
          </w:tcPr>
          <w:p w14:paraId="2F5107A3" w14:textId="4FE2AA86" w:rsidR="002F63B3" w:rsidRPr="002F63B3" w:rsidRDefault="002F63B3" w:rsidP="002F63B3">
            <w:pPr>
              <w:jc w:val="center"/>
              <w:rPr>
                <w:rFonts w:cstheme="minorHAnsi"/>
              </w:rPr>
            </w:pPr>
            <w:r w:rsidRPr="002F63B3">
              <w:rPr>
                <w:rFonts w:cstheme="minorHAnsi"/>
                <w:kern w:val="24"/>
              </w:rPr>
              <w:t>7%</w:t>
            </w:r>
          </w:p>
        </w:tc>
      </w:tr>
      <w:tr w:rsidR="002F63B3" w:rsidRPr="002F63B3" w14:paraId="4BAE0F07" w14:textId="77777777" w:rsidTr="003B0BB0">
        <w:trPr>
          <w:trHeight w:val="343"/>
        </w:trPr>
        <w:tc>
          <w:tcPr>
            <w:tcW w:w="2550" w:type="dxa"/>
            <w:hideMark/>
          </w:tcPr>
          <w:p w14:paraId="7A70C702" w14:textId="77777777" w:rsidR="002F63B3" w:rsidRPr="002F63B3" w:rsidRDefault="002F63B3" w:rsidP="002F63B3">
            <w:pPr>
              <w:rPr>
                <w:rFonts w:cstheme="minorHAnsi"/>
              </w:rPr>
            </w:pPr>
            <w:r w:rsidRPr="002F63B3">
              <w:rPr>
                <w:rFonts w:cstheme="minorHAnsi"/>
                <w:kern w:val="24"/>
              </w:rPr>
              <w:t>30–39 years</w:t>
            </w:r>
          </w:p>
        </w:tc>
        <w:tc>
          <w:tcPr>
            <w:tcW w:w="1941" w:type="dxa"/>
            <w:vAlign w:val="bottom"/>
            <w:hideMark/>
          </w:tcPr>
          <w:p w14:paraId="151700E5" w14:textId="4262D347" w:rsidR="002F63B3" w:rsidRPr="002F63B3" w:rsidRDefault="002F63B3" w:rsidP="002F63B3">
            <w:pPr>
              <w:jc w:val="center"/>
              <w:rPr>
                <w:rFonts w:eastAsia="Calibri" w:cstheme="minorHAnsi"/>
                <w:szCs w:val="24"/>
              </w:rPr>
            </w:pPr>
            <w:r w:rsidRPr="002F63B3">
              <w:rPr>
                <w:rFonts w:cstheme="minorHAnsi"/>
                <w:kern w:val="24"/>
              </w:rPr>
              <w:t xml:space="preserve">134 </w:t>
            </w:r>
          </w:p>
        </w:tc>
        <w:tc>
          <w:tcPr>
            <w:tcW w:w="2466" w:type="dxa"/>
            <w:vAlign w:val="bottom"/>
            <w:hideMark/>
          </w:tcPr>
          <w:p w14:paraId="69939A96" w14:textId="72692336" w:rsidR="002F63B3" w:rsidRPr="002F63B3" w:rsidRDefault="002F63B3" w:rsidP="002F63B3">
            <w:pPr>
              <w:jc w:val="center"/>
              <w:rPr>
                <w:rFonts w:eastAsia="Calibri" w:cstheme="minorHAnsi"/>
                <w:szCs w:val="24"/>
              </w:rPr>
            </w:pPr>
            <w:r w:rsidRPr="002F63B3">
              <w:rPr>
                <w:rFonts w:cstheme="minorHAnsi"/>
                <w:kern w:val="24"/>
              </w:rPr>
              <w:t xml:space="preserve">1,980 </w:t>
            </w:r>
          </w:p>
        </w:tc>
        <w:tc>
          <w:tcPr>
            <w:tcW w:w="2603" w:type="dxa"/>
            <w:vAlign w:val="bottom"/>
            <w:hideMark/>
          </w:tcPr>
          <w:p w14:paraId="27DE601F" w14:textId="1F591171" w:rsidR="002F63B3" w:rsidRPr="002F63B3" w:rsidRDefault="002F63B3" w:rsidP="002F63B3">
            <w:pPr>
              <w:jc w:val="center"/>
              <w:rPr>
                <w:rFonts w:cstheme="minorHAnsi"/>
              </w:rPr>
            </w:pPr>
            <w:r w:rsidRPr="002F63B3">
              <w:rPr>
                <w:rFonts w:cstheme="minorHAnsi"/>
                <w:kern w:val="24"/>
              </w:rPr>
              <w:t>7%</w:t>
            </w:r>
          </w:p>
        </w:tc>
      </w:tr>
      <w:tr w:rsidR="002F63B3" w:rsidRPr="002F63B3" w14:paraId="579FF2C6" w14:textId="77777777" w:rsidTr="003B0BB0">
        <w:trPr>
          <w:trHeight w:val="343"/>
        </w:trPr>
        <w:tc>
          <w:tcPr>
            <w:tcW w:w="2550" w:type="dxa"/>
            <w:hideMark/>
          </w:tcPr>
          <w:p w14:paraId="6F835BA1" w14:textId="77777777" w:rsidR="002F63B3" w:rsidRPr="002F63B3" w:rsidRDefault="002F63B3" w:rsidP="002F63B3">
            <w:pPr>
              <w:rPr>
                <w:rFonts w:cstheme="minorHAnsi"/>
              </w:rPr>
            </w:pPr>
            <w:r w:rsidRPr="002F63B3">
              <w:rPr>
                <w:rFonts w:cstheme="minorHAnsi"/>
                <w:kern w:val="24"/>
              </w:rPr>
              <w:t>40–49 years</w:t>
            </w:r>
          </w:p>
        </w:tc>
        <w:tc>
          <w:tcPr>
            <w:tcW w:w="1941" w:type="dxa"/>
            <w:vAlign w:val="bottom"/>
            <w:hideMark/>
          </w:tcPr>
          <w:p w14:paraId="7CC31894" w14:textId="699A1222" w:rsidR="002F63B3" w:rsidRPr="002F63B3" w:rsidRDefault="002F63B3" w:rsidP="002F63B3">
            <w:pPr>
              <w:jc w:val="center"/>
              <w:rPr>
                <w:rFonts w:eastAsia="Calibri" w:cstheme="minorHAnsi"/>
                <w:szCs w:val="24"/>
              </w:rPr>
            </w:pPr>
            <w:r w:rsidRPr="002F63B3">
              <w:rPr>
                <w:rFonts w:cstheme="minorHAnsi"/>
                <w:kern w:val="24"/>
              </w:rPr>
              <w:t xml:space="preserve">209 </w:t>
            </w:r>
          </w:p>
        </w:tc>
        <w:tc>
          <w:tcPr>
            <w:tcW w:w="2466" w:type="dxa"/>
            <w:vAlign w:val="bottom"/>
            <w:hideMark/>
          </w:tcPr>
          <w:p w14:paraId="18F3B746" w14:textId="35DAA687" w:rsidR="002F63B3" w:rsidRPr="002F63B3" w:rsidRDefault="002F63B3" w:rsidP="002F63B3">
            <w:pPr>
              <w:jc w:val="center"/>
              <w:rPr>
                <w:rFonts w:eastAsia="Calibri" w:cstheme="minorHAnsi"/>
                <w:szCs w:val="24"/>
              </w:rPr>
            </w:pPr>
            <w:r w:rsidRPr="002F63B3">
              <w:rPr>
                <w:rFonts w:cstheme="minorHAnsi"/>
                <w:kern w:val="24"/>
              </w:rPr>
              <w:t xml:space="preserve">2,685 </w:t>
            </w:r>
          </w:p>
        </w:tc>
        <w:tc>
          <w:tcPr>
            <w:tcW w:w="2603" w:type="dxa"/>
            <w:vAlign w:val="bottom"/>
            <w:hideMark/>
          </w:tcPr>
          <w:p w14:paraId="674ADA7C" w14:textId="6E5CAA29" w:rsidR="002F63B3" w:rsidRPr="002F63B3" w:rsidRDefault="002F63B3" w:rsidP="002F63B3">
            <w:pPr>
              <w:jc w:val="center"/>
              <w:rPr>
                <w:rFonts w:cstheme="minorHAnsi"/>
              </w:rPr>
            </w:pPr>
            <w:r w:rsidRPr="002F63B3">
              <w:rPr>
                <w:rFonts w:cstheme="minorHAnsi"/>
                <w:kern w:val="24"/>
              </w:rPr>
              <w:t>8%</w:t>
            </w:r>
          </w:p>
        </w:tc>
      </w:tr>
      <w:tr w:rsidR="002F63B3" w:rsidRPr="002F63B3" w14:paraId="04CB1FCB" w14:textId="77777777" w:rsidTr="003B0BB0">
        <w:trPr>
          <w:trHeight w:val="343"/>
        </w:trPr>
        <w:tc>
          <w:tcPr>
            <w:tcW w:w="2550" w:type="dxa"/>
          </w:tcPr>
          <w:p w14:paraId="2E3183ED" w14:textId="77777777" w:rsidR="002F63B3" w:rsidRPr="002F63B3" w:rsidRDefault="002F63B3" w:rsidP="002F63B3">
            <w:pPr>
              <w:rPr>
                <w:rFonts w:cstheme="minorHAnsi"/>
              </w:rPr>
            </w:pPr>
            <w:r w:rsidRPr="002F63B3">
              <w:rPr>
                <w:rFonts w:cstheme="minorHAnsi"/>
                <w:kern w:val="24"/>
              </w:rPr>
              <w:t>50+ years</w:t>
            </w:r>
          </w:p>
        </w:tc>
        <w:tc>
          <w:tcPr>
            <w:tcW w:w="1941" w:type="dxa"/>
            <w:vAlign w:val="bottom"/>
          </w:tcPr>
          <w:p w14:paraId="4075F0C9" w14:textId="2ACFC98F" w:rsidR="002F63B3" w:rsidRPr="002F63B3" w:rsidRDefault="002F63B3" w:rsidP="002F63B3">
            <w:pPr>
              <w:jc w:val="center"/>
              <w:rPr>
                <w:rFonts w:eastAsia="Calibri" w:cstheme="minorHAnsi"/>
                <w:szCs w:val="24"/>
              </w:rPr>
            </w:pPr>
            <w:r w:rsidRPr="002F63B3">
              <w:rPr>
                <w:rFonts w:cstheme="minorHAnsi"/>
                <w:kern w:val="24"/>
              </w:rPr>
              <w:t xml:space="preserve">63 </w:t>
            </w:r>
          </w:p>
        </w:tc>
        <w:tc>
          <w:tcPr>
            <w:tcW w:w="2466" w:type="dxa"/>
            <w:vAlign w:val="bottom"/>
          </w:tcPr>
          <w:p w14:paraId="5EF8D954" w14:textId="0485632B" w:rsidR="002F63B3" w:rsidRPr="002F63B3" w:rsidRDefault="002F63B3" w:rsidP="002F63B3">
            <w:pPr>
              <w:jc w:val="center"/>
              <w:rPr>
                <w:rFonts w:eastAsia="Calibri" w:cstheme="minorHAnsi"/>
                <w:szCs w:val="24"/>
              </w:rPr>
            </w:pPr>
            <w:r w:rsidRPr="002F63B3">
              <w:rPr>
                <w:rFonts w:cstheme="minorHAnsi"/>
                <w:kern w:val="24"/>
              </w:rPr>
              <w:t xml:space="preserve">926 </w:t>
            </w:r>
          </w:p>
        </w:tc>
        <w:tc>
          <w:tcPr>
            <w:tcW w:w="2603" w:type="dxa"/>
            <w:vAlign w:val="bottom"/>
          </w:tcPr>
          <w:p w14:paraId="2F0598FE" w14:textId="2C0A0B9D" w:rsidR="002F63B3" w:rsidRPr="002F63B3" w:rsidRDefault="002F63B3" w:rsidP="002F63B3">
            <w:pPr>
              <w:jc w:val="center"/>
              <w:rPr>
                <w:rFonts w:cstheme="minorHAnsi"/>
              </w:rPr>
            </w:pPr>
            <w:r w:rsidRPr="002F63B3">
              <w:rPr>
                <w:rFonts w:cstheme="minorHAnsi"/>
                <w:kern w:val="24"/>
              </w:rPr>
              <w:t>7%</w:t>
            </w:r>
          </w:p>
        </w:tc>
      </w:tr>
    </w:tbl>
    <w:p w14:paraId="0162A242" w14:textId="6BA75DAA" w:rsidR="00E37594" w:rsidRPr="002F63B3" w:rsidRDefault="00E37594" w:rsidP="00E37594">
      <w:pPr>
        <w:spacing w:after="120"/>
        <w:rPr>
          <w:sz w:val="20"/>
          <w:szCs w:val="20"/>
        </w:rPr>
      </w:pPr>
      <w:r w:rsidRPr="002F63B3">
        <w:rPr>
          <w:sz w:val="20"/>
          <w:szCs w:val="20"/>
        </w:rPr>
        <w:t xml:space="preserve">Data Source: Bureau of Infectious Disease and Laboratory Sciences, data are </w:t>
      </w:r>
      <w:r w:rsidR="009F7C6D" w:rsidRPr="002F63B3">
        <w:rPr>
          <w:sz w:val="20"/>
          <w:szCs w:val="20"/>
        </w:rPr>
        <w:t>current as of 7/22/2024</w:t>
      </w:r>
      <w:r w:rsidRPr="002F63B3">
        <w:rPr>
          <w:sz w:val="20"/>
          <w:szCs w:val="20"/>
        </w:rPr>
        <w:t xml:space="preserve"> and subject to change</w:t>
      </w:r>
      <w:r w:rsidR="00B1580A" w:rsidRPr="002F63B3">
        <w:rPr>
          <w:sz w:val="20"/>
          <w:szCs w:val="20"/>
        </w:rPr>
        <w:t>.</w:t>
      </w:r>
    </w:p>
    <w:p w14:paraId="05DE620D" w14:textId="2D29A6BA" w:rsidR="00381E6F" w:rsidRPr="00381E6F" w:rsidRDefault="5B15FBBD" w:rsidP="00381E6F">
      <w:pPr>
        <w:pStyle w:val="spaced6"/>
      </w:pPr>
      <w:r w:rsidRPr="00381E6F">
        <w:t>In 202</w:t>
      </w:r>
      <w:r w:rsidR="00381E6F" w:rsidRPr="00381E6F">
        <w:t>3</w:t>
      </w:r>
      <w:r w:rsidRPr="00381E6F">
        <w:t>,</w:t>
      </w:r>
      <w:r w:rsidR="00E37594" w:rsidRPr="00381E6F">
        <w:rPr>
          <w:rStyle w:val="FootnoteReference"/>
        </w:rPr>
        <w:footnoteReference w:id="89"/>
      </w:r>
      <w:r w:rsidR="000F3D9D" w:rsidRPr="00381E6F">
        <w:rPr>
          <w:rFonts w:ascii="Arial" w:eastAsiaTheme="minorEastAsia" w:hAnsi="Arial" w:cs="Arial"/>
          <w:kern w:val="24"/>
        </w:rPr>
        <w:t xml:space="preserve"> </w:t>
      </w:r>
      <w:r w:rsidR="00381E6F" w:rsidRPr="00381E6F">
        <w:t xml:space="preserve">among 9,779 </w:t>
      </w:r>
      <w:r w:rsidR="003F6DFF">
        <w:t>confirmed</w:t>
      </w:r>
      <w:r w:rsidR="00381E6F" w:rsidRPr="00381E6F">
        <w:t xml:space="preserve"> cases of</w:t>
      </w:r>
      <w:r w:rsidR="003F6DFF">
        <w:t xml:space="preserve"> </w:t>
      </w:r>
      <w:r w:rsidR="00381E6F" w:rsidRPr="00381E6F">
        <w:t>gonorrhea, 7% (N=711/9,779) were ever co-infected with HIV.</w:t>
      </w:r>
    </w:p>
    <w:p w14:paraId="6BD8F6FE" w14:textId="10A9F991" w:rsidR="000F3D9D" w:rsidRPr="00381E6F" w:rsidRDefault="00381E6F" w:rsidP="00381E6F">
      <w:pPr>
        <w:pStyle w:val="spaced6"/>
      </w:pPr>
      <w:r w:rsidRPr="00381E6F">
        <w:t xml:space="preserve">Among confirmed gonorrhea cases reported in 2023, </w:t>
      </w:r>
      <w:r w:rsidR="004608DB" w:rsidRPr="004608DB">
        <w:t>the proportion of individuals ever co-infected with HIV did not vary markedly by gender, race/ethnicity, or age</w:t>
      </w:r>
      <w:r w:rsidR="000F3D9D" w:rsidRPr="00381E6F">
        <w:t>.</w:t>
      </w:r>
    </w:p>
    <w:p w14:paraId="11A93DF6" w14:textId="7D8852D3" w:rsidR="00E9327B" w:rsidRPr="00234D05" w:rsidRDefault="00E9327B" w:rsidP="72E089C3">
      <w:pPr>
        <w:pStyle w:val="spaced6"/>
        <w:numPr>
          <w:ilvl w:val="0"/>
          <w:numId w:val="0"/>
        </w:numPr>
        <w:rPr>
          <w:color w:val="FF0000"/>
        </w:rPr>
      </w:pPr>
      <w:r w:rsidRPr="72E089C3">
        <w:rPr>
          <w:color w:val="FF0000"/>
        </w:rPr>
        <w:br w:type="page"/>
      </w:r>
    </w:p>
    <w:p w14:paraId="6F6AF902" w14:textId="5A42F968" w:rsidR="00854B5E" w:rsidRPr="00381E6F" w:rsidRDefault="00E9327B" w:rsidP="38A4F72D">
      <w:pPr>
        <w:pStyle w:val="Heading2"/>
      </w:pPr>
      <w:bookmarkStart w:id="39" w:name="_Toc1352677363"/>
      <w:r>
        <w:lastRenderedPageBreak/>
        <w:t>HIV/HEPATITIS C</w:t>
      </w:r>
      <w:bookmarkEnd w:id="39"/>
      <w:r w:rsidR="008203AA">
        <w:t xml:space="preserve"> (HCV)</w:t>
      </w:r>
    </w:p>
    <w:p w14:paraId="0DCC63E7" w14:textId="147603EC" w:rsidR="00E9327B" w:rsidRPr="00447C80" w:rsidRDefault="47A607C9" w:rsidP="00E9327B">
      <w:r w:rsidRPr="00447C80">
        <w:rPr>
          <w:b/>
          <w:bCs/>
        </w:rPr>
        <w:t xml:space="preserve">Figure 25. </w:t>
      </w:r>
      <w:r w:rsidRPr="00447C80">
        <w:t xml:space="preserve">Number of individuals diagnosed with HIV infection only, and ever co-infected with </w:t>
      </w:r>
      <w:r w:rsidR="008203AA">
        <w:t>hepatitis C</w:t>
      </w:r>
      <w:r w:rsidRPr="00447C80">
        <w:t xml:space="preserve"> (HCV) by year of HIV infection diagnosis, Massachusetts </w:t>
      </w:r>
      <w:r w:rsidR="00F446E3" w:rsidRPr="00447C80">
        <w:t>2014–202</w:t>
      </w:r>
      <w:r w:rsidR="00DF6E10">
        <w:t>3</w:t>
      </w:r>
      <w:r w:rsidRPr="00447C80">
        <w:t xml:space="preserve"> </w:t>
      </w:r>
    </w:p>
    <w:p w14:paraId="20A03F1D" w14:textId="0556FF43" w:rsidR="001067E9" w:rsidRPr="00234D05" w:rsidRDefault="00DF6E10" w:rsidP="00E9327B">
      <w:pPr>
        <w:rPr>
          <w:color w:val="FF0000"/>
        </w:rPr>
      </w:pPr>
      <w:r>
        <w:rPr>
          <w:noProof/>
          <w:color w:val="FF0000"/>
        </w:rPr>
        <w:drawing>
          <wp:inline distT="0" distB="0" distL="0" distR="0" wp14:anchorId="39F74D7A" wp14:editId="2AF5B3F6">
            <wp:extent cx="6389370" cy="4176395"/>
            <wp:effectExtent l="0" t="0" r="0" b="0"/>
            <wp:docPr id="1464131684" name="Picture 14" descr="The figure is a stacked bar chart displaying the number of individuals diagnosed with HIV infection only and the number of individuals co-diagnosed with HIV infection and hepatitis C each year from 2014 to 2023. An overlayed trendline displays the percentage of HIV infection diagnoses that were co-infected with hepatitis C by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31684" name="Picture 14" descr="The figure is a stacked bar chart displaying the number of individuals diagnosed with HIV infection only and the number of individuals co-diagnosed with HIV infection and hepatitis C each year from 2014 to 2023. An overlayed trendline displays the percentage of HIV infection diagnoses that were co-infected with hepatitis C by year.&#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9370" cy="4176395"/>
                    </a:xfrm>
                    <a:prstGeom prst="rect">
                      <a:avLst/>
                    </a:prstGeom>
                    <a:noFill/>
                  </pic:spPr>
                </pic:pic>
              </a:graphicData>
            </a:graphic>
          </wp:inline>
        </w:drawing>
      </w:r>
    </w:p>
    <w:p w14:paraId="2749D7E7" w14:textId="2619BA39" w:rsidR="00E9327B" w:rsidRPr="00234D05" w:rsidRDefault="00E9327B" w:rsidP="00E9327B">
      <w:pPr>
        <w:rPr>
          <w:color w:val="FF0000"/>
          <w:szCs w:val="24"/>
        </w:rPr>
      </w:pPr>
    </w:p>
    <w:p w14:paraId="09C3F9DC" w14:textId="1415767E" w:rsidR="00E9327B" w:rsidRPr="00447C80" w:rsidRDefault="00E9327B" w:rsidP="00E9327B">
      <w:pPr>
        <w:spacing w:after="120"/>
        <w:rPr>
          <w:sz w:val="20"/>
          <w:szCs w:val="20"/>
        </w:rPr>
      </w:pPr>
      <w:r w:rsidRPr="00447C80">
        <w:rPr>
          <w:sz w:val="20"/>
          <w:szCs w:val="20"/>
        </w:rPr>
        <w:t xml:space="preserve">Data Source: Bureau of Infectious Disease and Laboratory Sciences, data are current as of </w:t>
      </w:r>
      <w:r w:rsidR="0089109E">
        <w:rPr>
          <w:sz w:val="20"/>
          <w:szCs w:val="20"/>
        </w:rPr>
        <w:t>7</w:t>
      </w:r>
      <w:r w:rsidR="001F75D4" w:rsidRPr="00447C80">
        <w:rPr>
          <w:sz w:val="20"/>
          <w:szCs w:val="20"/>
        </w:rPr>
        <w:t>/</w:t>
      </w:r>
      <w:r w:rsidR="0089109E">
        <w:rPr>
          <w:sz w:val="20"/>
          <w:szCs w:val="20"/>
        </w:rPr>
        <w:t>1</w:t>
      </w:r>
      <w:r w:rsidR="001F75D4" w:rsidRPr="00447C80">
        <w:rPr>
          <w:sz w:val="20"/>
          <w:szCs w:val="20"/>
        </w:rPr>
        <w:t>/202</w:t>
      </w:r>
      <w:r w:rsidR="0089109E">
        <w:rPr>
          <w:sz w:val="20"/>
          <w:szCs w:val="20"/>
        </w:rPr>
        <w:t>4</w:t>
      </w:r>
      <w:r w:rsidRPr="00447C80">
        <w:rPr>
          <w:sz w:val="20"/>
          <w:szCs w:val="20"/>
        </w:rPr>
        <w:t xml:space="preserve"> and subject to </w:t>
      </w:r>
      <w:r w:rsidR="001067E9" w:rsidRPr="00447C80">
        <w:rPr>
          <w:sz w:val="20"/>
          <w:szCs w:val="20"/>
        </w:rPr>
        <w:t>change.</w:t>
      </w:r>
    </w:p>
    <w:p w14:paraId="744009E4" w14:textId="6BBD69D3" w:rsidR="00960602" w:rsidRPr="00447C80" w:rsidRDefault="009E2659" w:rsidP="00DE5ADD">
      <w:pPr>
        <w:numPr>
          <w:ilvl w:val="0"/>
          <w:numId w:val="10"/>
        </w:numPr>
      </w:pPr>
      <w:r w:rsidRPr="009E2659">
        <w:t xml:space="preserve">The percentage of individuals diagnosed with HIV infection who were co-infected with </w:t>
      </w:r>
      <w:r w:rsidR="008203AA">
        <w:t>HCV</w:t>
      </w:r>
      <w:r w:rsidRPr="009E2659">
        <w:t xml:space="preserve"> increased from 8% (N=50/651) in 2014 to 19% (N=118/615) in 2017, decreased to 15% in 2018 (N=99/656), increased again to a ten-year high of 23% (N=98/434) in 2020 and then decreased to 8% (N=42/540) in 2023</w:t>
      </w:r>
      <w:r>
        <w:t>.</w:t>
      </w:r>
      <w:r w:rsidRPr="009E2659">
        <w:rPr>
          <w:rStyle w:val="FootnoteReference"/>
        </w:rPr>
        <w:t xml:space="preserve"> </w:t>
      </w:r>
      <w:r w:rsidRPr="00381E6F">
        <w:rPr>
          <w:rStyle w:val="FootnoteReference"/>
        </w:rPr>
        <w:footnoteReference w:id="90"/>
      </w:r>
      <w:r w:rsidRPr="009E2659">
        <w:rPr>
          <w:vertAlign w:val="superscript"/>
        </w:rPr>
        <w:t>,</w:t>
      </w:r>
      <w:r w:rsidR="003F31B3">
        <w:rPr>
          <w:vertAlign w:val="superscript"/>
        </w:rPr>
        <w:t xml:space="preserve"> </w:t>
      </w:r>
      <w:r>
        <w:rPr>
          <w:rStyle w:val="FootnoteReference"/>
        </w:rPr>
        <w:footnoteReference w:id="91"/>
      </w:r>
      <w:r>
        <w:t xml:space="preserve"> </w:t>
      </w:r>
      <w:r w:rsidRPr="009E2659">
        <w:t>This trend mirrors that among HIV infection diagnoses with a primary exposure mode of injection drug use and is likely related to two outbreaks of HIV infection among persons who inject drugs. The first outbreak occurred from 2016 to 2018 in the northeastern part of the state and the second was identified in 2019 in the Boston area and is still ongoing</w:t>
      </w:r>
      <w:r w:rsidR="240FEE49" w:rsidRPr="00447C80">
        <w:t xml:space="preserve"> (see </w:t>
      </w:r>
      <w:hyperlink w:anchor="_SPECIFIC_POPULATIONS_–" w:history="1">
        <w:r w:rsidR="240FEE49" w:rsidRPr="009E2659">
          <w:rPr>
            <w:rStyle w:val="Hyperlink"/>
            <w:color w:val="3333FF"/>
          </w:rPr>
          <w:t>Specific Populations – Persons Who Inject Drugs</w:t>
        </w:r>
      </w:hyperlink>
      <w:r w:rsidR="240FEE49" w:rsidRPr="00447C80">
        <w:t xml:space="preserve"> for more information).</w:t>
      </w:r>
    </w:p>
    <w:p w14:paraId="03F6CB6E" w14:textId="6E5E04D8" w:rsidR="00F715F6" w:rsidRPr="00234D05" w:rsidRDefault="00F715F6" w:rsidP="00F345D5">
      <w:pPr>
        <w:rPr>
          <w:color w:val="FF0000"/>
        </w:rPr>
      </w:pPr>
    </w:p>
    <w:p w14:paraId="3EEEA818" w14:textId="5BEBF3A2" w:rsidR="034544F5" w:rsidRPr="00234D05" w:rsidRDefault="034544F5" w:rsidP="034544F5">
      <w:pPr>
        <w:rPr>
          <w:color w:val="FF0000"/>
        </w:rPr>
      </w:pPr>
    </w:p>
    <w:p w14:paraId="740B57B4" w14:textId="4ED41D9D" w:rsidR="034544F5" w:rsidRPr="00234D05" w:rsidRDefault="034544F5" w:rsidP="034544F5">
      <w:pPr>
        <w:rPr>
          <w:color w:val="FF0000"/>
        </w:rPr>
      </w:pPr>
    </w:p>
    <w:p w14:paraId="2B4DBE13" w14:textId="2D796A52" w:rsidR="034544F5" w:rsidRPr="00234D05" w:rsidRDefault="034544F5" w:rsidP="034544F5">
      <w:pPr>
        <w:rPr>
          <w:color w:val="FF0000"/>
        </w:rPr>
      </w:pPr>
    </w:p>
    <w:p w14:paraId="17B3E5BE" w14:textId="043B5D00" w:rsidR="034544F5" w:rsidRPr="00234D05" w:rsidRDefault="034544F5" w:rsidP="034544F5">
      <w:pPr>
        <w:rPr>
          <w:color w:val="FF0000"/>
        </w:rPr>
      </w:pPr>
    </w:p>
    <w:p w14:paraId="315B820A" w14:textId="1E5CEE75" w:rsidR="034544F5" w:rsidRPr="00234D05" w:rsidRDefault="034544F5" w:rsidP="034544F5">
      <w:pPr>
        <w:rPr>
          <w:color w:val="FF0000"/>
        </w:rPr>
      </w:pPr>
    </w:p>
    <w:p w14:paraId="541FFA89" w14:textId="52FF09F8" w:rsidR="034544F5" w:rsidRPr="00234D05" w:rsidRDefault="034544F5" w:rsidP="034544F5">
      <w:pPr>
        <w:rPr>
          <w:color w:val="FF0000"/>
        </w:rPr>
      </w:pPr>
    </w:p>
    <w:p w14:paraId="2DF16CDF" w14:textId="2656501B" w:rsidR="00E9327B" w:rsidRPr="00381E6F" w:rsidRDefault="00F715F6" w:rsidP="00F715F6">
      <w:pPr>
        <w:pStyle w:val="Heading2"/>
      </w:pPr>
      <w:bookmarkStart w:id="40" w:name="_Toc228491356"/>
      <w:r>
        <w:t>HIV/HC</w:t>
      </w:r>
      <w:r w:rsidR="000110E8">
        <w:t>V</w:t>
      </w:r>
      <w:r>
        <w:t xml:space="preserve"> CO-INFECTIONS BY DEMOGRAPHICS</w:t>
      </w:r>
      <w:bookmarkEnd w:id="40"/>
    </w:p>
    <w:p w14:paraId="0D7BC5B4" w14:textId="344C730E" w:rsidR="00E9327B" w:rsidRPr="00447C80" w:rsidRDefault="00A95DB2" w:rsidP="00E9327B">
      <w:pPr>
        <w:rPr>
          <w:szCs w:val="24"/>
        </w:rPr>
      </w:pPr>
      <w:r w:rsidRPr="00447C80">
        <w:rPr>
          <w:b/>
          <w:bCs/>
          <w:szCs w:val="24"/>
        </w:rPr>
        <w:t xml:space="preserve">Table 3. </w:t>
      </w:r>
      <w:r w:rsidRPr="00447C80">
        <w:rPr>
          <w:szCs w:val="24"/>
        </w:rPr>
        <w:t>Individuals diagnosed with HIV infection ever co-infected with HCV by year of HIV infection diagnosis and selected demographics, 201</w:t>
      </w:r>
      <w:r w:rsidR="003F31B3">
        <w:rPr>
          <w:szCs w:val="24"/>
        </w:rPr>
        <w:t>9</w:t>
      </w:r>
      <w:r w:rsidRPr="00447C80">
        <w:rPr>
          <w:szCs w:val="24"/>
        </w:rPr>
        <w:t>–202</w:t>
      </w:r>
      <w:r w:rsidR="003F31B3">
        <w:rPr>
          <w:szCs w:val="24"/>
        </w:rPr>
        <w:t>3</w:t>
      </w:r>
    </w:p>
    <w:tbl>
      <w:tblPr>
        <w:tblStyle w:val="TableGrid"/>
        <w:tblW w:w="9774" w:type="dxa"/>
        <w:tblLook w:val="0420" w:firstRow="1" w:lastRow="0" w:firstColumn="0" w:lastColumn="0" w:noHBand="0" w:noVBand="1"/>
        <w:tblCaption w:val="Table 3. Individuals diagnosed with HIV infection ever co-infected with hepatitis C virus (HCV) by year of HIV infection diagnosis and selected demographics, 2018–2022"/>
        <w:tblDescription w:val="The table displays the number and percentage distribution of individuals co-infected with HIV/HCV by sex assigned at birth, race/ethnicity, age, and HIV exposure mode each year for five years: 2018 (N=109), 2019 (N=82), 2020 (N=99), 2021 (N=89), and 2022 (N=54).&#10;"/>
      </w:tblPr>
      <w:tblGrid>
        <w:gridCol w:w="2736"/>
        <w:gridCol w:w="703"/>
        <w:gridCol w:w="704"/>
        <w:gridCol w:w="704"/>
        <w:gridCol w:w="704"/>
        <w:gridCol w:w="704"/>
        <w:gridCol w:w="703"/>
        <w:gridCol w:w="704"/>
        <w:gridCol w:w="704"/>
        <w:gridCol w:w="704"/>
        <w:gridCol w:w="704"/>
      </w:tblGrid>
      <w:tr w:rsidR="003F31B3" w:rsidRPr="00447C80" w14:paraId="25519864" w14:textId="77777777" w:rsidTr="003B0BB0">
        <w:trPr>
          <w:trHeight w:val="144"/>
        </w:trPr>
        <w:tc>
          <w:tcPr>
            <w:tcW w:w="2736" w:type="dxa"/>
            <w:hideMark/>
          </w:tcPr>
          <w:p w14:paraId="70EDCB9E" w14:textId="77777777" w:rsidR="003F31B3" w:rsidRPr="00447C80" w:rsidRDefault="003F31B3" w:rsidP="003F31B3">
            <w:pPr>
              <w:rPr>
                <w:szCs w:val="24"/>
              </w:rPr>
            </w:pPr>
          </w:p>
        </w:tc>
        <w:tc>
          <w:tcPr>
            <w:tcW w:w="703" w:type="dxa"/>
            <w:shd w:val="clear" w:color="auto" w:fill="DEEAF6" w:themeFill="accent5" w:themeFillTint="33"/>
            <w:hideMark/>
          </w:tcPr>
          <w:p w14:paraId="5D458253" w14:textId="77777777" w:rsidR="003F31B3" w:rsidRPr="00447C80" w:rsidRDefault="003F31B3" w:rsidP="003F31B3">
            <w:pPr>
              <w:jc w:val="center"/>
              <w:rPr>
                <w:b/>
                <w:bCs/>
              </w:rPr>
            </w:pPr>
            <w:r w:rsidRPr="06A3C928">
              <w:rPr>
                <w:b/>
                <w:bCs/>
              </w:rPr>
              <w:t>2019</w:t>
            </w:r>
          </w:p>
          <w:p w14:paraId="13FDCCA2" w14:textId="4EA585F0" w:rsidR="003F31B3" w:rsidRPr="00447C80" w:rsidRDefault="003F31B3" w:rsidP="003F31B3">
            <w:pPr>
              <w:jc w:val="center"/>
            </w:pPr>
            <w:r w:rsidRPr="06A3C928">
              <w:rPr>
                <w:b/>
                <w:bCs/>
              </w:rPr>
              <w:t>N</w:t>
            </w:r>
          </w:p>
        </w:tc>
        <w:tc>
          <w:tcPr>
            <w:tcW w:w="704" w:type="dxa"/>
            <w:shd w:val="clear" w:color="auto" w:fill="DEEAF6" w:themeFill="accent5" w:themeFillTint="33"/>
            <w:hideMark/>
          </w:tcPr>
          <w:p w14:paraId="6BE47675" w14:textId="77777777" w:rsidR="003F31B3" w:rsidRPr="00447C80" w:rsidRDefault="003F31B3" w:rsidP="003F31B3">
            <w:pPr>
              <w:jc w:val="center"/>
              <w:rPr>
                <w:b/>
                <w:bCs/>
              </w:rPr>
            </w:pPr>
            <w:r w:rsidRPr="06A3C928">
              <w:rPr>
                <w:b/>
                <w:bCs/>
              </w:rPr>
              <w:t>2019</w:t>
            </w:r>
          </w:p>
          <w:p w14:paraId="0AA01009" w14:textId="36A164D5" w:rsidR="003F31B3" w:rsidRPr="00447C80" w:rsidRDefault="003F31B3" w:rsidP="003F31B3">
            <w:pPr>
              <w:jc w:val="center"/>
            </w:pPr>
            <w:r w:rsidRPr="06A3C928">
              <w:rPr>
                <w:b/>
                <w:bCs/>
              </w:rPr>
              <w:t>%</w:t>
            </w:r>
          </w:p>
        </w:tc>
        <w:tc>
          <w:tcPr>
            <w:tcW w:w="704" w:type="dxa"/>
            <w:hideMark/>
          </w:tcPr>
          <w:p w14:paraId="48923A76" w14:textId="77777777" w:rsidR="003F31B3" w:rsidRPr="00447C80" w:rsidRDefault="003F31B3" w:rsidP="003F31B3">
            <w:pPr>
              <w:jc w:val="center"/>
              <w:rPr>
                <w:b/>
                <w:bCs/>
              </w:rPr>
            </w:pPr>
            <w:r w:rsidRPr="06A3C928">
              <w:rPr>
                <w:b/>
                <w:bCs/>
              </w:rPr>
              <w:t>2020</w:t>
            </w:r>
          </w:p>
          <w:p w14:paraId="7B935A02" w14:textId="2CD9A3D9" w:rsidR="003F31B3" w:rsidRPr="00447C80" w:rsidRDefault="003F31B3" w:rsidP="003F31B3">
            <w:pPr>
              <w:jc w:val="center"/>
            </w:pPr>
            <w:r w:rsidRPr="06A3C928">
              <w:rPr>
                <w:b/>
                <w:bCs/>
              </w:rPr>
              <w:t>N</w:t>
            </w:r>
          </w:p>
        </w:tc>
        <w:tc>
          <w:tcPr>
            <w:tcW w:w="704" w:type="dxa"/>
            <w:hideMark/>
          </w:tcPr>
          <w:p w14:paraId="37801CA6" w14:textId="77777777" w:rsidR="003F31B3" w:rsidRPr="00447C80" w:rsidRDefault="003F31B3" w:rsidP="003F31B3">
            <w:pPr>
              <w:jc w:val="center"/>
              <w:rPr>
                <w:b/>
                <w:bCs/>
              </w:rPr>
            </w:pPr>
            <w:r w:rsidRPr="06A3C928">
              <w:rPr>
                <w:b/>
                <w:bCs/>
              </w:rPr>
              <w:t>2020</w:t>
            </w:r>
          </w:p>
          <w:p w14:paraId="5DBBAA47" w14:textId="48D7E1DF" w:rsidR="003F31B3" w:rsidRPr="00447C80" w:rsidRDefault="003F31B3" w:rsidP="003F31B3">
            <w:pPr>
              <w:jc w:val="center"/>
            </w:pPr>
            <w:r w:rsidRPr="06A3C928">
              <w:rPr>
                <w:b/>
                <w:bCs/>
              </w:rPr>
              <w:t>%</w:t>
            </w:r>
          </w:p>
        </w:tc>
        <w:tc>
          <w:tcPr>
            <w:tcW w:w="704" w:type="dxa"/>
            <w:shd w:val="clear" w:color="auto" w:fill="DEEAF6" w:themeFill="accent5" w:themeFillTint="33"/>
            <w:hideMark/>
          </w:tcPr>
          <w:p w14:paraId="4D2EFD28" w14:textId="77777777" w:rsidR="003F31B3" w:rsidRPr="00447C80" w:rsidRDefault="003F31B3" w:rsidP="003F31B3">
            <w:pPr>
              <w:jc w:val="center"/>
              <w:rPr>
                <w:b/>
                <w:bCs/>
              </w:rPr>
            </w:pPr>
            <w:r w:rsidRPr="06A3C928">
              <w:rPr>
                <w:b/>
                <w:bCs/>
              </w:rPr>
              <w:t>2021</w:t>
            </w:r>
          </w:p>
          <w:p w14:paraId="6E6E6979" w14:textId="1EB2C6C4" w:rsidR="003F31B3" w:rsidRPr="00447C80" w:rsidRDefault="003F31B3" w:rsidP="003F31B3">
            <w:pPr>
              <w:jc w:val="center"/>
            </w:pPr>
            <w:r w:rsidRPr="06A3C928">
              <w:rPr>
                <w:b/>
                <w:bCs/>
              </w:rPr>
              <w:t>N</w:t>
            </w:r>
          </w:p>
        </w:tc>
        <w:tc>
          <w:tcPr>
            <w:tcW w:w="703" w:type="dxa"/>
            <w:shd w:val="clear" w:color="auto" w:fill="DEEAF6" w:themeFill="accent5" w:themeFillTint="33"/>
            <w:hideMark/>
          </w:tcPr>
          <w:p w14:paraId="0DA04B98" w14:textId="77777777" w:rsidR="003F31B3" w:rsidRPr="00447C80" w:rsidRDefault="003F31B3" w:rsidP="003F31B3">
            <w:pPr>
              <w:jc w:val="center"/>
              <w:rPr>
                <w:b/>
                <w:bCs/>
              </w:rPr>
            </w:pPr>
            <w:r w:rsidRPr="06A3C928">
              <w:rPr>
                <w:b/>
                <w:bCs/>
              </w:rPr>
              <w:t>2021</w:t>
            </w:r>
          </w:p>
          <w:p w14:paraId="2048483D" w14:textId="5980C90E" w:rsidR="003F31B3" w:rsidRPr="00447C80" w:rsidRDefault="003F31B3" w:rsidP="003F31B3">
            <w:pPr>
              <w:jc w:val="center"/>
            </w:pPr>
            <w:r w:rsidRPr="06A3C928">
              <w:rPr>
                <w:b/>
                <w:bCs/>
              </w:rPr>
              <w:t>%</w:t>
            </w:r>
          </w:p>
        </w:tc>
        <w:tc>
          <w:tcPr>
            <w:tcW w:w="704" w:type="dxa"/>
            <w:hideMark/>
          </w:tcPr>
          <w:p w14:paraId="792F8F37" w14:textId="77777777" w:rsidR="003F31B3" w:rsidRPr="00447C80" w:rsidRDefault="003F31B3" w:rsidP="003F31B3">
            <w:pPr>
              <w:jc w:val="center"/>
              <w:rPr>
                <w:b/>
                <w:bCs/>
              </w:rPr>
            </w:pPr>
            <w:r w:rsidRPr="06A3C928">
              <w:rPr>
                <w:b/>
                <w:bCs/>
              </w:rPr>
              <w:t>2022</w:t>
            </w:r>
          </w:p>
          <w:p w14:paraId="1E84FAC7" w14:textId="309625A5" w:rsidR="003F31B3" w:rsidRPr="00447C80" w:rsidRDefault="003F31B3" w:rsidP="003F31B3">
            <w:pPr>
              <w:jc w:val="center"/>
            </w:pPr>
            <w:r w:rsidRPr="06A3C928">
              <w:rPr>
                <w:b/>
                <w:bCs/>
              </w:rPr>
              <w:t>N</w:t>
            </w:r>
          </w:p>
        </w:tc>
        <w:tc>
          <w:tcPr>
            <w:tcW w:w="704" w:type="dxa"/>
            <w:hideMark/>
          </w:tcPr>
          <w:p w14:paraId="24C90A7D" w14:textId="77777777" w:rsidR="003F31B3" w:rsidRPr="00447C80" w:rsidRDefault="003F31B3" w:rsidP="003F31B3">
            <w:pPr>
              <w:jc w:val="center"/>
              <w:rPr>
                <w:b/>
                <w:bCs/>
              </w:rPr>
            </w:pPr>
            <w:r w:rsidRPr="06A3C928">
              <w:rPr>
                <w:b/>
                <w:bCs/>
              </w:rPr>
              <w:t>2022</w:t>
            </w:r>
          </w:p>
          <w:p w14:paraId="72CACCEF" w14:textId="4FA4142F" w:rsidR="003F31B3" w:rsidRPr="00447C80" w:rsidRDefault="003F31B3" w:rsidP="003F31B3">
            <w:pPr>
              <w:jc w:val="center"/>
            </w:pPr>
            <w:r w:rsidRPr="06A3C928">
              <w:rPr>
                <w:b/>
                <w:bCs/>
              </w:rPr>
              <w:t>%</w:t>
            </w:r>
          </w:p>
        </w:tc>
        <w:tc>
          <w:tcPr>
            <w:tcW w:w="704" w:type="dxa"/>
            <w:shd w:val="clear" w:color="auto" w:fill="DEEAF6" w:themeFill="accent5" w:themeFillTint="33"/>
            <w:hideMark/>
          </w:tcPr>
          <w:p w14:paraId="6924DD24" w14:textId="0D454125" w:rsidR="003F31B3" w:rsidRPr="00447C80" w:rsidRDefault="003F31B3" w:rsidP="003F31B3">
            <w:pPr>
              <w:jc w:val="center"/>
              <w:rPr>
                <w:b/>
                <w:bCs/>
              </w:rPr>
            </w:pPr>
            <w:r w:rsidRPr="06A3C928">
              <w:rPr>
                <w:b/>
                <w:bCs/>
              </w:rPr>
              <w:t>202</w:t>
            </w:r>
            <w:r>
              <w:rPr>
                <w:b/>
                <w:bCs/>
              </w:rPr>
              <w:t>3</w:t>
            </w:r>
          </w:p>
          <w:p w14:paraId="464492B5" w14:textId="77777777" w:rsidR="003F31B3" w:rsidRPr="00447C80" w:rsidRDefault="003F31B3" w:rsidP="003F31B3">
            <w:pPr>
              <w:jc w:val="center"/>
            </w:pPr>
            <w:r w:rsidRPr="06A3C928">
              <w:rPr>
                <w:b/>
                <w:bCs/>
              </w:rPr>
              <w:t>N</w:t>
            </w:r>
          </w:p>
        </w:tc>
        <w:tc>
          <w:tcPr>
            <w:tcW w:w="704" w:type="dxa"/>
            <w:shd w:val="clear" w:color="auto" w:fill="DEEAF6" w:themeFill="accent5" w:themeFillTint="33"/>
            <w:hideMark/>
          </w:tcPr>
          <w:p w14:paraId="4FBD016B" w14:textId="31C353A6" w:rsidR="003F31B3" w:rsidRPr="00447C80" w:rsidRDefault="003F31B3" w:rsidP="003F31B3">
            <w:pPr>
              <w:jc w:val="center"/>
              <w:rPr>
                <w:b/>
                <w:bCs/>
              </w:rPr>
            </w:pPr>
            <w:r w:rsidRPr="06A3C928">
              <w:rPr>
                <w:b/>
                <w:bCs/>
              </w:rPr>
              <w:t>202</w:t>
            </w:r>
            <w:r>
              <w:rPr>
                <w:b/>
                <w:bCs/>
              </w:rPr>
              <w:t>3</w:t>
            </w:r>
          </w:p>
          <w:p w14:paraId="20EC53A5" w14:textId="77777777" w:rsidR="003F31B3" w:rsidRPr="00447C80" w:rsidRDefault="003F31B3" w:rsidP="003F31B3">
            <w:pPr>
              <w:jc w:val="center"/>
              <w:rPr>
                <w:b/>
                <w:bCs/>
              </w:rPr>
            </w:pPr>
            <w:r w:rsidRPr="06A3C928">
              <w:rPr>
                <w:b/>
                <w:bCs/>
              </w:rPr>
              <w:t>%</w:t>
            </w:r>
          </w:p>
        </w:tc>
      </w:tr>
      <w:tr w:rsidR="00447C80" w:rsidRPr="00447C80" w14:paraId="4B643CF5" w14:textId="77777777" w:rsidTr="06A3C928">
        <w:trPr>
          <w:trHeight w:val="20"/>
        </w:trPr>
        <w:tc>
          <w:tcPr>
            <w:tcW w:w="2736" w:type="dxa"/>
            <w:hideMark/>
          </w:tcPr>
          <w:p w14:paraId="464FF7B0" w14:textId="77777777" w:rsidR="00A95DB2" w:rsidRPr="00447C80" w:rsidRDefault="0EF0007F" w:rsidP="034544F5">
            <w:r w:rsidRPr="00447C80">
              <w:rPr>
                <w:b/>
                <w:bCs/>
              </w:rPr>
              <w:t>Sex Assigned at Birth:</w:t>
            </w:r>
          </w:p>
        </w:tc>
        <w:tc>
          <w:tcPr>
            <w:tcW w:w="703" w:type="dxa"/>
            <w:shd w:val="clear" w:color="auto" w:fill="DEEAF6" w:themeFill="accent5" w:themeFillTint="33"/>
            <w:hideMark/>
          </w:tcPr>
          <w:p w14:paraId="04DE0018" w14:textId="77777777" w:rsidR="00A95DB2" w:rsidRPr="00447C80" w:rsidRDefault="00A95DB2" w:rsidP="0016095F">
            <w:pPr>
              <w:jc w:val="right"/>
              <w:rPr>
                <w:szCs w:val="24"/>
              </w:rPr>
            </w:pPr>
          </w:p>
        </w:tc>
        <w:tc>
          <w:tcPr>
            <w:tcW w:w="704" w:type="dxa"/>
            <w:shd w:val="clear" w:color="auto" w:fill="DEEAF6" w:themeFill="accent5" w:themeFillTint="33"/>
            <w:hideMark/>
          </w:tcPr>
          <w:p w14:paraId="53B65470" w14:textId="77777777" w:rsidR="00A95DB2" w:rsidRPr="00447C80" w:rsidRDefault="00A95DB2" w:rsidP="0016095F">
            <w:pPr>
              <w:jc w:val="right"/>
              <w:rPr>
                <w:szCs w:val="24"/>
              </w:rPr>
            </w:pPr>
          </w:p>
        </w:tc>
        <w:tc>
          <w:tcPr>
            <w:tcW w:w="704" w:type="dxa"/>
            <w:hideMark/>
          </w:tcPr>
          <w:p w14:paraId="14D21D9D" w14:textId="77777777" w:rsidR="00A95DB2" w:rsidRPr="00447C80" w:rsidRDefault="00A95DB2" w:rsidP="0016095F">
            <w:pPr>
              <w:jc w:val="right"/>
              <w:rPr>
                <w:szCs w:val="24"/>
              </w:rPr>
            </w:pPr>
          </w:p>
        </w:tc>
        <w:tc>
          <w:tcPr>
            <w:tcW w:w="704" w:type="dxa"/>
            <w:hideMark/>
          </w:tcPr>
          <w:p w14:paraId="5BC6CA1A" w14:textId="77777777" w:rsidR="00A95DB2" w:rsidRPr="00447C80" w:rsidRDefault="00A95DB2" w:rsidP="0016095F">
            <w:pPr>
              <w:jc w:val="right"/>
              <w:rPr>
                <w:szCs w:val="24"/>
              </w:rPr>
            </w:pPr>
          </w:p>
        </w:tc>
        <w:tc>
          <w:tcPr>
            <w:tcW w:w="704" w:type="dxa"/>
            <w:shd w:val="clear" w:color="auto" w:fill="DEEAF6" w:themeFill="accent5" w:themeFillTint="33"/>
            <w:hideMark/>
          </w:tcPr>
          <w:p w14:paraId="74443EE1" w14:textId="77777777" w:rsidR="00A95DB2" w:rsidRPr="00447C80" w:rsidRDefault="00A95DB2" w:rsidP="0016095F">
            <w:pPr>
              <w:jc w:val="right"/>
              <w:rPr>
                <w:szCs w:val="24"/>
              </w:rPr>
            </w:pPr>
          </w:p>
        </w:tc>
        <w:tc>
          <w:tcPr>
            <w:tcW w:w="703" w:type="dxa"/>
            <w:shd w:val="clear" w:color="auto" w:fill="DEEAF6" w:themeFill="accent5" w:themeFillTint="33"/>
            <w:hideMark/>
          </w:tcPr>
          <w:p w14:paraId="792D2C1B" w14:textId="77777777" w:rsidR="00A95DB2" w:rsidRPr="00447C80" w:rsidRDefault="00A95DB2" w:rsidP="0016095F">
            <w:pPr>
              <w:jc w:val="right"/>
              <w:rPr>
                <w:szCs w:val="24"/>
              </w:rPr>
            </w:pPr>
          </w:p>
        </w:tc>
        <w:tc>
          <w:tcPr>
            <w:tcW w:w="704" w:type="dxa"/>
            <w:hideMark/>
          </w:tcPr>
          <w:p w14:paraId="5501F713" w14:textId="77777777" w:rsidR="00A95DB2" w:rsidRPr="00447C80" w:rsidRDefault="00A95DB2" w:rsidP="0016095F">
            <w:pPr>
              <w:jc w:val="right"/>
              <w:rPr>
                <w:szCs w:val="24"/>
              </w:rPr>
            </w:pPr>
          </w:p>
        </w:tc>
        <w:tc>
          <w:tcPr>
            <w:tcW w:w="704" w:type="dxa"/>
            <w:hideMark/>
          </w:tcPr>
          <w:p w14:paraId="47708A10" w14:textId="77777777" w:rsidR="00A95DB2" w:rsidRPr="00447C80" w:rsidRDefault="00A95DB2" w:rsidP="0016095F">
            <w:pPr>
              <w:jc w:val="right"/>
              <w:rPr>
                <w:szCs w:val="24"/>
              </w:rPr>
            </w:pPr>
          </w:p>
        </w:tc>
        <w:tc>
          <w:tcPr>
            <w:tcW w:w="704" w:type="dxa"/>
            <w:shd w:val="clear" w:color="auto" w:fill="DEEAF6" w:themeFill="accent5" w:themeFillTint="33"/>
            <w:hideMark/>
          </w:tcPr>
          <w:p w14:paraId="436D72CF" w14:textId="77777777" w:rsidR="00A95DB2" w:rsidRPr="00447C80" w:rsidRDefault="00A95DB2" w:rsidP="0016095F">
            <w:pPr>
              <w:jc w:val="right"/>
              <w:rPr>
                <w:szCs w:val="24"/>
              </w:rPr>
            </w:pPr>
          </w:p>
        </w:tc>
        <w:tc>
          <w:tcPr>
            <w:tcW w:w="704" w:type="dxa"/>
            <w:shd w:val="clear" w:color="auto" w:fill="DEEAF6" w:themeFill="accent5" w:themeFillTint="33"/>
            <w:hideMark/>
          </w:tcPr>
          <w:p w14:paraId="58DA57B9" w14:textId="77777777" w:rsidR="00A95DB2" w:rsidRPr="00447C80" w:rsidRDefault="00A95DB2" w:rsidP="0016095F">
            <w:pPr>
              <w:jc w:val="right"/>
              <w:rPr>
                <w:szCs w:val="24"/>
              </w:rPr>
            </w:pPr>
          </w:p>
        </w:tc>
      </w:tr>
      <w:tr w:rsidR="003F31B3" w:rsidRPr="00447C80" w14:paraId="205079C9" w14:textId="77777777" w:rsidTr="003F4C18">
        <w:trPr>
          <w:trHeight w:val="20"/>
        </w:trPr>
        <w:tc>
          <w:tcPr>
            <w:tcW w:w="2736" w:type="dxa"/>
            <w:hideMark/>
          </w:tcPr>
          <w:p w14:paraId="5F835A4B" w14:textId="77777777" w:rsidR="003F31B3" w:rsidRPr="00447C80" w:rsidRDefault="003F31B3" w:rsidP="003F31B3">
            <w:pPr>
              <w:rPr>
                <w:szCs w:val="24"/>
              </w:rPr>
            </w:pPr>
            <w:r w:rsidRPr="00447C80">
              <w:rPr>
                <w:szCs w:val="24"/>
              </w:rPr>
              <w:t>Male</w:t>
            </w:r>
          </w:p>
        </w:tc>
        <w:tc>
          <w:tcPr>
            <w:tcW w:w="703" w:type="dxa"/>
            <w:shd w:val="clear" w:color="auto" w:fill="DEEAF6" w:themeFill="accent5" w:themeFillTint="33"/>
            <w:vAlign w:val="bottom"/>
            <w:hideMark/>
          </w:tcPr>
          <w:p w14:paraId="4D2BE08A" w14:textId="47548F1D" w:rsidR="003F31B3" w:rsidRPr="003F31B3" w:rsidRDefault="003F31B3" w:rsidP="003F31B3">
            <w:pPr>
              <w:jc w:val="center"/>
              <w:rPr>
                <w:rFonts w:cstheme="minorHAnsi"/>
                <w:szCs w:val="24"/>
              </w:rPr>
            </w:pPr>
            <w:r w:rsidRPr="003F31B3">
              <w:rPr>
                <w:rFonts w:cstheme="minorHAnsi"/>
                <w:color w:val="000000"/>
                <w:kern w:val="24"/>
                <w:szCs w:val="24"/>
              </w:rPr>
              <w:t>53</w:t>
            </w:r>
          </w:p>
        </w:tc>
        <w:tc>
          <w:tcPr>
            <w:tcW w:w="704" w:type="dxa"/>
            <w:shd w:val="clear" w:color="auto" w:fill="DEEAF6" w:themeFill="accent5" w:themeFillTint="33"/>
            <w:vAlign w:val="bottom"/>
            <w:hideMark/>
          </w:tcPr>
          <w:p w14:paraId="2751DA30" w14:textId="1B118454" w:rsidR="003F31B3" w:rsidRPr="003F31B3" w:rsidRDefault="003F31B3" w:rsidP="003F31B3">
            <w:pPr>
              <w:jc w:val="center"/>
              <w:rPr>
                <w:rFonts w:cstheme="minorHAnsi"/>
                <w:szCs w:val="24"/>
              </w:rPr>
            </w:pPr>
            <w:r w:rsidRPr="003F31B3">
              <w:rPr>
                <w:rFonts w:cstheme="minorHAnsi"/>
                <w:color w:val="000000"/>
                <w:kern w:val="24"/>
                <w:szCs w:val="24"/>
              </w:rPr>
              <w:t>67%</w:t>
            </w:r>
          </w:p>
        </w:tc>
        <w:tc>
          <w:tcPr>
            <w:tcW w:w="704" w:type="dxa"/>
            <w:vAlign w:val="bottom"/>
            <w:hideMark/>
          </w:tcPr>
          <w:p w14:paraId="0A2C24EE" w14:textId="629D6637" w:rsidR="003F31B3" w:rsidRPr="003F31B3" w:rsidRDefault="003F31B3" w:rsidP="003F31B3">
            <w:pPr>
              <w:jc w:val="center"/>
              <w:rPr>
                <w:rFonts w:cstheme="minorHAnsi"/>
                <w:szCs w:val="24"/>
              </w:rPr>
            </w:pPr>
            <w:r w:rsidRPr="003F31B3">
              <w:rPr>
                <w:rFonts w:cstheme="minorHAnsi"/>
                <w:color w:val="000000"/>
                <w:kern w:val="24"/>
                <w:szCs w:val="24"/>
              </w:rPr>
              <w:t>70</w:t>
            </w:r>
          </w:p>
        </w:tc>
        <w:tc>
          <w:tcPr>
            <w:tcW w:w="704" w:type="dxa"/>
            <w:vAlign w:val="bottom"/>
            <w:hideMark/>
          </w:tcPr>
          <w:p w14:paraId="5A91687F" w14:textId="51E5DB25" w:rsidR="003F31B3" w:rsidRPr="003F31B3" w:rsidRDefault="003F31B3" w:rsidP="003F31B3">
            <w:pPr>
              <w:jc w:val="center"/>
              <w:rPr>
                <w:rFonts w:cstheme="minorHAnsi"/>
                <w:szCs w:val="24"/>
              </w:rPr>
            </w:pPr>
            <w:r w:rsidRPr="003F31B3">
              <w:rPr>
                <w:rFonts w:cstheme="minorHAnsi"/>
                <w:color w:val="000000"/>
                <w:kern w:val="24"/>
                <w:szCs w:val="24"/>
              </w:rPr>
              <w:t>71%</w:t>
            </w:r>
          </w:p>
        </w:tc>
        <w:tc>
          <w:tcPr>
            <w:tcW w:w="704" w:type="dxa"/>
            <w:shd w:val="clear" w:color="auto" w:fill="DEEAF6" w:themeFill="accent5" w:themeFillTint="33"/>
            <w:vAlign w:val="bottom"/>
            <w:hideMark/>
          </w:tcPr>
          <w:p w14:paraId="1762A628" w14:textId="14281A96" w:rsidR="003F31B3" w:rsidRPr="003F31B3" w:rsidRDefault="003F31B3" w:rsidP="003F31B3">
            <w:pPr>
              <w:jc w:val="center"/>
              <w:rPr>
                <w:rFonts w:cstheme="minorHAnsi"/>
                <w:szCs w:val="24"/>
              </w:rPr>
            </w:pPr>
            <w:r w:rsidRPr="003F31B3">
              <w:rPr>
                <w:rFonts w:cstheme="minorHAnsi"/>
                <w:color w:val="000000"/>
                <w:kern w:val="24"/>
                <w:szCs w:val="24"/>
              </w:rPr>
              <w:t>60</w:t>
            </w:r>
          </w:p>
        </w:tc>
        <w:tc>
          <w:tcPr>
            <w:tcW w:w="703" w:type="dxa"/>
            <w:shd w:val="clear" w:color="auto" w:fill="DEEAF6" w:themeFill="accent5" w:themeFillTint="33"/>
            <w:vAlign w:val="bottom"/>
            <w:hideMark/>
          </w:tcPr>
          <w:p w14:paraId="3E8D1417" w14:textId="04A63B26" w:rsidR="003F31B3" w:rsidRPr="003F31B3" w:rsidRDefault="003F31B3" w:rsidP="003F31B3">
            <w:pPr>
              <w:jc w:val="center"/>
              <w:rPr>
                <w:rFonts w:cstheme="minorHAnsi"/>
                <w:szCs w:val="24"/>
              </w:rPr>
            </w:pPr>
            <w:r w:rsidRPr="003F31B3">
              <w:rPr>
                <w:rFonts w:cstheme="minorHAnsi"/>
                <w:color w:val="000000"/>
                <w:kern w:val="24"/>
                <w:szCs w:val="24"/>
              </w:rPr>
              <w:t>69%</w:t>
            </w:r>
          </w:p>
        </w:tc>
        <w:tc>
          <w:tcPr>
            <w:tcW w:w="704" w:type="dxa"/>
            <w:vAlign w:val="bottom"/>
            <w:hideMark/>
          </w:tcPr>
          <w:p w14:paraId="45487BBD" w14:textId="10BAE120" w:rsidR="003F31B3" w:rsidRPr="003F31B3" w:rsidRDefault="003F31B3" w:rsidP="003F31B3">
            <w:pPr>
              <w:jc w:val="center"/>
              <w:rPr>
                <w:rFonts w:cstheme="minorHAnsi"/>
                <w:szCs w:val="24"/>
              </w:rPr>
            </w:pPr>
            <w:r w:rsidRPr="003F31B3">
              <w:rPr>
                <w:rFonts w:cstheme="minorHAnsi"/>
                <w:color w:val="000000"/>
                <w:kern w:val="24"/>
                <w:szCs w:val="24"/>
              </w:rPr>
              <w:t>40</w:t>
            </w:r>
          </w:p>
        </w:tc>
        <w:tc>
          <w:tcPr>
            <w:tcW w:w="704" w:type="dxa"/>
            <w:vAlign w:val="bottom"/>
            <w:hideMark/>
          </w:tcPr>
          <w:p w14:paraId="08BFE325" w14:textId="03797EFC" w:rsidR="003F31B3" w:rsidRPr="003F31B3" w:rsidRDefault="003F31B3" w:rsidP="003F31B3">
            <w:pPr>
              <w:jc w:val="center"/>
              <w:rPr>
                <w:rFonts w:cstheme="minorHAnsi"/>
                <w:szCs w:val="24"/>
              </w:rPr>
            </w:pPr>
            <w:r w:rsidRPr="003F31B3">
              <w:rPr>
                <w:rFonts w:cstheme="minorHAnsi"/>
                <w:color w:val="000000"/>
                <w:kern w:val="24"/>
                <w:szCs w:val="24"/>
              </w:rPr>
              <w:t>78%</w:t>
            </w:r>
          </w:p>
        </w:tc>
        <w:tc>
          <w:tcPr>
            <w:tcW w:w="704" w:type="dxa"/>
            <w:shd w:val="clear" w:color="auto" w:fill="DEEAF6" w:themeFill="accent5" w:themeFillTint="33"/>
            <w:vAlign w:val="bottom"/>
            <w:hideMark/>
          </w:tcPr>
          <w:p w14:paraId="4479C1FB" w14:textId="65E77E56" w:rsidR="003F31B3" w:rsidRPr="003F31B3" w:rsidRDefault="003F31B3" w:rsidP="003F31B3">
            <w:pPr>
              <w:jc w:val="center"/>
              <w:rPr>
                <w:rFonts w:cstheme="minorHAnsi"/>
                <w:szCs w:val="24"/>
              </w:rPr>
            </w:pPr>
            <w:r w:rsidRPr="003F31B3">
              <w:rPr>
                <w:rFonts w:cstheme="minorHAnsi"/>
                <w:color w:val="000000"/>
                <w:kern w:val="24"/>
                <w:szCs w:val="24"/>
              </w:rPr>
              <w:t>32</w:t>
            </w:r>
          </w:p>
        </w:tc>
        <w:tc>
          <w:tcPr>
            <w:tcW w:w="704" w:type="dxa"/>
            <w:shd w:val="clear" w:color="auto" w:fill="DEEAF6" w:themeFill="accent5" w:themeFillTint="33"/>
            <w:vAlign w:val="bottom"/>
            <w:hideMark/>
          </w:tcPr>
          <w:p w14:paraId="0E13953A" w14:textId="3502AE7D" w:rsidR="003F31B3" w:rsidRPr="003F31B3" w:rsidRDefault="003F31B3" w:rsidP="003F31B3">
            <w:pPr>
              <w:jc w:val="center"/>
              <w:rPr>
                <w:rFonts w:cstheme="minorHAnsi"/>
                <w:szCs w:val="24"/>
              </w:rPr>
            </w:pPr>
            <w:r w:rsidRPr="003F31B3">
              <w:rPr>
                <w:rFonts w:cstheme="minorHAnsi"/>
                <w:color w:val="000000"/>
                <w:kern w:val="24"/>
                <w:szCs w:val="24"/>
              </w:rPr>
              <w:t>76%</w:t>
            </w:r>
          </w:p>
        </w:tc>
      </w:tr>
      <w:tr w:rsidR="003F31B3" w:rsidRPr="00447C80" w14:paraId="462C95A4" w14:textId="77777777" w:rsidTr="003F4C18">
        <w:trPr>
          <w:trHeight w:val="20"/>
        </w:trPr>
        <w:tc>
          <w:tcPr>
            <w:tcW w:w="2736" w:type="dxa"/>
            <w:hideMark/>
          </w:tcPr>
          <w:p w14:paraId="4A5CD1D6" w14:textId="77777777" w:rsidR="003F31B3" w:rsidRPr="00447C80" w:rsidRDefault="003F31B3" w:rsidP="003F31B3">
            <w:pPr>
              <w:rPr>
                <w:szCs w:val="24"/>
              </w:rPr>
            </w:pPr>
            <w:r w:rsidRPr="00447C80">
              <w:rPr>
                <w:szCs w:val="24"/>
              </w:rPr>
              <w:t>Female</w:t>
            </w:r>
          </w:p>
        </w:tc>
        <w:tc>
          <w:tcPr>
            <w:tcW w:w="703" w:type="dxa"/>
            <w:shd w:val="clear" w:color="auto" w:fill="DEEAF6" w:themeFill="accent5" w:themeFillTint="33"/>
            <w:vAlign w:val="bottom"/>
            <w:hideMark/>
          </w:tcPr>
          <w:p w14:paraId="65EAD2F6" w14:textId="0EBA44E5" w:rsidR="003F31B3" w:rsidRPr="003F31B3" w:rsidRDefault="003F31B3" w:rsidP="003F31B3">
            <w:pPr>
              <w:jc w:val="center"/>
              <w:rPr>
                <w:rFonts w:cstheme="minorHAnsi"/>
                <w:szCs w:val="24"/>
              </w:rPr>
            </w:pPr>
            <w:r w:rsidRPr="003F31B3">
              <w:rPr>
                <w:rFonts w:cstheme="minorHAnsi"/>
                <w:color w:val="000000"/>
                <w:kern w:val="24"/>
                <w:szCs w:val="24"/>
              </w:rPr>
              <w:t>26</w:t>
            </w:r>
          </w:p>
        </w:tc>
        <w:tc>
          <w:tcPr>
            <w:tcW w:w="704" w:type="dxa"/>
            <w:shd w:val="clear" w:color="auto" w:fill="DEEAF6" w:themeFill="accent5" w:themeFillTint="33"/>
            <w:vAlign w:val="bottom"/>
            <w:hideMark/>
          </w:tcPr>
          <w:p w14:paraId="7CAC077F" w14:textId="4691066E" w:rsidR="003F31B3" w:rsidRPr="003F31B3" w:rsidRDefault="003F31B3" w:rsidP="003F31B3">
            <w:pPr>
              <w:jc w:val="center"/>
              <w:rPr>
                <w:rFonts w:cstheme="minorHAnsi"/>
                <w:szCs w:val="24"/>
              </w:rPr>
            </w:pPr>
            <w:r w:rsidRPr="003F31B3">
              <w:rPr>
                <w:rFonts w:cstheme="minorHAnsi"/>
                <w:color w:val="000000"/>
                <w:kern w:val="24"/>
                <w:szCs w:val="24"/>
              </w:rPr>
              <w:t>33%</w:t>
            </w:r>
          </w:p>
        </w:tc>
        <w:tc>
          <w:tcPr>
            <w:tcW w:w="704" w:type="dxa"/>
            <w:vAlign w:val="bottom"/>
            <w:hideMark/>
          </w:tcPr>
          <w:p w14:paraId="6EA8950F" w14:textId="43DC9436" w:rsidR="003F31B3" w:rsidRPr="003F31B3" w:rsidRDefault="003F31B3" w:rsidP="003F31B3">
            <w:pPr>
              <w:jc w:val="center"/>
              <w:rPr>
                <w:rFonts w:cstheme="minorHAnsi"/>
                <w:szCs w:val="24"/>
              </w:rPr>
            </w:pPr>
            <w:r w:rsidRPr="003F31B3">
              <w:rPr>
                <w:rFonts w:cstheme="minorHAnsi"/>
                <w:color w:val="000000"/>
                <w:kern w:val="24"/>
                <w:szCs w:val="24"/>
              </w:rPr>
              <w:t>28</w:t>
            </w:r>
          </w:p>
        </w:tc>
        <w:tc>
          <w:tcPr>
            <w:tcW w:w="704" w:type="dxa"/>
            <w:vAlign w:val="bottom"/>
            <w:hideMark/>
          </w:tcPr>
          <w:p w14:paraId="546B5F74" w14:textId="1C5E4AE2" w:rsidR="003F31B3" w:rsidRPr="003F31B3" w:rsidRDefault="003F31B3" w:rsidP="003F31B3">
            <w:pPr>
              <w:jc w:val="center"/>
              <w:rPr>
                <w:rFonts w:cstheme="minorHAnsi"/>
                <w:szCs w:val="24"/>
              </w:rPr>
            </w:pPr>
            <w:r w:rsidRPr="003F31B3">
              <w:rPr>
                <w:rFonts w:cstheme="minorHAnsi"/>
                <w:color w:val="000000"/>
                <w:kern w:val="24"/>
                <w:szCs w:val="24"/>
              </w:rPr>
              <w:t>29%</w:t>
            </w:r>
          </w:p>
        </w:tc>
        <w:tc>
          <w:tcPr>
            <w:tcW w:w="704" w:type="dxa"/>
            <w:shd w:val="clear" w:color="auto" w:fill="DEEAF6" w:themeFill="accent5" w:themeFillTint="33"/>
            <w:vAlign w:val="bottom"/>
            <w:hideMark/>
          </w:tcPr>
          <w:p w14:paraId="3639BA7C" w14:textId="7FD8B6D1" w:rsidR="003F31B3" w:rsidRPr="003F31B3" w:rsidRDefault="003F31B3" w:rsidP="003F31B3">
            <w:pPr>
              <w:jc w:val="center"/>
              <w:rPr>
                <w:rFonts w:cstheme="minorHAnsi"/>
                <w:szCs w:val="24"/>
              </w:rPr>
            </w:pPr>
            <w:r w:rsidRPr="003F31B3">
              <w:rPr>
                <w:rFonts w:cstheme="minorHAnsi"/>
                <w:color w:val="000000"/>
                <w:kern w:val="24"/>
                <w:szCs w:val="24"/>
              </w:rPr>
              <w:t>27</w:t>
            </w:r>
          </w:p>
        </w:tc>
        <w:tc>
          <w:tcPr>
            <w:tcW w:w="703" w:type="dxa"/>
            <w:shd w:val="clear" w:color="auto" w:fill="DEEAF6" w:themeFill="accent5" w:themeFillTint="33"/>
            <w:vAlign w:val="bottom"/>
            <w:hideMark/>
          </w:tcPr>
          <w:p w14:paraId="5FB3FC9D" w14:textId="3786379E" w:rsidR="003F31B3" w:rsidRPr="003F31B3" w:rsidRDefault="003F31B3" w:rsidP="003F31B3">
            <w:pPr>
              <w:jc w:val="center"/>
              <w:rPr>
                <w:rFonts w:cstheme="minorHAnsi"/>
                <w:szCs w:val="24"/>
              </w:rPr>
            </w:pPr>
            <w:r w:rsidRPr="003F31B3">
              <w:rPr>
                <w:rFonts w:cstheme="minorHAnsi"/>
                <w:color w:val="000000"/>
                <w:kern w:val="24"/>
                <w:szCs w:val="24"/>
              </w:rPr>
              <w:t>31%</w:t>
            </w:r>
          </w:p>
        </w:tc>
        <w:tc>
          <w:tcPr>
            <w:tcW w:w="704" w:type="dxa"/>
            <w:vAlign w:val="bottom"/>
            <w:hideMark/>
          </w:tcPr>
          <w:p w14:paraId="16EEFD83" w14:textId="17E3380E" w:rsidR="003F31B3" w:rsidRPr="003F31B3" w:rsidRDefault="003F31B3" w:rsidP="003F31B3">
            <w:pPr>
              <w:jc w:val="center"/>
              <w:rPr>
                <w:rFonts w:cstheme="minorHAnsi"/>
                <w:szCs w:val="24"/>
              </w:rPr>
            </w:pPr>
            <w:r w:rsidRPr="003F31B3">
              <w:rPr>
                <w:rFonts w:cstheme="minorHAnsi"/>
                <w:color w:val="000000"/>
                <w:kern w:val="24"/>
                <w:szCs w:val="24"/>
              </w:rPr>
              <w:t>11</w:t>
            </w:r>
          </w:p>
        </w:tc>
        <w:tc>
          <w:tcPr>
            <w:tcW w:w="704" w:type="dxa"/>
            <w:vAlign w:val="bottom"/>
            <w:hideMark/>
          </w:tcPr>
          <w:p w14:paraId="69804256" w14:textId="6DD0FFBB" w:rsidR="003F31B3" w:rsidRPr="003F31B3" w:rsidRDefault="003F31B3" w:rsidP="003F31B3">
            <w:pPr>
              <w:jc w:val="center"/>
              <w:rPr>
                <w:rFonts w:cstheme="minorHAnsi"/>
                <w:szCs w:val="24"/>
              </w:rPr>
            </w:pPr>
            <w:r w:rsidRPr="003F31B3">
              <w:rPr>
                <w:rFonts w:cstheme="minorHAnsi"/>
                <w:color w:val="000000"/>
                <w:kern w:val="24"/>
                <w:szCs w:val="24"/>
              </w:rPr>
              <w:t>22%</w:t>
            </w:r>
          </w:p>
        </w:tc>
        <w:tc>
          <w:tcPr>
            <w:tcW w:w="704" w:type="dxa"/>
            <w:shd w:val="clear" w:color="auto" w:fill="DEEAF6" w:themeFill="accent5" w:themeFillTint="33"/>
            <w:vAlign w:val="bottom"/>
            <w:hideMark/>
          </w:tcPr>
          <w:p w14:paraId="787DBC79" w14:textId="518422A7"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shd w:val="clear" w:color="auto" w:fill="DEEAF6" w:themeFill="accent5" w:themeFillTint="33"/>
            <w:vAlign w:val="bottom"/>
            <w:hideMark/>
          </w:tcPr>
          <w:p w14:paraId="0AB468FE" w14:textId="02A802A7" w:rsidR="003F31B3" w:rsidRPr="003F31B3" w:rsidRDefault="003F31B3" w:rsidP="003F31B3">
            <w:pPr>
              <w:jc w:val="center"/>
              <w:rPr>
                <w:rFonts w:cstheme="minorHAnsi"/>
                <w:szCs w:val="24"/>
              </w:rPr>
            </w:pPr>
            <w:r w:rsidRPr="003F31B3">
              <w:rPr>
                <w:rFonts w:cstheme="minorHAnsi"/>
                <w:color w:val="000000"/>
                <w:kern w:val="24"/>
                <w:szCs w:val="24"/>
              </w:rPr>
              <w:t>24%</w:t>
            </w:r>
          </w:p>
        </w:tc>
      </w:tr>
      <w:tr w:rsidR="003F31B3" w:rsidRPr="00447C80" w14:paraId="27D2DA4C" w14:textId="77777777" w:rsidTr="003F4C18">
        <w:trPr>
          <w:trHeight w:val="20"/>
        </w:trPr>
        <w:tc>
          <w:tcPr>
            <w:tcW w:w="2736" w:type="dxa"/>
            <w:hideMark/>
          </w:tcPr>
          <w:p w14:paraId="3775855A" w14:textId="38C3AD3D" w:rsidR="003F31B3" w:rsidRPr="00447C80" w:rsidRDefault="003F31B3" w:rsidP="003F31B3">
            <w:r>
              <w:rPr>
                <w:b/>
              </w:rPr>
              <w:t>Race/Ethnicity</w:t>
            </w:r>
            <w:r w:rsidRPr="533627D5">
              <w:rPr>
                <w:b/>
              </w:rPr>
              <w:t>:</w:t>
            </w:r>
          </w:p>
        </w:tc>
        <w:tc>
          <w:tcPr>
            <w:tcW w:w="703" w:type="dxa"/>
            <w:shd w:val="clear" w:color="auto" w:fill="DEEAF6" w:themeFill="accent5" w:themeFillTint="33"/>
            <w:vAlign w:val="bottom"/>
            <w:hideMark/>
          </w:tcPr>
          <w:p w14:paraId="3289A031"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64D3511D" w14:textId="77777777" w:rsidR="003F31B3" w:rsidRPr="003F31B3" w:rsidRDefault="003F31B3" w:rsidP="003F31B3">
            <w:pPr>
              <w:jc w:val="center"/>
              <w:rPr>
                <w:rFonts w:cstheme="minorHAnsi"/>
                <w:szCs w:val="24"/>
              </w:rPr>
            </w:pPr>
          </w:p>
        </w:tc>
        <w:tc>
          <w:tcPr>
            <w:tcW w:w="704" w:type="dxa"/>
            <w:vAlign w:val="bottom"/>
            <w:hideMark/>
          </w:tcPr>
          <w:p w14:paraId="19DBB328" w14:textId="77777777" w:rsidR="003F31B3" w:rsidRPr="003F31B3" w:rsidRDefault="003F31B3" w:rsidP="003F31B3">
            <w:pPr>
              <w:jc w:val="center"/>
              <w:rPr>
                <w:rFonts w:cstheme="minorHAnsi"/>
                <w:szCs w:val="24"/>
              </w:rPr>
            </w:pPr>
          </w:p>
        </w:tc>
        <w:tc>
          <w:tcPr>
            <w:tcW w:w="704" w:type="dxa"/>
            <w:vAlign w:val="bottom"/>
            <w:hideMark/>
          </w:tcPr>
          <w:p w14:paraId="1C74D568"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492BC262" w14:textId="77777777" w:rsidR="003F31B3" w:rsidRPr="003F31B3" w:rsidRDefault="003F31B3" w:rsidP="003F31B3">
            <w:pPr>
              <w:jc w:val="center"/>
              <w:rPr>
                <w:rFonts w:cstheme="minorHAnsi"/>
                <w:szCs w:val="24"/>
              </w:rPr>
            </w:pPr>
          </w:p>
        </w:tc>
        <w:tc>
          <w:tcPr>
            <w:tcW w:w="703" w:type="dxa"/>
            <w:shd w:val="clear" w:color="auto" w:fill="DEEAF6" w:themeFill="accent5" w:themeFillTint="33"/>
            <w:vAlign w:val="bottom"/>
            <w:hideMark/>
          </w:tcPr>
          <w:p w14:paraId="2ECD0E02" w14:textId="77777777" w:rsidR="003F31B3" w:rsidRPr="003F31B3" w:rsidRDefault="003F31B3" w:rsidP="003F31B3">
            <w:pPr>
              <w:jc w:val="center"/>
              <w:rPr>
                <w:rFonts w:cstheme="minorHAnsi"/>
                <w:szCs w:val="24"/>
              </w:rPr>
            </w:pPr>
          </w:p>
        </w:tc>
        <w:tc>
          <w:tcPr>
            <w:tcW w:w="704" w:type="dxa"/>
            <w:vAlign w:val="bottom"/>
            <w:hideMark/>
          </w:tcPr>
          <w:p w14:paraId="0B9F257E" w14:textId="77777777" w:rsidR="003F31B3" w:rsidRPr="003F31B3" w:rsidRDefault="003F31B3" w:rsidP="003F31B3">
            <w:pPr>
              <w:jc w:val="center"/>
              <w:rPr>
                <w:rFonts w:cstheme="minorHAnsi"/>
                <w:szCs w:val="24"/>
              </w:rPr>
            </w:pPr>
          </w:p>
        </w:tc>
        <w:tc>
          <w:tcPr>
            <w:tcW w:w="704" w:type="dxa"/>
            <w:vAlign w:val="bottom"/>
            <w:hideMark/>
          </w:tcPr>
          <w:p w14:paraId="736E002D"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5E09C165"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374D340E" w14:textId="77777777" w:rsidR="003F31B3" w:rsidRPr="003F31B3" w:rsidRDefault="003F31B3" w:rsidP="003F31B3">
            <w:pPr>
              <w:jc w:val="center"/>
              <w:rPr>
                <w:rFonts w:cstheme="minorHAnsi"/>
                <w:szCs w:val="24"/>
              </w:rPr>
            </w:pPr>
          </w:p>
        </w:tc>
      </w:tr>
      <w:tr w:rsidR="003F31B3" w:rsidRPr="00447C80" w14:paraId="7360EDA0" w14:textId="77777777" w:rsidTr="003F4C18">
        <w:trPr>
          <w:trHeight w:val="20"/>
        </w:trPr>
        <w:tc>
          <w:tcPr>
            <w:tcW w:w="2736" w:type="dxa"/>
            <w:hideMark/>
          </w:tcPr>
          <w:p w14:paraId="5F0D6DF3" w14:textId="77777777" w:rsidR="003F31B3" w:rsidRPr="00447C80" w:rsidRDefault="003F31B3" w:rsidP="003F31B3">
            <w:pPr>
              <w:rPr>
                <w:szCs w:val="24"/>
              </w:rPr>
            </w:pPr>
            <w:r w:rsidRPr="00447C80">
              <w:rPr>
                <w:szCs w:val="24"/>
              </w:rPr>
              <w:t>White NH</w:t>
            </w:r>
          </w:p>
        </w:tc>
        <w:tc>
          <w:tcPr>
            <w:tcW w:w="703" w:type="dxa"/>
            <w:shd w:val="clear" w:color="auto" w:fill="DEEAF6" w:themeFill="accent5" w:themeFillTint="33"/>
            <w:vAlign w:val="bottom"/>
            <w:hideMark/>
          </w:tcPr>
          <w:p w14:paraId="213FE30A" w14:textId="2F5EDA43" w:rsidR="003F31B3" w:rsidRPr="003F31B3" w:rsidRDefault="003F31B3" w:rsidP="003F31B3">
            <w:pPr>
              <w:jc w:val="center"/>
              <w:rPr>
                <w:rFonts w:cstheme="minorHAnsi"/>
                <w:szCs w:val="24"/>
              </w:rPr>
            </w:pPr>
            <w:r w:rsidRPr="003F31B3">
              <w:rPr>
                <w:rFonts w:cstheme="minorHAnsi"/>
                <w:color w:val="000000"/>
                <w:kern w:val="24"/>
                <w:szCs w:val="24"/>
              </w:rPr>
              <w:t>46</w:t>
            </w:r>
          </w:p>
        </w:tc>
        <w:tc>
          <w:tcPr>
            <w:tcW w:w="704" w:type="dxa"/>
            <w:shd w:val="clear" w:color="auto" w:fill="DEEAF6" w:themeFill="accent5" w:themeFillTint="33"/>
            <w:vAlign w:val="bottom"/>
            <w:hideMark/>
          </w:tcPr>
          <w:p w14:paraId="2AF5AF5B" w14:textId="360C4D5D" w:rsidR="003F31B3" w:rsidRPr="003F31B3" w:rsidRDefault="003F31B3" w:rsidP="003F31B3">
            <w:pPr>
              <w:jc w:val="center"/>
              <w:rPr>
                <w:rFonts w:cstheme="minorHAnsi"/>
                <w:szCs w:val="24"/>
              </w:rPr>
            </w:pPr>
            <w:r w:rsidRPr="003F31B3">
              <w:rPr>
                <w:rFonts w:cstheme="minorHAnsi"/>
                <w:color w:val="000000"/>
                <w:kern w:val="24"/>
                <w:szCs w:val="24"/>
              </w:rPr>
              <w:t>58%</w:t>
            </w:r>
          </w:p>
        </w:tc>
        <w:tc>
          <w:tcPr>
            <w:tcW w:w="704" w:type="dxa"/>
            <w:vAlign w:val="bottom"/>
            <w:hideMark/>
          </w:tcPr>
          <w:p w14:paraId="2E54FCCB" w14:textId="60F8B6AE" w:rsidR="003F31B3" w:rsidRPr="003F31B3" w:rsidRDefault="003F31B3" w:rsidP="003F31B3">
            <w:pPr>
              <w:jc w:val="center"/>
              <w:rPr>
                <w:rFonts w:cstheme="minorHAnsi"/>
                <w:szCs w:val="24"/>
              </w:rPr>
            </w:pPr>
            <w:r w:rsidRPr="003F31B3">
              <w:rPr>
                <w:rFonts w:cstheme="minorHAnsi"/>
                <w:color w:val="000000"/>
                <w:kern w:val="24"/>
                <w:szCs w:val="24"/>
              </w:rPr>
              <w:t>72</w:t>
            </w:r>
          </w:p>
        </w:tc>
        <w:tc>
          <w:tcPr>
            <w:tcW w:w="704" w:type="dxa"/>
            <w:vAlign w:val="bottom"/>
            <w:hideMark/>
          </w:tcPr>
          <w:p w14:paraId="0D72BD35" w14:textId="4E6F9C14" w:rsidR="003F31B3" w:rsidRPr="003F31B3" w:rsidRDefault="003F31B3" w:rsidP="003F31B3">
            <w:pPr>
              <w:jc w:val="center"/>
              <w:rPr>
                <w:rFonts w:cstheme="minorHAnsi"/>
                <w:szCs w:val="24"/>
              </w:rPr>
            </w:pPr>
            <w:r w:rsidRPr="003F31B3">
              <w:rPr>
                <w:rFonts w:cstheme="minorHAnsi"/>
                <w:color w:val="000000"/>
                <w:kern w:val="24"/>
                <w:szCs w:val="24"/>
              </w:rPr>
              <w:t>73%</w:t>
            </w:r>
          </w:p>
        </w:tc>
        <w:tc>
          <w:tcPr>
            <w:tcW w:w="704" w:type="dxa"/>
            <w:shd w:val="clear" w:color="auto" w:fill="DEEAF6" w:themeFill="accent5" w:themeFillTint="33"/>
            <w:vAlign w:val="bottom"/>
            <w:hideMark/>
          </w:tcPr>
          <w:p w14:paraId="05D15C58" w14:textId="2BBED87F" w:rsidR="003F31B3" w:rsidRPr="003F31B3" w:rsidRDefault="003F31B3" w:rsidP="003F31B3">
            <w:pPr>
              <w:jc w:val="center"/>
              <w:rPr>
                <w:rFonts w:cstheme="minorHAnsi"/>
                <w:szCs w:val="24"/>
              </w:rPr>
            </w:pPr>
            <w:r w:rsidRPr="003F31B3">
              <w:rPr>
                <w:rFonts w:cstheme="minorHAnsi"/>
                <w:color w:val="000000"/>
                <w:kern w:val="24"/>
                <w:szCs w:val="24"/>
              </w:rPr>
              <w:t>59</w:t>
            </w:r>
          </w:p>
        </w:tc>
        <w:tc>
          <w:tcPr>
            <w:tcW w:w="703" w:type="dxa"/>
            <w:shd w:val="clear" w:color="auto" w:fill="DEEAF6" w:themeFill="accent5" w:themeFillTint="33"/>
            <w:vAlign w:val="bottom"/>
            <w:hideMark/>
          </w:tcPr>
          <w:p w14:paraId="4BD05763" w14:textId="15EA2F9A" w:rsidR="003F31B3" w:rsidRPr="003F31B3" w:rsidRDefault="003F31B3" w:rsidP="003F31B3">
            <w:pPr>
              <w:jc w:val="center"/>
              <w:rPr>
                <w:rFonts w:cstheme="minorHAnsi"/>
                <w:szCs w:val="24"/>
              </w:rPr>
            </w:pPr>
            <w:r w:rsidRPr="003F31B3">
              <w:rPr>
                <w:rFonts w:cstheme="minorHAnsi"/>
                <w:color w:val="000000"/>
                <w:kern w:val="24"/>
                <w:szCs w:val="24"/>
              </w:rPr>
              <w:t>68%</w:t>
            </w:r>
          </w:p>
        </w:tc>
        <w:tc>
          <w:tcPr>
            <w:tcW w:w="704" w:type="dxa"/>
            <w:vAlign w:val="bottom"/>
            <w:hideMark/>
          </w:tcPr>
          <w:p w14:paraId="12B54C61" w14:textId="71607118" w:rsidR="003F31B3" w:rsidRPr="003F31B3" w:rsidRDefault="003F31B3" w:rsidP="003F31B3">
            <w:pPr>
              <w:jc w:val="center"/>
              <w:rPr>
                <w:rFonts w:cstheme="minorHAnsi"/>
                <w:szCs w:val="24"/>
              </w:rPr>
            </w:pPr>
            <w:r w:rsidRPr="003F31B3">
              <w:rPr>
                <w:rFonts w:cstheme="minorHAnsi"/>
                <w:color w:val="000000"/>
                <w:kern w:val="24"/>
                <w:szCs w:val="24"/>
              </w:rPr>
              <w:t>33</w:t>
            </w:r>
          </w:p>
        </w:tc>
        <w:tc>
          <w:tcPr>
            <w:tcW w:w="704" w:type="dxa"/>
            <w:vAlign w:val="bottom"/>
            <w:hideMark/>
          </w:tcPr>
          <w:p w14:paraId="503FEFCB" w14:textId="6AF6429F" w:rsidR="003F31B3" w:rsidRPr="003F31B3" w:rsidRDefault="003F31B3" w:rsidP="003F31B3">
            <w:pPr>
              <w:jc w:val="center"/>
              <w:rPr>
                <w:rFonts w:cstheme="minorHAnsi"/>
                <w:szCs w:val="24"/>
              </w:rPr>
            </w:pPr>
            <w:r w:rsidRPr="003F31B3">
              <w:rPr>
                <w:rFonts w:cstheme="minorHAnsi"/>
                <w:color w:val="000000"/>
                <w:kern w:val="24"/>
                <w:szCs w:val="24"/>
              </w:rPr>
              <w:t>65%</w:t>
            </w:r>
          </w:p>
        </w:tc>
        <w:tc>
          <w:tcPr>
            <w:tcW w:w="704" w:type="dxa"/>
            <w:shd w:val="clear" w:color="auto" w:fill="DEEAF6" w:themeFill="accent5" w:themeFillTint="33"/>
            <w:vAlign w:val="bottom"/>
            <w:hideMark/>
          </w:tcPr>
          <w:p w14:paraId="3FDF0E52" w14:textId="74438DB8" w:rsidR="003F31B3" w:rsidRPr="003F31B3" w:rsidRDefault="003F31B3" w:rsidP="003F31B3">
            <w:pPr>
              <w:jc w:val="center"/>
              <w:rPr>
                <w:rFonts w:cstheme="minorHAnsi"/>
                <w:szCs w:val="24"/>
              </w:rPr>
            </w:pPr>
            <w:r w:rsidRPr="003F31B3">
              <w:rPr>
                <w:rFonts w:cstheme="minorHAnsi"/>
                <w:color w:val="000000"/>
                <w:kern w:val="24"/>
                <w:szCs w:val="24"/>
              </w:rPr>
              <w:t>24</w:t>
            </w:r>
          </w:p>
        </w:tc>
        <w:tc>
          <w:tcPr>
            <w:tcW w:w="704" w:type="dxa"/>
            <w:shd w:val="clear" w:color="auto" w:fill="DEEAF6" w:themeFill="accent5" w:themeFillTint="33"/>
            <w:vAlign w:val="bottom"/>
            <w:hideMark/>
          </w:tcPr>
          <w:p w14:paraId="6B3535E1" w14:textId="55628C7D" w:rsidR="003F31B3" w:rsidRPr="003F31B3" w:rsidRDefault="003F31B3" w:rsidP="003F31B3">
            <w:pPr>
              <w:jc w:val="center"/>
              <w:rPr>
                <w:rFonts w:cstheme="minorHAnsi"/>
                <w:szCs w:val="24"/>
              </w:rPr>
            </w:pPr>
            <w:r w:rsidRPr="003F31B3">
              <w:rPr>
                <w:rFonts w:cstheme="minorHAnsi"/>
                <w:color w:val="000000"/>
                <w:kern w:val="24"/>
                <w:szCs w:val="24"/>
              </w:rPr>
              <w:t>57%</w:t>
            </w:r>
          </w:p>
        </w:tc>
      </w:tr>
      <w:tr w:rsidR="003F31B3" w:rsidRPr="00447C80" w14:paraId="4A3DC36F" w14:textId="77777777" w:rsidTr="003F4C18">
        <w:trPr>
          <w:trHeight w:val="20"/>
        </w:trPr>
        <w:tc>
          <w:tcPr>
            <w:tcW w:w="2736" w:type="dxa"/>
            <w:hideMark/>
          </w:tcPr>
          <w:p w14:paraId="6888FAC0" w14:textId="77777777" w:rsidR="003F31B3" w:rsidRPr="00447C80" w:rsidRDefault="003F31B3" w:rsidP="003F31B3">
            <w:pPr>
              <w:rPr>
                <w:szCs w:val="24"/>
              </w:rPr>
            </w:pPr>
            <w:r w:rsidRPr="00447C80">
              <w:rPr>
                <w:szCs w:val="24"/>
              </w:rPr>
              <w:t>Black NH</w:t>
            </w:r>
          </w:p>
        </w:tc>
        <w:tc>
          <w:tcPr>
            <w:tcW w:w="703" w:type="dxa"/>
            <w:shd w:val="clear" w:color="auto" w:fill="DEEAF6" w:themeFill="accent5" w:themeFillTint="33"/>
            <w:vAlign w:val="bottom"/>
            <w:hideMark/>
          </w:tcPr>
          <w:p w14:paraId="6A0879AE" w14:textId="66358CBD" w:rsidR="003F31B3" w:rsidRPr="003F31B3" w:rsidRDefault="003F31B3" w:rsidP="003F31B3">
            <w:pPr>
              <w:jc w:val="center"/>
              <w:rPr>
                <w:rFonts w:cstheme="minorHAnsi"/>
                <w:szCs w:val="24"/>
              </w:rPr>
            </w:pPr>
            <w:r w:rsidRPr="003F31B3">
              <w:rPr>
                <w:rFonts w:cstheme="minorHAnsi"/>
                <w:color w:val="000000"/>
                <w:kern w:val="24"/>
                <w:szCs w:val="24"/>
              </w:rPr>
              <w:t>13</w:t>
            </w:r>
          </w:p>
        </w:tc>
        <w:tc>
          <w:tcPr>
            <w:tcW w:w="704" w:type="dxa"/>
            <w:shd w:val="clear" w:color="auto" w:fill="DEEAF6" w:themeFill="accent5" w:themeFillTint="33"/>
            <w:vAlign w:val="bottom"/>
            <w:hideMark/>
          </w:tcPr>
          <w:p w14:paraId="6230F18F" w14:textId="5417B03F" w:rsidR="003F31B3" w:rsidRPr="003F31B3" w:rsidRDefault="003F31B3" w:rsidP="003F31B3">
            <w:pPr>
              <w:jc w:val="center"/>
              <w:rPr>
                <w:rFonts w:cstheme="minorHAnsi"/>
                <w:szCs w:val="24"/>
              </w:rPr>
            </w:pPr>
            <w:r w:rsidRPr="003F31B3">
              <w:rPr>
                <w:rFonts w:cstheme="minorHAnsi"/>
                <w:color w:val="000000"/>
                <w:kern w:val="24"/>
                <w:szCs w:val="24"/>
              </w:rPr>
              <w:t>16%</w:t>
            </w:r>
          </w:p>
        </w:tc>
        <w:tc>
          <w:tcPr>
            <w:tcW w:w="704" w:type="dxa"/>
            <w:vAlign w:val="bottom"/>
            <w:hideMark/>
          </w:tcPr>
          <w:p w14:paraId="0AAFE3A1" w14:textId="15705B9D"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vAlign w:val="bottom"/>
            <w:hideMark/>
          </w:tcPr>
          <w:p w14:paraId="18BC4173" w14:textId="09092D33"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shd w:val="clear" w:color="auto" w:fill="DEEAF6" w:themeFill="accent5" w:themeFillTint="33"/>
            <w:vAlign w:val="bottom"/>
            <w:hideMark/>
          </w:tcPr>
          <w:p w14:paraId="0927A7D5" w14:textId="692D56AE" w:rsidR="003F31B3" w:rsidRPr="003F31B3" w:rsidRDefault="003F31B3" w:rsidP="003F31B3">
            <w:pPr>
              <w:jc w:val="center"/>
              <w:rPr>
                <w:rFonts w:cstheme="minorHAnsi"/>
                <w:szCs w:val="24"/>
              </w:rPr>
            </w:pPr>
            <w:r w:rsidRPr="003F31B3">
              <w:rPr>
                <w:rFonts w:cstheme="minorHAnsi"/>
                <w:color w:val="000000"/>
                <w:kern w:val="24"/>
                <w:szCs w:val="24"/>
              </w:rPr>
              <w:t>11</w:t>
            </w:r>
          </w:p>
        </w:tc>
        <w:tc>
          <w:tcPr>
            <w:tcW w:w="703" w:type="dxa"/>
            <w:shd w:val="clear" w:color="auto" w:fill="DEEAF6" w:themeFill="accent5" w:themeFillTint="33"/>
            <w:vAlign w:val="bottom"/>
            <w:hideMark/>
          </w:tcPr>
          <w:p w14:paraId="515E3BB1" w14:textId="76D63F20" w:rsidR="003F31B3" w:rsidRPr="003F31B3" w:rsidRDefault="003F31B3" w:rsidP="003F31B3">
            <w:pPr>
              <w:jc w:val="center"/>
              <w:rPr>
                <w:rFonts w:cstheme="minorHAnsi"/>
                <w:szCs w:val="24"/>
              </w:rPr>
            </w:pPr>
            <w:r w:rsidRPr="003F31B3">
              <w:rPr>
                <w:rFonts w:cstheme="minorHAnsi"/>
                <w:color w:val="000000"/>
                <w:kern w:val="24"/>
                <w:szCs w:val="24"/>
              </w:rPr>
              <w:t>13%</w:t>
            </w:r>
          </w:p>
        </w:tc>
        <w:tc>
          <w:tcPr>
            <w:tcW w:w="704" w:type="dxa"/>
            <w:vAlign w:val="bottom"/>
            <w:hideMark/>
          </w:tcPr>
          <w:p w14:paraId="2724E0AD" w14:textId="0D4C91B3" w:rsidR="003F31B3" w:rsidRPr="003F31B3" w:rsidRDefault="003F31B3" w:rsidP="003F31B3">
            <w:pPr>
              <w:jc w:val="center"/>
              <w:rPr>
                <w:rFonts w:cstheme="minorHAnsi"/>
                <w:szCs w:val="24"/>
              </w:rPr>
            </w:pPr>
            <w:r w:rsidRPr="003F31B3">
              <w:rPr>
                <w:rFonts w:cstheme="minorHAnsi"/>
                <w:color w:val="000000"/>
                <w:kern w:val="24"/>
                <w:szCs w:val="24"/>
              </w:rPr>
              <w:t>2</w:t>
            </w:r>
          </w:p>
        </w:tc>
        <w:tc>
          <w:tcPr>
            <w:tcW w:w="704" w:type="dxa"/>
            <w:vAlign w:val="bottom"/>
            <w:hideMark/>
          </w:tcPr>
          <w:p w14:paraId="4CCC0B7D" w14:textId="7D59CFBB" w:rsidR="003F31B3" w:rsidRPr="003F31B3" w:rsidRDefault="003F31B3" w:rsidP="003F31B3">
            <w:pPr>
              <w:jc w:val="center"/>
              <w:rPr>
                <w:rFonts w:cstheme="minorHAnsi"/>
                <w:szCs w:val="24"/>
              </w:rPr>
            </w:pPr>
            <w:r w:rsidRPr="003F31B3">
              <w:rPr>
                <w:rFonts w:cstheme="minorHAnsi"/>
                <w:color w:val="000000"/>
                <w:kern w:val="24"/>
                <w:szCs w:val="24"/>
              </w:rPr>
              <w:t>4%</w:t>
            </w:r>
          </w:p>
        </w:tc>
        <w:tc>
          <w:tcPr>
            <w:tcW w:w="704" w:type="dxa"/>
            <w:shd w:val="clear" w:color="auto" w:fill="DEEAF6" w:themeFill="accent5" w:themeFillTint="33"/>
            <w:vAlign w:val="bottom"/>
            <w:hideMark/>
          </w:tcPr>
          <w:p w14:paraId="4AE18E8E" w14:textId="3922B1AC" w:rsidR="003F31B3" w:rsidRPr="003F31B3" w:rsidRDefault="003F31B3" w:rsidP="003F31B3">
            <w:pPr>
              <w:jc w:val="center"/>
              <w:rPr>
                <w:rFonts w:cstheme="minorHAnsi"/>
                <w:szCs w:val="24"/>
              </w:rPr>
            </w:pPr>
            <w:r w:rsidRPr="003F31B3">
              <w:rPr>
                <w:rFonts w:cstheme="minorHAnsi"/>
                <w:color w:val="000000"/>
                <w:kern w:val="24"/>
                <w:szCs w:val="24"/>
              </w:rPr>
              <w:t>4</w:t>
            </w:r>
          </w:p>
        </w:tc>
        <w:tc>
          <w:tcPr>
            <w:tcW w:w="704" w:type="dxa"/>
            <w:shd w:val="clear" w:color="auto" w:fill="DEEAF6" w:themeFill="accent5" w:themeFillTint="33"/>
            <w:vAlign w:val="bottom"/>
            <w:hideMark/>
          </w:tcPr>
          <w:p w14:paraId="4A26B6C0" w14:textId="3CEACDE4" w:rsidR="003F31B3" w:rsidRPr="003F31B3" w:rsidRDefault="003F31B3" w:rsidP="003F31B3">
            <w:pPr>
              <w:jc w:val="center"/>
              <w:rPr>
                <w:rFonts w:cstheme="minorHAnsi"/>
                <w:szCs w:val="24"/>
              </w:rPr>
            </w:pPr>
            <w:r w:rsidRPr="003F31B3">
              <w:rPr>
                <w:rFonts w:cstheme="minorHAnsi"/>
                <w:color w:val="000000"/>
                <w:kern w:val="24"/>
                <w:szCs w:val="24"/>
              </w:rPr>
              <w:t>10%</w:t>
            </w:r>
          </w:p>
        </w:tc>
      </w:tr>
      <w:tr w:rsidR="003F31B3" w:rsidRPr="00447C80" w14:paraId="3D2A27FF" w14:textId="77777777" w:rsidTr="003F4C18">
        <w:trPr>
          <w:trHeight w:val="20"/>
        </w:trPr>
        <w:tc>
          <w:tcPr>
            <w:tcW w:w="2736" w:type="dxa"/>
            <w:hideMark/>
          </w:tcPr>
          <w:p w14:paraId="3E7F5171" w14:textId="77777777" w:rsidR="003F31B3" w:rsidRPr="00447C80" w:rsidRDefault="003F31B3" w:rsidP="003F31B3">
            <w:pPr>
              <w:rPr>
                <w:szCs w:val="24"/>
              </w:rPr>
            </w:pPr>
            <w:r w:rsidRPr="00447C80">
              <w:rPr>
                <w:szCs w:val="24"/>
              </w:rPr>
              <w:t>Hispanic/Latino</w:t>
            </w:r>
          </w:p>
        </w:tc>
        <w:tc>
          <w:tcPr>
            <w:tcW w:w="703" w:type="dxa"/>
            <w:shd w:val="clear" w:color="auto" w:fill="DEEAF6" w:themeFill="accent5" w:themeFillTint="33"/>
            <w:vAlign w:val="bottom"/>
            <w:hideMark/>
          </w:tcPr>
          <w:p w14:paraId="356426E8" w14:textId="17F12181" w:rsidR="003F31B3" w:rsidRPr="003F31B3" w:rsidRDefault="003F31B3" w:rsidP="003F31B3">
            <w:pPr>
              <w:jc w:val="center"/>
              <w:rPr>
                <w:rFonts w:cstheme="minorHAnsi"/>
                <w:szCs w:val="24"/>
              </w:rPr>
            </w:pPr>
            <w:r w:rsidRPr="003F31B3">
              <w:rPr>
                <w:rFonts w:cstheme="minorHAnsi"/>
                <w:color w:val="000000"/>
                <w:kern w:val="24"/>
                <w:szCs w:val="24"/>
              </w:rPr>
              <w:t>15</w:t>
            </w:r>
          </w:p>
        </w:tc>
        <w:tc>
          <w:tcPr>
            <w:tcW w:w="704" w:type="dxa"/>
            <w:shd w:val="clear" w:color="auto" w:fill="DEEAF6" w:themeFill="accent5" w:themeFillTint="33"/>
            <w:vAlign w:val="bottom"/>
            <w:hideMark/>
          </w:tcPr>
          <w:p w14:paraId="5E35575D" w14:textId="28DBBDED" w:rsidR="003F31B3" w:rsidRPr="003F31B3" w:rsidRDefault="003F31B3" w:rsidP="003F31B3">
            <w:pPr>
              <w:jc w:val="center"/>
              <w:rPr>
                <w:rFonts w:cstheme="minorHAnsi"/>
                <w:szCs w:val="24"/>
              </w:rPr>
            </w:pPr>
            <w:r w:rsidRPr="003F31B3">
              <w:rPr>
                <w:rFonts w:cstheme="minorHAnsi"/>
                <w:color w:val="000000"/>
                <w:kern w:val="24"/>
                <w:szCs w:val="24"/>
              </w:rPr>
              <w:t>19%</w:t>
            </w:r>
          </w:p>
        </w:tc>
        <w:tc>
          <w:tcPr>
            <w:tcW w:w="704" w:type="dxa"/>
            <w:vAlign w:val="bottom"/>
            <w:hideMark/>
          </w:tcPr>
          <w:p w14:paraId="3F6576C2" w14:textId="764014CE" w:rsidR="003F31B3" w:rsidRPr="003F31B3" w:rsidRDefault="003F31B3" w:rsidP="003F31B3">
            <w:pPr>
              <w:jc w:val="center"/>
              <w:rPr>
                <w:rFonts w:cstheme="minorHAnsi"/>
                <w:szCs w:val="24"/>
              </w:rPr>
            </w:pPr>
            <w:r w:rsidRPr="003F31B3">
              <w:rPr>
                <w:rFonts w:cstheme="minorHAnsi"/>
                <w:color w:val="000000"/>
                <w:kern w:val="24"/>
                <w:szCs w:val="24"/>
              </w:rPr>
              <w:t>15</w:t>
            </w:r>
          </w:p>
        </w:tc>
        <w:tc>
          <w:tcPr>
            <w:tcW w:w="704" w:type="dxa"/>
            <w:vAlign w:val="bottom"/>
            <w:hideMark/>
          </w:tcPr>
          <w:p w14:paraId="3289C080" w14:textId="0CF8CD51" w:rsidR="003F31B3" w:rsidRPr="003F31B3" w:rsidRDefault="003F31B3" w:rsidP="003F31B3">
            <w:pPr>
              <w:jc w:val="center"/>
              <w:rPr>
                <w:rFonts w:cstheme="minorHAnsi"/>
                <w:szCs w:val="24"/>
              </w:rPr>
            </w:pPr>
            <w:r w:rsidRPr="003F31B3">
              <w:rPr>
                <w:rFonts w:cstheme="minorHAnsi"/>
                <w:color w:val="000000"/>
                <w:kern w:val="24"/>
                <w:szCs w:val="24"/>
              </w:rPr>
              <w:t>15%</w:t>
            </w:r>
          </w:p>
        </w:tc>
        <w:tc>
          <w:tcPr>
            <w:tcW w:w="704" w:type="dxa"/>
            <w:shd w:val="clear" w:color="auto" w:fill="DEEAF6" w:themeFill="accent5" w:themeFillTint="33"/>
            <w:vAlign w:val="bottom"/>
            <w:hideMark/>
          </w:tcPr>
          <w:p w14:paraId="69AAC809" w14:textId="747A44C9" w:rsidR="003F31B3" w:rsidRPr="003F31B3" w:rsidRDefault="003F31B3" w:rsidP="003F31B3">
            <w:pPr>
              <w:jc w:val="center"/>
              <w:rPr>
                <w:rFonts w:cstheme="minorHAnsi"/>
                <w:szCs w:val="24"/>
              </w:rPr>
            </w:pPr>
            <w:r w:rsidRPr="003F31B3">
              <w:rPr>
                <w:rFonts w:cstheme="minorHAnsi"/>
                <w:color w:val="000000"/>
                <w:kern w:val="24"/>
                <w:szCs w:val="24"/>
              </w:rPr>
              <w:t>16</w:t>
            </w:r>
          </w:p>
        </w:tc>
        <w:tc>
          <w:tcPr>
            <w:tcW w:w="703" w:type="dxa"/>
            <w:shd w:val="clear" w:color="auto" w:fill="DEEAF6" w:themeFill="accent5" w:themeFillTint="33"/>
            <w:vAlign w:val="bottom"/>
            <w:hideMark/>
          </w:tcPr>
          <w:p w14:paraId="57C903CB" w14:textId="537BEFAA" w:rsidR="003F31B3" w:rsidRPr="003F31B3" w:rsidRDefault="003F31B3" w:rsidP="003F31B3">
            <w:pPr>
              <w:jc w:val="center"/>
              <w:rPr>
                <w:rFonts w:cstheme="minorHAnsi"/>
                <w:szCs w:val="24"/>
              </w:rPr>
            </w:pPr>
            <w:r w:rsidRPr="003F31B3">
              <w:rPr>
                <w:rFonts w:cstheme="minorHAnsi"/>
                <w:color w:val="000000"/>
                <w:kern w:val="24"/>
                <w:szCs w:val="24"/>
              </w:rPr>
              <w:t>18%</w:t>
            </w:r>
          </w:p>
        </w:tc>
        <w:tc>
          <w:tcPr>
            <w:tcW w:w="704" w:type="dxa"/>
            <w:vAlign w:val="bottom"/>
            <w:hideMark/>
          </w:tcPr>
          <w:p w14:paraId="55A36C9E" w14:textId="06402074" w:rsidR="003F31B3" w:rsidRPr="003F31B3" w:rsidRDefault="003F31B3" w:rsidP="003F31B3">
            <w:pPr>
              <w:jc w:val="center"/>
              <w:rPr>
                <w:rFonts w:cstheme="minorHAnsi"/>
                <w:szCs w:val="24"/>
              </w:rPr>
            </w:pPr>
            <w:r w:rsidRPr="003F31B3">
              <w:rPr>
                <w:rFonts w:cstheme="minorHAnsi"/>
                <w:color w:val="000000"/>
                <w:kern w:val="24"/>
                <w:szCs w:val="24"/>
              </w:rPr>
              <w:t>14</w:t>
            </w:r>
          </w:p>
        </w:tc>
        <w:tc>
          <w:tcPr>
            <w:tcW w:w="704" w:type="dxa"/>
            <w:vAlign w:val="bottom"/>
            <w:hideMark/>
          </w:tcPr>
          <w:p w14:paraId="798ADC7C" w14:textId="0E3188AA" w:rsidR="003F31B3" w:rsidRPr="003F31B3" w:rsidRDefault="003F31B3" w:rsidP="003F31B3">
            <w:pPr>
              <w:jc w:val="center"/>
              <w:rPr>
                <w:rFonts w:cstheme="minorHAnsi"/>
                <w:szCs w:val="24"/>
              </w:rPr>
            </w:pPr>
            <w:r w:rsidRPr="003F31B3">
              <w:rPr>
                <w:rFonts w:cstheme="minorHAnsi"/>
                <w:color w:val="000000"/>
                <w:kern w:val="24"/>
                <w:szCs w:val="24"/>
              </w:rPr>
              <w:t>27%</w:t>
            </w:r>
          </w:p>
        </w:tc>
        <w:tc>
          <w:tcPr>
            <w:tcW w:w="704" w:type="dxa"/>
            <w:shd w:val="clear" w:color="auto" w:fill="DEEAF6" w:themeFill="accent5" w:themeFillTint="33"/>
            <w:vAlign w:val="bottom"/>
            <w:hideMark/>
          </w:tcPr>
          <w:p w14:paraId="5F39813F" w14:textId="540FEC63" w:rsidR="003F31B3" w:rsidRPr="003F31B3" w:rsidRDefault="003F31B3" w:rsidP="003F31B3">
            <w:pPr>
              <w:jc w:val="center"/>
              <w:rPr>
                <w:rFonts w:cstheme="minorHAnsi"/>
                <w:szCs w:val="24"/>
              </w:rPr>
            </w:pPr>
            <w:r w:rsidRPr="003F31B3">
              <w:rPr>
                <w:rFonts w:cstheme="minorHAnsi"/>
                <w:color w:val="000000"/>
                <w:kern w:val="24"/>
                <w:szCs w:val="24"/>
              </w:rPr>
              <w:t>11</w:t>
            </w:r>
          </w:p>
        </w:tc>
        <w:tc>
          <w:tcPr>
            <w:tcW w:w="704" w:type="dxa"/>
            <w:shd w:val="clear" w:color="auto" w:fill="DEEAF6" w:themeFill="accent5" w:themeFillTint="33"/>
            <w:vAlign w:val="bottom"/>
            <w:hideMark/>
          </w:tcPr>
          <w:p w14:paraId="3C2045FF" w14:textId="660A6E58" w:rsidR="003F31B3" w:rsidRPr="003F31B3" w:rsidRDefault="003F31B3" w:rsidP="003F31B3">
            <w:pPr>
              <w:jc w:val="center"/>
              <w:rPr>
                <w:rFonts w:cstheme="minorHAnsi"/>
                <w:szCs w:val="24"/>
              </w:rPr>
            </w:pPr>
            <w:r w:rsidRPr="003F31B3">
              <w:rPr>
                <w:rFonts w:cstheme="minorHAnsi"/>
                <w:color w:val="000000"/>
                <w:kern w:val="24"/>
                <w:szCs w:val="24"/>
              </w:rPr>
              <w:t>26%</w:t>
            </w:r>
          </w:p>
        </w:tc>
      </w:tr>
      <w:tr w:rsidR="003F31B3" w:rsidRPr="00447C80" w14:paraId="4469A55B" w14:textId="77777777" w:rsidTr="003F4C18">
        <w:trPr>
          <w:trHeight w:val="20"/>
        </w:trPr>
        <w:tc>
          <w:tcPr>
            <w:tcW w:w="2736" w:type="dxa"/>
            <w:hideMark/>
          </w:tcPr>
          <w:p w14:paraId="154D2BBE" w14:textId="53F64F94" w:rsidR="003F31B3" w:rsidRPr="00447C80" w:rsidRDefault="003F31B3" w:rsidP="003F31B3">
            <w:r w:rsidRPr="00447C80">
              <w:t>Asian/Pacific Islander NH</w:t>
            </w:r>
          </w:p>
        </w:tc>
        <w:tc>
          <w:tcPr>
            <w:tcW w:w="703" w:type="dxa"/>
            <w:shd w:val="clear" w:color="auto" w:fill="DEEAF6" w:themeFill="accent5" w:themeFillTint="33"/>
            <w:vAlign w:val="bottom"/>
            <w:hideMark/>
          </w:tcPr>
          <w:p w14:paraId="4C93E426" w14:textId="347D2F74" w:rsidR="003F31B3" w:rsidRPr="003F31B3" w:rsidRDefault="003F31B3" w:rsidP="003F31B3">
            <w:pPr>
              <w:jc w:val="center"/>
              <w:rPr>
                <w:rFonts w:cstheme="minorHAnsi"/>
                <w:szCs w:val="24"/>
              </w:rPr>
            </w:pPr>
            <w:r w:rsidRPr="003F31B3">
              <w:rPr>
                <w:rFonts w:cstheme="minorHAnsi"/>
                <w:color w:val="000000"/>
                <w:kern w:val="24"/>
                <w:szCs w:val="24"/>
              </w:rPr>
              <w:t>1</w:t>
            </w:r>
          </w:p>
        </w:tc>
        <w:tc>
          <w:tcPr>
            <w:tcW w:w="704" w:type="dxa"/>
            <w:shd w:val="clear" w:color="auto" w:fill="DEEAF6" w:themeFill="accent5" w:themeFillTint="33"/>
            <w:vAlign w:val="bottom"/>
            <w:hideMark/>
          </w:tcPr>
          <w:p w14:paraId="60A4749F" w14:textId="2274614F" w:rsidR="003F31B3" w:rsidRPr="003F31B3" w:rsidRDefault="003F31B3" w:rsidP="003F31B3">
            <w:pPr>
              <w:jc w:val="center"/>
              <w:rPr>
                <w:rFonts w:cstheme="minorHAnsi"/>
                <w:szCs w:val="24"/>
              </w:rPr>
            </w:pPr>
            <w:r w:rsidRPr="003F31B3">
              <w:rPr>
                <w:rFonts w:cstheme="minorHAnsi"/>
                <w:color w:val="000000"/>
                <w:kern w:val="24"/>
                <w:szCs w:val="24"/>
              </w:rPr>
              <w:t>1%</w:t>
            </w:r>
          </w:p>
        </w:tc>
        <w:tc>
          <w:tcPr>
            <w:tcW w:w="704" w:type="dxa"/>
            <w:vAlign w:val="bottom"/>
            <w:hideMark/>
          </w:tcPr>
          <w:p w14:paraId="201AEA67" w14:textId="7308F1E4"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vAlign w:val="bottom"/>
            <w:hideMark/>
          </w:tcPr>
          <w:p w14:paraId="439F47CF" w14:textId="3587E809"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shd w:val="clear" w:color="auto" w:fill="DEEAF6" w:themeFill="accent5" w:themeFillTint="33"/>
            <w:vAlign w:val="bottom"/>
            <w:hideMark/>
          </w:tcPr>
          <w:p w14:paraId="5092BA99" w14:textId="7E9DEBCD"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3" w:type="dxa"/>
            <w:shd w:val="clear" w:color="auto" w:fill="DEEAF6" w:themeFill="accent5" w:themeFillTint="33"/>
            <w:vAlign w:val="bottom"/>
            <w:hideMark/>
          </w:tcPr>
          <w:p w14:paraId="280D56BA" w14:textId="4B3A0C03"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vAlign w:val="bottom"/>
            <w:hideMark/>
          </w:tcPr>
          <w:p w14:paraId="22C4DA90" w14:textId="49BF0CFC"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vAlign w:val="bottom"/>
            <w:hideMark/>
          </w:tcPr>
          <w:p w14:paraId="75019A9B" w14:textId="65478C8B"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shd w:val="clear" w:color="auto" w:fill="DEEAF6" w:themeFill="accent5" w:themeFillTint="33"/>
            <w:vAlign w:val="bottom"/>
            <w:hideMark/>
          </w:tcPr>
          <w:p w14:paraId="59951369" w14:textId="42DAE998" w:rsidR="003F31B3" w:rsidRPr="003F31B3" w:rsidRDefault="003F31B3" w:rsidP="003F31B3">
            <w:pPr>
              <w:jc w:val="center"/>
              <w:rPr>
                <w:rFonts w:cstheme="minorHAnsi"/>
                <w:szCs w:val="24"/>
              </w:rPr>
            </w:pPr>
            <w:r w:rsidRPr="003F31B3">
              <w:rPr>
                <w:rFonts w:cstheme="minorHAnsi"/>
                <w:color w:val="000000"/>
                <w:kern w:val="24"/>
                <w:szCs w:val="24"/>
              </w:rPr>
              <w:t>1</w:t>
            </w:r>
          </w:p>
        </w:tc>
        <w:tc>
          <w:tcPr>
            <w:tcW w:w="704" w:type="dxa"/>
            <w:shd w:val="clear" w:color="auto" w:fill="DEEAF6" w:themeFill="accent5" w:themeFillTint="33"/>
            <w:vAlign w:val="bottom"/>
            <w:hideMark/>
          </w:tcPr>
          <w:p w14:paraId="47167A96" w14:textId="335C642A" w:rsidR="003F31B3" w:rsidRPr="003F31B3" w:rsidRDefault="003F31B3" w:rsidP="003F31B3">
            <w:pPr>
              <w:jc w:val="center"/>
              <w:rPr>
                <w:rFonts w:cstheme="minorHAnsi"/>
                <w:szCs w:val="24"/>
              </w:rPr>
            </w:pPr>
            <w:r w:rsidRPr="003F31B3">
              <w:rPr>
                <w:rFonts w:cstheme="minorHAnsi"/>
                <w:color w:val="000000"/>
                <w:kern w:val="24"/>
                <w:szCs w:val="24"/>
              </w:rPr>
              <w:t>2%</w:t>
            </w:r>
          </w:p>
        </w:tc>
      </w:tr>
      <w:tr w:rsidR="003F31B3" w:rsidRPr="00447C80" w14:paraId="2FB190A6" w14:textId="77777777" w:rsidTr="003F4C18">
        <w:trPr>
          <w:trHeight w:val="20"/>
        </w:trPr>
        <w:tc>
          <w:tcPr>
            <w:tcW w:w="2736" w:type="dxa"/>
            <w:hideMark/>
          </w:tcPr>
          <w:p w14:paraId="23F97E3C" w14:textId="1A2E7546" w:rsidR="003F31B3" w:rsidRPr="00447C80" w:rsidRDefault="003F31B3" w:rsidP="003F31B3">
            <w:r w:rsidRPr="00447C80">
              <w:t>Other NH/Unknown</w:t>
            </w:r>
          </w:p>
        </w:tc>
        <w:tc>
          <w:tcPr>
            <w:tcW w:w="703" w:type="dxa"/>
            <w:shd w:val="clear" w:color="auto" w:fill="DEEAF6" w:themeFill="accent5" w:themeFillTint="33"/>
            <w:vAlign w:val="bottom"/>
            <w:hideMark/>
          </w:tcPr>
          <w:p w14:paraId="356C8609" w14:textId="6EE719FC" w:rsidR="003F31B3" w:rsidRPr="003F31B3" w:rsidRDefault="003F31B3" w:rsidP="003F31B3">
            <w:pPr>
              <w:jc w:val="center"/>
              <w:rPr>
                <w:rFonts w:cstheme="minorHAnsi"/>
                <w:szCs w:val="24"/>
              </w:rPr>
            </w:pPr>
            <w:r w:rsidRPr="003F31B3">
              <w:rPr>
                <w:rFonts w:cstheme="minorHAnsi"/>
                <w:color w:val="000000"/>
                <w:kern w:val="24"/>
                <w:szCs w:val="24"/>
              </w:rPr>
              <w:t>4</w:t>
            </w:r>
          </w:p>
        </w:tc>
        <w:tc>
          <w:tcPr>
            <w:tcW w:w="704" w:type="dxa"/>
            <w:shd w:val="clear" w:color="auto" w:fill="DEEAF6" w:themeFill="accent5" w:themeFillTint="33"/>
            <w:vAlign w:val="bottom"/>
            <w:hideMark/>
          </w:tcPr>
          <w:p w14:paraId="1F5ED0A0" w14:textId="58F0837C" w:rsidR="003F31B3" w:rsidRPr="003F31B3" w:rsidRDefault="003F31B3" w:rsidP="003F31B3">
            <w:pPr>
              <w:jc w:val="center"/>
              <w:rPr>
                <w:rFonts w:cstheme="minorHAnsi"/>
                <w:szCs w:val="24"/>
              </w:rPr>
            </w:pPr>
            <w:r w:rsidRPr="003F31B3">
              <w:rPr>
                <w:rFonts w:cstheme="minorHAnsi"/>
                <w:color w:val="000000"/>
                <w:kern w:val="24"/>
                <w:szCs w:val="24"/>
              </w:rPr>
              <w:t>5%</w:t>
            </w:r>
          </w:p>
        </w:tc>
        <w:tc>
          <w:tcPr>
            <w:tcW w:w="704" w:type="dxa"/>
            <w:vAlign w:val="bottom"/>
            <w:hideMark/>
          </w:tcPr>
          <w:p w14:paraId="13765D4C" w14:textId="4483EFBB" w:rsidR="003F31B3" w:rsidRPr="003F31B3" w:rsidRDefault="003F31B3" w:rsidP="003F31B3">
            <w:pPr>
              <w:jc w:val="center"/>
              <w:rPr>
                <w:rFonts w:cstheme="minorHAnsi"/>
                <w:szCs w:val="24"/>
              </w:rPr>
            </w:pPr>
            <w:r w:rsidRPr="003F31B3">
              <w:rPr>
                <w:rFonts w:cstheme="minorHAnsi"/>
                <w:color w:val="000000"/>
                <w:kern w:val="24"/>
                <w:szCs w:val="24"/>
              </w:rPr>
              <w:t>1</w:t>
            </w:r>
          </w:p>
        </w:tc>
        <w:tc>
          <w:tcPr>
            <w:tcW w:w="704" w:type="dxa"/>
            <w:vAlign w:val="bottom"/>
            <w:hideMark/>
          </w:tcPr>
          <w:p w14:paraId="3EE5F7EA" w14:textId="0B8965BD" w:rsidR="003F31B3" w:rsidRPr="003F31B3" w:rsidRDefault="003F31B3" w:rsidP="003F31B3">
            <w:pPr>
              <w:jc w:val="center"/>
              <w:rPr>
                <w:rFonts w:cstheme="minorHAnsi"/>
                <w:szCs w:val="24"/>
              </w:rPr>
            </w:pPr>
            <w:r w:rsidRPr="003F31B3">
              <w:rPr>
                <w:rFonts w:cstheme="minorHAnsi"/>
                <w:color w:val="000000"/>
                <w:kern w:val="24"/>
                <w:szCs w:val="24"/>
              </w:rPr>
              <w:t>1%</w:t>
            </w:r>
          </w:p>
        </w:tc>
        <w:tc>
          <w:tcPr>
            <w:tcW w:w="704" w:type="dxa"/>
            <w:shd w:val="clear" w:color="auto" w:fill="DEEAF6" w:themeFill="accent5" w:themeFillTint="33"/>
            <w:vAlign w:val="bottom"/>
            <w:hideMark/>
          </w:tcPr>
          <w:p w14:paraId="1764948B" w14:textId="69686A38" w:rsidR="003F31B3" w:rsidRPr="003F31B3" w:rsidRDefault="003F31B3" w:rsidP="003F31B3">
            <w:pPr>
              <w:jc w:val="center"/>
              <w:rPr>
                <w:rFonts w:cstheme="minorHAnsi"/>
                <w:szCs w:val="24"/>
              </w:rPr>
            </w:pPr>
            <w:r w:rsidRPr="003F31B3">
              <w:rPr>
                <w:rFonts w:cstheme="minorHAnsi"/>
                <w:color w:val="000000"/>
                <w:kern w:val="24"/>
                <w:szCs w:val="24"/>
              </w:rPr>
              <w:t>1</w:t>
            </w:r>
          </w:p>
        </w:tc>
        <w:tc>
          <w:tcPr>
            <w:tcW w:w="703" w:type="dxa"/>
            <w:shd w:val="clear" w:color="auto" w:fill="DEEAF6" w:themeFill="accent5" w:themeFillTint="33"/>
            <w:vAlign w:val="bottom"/>
            <w:hideMark/>
          </w:tcPr>
          <w:p w14:paraId="08A34562" w14:textId="0E1BF91D" w:rsidR="003F31B3" w:rsidRPr="003F31B3" w:rsidRDefault="003F31B3" w:rsidP="003F31B3">
            <w:pPr>
              <w:jc w:val="center"/>
              <w:rPr>
                <w:rFonts w:cstheme="minorHAnsi"/>
                <w:szCs w:val="24"/>
              </w:rPr>
            </w:pPr>
            <w:r w:rsidRPr="003F31B3">
              <w:rPr>
                <w:rFonts w:cstheme="minorHAnsi"/>
                <w:color w:val="000000"/>
                <w:kern w:val="24"/>
                <w:szCs w:val="24"/>
              </w:rPr>
              <w:t>1%</w:t>
            </w:r>
          </w:p>
        </w:tc>
        <w:tc>
          <w:tcPr>
            <w:tcW w:w="704" w:type="dxa"/>
            <w:vAlign w:val="bottom"/>
            <w:hideMark/>
          </w:tcPr>
          <w:p w14:paraId="7AA96C82" w14:textId="78B58E90" w:rsidR="003F31B3" w:rsidRPr="003F31B3" w:rsidRDefault="003F31B3" w:rsidP="003F31B3">
            <w:pPr>
              <w:jc w:val="center"/>
              <w:rPr>
                <w:rFonts w:cstheme="minorHAnsi"/>
                <w:szCs w:val="24"/>
              </w:rPr>
            </w:pPr>
            <w:r w:rsidRPr="003F31B3">
              <w:rPr>
                <w:rFonts w:cstheme="minorHAnsi"/>
                <w:color w:val="000000"/>
                <w:kern w:val="24"/>
                <w:szCs w:val="24"/>
              </w:rPr>
              <w:t>2</w:t>
            </w:r>
          </w:p>
        </w:tc>
        <w:tc>
          <w:tcPr>
            <w:tcW w:w="704" w:type="dxa"/>
            <w:vAlign w:val="bottom"/>
            <w:hideMark/>
          </w:tcPr>
          <w:p w14:paraId="50B4A200" w14:textId="58E014BC" w:rsidR="003F31B3" w:rsidRPr="003F31B3" w:rsidRDefault="003F31B3" w:rsidP="003F31B3">
            <w:pPr>
              <w:jc w:val="center"/>
              <w:rPr>
                <w:rFonts w:cstheme="minorHAnsi"/>
                <w:szCs w:val="24"/>
              </w:rPr>
            </w:pPr>
            <w:r w:rsidRPr="003F31B3">
              <w:rPr>
                <w:rFonts w:cstheme="minorHAnsi"/>
                <w:color w:val="000000"/>
                <w:kern w:val="24"/>
                <w:szCs w:val="24"/>
              </w:rPr>
              <w:t>4%</w:t>
            </w:r>
          </w:p>
        </w:tc>
        <w:tc>
          <w:tcPr>
            <w:tcW w:w="704" w:type="dxa"/>
            <w:shd w:val="clear" w:color="auto" w:fill="DEEAF6" w:themeFill="accent5" w:themeFillTint="33"/>
            <w:vAlign w:val="bottom"/>
            <w:hideMark/>
          </w:tcPr>
          <w:p w14:paraId="3CB7ADB2" w14:textId="330C8CD4" w:rsidR="003F31B3" w:rsidRPr="003F31B3" w:rsidRDefault="003F31B3" w:rsidP="003F31B3">
            <w:pPr>
              <w:jc w:val="center"/>
              <w:rPr>
                <w:rFonts w:cstheme="minorHAnsi"/>
                <w:szCs w:val="24"/>
              </w:rPr>
            </w:pPr>
            <w:r w:rsidRPr="003F31B3">
              <w:rPr>
                <w:rFonts w:cstheme="minorHAnsi"/>
                <w:color w:val="000000"/>
                <w:kern w:val="24"/>
                <w:szCs w:val="24"/>
              </w:rPr>
              <w:t>2</w:t>
            </w:r>
          </w:p>
        </w:tc>
        <w:tc>
          <w:tcPr>
            <w:tcW w:w="704" w:type="dxa"/>
            <w:shd w:val="clear" w:color="auto" w:fill="DEEAF6" w:themeFill="accent5" w:themeFillTint="33"/>
            <w:vAlign w:val="bottom"/>
            <w:hideMark/>
          </w:tcPr>
          <w:p w14:paraId="6D8F5B61" w14:textId="626C7F00" w:rsidR="003F31B3" w:rsidRPr="003F31B3" w:rsidRDefault="003F31B3" w:rsidP="003F31B3">
            <w:pPr>
              <w:jc w:val="center"/>
              <w:rPr>
                <w:rFonts w:cstheme="minorHAnsi"/>
                <w:szCs w:val="24"/>
              </w:rPr>
            </w:pPr>
            <w:r w:rsidRPr="003F31B3">
              <w:rPr>
                <w:rFonts w:cstheme="minorHAnsi"/>
                <w:color w:val="000000"/>
                <w:kern w:val="24"/>
                <w:szCs w:val="24"/>
              </w:rPr>
              <w:t>5%</w:t>
            </w:r>
          </w:p>
        </w:tc>
      </w:tr>
      <w:tr w:rsidR="003F31B3" w:rsidRPr="00447C80" w14:paraId="365BF4F2" w14:textId="77777777" w:rsidTr="003F4C18">
        <w:trPr>
          <w:trHeight w:val="20"/>
        </w:trPr>
        <w:tc>
          <w:tcPr>
            <w:tcW w:w="2736" w:type="dxa"/>
            <w:hideMark/>
          </w:tcPr>
          <w:p w14:paraId="4A07063F" w14:textId="77777777" w:rsidR="003F31B3" w:rsidRPr="00447C80" w:rsidRDefault="003F31B3" w:rsidP="003F31B3">
            <w:pPr>
              <w:rPr>
                <w:szCs w:val="24"/>
              </w:rPr>
            </w:pPr>
            <w:r w:rsidRPr="00447C80">
              <w:rPr>
                <w:b/>
                <w:bCs/>
                <w:szCs w:val="24"/>
              </w:rPr>
              <w:t>Age:</w:t>
            </w:r>
          </w:p>
        </w:tc>
        <w:tc>
          <w:tcPr>
            <w:tcW w:w="703" w:type="dxa"/>
            <w:shd w:val="clear" w:color="auto" w:fill="DEEAF6" w:themeFill="accent5" w:themeFillTint="33"/>
            <w:vAlign w:val="bottom"/>
            <w:hideMark/>
          </w:tcPr>
          <w:p w14:paraId="0A8785D7"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0C26529D" w14:textId="77777777" w:rsidR="003F31B3" w:rsidRPr="003F31B3" w:rsidRDefault="003F31B3" w:rsidP="003F31B3">
            <w:pPr>
              <w:jc w:val="center"/>
              <w:rPr>
                <w:rFonts w:cstheme="minorHAnsi"/>
                <w:szCs w:val="24"/>
              </w:rPr>
            </w:pPr>
          </w:p>
        </w:tc>
        <w:tc>
          <w:tcPr>
            <w:tcW w:w="704" w:type="dxa"/>
            <w:vAlign w:val="bottom"/>
            <w:hideMark/>
          </w:tcPr>
          <w:p w14:paraId="353C0BC8" w14:textId="77777777" w:rsidR="003F31B3" w:rsidRPr="003F31B3" w:rsidRDefault="003F31B3" w:rsidP="003F31B3">
            <w:pPr>
              <w:jc w:val="center"/>
              <w:rPr>
                <w:rFonts w:cstheme="minorHAnsi"/>
                <w:szCs w:val="24"/>
              </w:rPr>
            </w:pPr>
          </w:p>
        </w:tc>
        <w:tc>
          <w:tcPr>
            <w:tcW w:w="704" w:type="dxa"/>
            <w:vAlign w:val="bottom"/>
            <w:hideMark/>
          </w:tcPr>
          <w:p w14:paraId="5B9CBAB7"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26B3EE20" w14:textId="77777777" w:rsidR="003F31B3" w:rsidRPr="003F31B3" w:rsidRDefault="003F31B3" w:rsidP="003F31B3">
            <w:pPr>
              <w:jc w:val="center"/>
              <w:rPr>
                <w:rFonts w:cstheme="minorHAnsi"/>
                <w:szCs w:val="24"/>
              </w:rPr>
            </w:pPr>
          </w:p>
        </w:tc>
        <w:tc>
          <w:tcPr>
            <w:tcW w:w="703" w:type="dxa"/>
            <w:shd w:val="clear" w:color="auto" w:fill="DEEAF6" w:themeFill="accent5" w:themeFillTint="33"/>
            <w:vAlign w:val="bottom"/>
            <w:hideMark/>
          </w:tcPr>
          <w:p w14:paraId="5FC30DD3" w14:textId="77777777" w:rsidR="003F31B3" w:rsidRPr="003F31B3" w:rsidRDefault="003F31B3" w:rsidP="003F31B3">
            <w:pPr>
              <w:jc w:val="center"/>
              <w:rPr>
                <w:rFonts w:cstheme="minorHAnsi"/>
                <w:szCs w:val="24"/>
              </w:rPr>
            </w:pPr>
          </w:p>
        </w:tc>
        <w:tc>
          <w:tcPr>
            <w:tcW w:w="704" w:type="dxa"/>
            <w:vAlign w:val="bottom"/>
            <w:hideMark/>
          </w:tcPr>
          <w:p w14:paraId="58F64D70" w14:textId="77777777" w:rsidR="003F31B3" w:rsidRPr="003F31B3" w:rsidRDefault="003F31B3" w:rsidP="003F31B3">
            <w:pPr>
              <w:jc w:val="center"/>
              <w:rPr>
                <w:rFonts w:cstheme="minorHAnsi"/>
                <w:szCs w:val="24"/>
              </w:rPr>
            </w:pPr>
          </w:p>
        </w:tc>
        <w:tc>
          <w:tcPr>
            <w:tcW w:w="704" w:type="dxa"/>
            <w:vAlign w:val="bottom"/>
            <w:hideMark/>
          </w:tcPr>
          <w:p w14:paraId="7C05B034"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0145B806"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6AB17ED7" w14:textId="77777777" w:rsidR="003F31B3" w:rsidRPr="003F31B3" w:rsidRDefault="003F31B3" w:rsidP="003F31B3">
            <w:pPr>
              <w:jc w:val="center"/>
              <w:rPr>
                <w:rFonts w:cstheme="minorHAnsi"/>
                <w:szCs w:val="24"/>
              </w:rPr>
            </w:pPr>
          </w:p>
        </w:tc>
      </w:tr>
      <w:tr w:rsidR="003F31B3" w:rsidRPr="00447C80" w14:paraId="6308B263" w14:textId="77777777" w:rsidTr="003F4C18">
        <w:trPr>
          <w:trHeight w:val="20"/>
        </w:trPr>
        <w:tc>
          <w:tcPr>
            <w:tcW w:w="2736" w:type="dxa"/>
            <w:hideMark/>
          </w:tcPr>
          <w:p w14:paraId="0E2C3ECC" w14:textId="77777777" w:rsidR="003F31B3" w:rsidRPr="00447C80" w:rsidRDefault="003F31B3" w:rsidP="003F31B3">
            <w:pPr>
              <w:rPr>
                <w:szCs w:val="24"/>
              </w:rPr>
            </w:pPr>
            <w:r w:rsidRPr="00447C80">
              <w:rPr>
                <w:szCs w:val="24"/>
              </w:rPr>
              <w:t>20-29 years</w:t>
            </w:r>
          </w:p>
        </w:tc>
        <w:tc>
          <w:tcPr>
            <w:tcW w:w="703" w:type="dxa"/>
            <w:shd w:val="clear" w:color="auto" w:fill="DEEAF6" w:themeFill="accent5" w:themeFillTint="33"/>
            <w:vAlign w:val="bottom"/>
            <w:hideMark/>
          </w:tcPr>
          <w:p w14:paraId="5271CD4F" w14:textId="7CF18861" w:rsidR="003F31B3" w:rsidRPr="003F31B3" w:rsidRDefault="003F31B3" w:rsidP="003F31B3">
            <w:pPr>
              <w:jc w:val="center"/>
              <w:rPr>
                <w:rFonts w:cstheme="minorHAnsi"/>
                <w:szCs w:val="24"/>
              </w:rPr>
            </w:pPr>
            <w:r w:rsidRPr="003F31B3">
              <w:rPr>
                <w:rFonts w:cstheme="minorHAnsi"/>
                <w:color w:val="000000"/>
                <w:kern w:val="24"/>
                <w:szCs w:val="24"/>
              </w:rPr>
              <w:t>21</w:t>
            </w:r>
          </w:p>
        </w:tc>
        <w:tc>
          <w:tcPr>
            <w:tcW w:w="704" w:type="dxa"/>
            <w:shd w:val="clear" w:color="auto" w:fill="DEEAF6" w:themeFill="accent5" w:themeFillTint="33"/>
            <w:vAlign w:val="bottom"/>
            <w:hideMark/>
          </w:tcPr>
          <w:p w14:paraId="72DE2830" w14:textId="6F23FAEA" w:rsidR="003F31B3" w:rsidRPr="003F31B3" w:rsidRDefault="003F31B3" w:rsidP="003F31B3">
            <w:pPr>
              <w:jc w:val="center"/>
              <w:rPr>
                <w:rFonts w:cstheme="minorHAnsi"/>
                <w:szCs w:val="24"/>
              </w:rPr>
            </w:pPr>
            <w:r w:rsidRPr="003F31B3">
              <w:rPr>
                <w:rFonts w:cstheme="minorHAnsi"/>
                <w:color w:val="000000"/>
                <w:kern w:val="24"/>
                <w:szCs w:val="24"/>
              </w:rPr>
              <w:t>27%</w:t>
            </w:r>
          </w:p>
        </w:tc>
        <w:tc>
          <w:tcPr>
            <w:tcW w:w="704" w:type="dxa"/>
            <w:vAlign w:val="bottom"/>
            <w:hideMark/>
          </w:tcPr>
          <w:p w14:paraId="4FB8A722" w14:textId="73EE624D" w:rsidR="003F31B3" w:rsidRPr="003F31B3" w:rsidRDefault="003F31B3" w:rsidP="003F31B3">
            <w:pPr>
              <w:jc w:val="center"/>
              <w:rPr>
                <w:rFonts w:cstheme="minorHAnsi"/>
                <w:szCs w:val="24"/>
              </w:rPr>
            </w:pPr>
            <w:r w:rsidRPr="003F31B3">
              <w:rPr>
                <w:rFonts w:cstheme="minorHAnsi"/>
                <w:color w:val="000000"/>
                <w:kern w:val="24"/>
                <w:szCs w:val="24"/>
              </w:rPr>
              <w:t>19</w:t>
            </w:r>
          </w:p>
        </w:tc>
        <w:tc>
          <w:tcPr>
            <w:tcW w:w="704" w:type="dxa"/>
            <w:vAlign w:val="bottom"/>
            <w:hideMark/>
          </w:tcPr>
          <w:p w14:paraId="79F09A31" w14:textId="35A0767A" w:rsidR="003F31B3" w:rsidRPr="003F31B3" w:rsidRDefault="003F31B3" w:rsidP="003F31B3">
            <w:pPr>
              <w:jc w:val="center"/>
              <w:rPr>
                <w:rFonts w:cstheme="minorHAnsi"/>
                <w:szCs w:val="24"/>
              </w:rPr>
            </w:pPr>
            <w:r w:rsidRPr="003F31B3">
              <w:rPr>
                <w:rFonts w:cstheme="minorHAnsi"/>
                <w:color w:val="000000"/>
                <w:kern w:val="24"/>
                <w:szCs w:val="24"/>
              </w:rPr>
              <w:t>19%</w:t>
            </w:r>
          </w:p>
        </w:tc>
        <w:tc>
          <w:tcPr>
            <w:tcW w:w="704" w:type="dxa"/>
            <w:shd w:val="clear" w:color="auto" w:fill="DEEAF6" w:themeFill="accent5" w:themeFillTint="33"/>
            <w:vAlign w:val="bottom"/>
            <w:hideMark/>
          </w:tcPr>
          <w:p w14:paraId="1E5837A6" w14:textId="31550D63" w:rsidR="003F31B3" w:rsidRPr="003F31B3" w:rsidRDefault="003F31B3" w:rsidP="003F31B3">
            <w:pPr>
              <w:jc w:val="center"/>
              <w:rPr>
                <w:rFonts w:cstheme="minorHAnsi"/>
                <w:szCs w:val="24"/>
              </w:rPr>
            </w:pPr>
            <w:r w:rsidRPr="003F31B3">
              <w:rPr>
                <w:rFonts w:cstheme="minorHAnsi"/>
                <w:color w:val="000000"/>
                <w:kern w:val="24"/>
                <w:szCs w:val="24"/>
              </w:rPr>
              <w:t>9</w:t>
            </w:r>
          </w:p>
        </w:tc>
        <w:tc>
          <w:tcPr>
            <w:tcW w:w="703" w:type="dxa"/>
            <w:shd w:val="clear" w:color="auto" w:fill="DEEAF6" w:themeFill="accent5" w:themeFillTint="33"/>
            <w:vAlign w:val="bottom"/>
            <w:hideMark/>
          </w:tcPr>
          <w:p w14:paraId="395B99DF" w14:textId="45E882CC"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vAlign w:val="bottom"/>
            <w:hideMark/>
          </w:tcPr>
          <w:p w14:paraId="0A2ACD31" w14:textId="760AC551" w:rsidR="003F31B3" w:rsidRPr="003F31B3" w:rsidRDefault="003F31B3" w:rsidP="003F31B3">
            <w:pPr>
              <w:jc w:val="center"/>
              <w:rPr>
                <w:rFonts w:cstheme="minorHAnsi"/>
                <w:szCs w:val="24"/>
              </w:rPr>
            </w:pPr>
            <w:r w:rsidRPr="003F31B3">
              <w:rPr>
                <w:rFonts w:cstheme="minorHAnsi"/>
                <w:color w:val="000000"/>
                <w:kern w:val="24"/>
                <w:szCs w:val="24"/>
              </w:rPr>
              <w:t>9</w:t>
            </w:r>
          </w:p>
        </w:tc>
        <w:tc>
          <w:tcPr>
            <w:tcW w:w="704" w:type="dxa"/>
            <w:vAlign w:val="bottom"/>
            <w:hideMark/>
          </w:tcPr>
          <w:p w14:paraId="270E87BA" w14:textId="495BCD4F" w:rsidR="003F31B3" w:rsidRPr="003F31B3" w:rsidRDefault="003F31B3" w:rsidP="003F31B3">
            <w:pPr>
              <w:jc w:val="center"/>
              <w:rPr>
                <w:rFonts w:cstheme="minorHAnsi"/>
                <w:szCs w:val="24"/>
              </w:rPr>
            </w:pPr>
            <w:r w:rsidRPr="003F31B3">
              <w:rPr>
                <w:rFonts w:cstheme="minorHAnsi"/>
                <w:color w:val="000000"/>
                <w:kern w:val="24"/>
                <w:szCs w:val="24"/>
              </w:rPr>
              <w:t>18%</w:t>
            </w:r>
          </w:p>
        </w:tc>
        <w:tc>
          <w:tcPr>
            <w:tcW w:w="704" w:type="dxa"/>
            <w:shd w:val="clear" w:color="auto" w:fill="DEEAF6" w:themeFill="accent5" w:themeFillTint="33"/>
            <w:vAlign w:val="bottom"/>
            <w:hideMark/>
          </w:tcPr>
          <w:p w14:paraId="7379A383" w14:textId="70E57672" w:rsidR="003F31B3" w:rsidRPr="003F31B3" w:rsidRDefault="003F31B3" w:rsidP="003F31B3">
            <w:pPr>
              <w:jc w:val="center"/>
              <w:rPr>
                <w:rFonts w:cstheme="minorHAnsi"/>
                <w:szCs w:val="24"/>
              </w:rPr>
            </w:pPr>
            <w:r w:rsidRPr="003F31B3">
              <w:rPr>
                <w:rFonts w:cstheme="minorHAnsi"/>
                <w:color w:val="000000"/>
                <w:kern w:val="24"/>
                <w:szCs w:val="24"/>
              </w:rPr>
              <w:t>3</w:t>
            </w:r>
          </w:p>
        </w:tc>
        <w:tc>
          <w:tcPr>
            <w:tcW w:w="704" w:type="dxa"/>
            <w:shd w:val="clear" w:color="auto" w:fill="DEEAF6" w:themeFill="accent5" w:themeFillTint="33"/>
            <w:vAlign w:val="bottom"/>
            <w:hideMark/>
          </w:tcPr>
          <w:p w14:paraId="1C82DA98" w14:textId="02D6A1CE" w:rsidR="003F31B3" w:rsidRPr="003F31B3" w:rsidRDefault="003F31B3" w:rsidP="003F31B3">
            <w:pPr>
              <w:jc w:val="center"/>
              <w:rPr>
                <w:rFonts w:cstheme="minorHAnsi"/>
                <w:szCs w:val="24"/>
              </w:rPr>
            </w:pPr>
            <w:r w:rsidRPr="003F31B3">
              <w:rPr>
                <w:rFonts w:cstheme="minorHAnsi"/>
                <w:color w:val="000000"/>
                <w:kern w:val="24"/>
                <w:szCs w:val="24"/>
              </w:rPr>
              <w:t>7%</w:t>
            </w:r>
          </w:p>
        </w:tc>
      </w:tr>
      <w:tr w:rsidR="003F31B3" w:rsidRPr="00447C80" w14:paraId="23875189" w14:textId="77777777" w:rsidTr="003F4C18">
        <w:trPr>
          <w:trHeight w:val="20"/>
        </w:trPr>
        <w:tc>
          <w:tcPr>
            <w:tcW w:w="2736" w:type="dxa"/>
            <w:hideMark/>
          </w:tcPr>
          <w:p w14:paraId="5FB07081" w14:textId="77777777" w:rsidR="003F31B3" w:rsidRPr="00447C80" w:rsidRDefault="003F31B3" w:rsidP="003F31B3">
            <w:pPr>
              <w:rPr>
                <w:szCs w:val="24"/>
              </w:rPr>
            </w:pPr>
            <w:r w:rsidRPr="00447C80">
              <w:rPr>
                <w:szCs w:val="24"/>
              </w:rPr>
              <w:t>30-39 years</w:t>
            </w:r>
          </w:p>
        </w:tc>
        <w:tc>
          <w:tcPr>
            <w:tcW w:w="703" w:type="dxa"/>
            <w:shd w:val="clear" w:color="auto" w:fill="DEEAF6" w:themeFill="accent5" w:themeFillTint="33"/>
            <w:vAlign w:val="bottom"/>
            <w:hideMark/>
          </w:tcPr>
          <w:p w14:paraId="0ED8FE53" w14:textId="4286C461" w:rsidR="003F31B3" w:rsidRPr="003F31B3" w:rsidRDefault="003F31B3" w:rsidP="003F31B3">
            <w:pPr>
              <w:jc w:val="center"/>
              <w:rPr>
                <w:rFonts w:cstheme="minorHAnsi"/>
                <w:szCs w:val="24"/>
              </w:rPr>
            </w:pPr>
            <w:r w:rsidRPr="003F31B3">
              <w:rPr>
                <w:rFonts w:cstheme="minorHAnsi"/>
                <w:color w:val="000000"/>
                <w:kern w:val="24"/>
                <w:szCs w:val="24"/>
              </w:rPr>
              <w:t>33</w:t>
            </w:r>
          </w:p>
        </w:tc>
        <w:tc>
          <w:tcPr>
            <w:tcW w:w="704" w:type="dxa"/>
            <w:shd w:val="clear" w:color="auto" w:fill="DEEAF6" w:themeFill="accent5" w:themeFillTint="33"/>
            <w:vAlign w:val="bottom"/>
            <w:hideMark/>
          </w:tcPr>
          <w:p w14:paraId="35A17A7D" w14:textId="7C639E7C" w:rsidR="003F31B3" w:rsidRPr="003F31B3" w:rsidRDefault="003F31B3" w:rsidP="003F31B3">
            <w:pPr>
              <w:jc w:val="center"/>
              <w:rPr>
                <w:rFonts w:cstheme="minorHAnsi"/>
                <w:szCs w:val="24"/>
              </w:rPr>
            </w:pPr>
            <w:r w:rsidRPr="003F31B3">
              <w:rPr>
                <w:rFonts w:cstheme="minorHAnsi"/>
                <w:color w:val="000000"/>
                <w:kern w:val="24"/>
                <w:szCs w:val="24"/>
              </w:rPr>
              <w:t>42%</w:t>
            </w:r>
          </w:p>
        </w:tc>
        <w:tc>
          <w:tcPr>
            <w:tcW w:w="704" w:type="dxa"/>
            <w:vAlign w:val="bottom"/>
            <w:hideMark/>
          </w:tcPr>
          <w:p w14:paraId="0EE4DA11" w14:textId="3C7C6427" w:rsidR="003F31B3" w:rsidRPr="003F31B3" w:rsidRDefault="003F31B3" w:rsidP="003F31B3">
            <w:pPr>
              <w:jc w:val="center"/>
              <w:rPr>
                <w:rFonts w:cstheme="minorHAnsi"/>
                <w:szCs w:val="24"/>
              </w:rPr>
            </w:pPr>
            <w:r w:rsidRPr="003F31B3">
              <w:rPr>
                <w:rFonts w:cstheme="minorHAnsi"/>
                <w:color w:val="000000"/>
                <w:kern w:val="24"/>
                <w:szCs w:val="24"/>
              </w:rPr>
              <w:t>53</w:t>
            </w:r>
          </w:p>
        </w:tc>
        <w:tc>
          <w:tcPr>
            <w:tcW w:w="704" w:type="dxa"/>
            <w:vAlign w:val="bottom"/>
            <w:hideMark/>
          </w:tcPr>
          <w:p w14:paraId="7C8E6AAE" w14:textId="284C1AAF" w:rsidR="003F31B3" w:rsidRPr="003F31B3" w:rsidRDefault="003F31B3" w:rsidP="003F31B3">
            <w:pPr>
              <w:jc w:val="center"/>
              <w:rPr>
                <w:rFonts w:cstheme="minorHAnsi"/>
                <w:szCs w:val="24"/>
              </w:rPr>
            </w:pPr>
            <w:r w:rsidRPr="003F31B3">
              <w:rPr>
                <w:rFonts w:cstheme="minorHAnsi"/>
                <w:color w:val="000000"/>
                <w:kern w:val="24"/>
                <w:szCs w:val="24"/>
              </w:rPr>
              <w:t>54%</w:t>
            </w:r>
          </w:p>
        </w:tc>
        <w:tc>
          <w:tcPr>
            <w:tcW w:w="704" w:type="dxa"/>
            <w:shd w:val="clear" w:color="auto" w:fill="DEEAF6" w:themeFill="accent5" w:themeFillTint="33"/>
            <w:vAlign w:val="bottom"/>
            <w:hideMark/>
          </w:tcPr>
          <w:p w14:paraId="7E9F915D" w14:textId="79E2D56A" w:rsidR="003F31B3" w:rsidRPr="003F31B3" w:rsidRDefault="003F31B3" w:rsidP="003F31B3">
            <w:pPr>
              <w:jc w:val="center"/>
              <w:rPr>
                <w:rFonts w:cstheme="minorHAnsi"/>
                <w:szCs w:val="24"/>
              </w:rPr>
            </w:pPr>
            <w:r w:rsidRPr="003F31B3">
              <w:rPr>
                <w:rFonts w:cstheme="minorHAnsi"/>
                <w:color w:val="000000"/>
                <w:kern w:val="24"/>
                <w:szCs w:val="24"/>
              </w:rPr>
              <w:t>43</w:t>
            </w:r>
          </w:p>
        </w:tc>
        <w:tc>
          <w:tcPr>
            <w:tcW w:w="703" w:type="dxa"/>
            <w:shd w:val="clear" w:color="auto" w:fill="DEEAF6" w:themeFill="accent5" w:themeFillTint="33"/>
            <w:vAlign w:val="bottom"/>
            <w:hideMark/>
          </w:tcPr>
          <w:p w14:paraId="4A989C3D" w14:textId="53DFCB0A" w:rsidR="003F31B3" w:rsidRPr="003F31B3" w:rsidRDefault="003F31B3" w:rsidP="003F31B3">
            <w:pPr>
              <w:jc w:val="center"/>
              <w:rPr>
                <w:rFonts w:cstheme="minorHAnsi"/>
                <w:szCs w:val="24"/>
              </w:rPr>
            </w:pPr>
            <w:r w:rsidRPr="003F31B3">
              <w:rPr>
                <w:rFonts w:cstheme="minorHAnsi"/>
                <w:color w:val="000000"/>
                <w:kern w:val="24"/>
                <w:szCs w:val="24"/>
              </w:rPr>
              <w:t>49%</w:t>
            </w:r>
          </w:p>
        </w:tc>
        <w:tc>
          <w:tcPr>
            <w:tcW w:w="704" w:type="dxa"/>
            <w:vAlign w:val="bottom"/>
            <w:hideMark/>
          </w:tcPr>
          <w:p w14:paraId="5BAEA8F3" w14:textId="1865D40A" w:rsidR="003F31B3" w:rsidRPr="003F31B3" w:rsidRDefault="003F31B3" w:rsidP="003F31B3">
            <w:pPr>
              <w:jc w:val="center"/>
              <w:rPr>
                <w:rFonts w:cstheme="minorHAnsi"/>
                <w:szCs w:val="24"/>
              </w:rPr>
            </w:pPr>
            <w:r w:rsidRPr="003F31B3">
              <w:rPr>
                <w:rFonts w:cstheme="minorHAnsi"/>
                <w:color w:val="000000"/>
                <w:kern w:val="24"/>
                <w:szCs w:val="24"/>
              </w:rPr>
              <w:t>24</w:t>
            </w:r>
          </w:p>
        </w:tc>
        <w:tc>
          <w:tcPr>
            <w:tcW w:w="704" w:type="dxa"/>
            <w:vAlign w:val="bottom"/>
            <w:hideMark/>
          </w:tcPr>
          <w:p w14:paraId="5694557B" w14:textId="0C17E0C9" w:rsidR="003F31B3" w:rsidRPr="003F31B3" w:rsidRDefault="003F31B3" w:rsidP="003F31B3">
            <w:pPr>
              <w:jc w:val="center"/>
              <w:rPr>
                <w:rFonts w:cstheme="minorHAnsi"/>
                <w:szCs w:val="24"/>
              </w:rPr>
            </w:pPr>
            <w:r w:rsidRPr="003F31B3">
              <w:rPr>
                <w:rFonts w:cstheme="minorHAnsi"/>
                <w:color w:val="000000"/>
                <w:kern w:val="24"/>
                <w:szCs w:val="24"/>
              </w:rPr>
              <w:t>47%</w:t>
            </w:r>
          </w:p>
        </w:tc>
        <w:tc>
          <w:tcPr>
            <w:tcW w:w="704" w:type="dxa"/>
            <w:shd w:val="clear" w:color="auto" w:fill="DEEAF6" w:themeFill="accent5" w:themeFillTint="33"/>
            <w:vAlign w:val="bottom"/>
            <w:hideMark/>
          </w:tcPr>
          <w:p w14:paraId="13A03C68" w14:textId="176B7C1C" w:rsidR="003F31B3" w:rsidRPr="003F31B3" w:rsidRDefault="003F31B3" w:rsidP="003F31B3">
            <w:pPr>
              <w:jc w:val="center"/>
              <w:rPr>
                <w:rFonts w:cstheme="minorHAnsi"/>
                <w:szCs w:val="24"/>
              </w:rPr>
            </w:pPr>
            <w:r w:rsidRPr="003F31B3">
              <w:rPr>
                <w:rFonts w:cstheme="minorHAnsi"/>
                <w:color w:val="000000"/>
                <w:kern w:val="24"/>
                <w:szCs w:val="24"/>
              </w:rPr>
              <w:t>19</w:t>
            </w:r>
          </w:p>
        </w:tc>
        <w:tc>
          <w:tcPr>
            <w:tcW w:w="704" w:type="dxa"/>
            <w:shd w:val="clear" w:color="auto" w:fill="DEEAF6" w:themeFill="accent5" w:themeFillTint="33"/>
            <w:vAlign w:val="bottom"/>
            <w:hideMark/>
          </w:tcPr>
          <w:p w14:paraId="053A2AC4" w14:textId="34459E55" w:rsidR="003F31B3" w:rsidRPr="003F31B3" w:rsidRDefault="003F31B3" w:rsidP="003F31B3">
            <w:pPr>
              <w:jc w:val="center"/>
              <w:rPr>
                <w:rFonts w:cstheme="minorHAnsi"/>
                <w:szCs w:val="24"/>
              </w:rPr>
            </w:pPr>
            <w:r w:rsidRPr="003F31B3">
              <w:rPr>
                <w:rFonts w:cstheme="minorHAnsi"/>
                <w:color w:val="000000"/>
                <w:kern w:val="24"/>
                <w:szCs w:val="24"/>
              </w:rPr>
              <w:t>45%</w:t>
            </w:r>
          </w:p>
        </w:tc>
      </w:tr>
      <w:tr w:rsidR="003F31B3" w:rsidRPr="00447C80" w14:paraId="4C25295B" w14:textId="77777777" w:rsidTr="003F4C18">
        <w:trPr>
          <w:trHeight w:val="20"/>
        </w:trPr>
        <w:tc>
          <w:tcPr>
            <w:tcW w:w="2736" w:type="dxa"/>
            <w:hideMark/>
          </w:tcPr>
          <w:p w14:paraId="194FAE51" w14:textId="77777777" w:rsidR="003F31B3" w:rsidRPr="00447C80" w:rsidRDefault="003F31B3" w:rsidP="003F31B3">
            <w:pPr>
              <w:rPr>
                <w:szCs w:val="24"/>
              </w:rPr>
            </w:pPr>
            <w:r w:rsidRPr="00447C80">
              <w:rPr>
                <w:szCs w:val="24"/>
              </w:rPr>
              <w:t>40-49 years</w:t>
            </w:r>
          </w:p>
        </w:tc>
        <w:tc>
          <w:tcPr>
            <w:tcW w:w="703" w:type="dxa"/>
            <w:shd w:val="clear" w:color="auto" w:fill="DEEAF6" w:themeFill="accent5" w:themeFillTint="33"/>
            <w:vAlign w:val="bottom"/>
            <w:hideMark/>
          </w:tcPr>
          <w:p w14:paraId="20DF2016" w14:textId="0EDF34DC" w:rsidR="003F31B3" w:rsidRPr="003F31B3" w:rsidRDefault="003F31B3" w:rsidP="003F31B3">
            <w:pPr>
              <w:jc w:val="center"/>
              <w:rPr>
                <w:rFonts w:cstheme="minorHAnsi"/>
                <w:szCs w:val="24"/>
              </w:rPr>
            </w:pPr>
            <w:r w:rsidRPr="003F31B3">
              <w:rPr>
                <w:rFonts w:cstheme="minorHAnsi"/>
                <w:color w:val="000000"/>
                <w:kern w:val="24"/>
                <w:szCs w:val="24"/>
              </w:rPr>
              <w:t>16</w:t>
            </w:r>
          </w:p>
        </w:tc>
        <w:tc>
          <w:tcPr>
            <w:tcW w:w="704" w:type="dxa"/>
            <w:shd w:val="clear" w:color="auto" w:fill="DEEAF6" w:themeFill="accent5" w:themeFillTint="33"/>
            <w:vAlign w:val="bottom"/>
            <w:hideMark/>
          </w:tcPr>
          <w:p w14:paraId="2ADEAA7C" w14:textId="05BBC217" w:rsidR="003F31B3" w:rsidRPr="003F31B3" w:rsidRDefault="003F31B3" w:rsidP="003F31B3">
            <w:pPr>
              <w:jc w:val="center"/>
              <w:rPr>
                <w:rFonts w:cstheme="minorHAnsi"/>
                <w:szCs w:val="24"/>
              </w:rPr>
            </w:pPr>
            <w:r w:rsidRPr="003F31B3">
              <w:rPr>
                <w:rFonts w:cstheme="minorHAnsi"/>
                <w:color w:val="000000"/>
                <w:kern w:val="24"/>
                <w:szCs w:val="24"/>
              </w:rPr>
              <w:t>20%</w:t>
            </w:r>
          </w:p>
        </w:tc>
        <w:tc>
          <w:tcPr>
            <w:tcW w:w="704" w:type="dxa"/>
            <w:vAlign w:val="bottom"/>
            <w:hideMark/>
          </w:tcPr>
          <w:p w14:paraId="3B3F1D41" w14:textId="3404EAD8" w:rsidR="003F31B3" w:rsidRPr="003F31B3" w:rsidRDefault="003F31B3" w:rsidP="003F31B3">
            <w:pPr>
              <w:jc w:val="center"/>
              <w:rPr>
                <w:rFonts w:cstheme="minorHAnsi"/>
                <w:szCs w:val="24"/>
              </w:rPr>
            </w:pPr>
            <w:r w:rsidRPr="003F31B3">
              <w:rPr>
                <w:rFonts w:cstheme="minorHAnsi"/>
                <w:color w:val="000000"/>
                <w:kern w:val="24"/>
                <w:szCs w:val="24"/>
              </w:rPr>
              <w:t>15</w:t>
            </w:r>
          </w:p>
        </w:tc>
        <w:tc>
          <w:tcPr>
            <w:tcW w:w="704" w:type="dxa"/>
            <w:vAlign w:val="bottom"/>
            <w:hideMark/>
          </w:tcPr>
          <w:p w14:paraId="7F522804" w14:textId="3BD62404" w:rsidR="003F31B3" w:rsidRPr="003F31B3" w:rsidRDefault="003F31B3" w:rsidP="003F31B3">
            <w:pPr>
              <w:jc w:val="center"/>
              <w:rPr>
                <w:rFonts w:cstheme="minorHAnsi"/>
                <w:szCs w:val="24"/>
              </w:rPr>
            </w:pPr>
            <w:r w:rsidRPr="003F31B3">
              <w:rPr>
                <w:rFonts w:cstheme="minorHAnsi"/>
                <w:color w:val="000000"/>
                <w:kern w:val="24"/>
                <w:szCs w:val="24"/>
              </w:rPr>
              <w:t>15%</w:t>
            </w:r>
          </w:p>
        </w:tc>
        <w:tc>
          <w:tcPr>
            <w:tcW w:w="704" w:type="dxa"/>
            <w:shd w:val="clear" w:color="auto" w:fill="DEEAF6" w:themeFill="accent5" w:themeFillTint="33"/>
            <w:vAlign w:val="bottom"/>
            <w:hideMark/>
          </w:tcPr>
          <w:p w14:paraId="0DD626C1" w14:textId="5B5635DA" w:rsidR="003F31B3" w:rsidRPr="003F31B3" w:rsidRDefault="003F31B3" w:rsidP="003F31B3">
            <w:pPr>
              <w:jc w:val="center"/>
              <w:rPr>
                <w:rFonts w:cstheme="minorHAnsi"/>
                <w:szCs w:val="24"/>
              </w:rPr>
            </w:pPr>
            <w:r w:rsidRPr="003F31B3">
              <w:rPr>
                <w:rFonts w:cstheme="minorHAnsi"/>
                <w:color w:val="000000"/>
                <w:kern w:val="24"/>
                <w:szCs w:val="24"/>
              </w:rPr>
              <w:t>17</w:t>
            </w:r>
          </w:p>
        </w:tc>
        <w:tc>
          <w:tcPr>
            <w:tcW w:w="703" w:type="dxa"/>
            <w:shd w:val="clear" w:color="auto" w:fill="DEEAF6" w:themeFill="accent5" w:themeFillTint="33"/>
            <w:vAlign w:val="bottom"/>
            <w:hideMark/>
          </w:tcPr>
          <w:p w14:paraId="6B9972FB" w14:textId="243FCC45" w:rsidR="003F31B3" w:rsidRPr="003F31B3" w:rsidRDefault="003F31B3" w:rsidP="003F31B3">
            <w:pPr>
              <w:jc w:val="center"/>
              <w:rPr>
                <w:rFonts w:cstheme="minorHAnsi"/>
                <w:szCs w:val="24"/>
              </w:rPr>
            </w:pPr>
            <w:r w:rsidRPr="003F31B3">
              <w:rPr>
                <w:rFonts w:cstheme="minorHAnsi"/>
                <w:color w:val="000000"/>
                <w:kern w:val="24"/>
                <w:szCs w:val="24"/>
              </w:rPr>
              <w:t>20%</w:t>
            </w:r>
          </w:p>
        </w:tc>
        <w:tc>
          <w:tcPr>
            <w:tcW w:w="704" w:type="dxa"/>
            <w:vAlign w:val="bottom"/>
            <w:hideMark/>
          </w:tcPr>
          <w:p w14:paraId="78DD0236" w14:textId="2455D5A6" w:rsidR="003F31B3" w:rsidRPr="003F31B3" w:rsidRDefault="003F31B3" w:rsidP="003F31B3">
            <w:pPr>
              <w:jc w:val="center"/>
              <w:rPr>
                <w:rFonts w:cstheme="minorHAnsi"/>
                <w:szCs w:val="24"/>
              </w:rPr>
            </w:pPr>
            <w:r w:rsidRPr="003F31B3">
              <w:rPr>
                <w:rFonts w:cstheme="minorHAnsi"/>
                <w:color w:val="000000"/>
                <w:kern w:val="24"/>
                <w:szCs w:val="24"/>
              </w:rPr>
              <w:t>8</w:t>
            </w:r>
          </w:p>
        </w:tc>
        <w:tc>
          <w:tcPr>
            <w:tcW w:w="704" w:type="dxa"/>
            <w:vAlign w:val="bottom"/>
            <w:hideMark/>
          </w:tcPr>
          <w:p w14:paraId="51AADBB6" w14:textId="5FF1842B" w:rsidR="003F31B3" w:rsidRPr="003F31B3" w:rsidRDefault="003F31B3" w:rsidP="003F31B3">
            <w:pPr>
              <w:jc w:val="center"/>
              <w:rPr>
                <w:rFonts w:cstheme="minorHAnsi"/>
                <w:szCs w:val="24"/>
              </w:rPr>
            </w:pPr>
            <w:r w:rsidRPr="003F31B3">
              <w:rPr>
                <w:rFonts w:cstheme="minorHAnsi"/>
                <w:color w:val="000000"/>
                <w:kern w:val="24"/>
                <w:szCs w:val="24"/>
              </w:rPr>
              <w:t>16%</w:t>
            </w:r>
          </w:p>
        </w:tc>
        <w:tc>
          <w:tcPr>
            <w:tcW w:w="704" w:type="dxa"/>
            <w:shd w:val="clear" w:color="auto" w:fill="DEEAF6" w:themeFill="accent5" w:themeFillTint="33"/>
            <w:vAlign w:val="bottom"/>
            <w:hideMark/>
          </w:tcPr>
          <w:p w14:paraId="22BBA5F8" w14:textId="6D29659B"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shd w:val="clear" w:color="auto" w:fill="DEEAF6" w:themeFill="accent5" w:themeFillTint="33"/>
            <w:vAlign w:val="bottom"/>
            <w:hideMark/>
          </w:tcPr>
          <w:p w14:paraId="13DACE33" w14:textId="7647A5BC" w:rsidR="003F31B3" w:rsidRPr="003F31B3" w:rsidRDefault="003F31B3" w:rsidP="003F31B3">
            <w:pPr>
              <w:jc w:val="center"/>
              <w:rPr>
                <w:rFonts w:cstheme="minorHAnsi"/>
                <w:szCs w:val="24"/>
              </w:rPr>
            </w:pPr>
            <w:r w:rsidRPr="003F31B3">
              <w:rPr>
                <w:rFonts w:cstheme="minorHAnsi"/>
                <w:color w:val="000000"/>
                <w:kern w:val="24"/>
                <w:szCs w:val="24"/>
              </w:rPr>
              <w:t>24%</w:t>
            </w:r>
          </w:p>
        </w:tc>
      </w:tr>
      <w:tr w:rsidR="003F31B3" w:rsidRPr="00447C80" w14:paraId="5CDF3DE2" w14:textId="77777777" w:rsidTr="003F4C18">
        <w:trPr>
          <w:trHeight w:val="20"/>
        </w:trPr>
        <w:tc>
          <w:tcPr>
            <w:tcW w:w="2736" w:type="dxa"/>
            <w:hideMark/>
          </w:tcPr>
          <w:p w14:paraId="48B0760E" w14:textId="77777777" w:rsidR="003F31B3" w:rsidRPr="00447C80" w:rsidRDefault="003F31B3" w:rsidP="003F31B3">
            <w:pPr>
              <w:rPr>
                <w:szCs w:val="24"/>
              </w:rPr>
            </w:pPr>
            <w:r w:rsidRPr="00447C80">
              <w:rPr>
                <w:szCs w:val="24"/>
              </w:rPr>
              <w:t>50+ years</w:t>
            </w:r>
          </w:p>
        </w:tc>
        <w:tc>
          <w:tcPr>
            <w:tcW w:w="703" w:type="dxa"/>
            <w:shd w:val="clear" w:color="auto" w:fill="DEEAF6" w:themeFill="accent5" w:themeFillTint="33"/>
            <w:vAlign w:val="bottom"/>
            <w:hideMark/>
          </w:tcPr>
          <w:p w14:paraId="34ADC370" w14:textId="6F8F98A2" w:rsidR="003F31B3" w:rsidRPr="003F31B3" w:rsidRDefault="003F31B3" w:rsidP="003F31B3">
            <w:pPr>
              <w:jc w:val="center"/>
              <w:rPr>
                <w:rFonts w:cstheme="minorHAnsi"/>
                <w:szCs w:val="24"/>
              </w:rPr>
            </w:pPr>
            <w:r w:rsidRPr="003F31B3">
              <w:rPr>
                <w:rFonts w:cstheme="minorHAnsi"/>
                <w:color w:val="000000"/>
                <w:kern w:val="24"/>
                <w:szCs w:val="24"/>
              </w:rPr>
              <w:t>9</w:t>
            </w:r>
          </w:p>
        </w:tc>
        <w:tc>
          <w:tcPr>
            <w:tcW w:w="704" w:type="dxa"/>
            <w:shd w:val="clear" w:color="auto" w:fill="DEEAF6" w:themeFill="accent5" w:themeFillTint="33"/>
            <w:vAlign w:val="bottom"/>
            <w:hideMark/>
          </w:tcPr>
          <w:p w14:paraId="092F7D0D" w14:textId="7FB8D4D5" w:rsidR="003F31B3" w:rsidRPr="003F31B3" w:rsidRDefault="003F31B3" w:rsidP="003F31B3">
            <w:pPr>
              <w:jc w:val="center"/>
              <w:rPr>
                <w:rFonts w:cstheme="minorHAnsi"/>
                <w:szCs w:val="24"/>
              </w:rPr>
            </w:pPr>
            <w:r w:rsidRPr="003F31B3">
              <w:rPr>
                <w:rFonts w:cstheme="minorHAnsi"/>
                <w:color w:val="000000"/>
                <w:kern w:val="24"/>
                <w:szCs w:val="24"/>
              </w:rPr>
              <w:t>11%</w:t>
            </w:r>
          </w:p>
        </w:tc>
        <w:tc>
          <w:tcPr>
            <w:tcW w:w="704" w:type="dxa"/>
            <w:vAlign w:val="bottom"/>
            <w:hideMark/>
          </w:tcPr>
          <w:p w14:paraId="7DDD1BA2" w14:textId="0C2D0D92" w:rsidR="003F31B3" w:rsidRPr="003F31B3" w:rsidRDefault="003F31B3" w:rsidP="003F31B3">
            <w:pPr>
              <w:jc w:val="center"/>
              <w:rPr>
                <w:rFonts w:cstheme="minorHAnsi"/>
                <w:szCs w:val="24"/>
              </w:rPr>
            </w:pPr>
            <w:r w:rsidRPr="003F31B3">
              <w:rPr>
                <w:rFonts w:cstheme="minorHAnsi"/>
                <w:color w:val="000000"/>
                <w:kern w:val="24"/>
                <w:szCs w:val="24"/>
              </w:rPr>
              <w:t>11</w:t>
            </w:r>
          </w:p>
        </w:tc>
        <w:tc>
          <w:tcPr>
            <w:tcW w:w="704" w:type="dxa"/>
            <w:vAlign w:val="bottom"/>
            <w:hideMark/>
          </w:tcPr>
          <w:p w14:paraId="267A13BC" w14:textId="1FB17AD5" w:rsidR="003F31B3" w:rsidRPr="003F31B3" w:rsidRDefault="003F31B3" w:rsidP="003F31B3">
            <w:pPr>
              <w:jc w:val="center"/>
              <w:rPr>
                <w:rFonts w:cstheme="minorHAnsi"/>
                <w:szCs w:val="24"/>
              </w:rPr>
            </w:pPr>
            <w:r w:rsidRPr="003F31B3">
              <w:rPr>
                <w:rFonts w:cstheme="minorHAnsi"/>
                <w:color w:val="000000"/>
                <w:kern w:val="24"/>
                <w:szCs w:val="24"/>
              </w:rPr>
              <w:t>11%</w:t>
            </w:r>
          </w:p>
        </w:tc>
        <w:tc>
          <w:tcPr>
            <w:tcW w:w="704" w:type="dxa"/>
            <w:shd w:val="clear" w:color="auto" w:fill="DEEAF6" w:themeFill="accent5" w:themeFillTint="33"/>
            <w:vAlign w:val="bottom"/>
            <w:hideMark/>
          </w:tcPr>
          <w:p w14:paraId="3453CCC5" w14:textId="0A89847E" w:rsidR="003F31B3" w:rsidRPr="003F31B3" w:rsidRDefault="003F31B3" w:rsidP="003F31B3">
            <w:pPr>
              <w:jc w:val="center"/>
              <w:rPr>
                <w:rFonts w:cstheme="minorHAnsi"/>
                <w:szCs w:val="24"/>
              </w:rPr>
            </w:pPr>
            <w:r w:rsidRPr="003F31B3">
              <w:rPr>
                <w:rFonts w:cstheme="minorHAnsi"/>
                <w:color w:val="000000"/>
                <w:kern w:val="24"/>
                <w:szCs w:val="24"/>
              </w:rPr>
              <w:t>18</w:t>
            </w:r>
          </w:p>
        </w:tc>
        <w:tc>
          <w:tcPr>
            <w:tcW w:w="703" w:type="dxa"/>
            <w:shd w:val="clear" w:color="auto" w:fill="DEEAF6" w:themeFill="accent5" w:themeFillTint="33"/>
            <w:vAlign w:val="bottom"/>
            <w:hideMark/>
          </w:tcPr>
          <w:p w14:paraId="0DE36142" w14:textId="6C9EBEFE" w:rsidR="003F31B3" w:rsidRPr="003F31B3" w:rsidRDefault="003F31B3" w:rsidP="003F31B3">
            <w:pPr>
              <w:jc w:val="center"/>
              <w:rPr>
                <w:rFonts w:cstheme="minorHAnsi"/>
                <w:szCs w:val="24"/>
              </w:rPr>
            </w:pPr>
            <w:r w:rsidRPr="003F31B3">
              <w:rPr>
                <w:rFonts w:cstheme="minorHAnsi"/>
                <w:color w:val="000000"/>
                <w:kern w:val="24"/>
                <w:szCs w:val="24"/>
              </w:rPr>
              <w:t>21%</w:t>
            </w:r>
          </w:p>
        </w:tc>
        <w:tc>
          <w:tcPr>
            <w:tcW w:w="704" w:type="dxa"/>
            <w:vAlign w:val="bottom"/>
            <w:hideMark/>
          </w:tcPr>
          <w:p w14:paraId="6716E396" w14:textId="492C8F29"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vAlign w:val="bottom"/>
            <w:hideMark/>
          </w:tcPr>
          <w:p w14:paraId="7425DDB0" w14:textId="4CEDEF7F" w:rsidR="003F31B3" w:rsidRPr="003F31B3" w:rsidRDefault="003F31B3" w:rsidP="003F31B3">
            <w:pPr>
              <w:jc w:val="center"/>
              <w:rPr>
                <w:rFonts w:cstheme="minorHAnsi"/>
                <w:szCs w:val="24"/>
              </w:rPr>
            </w:pPr>
            <w:r w:rsidRPr="003F31B3">
              <w:rPr>
                <w:rFonts w:cstheme="minorHAnsi"/>
                <w:color w:val="000000"/>
                <w:kern w:val="24"/>
                <w:szCs w:val="24"/>
              </w:rPr>
              <w:t>20%</w:t>
            </w:r>
          </w:p>
        </w:tc>
        <w:tc>
          <w:tcPr>
            <w:tcW w:w="704" w:type="dxa"/>
            <w:shd w:val="clear" w:color="auto" w:fill="DEEAF6" w:themeFill="accent5" w:themeFillTint="33"/>
            <w:vAlign w:val="bottom"/>
            <w:hideMark/>
          </w:tcPr>
          <w:p w14:paraId="6BB68DDD" w14:textId="10FDDD2E"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shd w:val="clear" w:color="auto" w:fill="DEEAF6" w:themeFill="accent5" w:themeFillTint="33"/>
            <w:vAlign w:val="bottom"/>
            <w:hideMark/>
          </w:tcPr>
          <w:p w14:paraId="556D4AE6" w14:textId="7F5AAA53" w:rsidR="003F31B3" w:rsidRPr="003F31B3" w:rsidRDefault="003F31B3" w:rsidP="003F31B3">
            <w:pPr>
              <w:jc w:val="center"/>
              <w:rPr>
                <w:rFonts w:cstheme="minorHAnsi"/>
                <w:szCs w:val="24"/>
              </w:rPr>
            </w:pPr>
            <w:r w:rsidRPr="003F31B3">
              <w:rPr>
                <w:rFonts w:cstheme="minorHAnsi"/>
                <w:color w:val="000000"/>
                <w:kern w:val="24"/>
                <w:szCs w:val="24"/>
              </w:rPr>
              <w:t>24%</w:t>
            </w:r>
          </w:p>
        </w:tc>
      </w:tr>
      <w:tr w:rsidR="003F31B3" w:rsidRPr="00447C80" w14:paraId="251BB808" w14:textId="77777777" w:rsidTr="003F4C18">
        <w:trPr>
          <w:trHeight w:val="20"/>
        </w:trPr>
        <w:tc>
          <w:tcPr>
            <w:tcW w:w="2736" w:type="dxa"/>
            <w:hideMark/>
          </w:tcPr>
          <w:p w14:paraId="7B55E941" w14:textId="024137E0" w:rsidR="003F31B3" w:rsidRPr="00447C80" w:rsidRDefault="003F31B3" w:rsidP="003F31B3">
            <w:r w:rsidRPr="00447C80">
              <w:rPr>
                <w:b/>
                <w:bCs/>
              </w:rPr>
              <w:t xml:space="preserve">HIV </w:t>
            </w:r>
            <w:r w:rsidRPr="00447C80">
              <w:rPr>
                <w:b/>
              </w:rPr>
              <w:t>Exposure Mode:</w:t>
            </w:r>
          </w:p>
        </w:tc>
        <w:tc>
          <w:tcPr>
            <w:tcW w:w="703" w:type="dxa"/>
            <w:shd w:val="clear" w:color="auto" w:fill="DEEAF6" w:themeFill="accent5" w:themeFillTint="33"/>
            <w:vAlign w:val="bottom"/>
            <w:hideMark/>
          </w:tcPr>
          <w:p w14:paraId="29E260DE"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6CAB0108" w14:textId="77777777" w:rsidR="003F31B3" w:rsidRPr="003F31B3" w:rsidRDefault="003F31B3" w:rsidP="003F31B3">
            <w:pPr>
              <w:jc w:val="center"/>
              <w:rPr>
                <w:rFonts w:cstheme="minorHAnsi"/>
                <w:szCs w:val="24"/>
              </w:rPr>
            </w:pPr>
          </w:p>
        </w:tc>
        <w:tc>
          <w:tcPr>
            <w:tcW w:w="704" w:type="dxa"/>
            <w:vAlign w:val="bottom"/>
            <w:hideMark/>
          </w:tcPr>
          <w:p w14:paraId="77538EAF" w14:textId="77777777" w:rsidR="003F31B3" w:rsidRPr="003F31B3" w:rsidRDefault="003F31B3" w:rsidP="003F31B3">
            <w:pPr>
              <w:jc w:val="center"/>
              <w:rPr>
                <w:rFonts w:cstheme="minorHAnsi"/>
                <w:szCs w:val="24"/>
              </w:rPr>
            </w:pPr>
          </w:p>
        </w:tc>
        <w:tc>
          <w:tcPr>
            <w:tcW w:w="704" w:type="dxa"/>
            <w:vAlign w:val="bottom"/>
            <w:hideMark/>
          </w:tcPr>
          <w:p w14:paraId="5B95B64D"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197F8303" w14:textId="77777777" w:rsidR="003F31B3" w:rsidRPr="003F31B3" w:rsidRDefault="003F31B3" w:rsidP="003F31B3">
            <w:pPr>
              <w:jc w:val="center"/>
              <w:rPr>
                <w:rFonts w:cstheme="minorHAnsi"/>
                <w:szCs w:val="24"/>
              </w:rPr>
            </w:pPr>
          </w:p>
        </w:tc>
        <w:tc>
          <w:tcPr>
            <w:tcW w:w="703" w:type="dxa"/>
            <w:shd w:val="clear" w:color="auto" w:fill="DEEAF6" w:themeFill="accent5" w:themeFillTint="33"/>
            <w:vAlign w:val="bottom"/>
            <w:hideMark/>
          </w:tcPr>
          <w:p w14:paraId="4BD1D82A" w14:textId="77777777" w:rsidR="003F31B3" w:rsidRPr="003F31B3" w:rsidRDefault="003F31B3" w:rsidP="003F31B3">
            <w:pPr>
              <w:jc w:val="center"/>
              <w:rPr>
                <w:rFonts w:cstheme="minorHAnsi"/>
                <w:szCs w:val="24"/>
              </w:rPr>
            </w:pPr>
          </w:p>
        </w:tc>
        <w:tc>
          <w:tcPr>
            <w:tcW w:w="704" w:type="dxa"/>
            <w:vAlign w:val="bottom"/>
            <w:hideMark/>
          </w:tcPr>
          <w:p w14:paraId="4C5EA770" w14:textId="77777777" w:rsidR="003F31B3" w:rsidRPr="003F31B3" w:rsidRDefault="003F31B3" w:rsidP="003F31B3">
            <w:pPr>
              <w:jc w:val="center"/>
              <w:rPr>
                <w:rFonts w:cstheme="minorHAnsi"/>
                <w:szCs w:val="24"/>
              </w:rPr>
            </w:pPr>
          </w:p>
        </w:tc>
        <w:tc>
          <w:tcPr>
            <w:tcW w:w="704" w:type="dxa"/>
            <w:vAlign w:val="bottom"/>
            <w:hideMark/>
          </w:tcPr>
          <w:p w14:paraId="664A47E8"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4AB56F6A" w14:textId="77777777" w:rsidR="003F31B3" w:rsidRPr="003F31B3" w:rsidRDefault="003F31B3" w:rsidP="003F31B3">
            <w:pPr>
              <w:jc w:val="center"/>
              <w:rPr>
                <w:rFonts w:cstheme="minorHAnsi"/>
                <w:szCs w:val="24"/>
              </w:rPr>
            </w:pPr>
          </w:p>
        </w:tc>
        <w:tc>
          <w:tcPr>
            <w:tcW w:w="704" w:type="dxa"/>
            <w:shd w:val="clear" w:color="auto" w:fill="DEEAF6" w:themeFill="accent5" w:themeFillTint="33"/>
            <w:vAlign w:val="bottom"/>
            <w:hideMark/>
          </w:tcPr>
          <w:p w14:paraId="2D801112" w14:textId="77777777" w:rsidR="003F31B3" w:rsidRPr="003F31B3" w:rsidRDefault="003F31B3" w:rsidP="003F31B3">
            <w:pPr>
              <w:jc w:val="center"/>
              <w:rPr>
                <w:rFonts w:cstheme="minorHAnsi"/>
                <w:szCs w:val="24"/>
              </w:rPr>
            </w:pPr>
          </w:p>
        </w:tc>
      </w:tr>
      <w:tr w:rsidR="003F31B3" w:rsidRPr="00447C80" w14:paraId="4B5BEA97" w14:textId="77777777" w:rsidTr="003F4C18">
        <w:trPr>
          <w:trHeight w:val="20"/>
        </w:trPr>
        <w:tc>
          <w:tcPr>
            <w:tcW w:w="2736" w:type="dxa"/>
            <w:hideMark/>
          </w:tcPr>
          <w:p w14:paraId="336FD23D" w14:textId="2225BE6E" w:rsidR="003F31B3" w:rsidRPr="00447C80" w:rsidRDefault="003F31B3" w:rsidP="003F31B3">
            <w:r w:rsidRPr="00447C80">
              <w:t>MSM</w:t>
            </w:r>
          </w:p>
        </w:tc>
        <w:tc>
          <w:tcPr>
            <w:tcW w:w="703" w:type="dxa"/>
            <w:shd w:val="clear" w:color="auto" w:fill="DEEAF6" w:themeFill="accent5" w:themeFillTint="33"/>
            <w:vAlign w:val="bottom"/>
            <w:hideMark/>
          </w:tcPr>
          <w:p w14:paraId="63E14500" w14:textId="7AA74176" w:rsidR="003F31B3" w:rsidRPr="003F31B3" w:rsidRDefault="003F31B3" w:rsidP="003F31B3">
            <w:pPr>
              <w:jc w:val="center"/>
              <w:rPr>
                <w:rFonts w:cstheme="minorHAnsi"/>
                <w:szCs w:val="24"/>
              </w:rPr>
            </w:pPr>
            <w:r w:rsidRPr="003F31B3">
              <w:rPr>
                <w:rFonts w:cstheme="minorHAnsi"/>
                <w:color w:val="000000"/>
                <w:kern w:val="24"/>
                <w:szCs w:val="24"/>
              </w:rPr>
              <w:t>6</w:t>
            </w:r>
          </w:p>
        </w:tc>
        <w:tc>
          <w:tcPr>
            <w:tcW w:w="704" w:type="dxa"/>
            <w:shd w:val="clear" w:color="auto" w:fill="DEEAF6" w:themeFill="accent5" w:themeFillTint="33"/>
            <w:vAlign w:val="bottom"/>
            <w:hideMark/>
          </w:tcPr>
          <w:p w14:paraId="5420FED8" w14:textId="4A41C314" w:rsidR="003F31B3" w:rsidRPr="003F31B3" w:rsidRDefault="003F31B3" w:rsidP="003F31B3">
            <w:pPr>
              <w:jc w:val="center"/>
              <w:rPr>
                <w:rFonts w:cstheme="minorHAnsi"/>
                <w:szCs w:val="24"/>
              </w:rPr>
            </w:pPr>
            <w:r w:rsidRPr="003F31B3">
              <w:rPr>
                <w:rFonts w:cstheme="minorHAnsi"/>
                <w:color w:val="000000"/>
                <w:kern w:val="24"/>
                <w:szCs w:val="24"/>
              </w:rPr>
              <w:t>8%</w:t>
            </w:r>
          </w:p>
        </w:tc>
        <w:tc>
          <w:tcPr>
            <w:tcW w:w="704" w:type="dxa"/>
            <w:vAlign w:val="bottom"/>
            <w:hideMark/>
          </w:tcPr>
          <w:p w14:paraId="10DD8940" w14:textId="1F62E759"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vAlign w:val="bottom"/>
            <w:hideMark/>
          </w:tcPr>
          <w:p w14:paraId="1DE71B7E" w14:textId="55E11B93"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shd w:val="clear" w:color="auto" w:fill="DEEAF6" w:themeFill="accent5" w:themeFillTint="33"/>
            <w:vAlign w:val="bottom"/>
            <w:hideMark/>
          </w:tcPr>
          <w:p w14:paraId="46166FF0" w14:textId="67C98CB6"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3" w:type="dxa"/>
            <w:shd w:val="clear" w:color="auto" w:fill="DEEAF6" w:themeFill="accent5" w:themeFillTint="33"/>
            <w:vAlign w:val="bottom"/>
            <w:hideMark/>
          </w:tcPr>
          <w:p w14:paraId="65D128BF" w14:textId="2D60DC00"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vAlign w:val="bottom"/>
            <w:hideMark/>
          </w:tcPr>
          <w:p w14:paraId="24150A12" w14:textId="1E869AC8"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vAlign w:val="bottom"/>
            <w:hideMark/>
          </w:tcPr>
          <w:p w14:paraId="5630107B" w14:textId="0C6FD08B"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shd w:val="clear" w:color="auto" w:fill="DEEAF6" w:themeFill="accent5" w:themeFillTint="33"/>
            <w:vAlign w:val="bottom"/>
            <w:hideMark/>
          </w:tcPr>
          <w:p w14:paraId="0CF52484" w14:textId="732BA173" w:rsidR="003F31B3" w:rsidRPr="003F31B3" w:rsidRDefault="003F31B3" w:rsidP="003F31B3">
            <w:pPr>
              <w:jc w:val="center"/>
              <w:rPr>
                <w:rFonts w:cstheme="minorHAnsi"/>
                <w:szCs w:val="24"/>
              </w:rPr>
            </w:pPr>
            <w:r w:rsidRPr="003F31B3">
              <w:rPr>
                <w:rFonts w:cstheme="minorHAnsi"/>
                <w:color w:val="000000"/>
                <w:kern w:val="24"/>
                <w:szCs w:val="24"/>
              </w:rPr>
              <w:t>7</w:t>
            </w:r>
          </w:p>
        </w:tc>
        <w:tc>
          <w:tcPr>
            <w:tcW w:w="704" w:type="dxa"/>
            <w:shd w:val="clear" w:color="auto" w:fill="DEEAF6" w:themeFill="accent5" w:themeFillTint="33"/>
            <w:vAlign w:val="bottom"/>
            <w:hideMark/>
          </w:tcPr>
          <w:p w14:paraId="338689A9" w14:textId="340E46EE" w:rsidR="003F31B3" w:rsidRPr="003F31B3" w:rsidRDefault="003F31B3" w:rsidP="003F31B3">
            <w:pPr>
              <w:jc w:val="center"/>
              <w:rPr>
                <w:rFonts w:cstheme="minorHAnsi"/>
                <w:szCs w:val="24"/>
              </w:rPr>
            </w:pPr>
            <w:r w:rsidRPr="003F31B3">
              <w:rPr>
                <w:rFonts w:cstheme="minorHAnsi"/>
                <w:color w:val="000000"/>
                <w:kern w:val="24"/>
                <w:szCs w:val="24"/>
              </w:rPr>
              <w:t>17%</w:t>
            </w:r>
          </w:p>
        </w:tc>
      </w:tr>
      <w:tr w:rsidR="003F31B3" w:rsidRPr="00447C80" w14:paraId="52926E46" w14:textId="77777777" w:rsidTr="003F4C18">
        <w:trPr>
          <w:trHeight w:val="20"/>
        </w:trPr>
        <w:tc>
          <w:tcPr>
            <w:tcW w:w="2736" w:type="dxa"/>
            <w:hideMark/>
          </w:tcPr>
          <w:p w14:paraId="204386AA" w14:textId="77777777" w:rsidR="003F31B3" w:rsidRPr="00447C80" w:rsidRDefault="003F31B3" w:rsidP="003F31B3">
            <w:pPr>
              <w:rPr>
                <w:szCs w:val="24"/>
              </w:rPr>
            </w:pPr>
            <w:r w:rsidRPr="00447C80">
              <w:rPr>
                <w:szCs w:val="24"/>
              </w:rPr>
              <w:t>IDU</w:t>
            </w:r>
          </w:p>
        </w:tc>
        <w:tc>
          <w:tcPr>
            <w:tcW w:w="703" w:type="dxa"/>
            <w:shd w:val="clear" w:color="auto" w:fill="DEEAF6" w:themeFill="accent5" w:themeFillTint="33"/>
            <w:vAlign w:val="bottom"/>
            <w:hideMark/>
          </w:tcPr>
          <w:p w14:paraId="5991D922" w14:textId="53303A43" w:rsidR="003F31B3" w:rsidRPr="003F31B3" w:rsidRDefault="003F31B3" w:rsidP="003F31B3">
            <w:pPr>
              <w:jc w:val="center"/>
              <w:rPr>
                <w:rFonts w:cstheme="minorHAnsi"/>
                <w:szCs w:val="24"/>
              </w:rPr>
            </w:pPr>
            <w:r w:rsidRPr="003F31B3">
              <w:rPr>
                <w:rFonts w:cstheme="minorHAnsi"/>
                <w:color w:val="000000"/>
                <w:kern w:val="24"/>
                <w:szCs w:val="24"/>
              </w:rPr>
              <w:t>51</w:t>
            </w:r>
          </w:p>
        </w:tc>
        <w:tc>
          <w:tcPr>
            <w:tcW w:w="704" w:type="dxa"/>
            <w:shd w:val="clear" w:color="auto" w:fill="DEEAF6" w:themeFill="accent5" w:themeFillTint="33"/>
            <w:vAlign w:val="bottom"/>
            <w:hideMark/>
          </w:tcPr>
          <w:p w14:paraId="4B43E217" w14:textId="0CFFB0F3" w:rsidR="003F31B3" w:rsidRPr="003F31B3" w:rsidRDefault="003F31B3" w:rsidP="003F31B3">
            <w:pPr>
              <w:jc w:val="center"/>
              <w:rPr>
                <w:rFonts w:cstheme="minorHAnsi"/>
                <w:szCs w:val="24"/>
              </w:rPr>
            </w:pPr>
            <w:r w:rsidRPr="003F31B3">
              <w:rPr>
                <w:rFonts w:cstheme="minorHAnsi"/>
                <w:color w:val="000000"/>
                <w:kern w:val="24"/>
                <w:szCs w:val="24"/>
              </w:rPr>
              <w:t>65%</w:t>
            </w:r>
          </w:p>
        </w:tc>
        <w:tc>
          <w:tcPr>
            <w:tcW w:w="704" w:type="dxa"/>
            <w:vAlign w:val="bottom"/>
            <w:hideMark/>
          </w:tcPr>
          <w:p w14:paraId="0645660C" w14:textId="1330D20F" w:rsidR="003F31B3" w:rsidRPr="003F31B3" w:rsidRDefault="003F31B3" w:rsidP="003F31B3">
            <w:pPr>
              <w:jc w:val="center"/>
              <w:rPr>
                <w:rFonts w:cstheme="minorHAnsi"/>
                <w:szCs w:val="24"/>
              </w:rPr>
            </w:pPr>
            <w:r w:rsidRPr="003F31B3">
              <w:rPr>
                <w:rFonts w:cstheme="minorHAnsi"/>
                <w:color w:val="000000"/>
                <w:kern w:val="24"/>
                <w:szCs w:val="24"/>
              </w:rPr>
              <w:t>71</w:t>
            </w:r>
          </w:p>
        </w:tc>
        <w:tc>
          <w:tcPr>
            <w:tcW w:w="704" w:type="dxa"/>
            <w:vAlign w:val="bottom"/>
            <w:hideMark/>
          </w:tcPr>
          <w:p w14:paraId="2F689E19" w14:textId="74AC41F4" w:rsidR="003F31B3" w:rsidRPr="003F31B3" w:rsidRDefault="003F31B3" w:rsidP="003F31B3">
            <w:pPr>
              <w:jc w:val="center"/>
              <w:rPr>
                <w:rFonts w:cstheme="minorHAnsi"/>
                <w:szCs w:val="24"/>
              </w:rPr>
            </w:pPr>
            <w:r w:rsidRPr="003F31B3">
              <w:rPr>
                <w:rFonts w:cstheme="minorHAnsi"/>
                <w:color w:val="000000"/>
                <w:kern w:val="24"/>
                <w:szCs w:val="24"/>
              </w:rPr>
              <w:t>72%</w:t>
            </w:r>
          </w:p>
        </w:tc>
        <w:tc>
          <w:tcPr>
            <w:tcW w:w="704" w:type="dxa"/>
            <w:shd w:val="clear" w:color="auto" w:fill="DEEAF6" w:themeFill="accent5" w:themeFillTint="33"/>
            <w:vAlign w:val="bottom"/>
            <w:hideMark/>
          </w:tcPr>
          <w:p w14:paraId="5B85E059" w14:textId="1B46A630" w:rsidR="003F31B3" w:rsidRPr="003F31B3" w:rsidRDefault="003F31B3" w:rsidP="003F31B3">
            <w:pPr>
              <w:jc w:val="center"/>
              <w:rPr>
                <w:rFonts w:cstheme="minorHAnsi"/>
                <w:szCs w:val="24"/>
              </w:rPr>
            </w:pPr>
            <w:r w:rsidRPr="003F31B3">
              <w:rPr>
                <w:rFonts w:cstheme="minorHAnsi"/>
                <w:color w:val="000000"/>
                <w:kern w:val="24"/>
                <w:szCs w:val="24"/>
              </w:rPr>
              <w:t>75</w:t>
            </w:r>
          </w:p>
        </w:tc>
        <w:tc>
          <w:tcPr>
            <w:tcW w:w="703" w:type="dxa"/>
            <w:shd w:val="clear" w:color="auto" w:fill="DEEAF6" w:themeFill="accent5" w:themeFillTint="33"/>
            <w:vAlign w:val="bottom"/>
            <w:hideMark/>
          </w:tcPr>
          <w:p w14:paraId="39FCAA2C" w14:textId="539E1D4A" w:rsidR="003F31B3" w:rsidRPr="003F31B3" w:rsidRDefault="003F31B3" w:rsidP="003F31B3">
            <w:pPr>
              <w:jc w:val="center"/>
              <w:rPr>
                <w:rFonts w:cstheme="minorHAnsi"/>
                <w:szCs w:val="24"/>
              </w:rPr>
            </w:pPr>
            <w:r w:rsidRPr="003F31B3">
              <w:rPr>
                <w:rFonts w:cstheme="minorHAnsi"/>
                <w:color w:val="000000"/>
                <w:kern w:val="24"/>
                <w:szCs w:val="24"/>
              </w:rPr>
              <w:t>86%</w:t>
            </w:r>
          </w:p>
        </w:tc>
        <w:tc>
          <w:tcPr>
            <w:tcW w:w="704" w:type="dxa"/>
            <w:vAlign w:val="bottom"/>
            <w:hideMark/>
          </w:tcPr>
          <w:p w14:paraId="2D192CC8" w14:textId="073660B1" w:rsidR="003F31B3" w:rsidRPr="003F31B3" w:rsidRDefault="003F31B3" w:rsidP="003F31B3">
            <w:pPr>
              <w:jc w:val="center"/>
              <w:rPr>
                <w:rFonts w:cstheme="minorHAnsi"/>
                <w:szCs w:val="24"/>
              </w:rPr>
            </w:pPr>
            <w:r w:rsidRPr="003F31B3">
              <w:rPr>
                <w:rFonts w:cstheme="minorHAnsi"/>
                <w:color w:val="000000"/>
                <w:kern w:val="24"/>
                <w:szCs w:val="24"/>
              </w:rPr>
              <w:t>35</w:t>
            </w:r>
          </w:p>
        </w:tc>
        <w:tc>
          <w:tcPr>
            <w:tcW w:w="704" w:type="dxa"/>
            <w:vAlign w:val="bottom"/>
            <w:hideMark/>
          </w:tcPr>
          <w:p w14:paraId="39D7C37B" w14:textId="37105462" w:rsidR="003F31B3" w:rsidRPr="003F31B3" w:rsidRDefault="003F31B3" w:rsidP="003F31B3">
            <w:pPr>
              <w:jc w:val="center"/>
              <w:rPr>
                <w:rFonts w:cstheme="minorHAnsi"/>
                <w:szCs w:val="24"/>
              </w:rPr>
            </w:pPr>
            <w:r w:rsidRPr="003F31B3">
              <w:rPr>
                <w:rFonts w:cstheme="minorHAnsi"/>
                <w:color w:val="000000"/>
                <w:kern w:val="24"/>
                <w:szCs w:val="24"/>
              </w:rPr>
              <w:t>69%</w:t>
            </w:r>
          </w:p>
        </w:tc>
        <w:tc>
          <w:tcPr>
            <w:tcW w:w="704" w:type="dxa"/>
            <w:shd w:val="clear" w:color="auto" w:fill="DEEAF6" w:themeFill="accent5" w:themeFillTint="33"/>
            <w:vAlign w:val="bottom"/>
            <w:hideMark/>
          </w:tcPr>
          <w:p w14:paraId="257322D2" w14:textId="7EEBC97F" w:rsidR="003F31B3" w:rsidRPr="003F31B3" w:rsidRDefault="003F31B3" w:rsidP="003F31B3">
            <w:pPr>
              <w:jc w:val="center"/>
              <w:rPr>
                <w:rFonts w:cstheme="minorHAnsi"/>
                <w:szCs w:val="24"/>
              </w:rPr>
            </w:pPr>
            <w:r w:rsidRPr="003F31B3">
              <w:rPr>
                <w:rFonts w:cstheme="minorHAnsi"/>
                <w:color w:val="000000"/>
                <w:kern w:val="24"/>
                <w:szCs w:val="24"/>
              </w:rPr>
              <w:t>30</w:t>
            </w:r>
          </w:p>
        </w:tc>
        <w:tc>
          <w:tcPr>
            <w:tcW w:w="704" w:type="dxa"/>
            <w:shd w:val="clear" w:color="auto" w:fill="DEEAF6" w:themeFill="accent5" w:themeFillTint="33"/>
            <w:vAlign w:val="bottom"/>
            <w:hideMark/>
          </w:tcPr>
          <w:p w14:paraId="4D0BA3A9" w14:textId="68FC8E24" w:rsidR="003F31B3" w:rsidRPr="003F31B3" w:rsidRDefault="003F31B3" w:rsidP="003F31B3">
            <w:pPr>
              <w:jc w:val="center"/>
              <w:rPr>
                <w:rFonts w:cstheme="minorHAnsi"/>
                <w:szCs w:val="24"/>
              </w:rPr>
            </w:pPr>
            <w:r w:rsidRPr="003F31B3">
              <w:rPr>
                <w:rFonts w:cstheme="minorHAnsi"/>
                <w:color w:val="000000"/>
                <w:kern w:val="24"/>
                <w:szCs w:val="24"/>
              </w:rPr>
              <w:t>71%</w:t>
            </w:r>
          </w:p>
        </w:tc>
      </w:tr>
      <w:tr w:rsidR="003F31B3" w:rsidRPr="00447C80" w14:paraId="24242B77" w14:textId="77777777" w:rsidTr="003F4C18">
        <w:trPr>
          <w:trHeight w:val="20"/>
        </w:trPr>
        <w:tc>
          <w:tcPr>
            <w:tcW w:w="2736" w:type="dxa"/>
            <w:hideMark/>
          </w:tcPr>
          <w:p w14:paraId="569D5223" w14:textId="77777777" w:rsidR="003F31B3" w:rsidRPr="00447C80" w:rsidRDefault="003F31B3" w:rsidP="003F31B3">
            <w:pPr>
              <w:rPr>
                <w:szCs w:val="24"/>
              </w:rPr>
            </w:pPr>
            <w:r w:rsidRPr="00447C80">
              <w:rPr>
                <w:szCs w:val="24"/>
              </w:rPr>
              <w:t>MSM/IDU</w:t>
            </w:r>
          </w:p>
        </w:tc>
        <w:tc>
          <w:tcPr>
            <w:tcW w:w="703" w:type="dxa"/>
            <w:shd w:val="clear" w:color="auto" w:fill="DEEAF6" w:themeFill="accent5" w:themeFillTint="33"/>
            <w:vAlign w:val="bottom"/>
            <w:hideMark/>
          </w:tcPr>
          <w:p w14:paraId="6C64F954" w14:textId="00F9E9ED" w:rsidR="003F31B3" w:rsidRPr="003F31B3" w:rsidRDefault="003F31B3" w:rsidP="003F31B3">
            <w:pPr>
              <w:jc w:val="center"/>
              <w:rPr>
                <w:rFonts w:cstheme="minorHAnsi"/>
                <w:szCs w:val="24"/>
              </w:rPr>
            </w:pPr>
            <w:r w:rsidRPr="003F31B3">
              <w:rPr>
                <w:rFonts w:cstheme="minorHAnsi"/>
                <w:color w:val="000000"/>
                <w:kern w:val="24"/>
                <w:szCs w:val="24"/>
              </w:rPr>
              <w:t>9</w:t>
            </w:r>
          </w:p>
        </w:tc>
        <w:tc>
          <w:tcPr>
            <w:tcW w:w="704" w:type="dxa"/>
            <w:shd w:val="clear" w:color="auto" w:fill="DEEAF6" w:themeFill="accent5" w:themeFillTint="33"/>
            <w:vAlign w:val="bottom"/>
            <w:hideMark/>
          </w:tcPr>
          <w:p w14:paraId="78BE0BF1" w14:textId="4169956D" w:rsidR="003F31B3" w:rsidRPr="003F31B3" w:rsidRDefault="003F31B3" w:rsidP="003F31B3">
            <w:pPr>
              <w:jc w:val="center"/>
              <w:rPr>
                <w:rFonts w:cstheme="minorHAnsi"/>
                <w:szCs w:val="24"/>
              </w:rPr>
            </w:pPr>
            <w:r w:rsidRPr="003F31B3">
              <w:rPr>
                <w:rFonts w:cstheme="minorHAnsi"/>
                <w:color w:val="000000"/>
                <w:kern w:val="24"/>
                <w:szCs w:val="24"/>
              </w:rPr>
              <w:t>11%</w:t>
            </w:r>
          </w:p>
        </w:tc>
        <w:tc>
          <w:tcPr>
            <w:tcW w:w="704" w:type="dxa"/>
            <w:vAlign w:val="bottom"/>
            <w:hideMark/>
          </w:tcPr>
          <w:p w14:paraId="2DDD0347" w14:textId="4543871E" w:rsidR="003F31B3" w:rsidRPr="003F31B3" w:rsidRDefault="003F31B3" w:rsidP="003F31B3">
            <w:pPr>
              <w:jc w:val="center"/>
              <w:rPr>
                <w:rFonts w:cstheme="minorHAnsi"/>
                <w:szCs w:val="24"/>
              </w:rPr>
            </w:pPr>
            <w:r w:rsidRPr="003F31B3">
              <w:rPr>
                <w:rFonts w:cstheme="minorHAnsi"/>
                <w:color w:val="000000"/>
                <w:kern w:val="24"/>
                <w:szCs w:val="24"/>
              </w:rPr>
              <w:t>12</w:t>
            </w:r>
          </w:p>
        </w:tc>
        <w:tc>
          <w:tcPr>
            <w:tcW w:w="704" w:type="dxa"/>
            <w:vAlign w:val="bottom"/>
            <w:hideMark/>
          </w:tcPr>
          <w:p w14:paraId="12D395D5" w14:textId="78E59EF3" w:rsidR="003F31B3" w:rsidRPr="003F31B3" w:rsidRDefault="003F31B3" w:rsidP="003F31B3">
            <w:pPr>
              <w:jc w:val="center"/>
              <w:rPr>
                <w:rFonts w:cstheme="minorHAnsi"/>
                <w:szCs w:val="24"/>
              </w:rPr>
            </w:pPr>
            <w:r w:rsidRPr="003F31B3">
              <w:rPr>
                <w:rFonts w:cstheme="minorHAnsi"/>
                <w:color w:val="000000"/>
                <w:kern w:val="24"/>
                <w:szCs w:val="24"/>
              </w:rPr>
              <w:t>12%</w:t>
            </w:r>
          </w:p>
        </w:tc>
        <w:tc>
          <w:tcPr>
            <w:tcW w:w="704" w:type="dxa"/>
            <w:shd w:val="clear" w:color="auto" w:fill="DEEAF6" w:themeFill="accent5" w:themeFillTint="33"/>
            <w:vAlign w:val="bottom"/>
            <w:hideMark/>
          </w:tcPr>
          <w:p w14:paraId="5A27DA74" w14:textId="25B810B1"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3" w:type="dxa"/>
            <w:shd w:val="clear" w:color="auto" w:fill="DEEAF6" w:themeFill="accent5" w:themeFillTint="33"/>
            <w:vAlign w:val="bottom"/>
            <w:hideMark/>
          </w:tcPr>
          <w:p w14:paraId="45F47852" w14:textId="3E6B2F7D"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vAlign w:val="bottom"/>
            <w:hideMark/>
          </w:tcPr>
          <w:p w14:paraId="4EB8B602" w14:textId="59889C6E" w:rsidR="003F31B3" w:rsidRPr="003F31B3" w:rsidRDefault="003F31B3" w:rsidP="003F31B3">
            <w:pPr>
              <w:jc w:val="center"/>
              <w:rPr>
                <w:rFonts w:cstheme="minorHAnsi"/>
                <w:szCs w:val="24"/>
              </w:rPr>
            </w:pPr>
            <w:r w:rsidRPr="003F31B3">
              <w:rPr>
                <w:rFonts w:cstheme="minorHAnsi"/>
                <w:color w:val="000000"/>
                <w:kern w:val="24"/>
                <w:szCs w:val="24"/>
              </w:rPr>
              <w:t>8</w:t>
            </w:r>
          </w:p>
        </w:tc>
        <w:tc>
          <w:tcPr>
            <w:tcW w:w="704" w:type="dxa"/>
            <w:vAlign w:val="bottom"/>
            <w:hideMark/>
          </w:tcPr>
          <w:p w14:paraId="1F2B4ADD" w14:textId="5E07A2CD" w:rsidR="003F31B3" w:rsidRPr="003F31B3" w:rsidRDefault="003F31B3" w:rsidP="003F31B3">
            <w:pPr>
              <w:jc w:val="center"/>
              <w:rPr>
                <w:rFonts w:cstheme="minorHAnsi"/>
                <w:szCs w:val="24"/>
              </w:rPr>
            </w:pPr>
            <w:r w:rsidRPr="003F31B3">
              <w:rPr>
                <w:rFonts w:cstheme="minorHAnsi"/>
                <w:color w:val="000000"/>
                <w:kern w:val="24"/>
                <w:szCs w:val="24"/>
              </w:rPr>
              <w:t>16%</w:t>
            </w:r>
          </w:p>
        </w:tc>
        <w:tc>
          <w:tcPr>
            <w:tcW w:w="704" w:type="dxa"/>
            <w:shd w:val="clear" w:color="auto" w:fill="DEEAF6" w:themeFill="accent5" w:themeFillTint="33"/>
            <w:vAlign w:val="bottom"/>
            <w:hideMark/>
          </w:tcPr>
          <w:p w14:paraId="5AE3B57C" w14:textId="4ACE7595"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shd w:val="clear" w:color="auto" w:fill="DEEAF6" w:themeFill="accent5" w:themeFillTint="33"/>
            <w:vAlign w:val="bottom"/>
            <w:hideMark/>
          </w:tcPr>
          <w:p w14:paraId="6CB62E89" w14:textId="22339C80"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r>
      <w:tr w:rsidR="003F31B3" w:rsidRPr="00447C80" w14:paraId="2EED0B6B" w14:textId="77777777" w:rsidTr="003F4C18">
        <w:trPr>
          <w:trHeight w:val="20"/>
        </w:trPr>
        <w:tc>
          <w:tcPr>
            <w:tcW w:w="2736" w:type="dxa"/>
            <w:hideMark/>
          </w:tcPr>
          <w:p w14:paraId="1AA44B13" w14:textId="77777777" w:rsidR="003F31B3" w:rsidRPr="00447C80" w:rsidRDefault="003F31B3" w:rsidP="003F31B3">
            <w:pPr>
              <w:rPr>
                <w:szCs w:val="24"/>
              </w:rPr>
            </w:pPr>
            <w:r w:rsidRPr="00447C80">
              <w:rPr>
                <w:szCs w:val="24"/>
              </w:rPr>
              <w:t>HTSX</w:t>
            </w:r>
          </w:p>
        </w:tc>
        <w:tc>
          <w:tcPr>
            <w:tcW w:w="703" w:type="dxa"/>
            <w:shd w:val="clear" w:color="auto" w:fill="DEEAF6" w:themeFill="accent5" w:themeFillTint="33"/>
            <w:vAlign w:val="bottom"/>
            <w:hideMark/>
          </w:tcPr>
          <w:p w14:paraId="2BE0DF63" w14:textId="0F14457D"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shd w:val="clear" w:color="auto" w:fill="DEEAF6" w:themeFill="accent5" w:themeFillTint="33"/>
            <w:vAlign w:val="bottom"/>
            <w:hideMark/>
          </w:tcPr>
          <w:p w14:paraId="6CE69761" w14:textId="759DD74F" w:rsidR="003F31B3" w:rsidRPr="003F31B3" w:rsidRDefault="00DB706E" w:rsidP="003F31B3">
            <w:pPr>
              <w:jc w:val="center"/>
              <w:rPr>
                <w:rFonts w:cstheme="minorHAnsi"/>
                <w:szCs w:val="24"/>
              </w:rPr>
            </w:pPr>
            <w:r>
              <w:rPr>
                <w:rFonts w:eastAsiaTheme="minorEastAsia" w:cstheme="minorHAnsi"/>
                <w:color w:val="000000"/>
                <w:kern w:val="24"/>
                <w:szCs w:val="24"/>
              </w:rPr>
              <w:t xml:space="preserve"> </w:t>
            </w:r>
            <w:r w:rsidR="003F31B3" w:rsidRPr="003F31B3">
              <w:rPr>
                <w:rFonts w:eastAsiaTheme="minorEastAsia" w:cstheme="minorHAnsi"/>
                <w:color w:val="000000"/>
                <w:kern w:val="24"/>
                <w:szCs w:val="24"/>
              </w:rPr>
              <w:t>N/A*</w:t>
            </w:r>
          </w:p>
        </w:tc>
        <w:tc>
          <w:tcPr>
            <w:tcW w:w="704" w:type="dxa"/>
            <w:vAlign w:val="bottom"/>
            <w:hideMark/>
          </w:tcPr>
          <w:p w14:paraId="654A49D7" w14:textId="00E3420B"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vAlign w:val="bottom"/>
            <w:hideMark/>
          </w:tcPr>
          <w:p w14:paraId="6DFFA2A1" w14:textId="47C8653C"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shd w:val="clear" w:color="auto" w:fill="DEEAF6" w:themeFill="accent5" w:themeFillTint="33"/>
            <w:vAlign w:val="bottom"/>
            <w:hideMark/>
          </w:tcPr>
          <w:p w14:paraId="030EFF6A" w14:textId="5A74F085"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3" w:type="dxa"/>
            <w:shd w:val="clear" w:color="auto" w:fill="DEEAF6" w:themeFill="accent5" w:themeFillTint="33"/>
            <w:vAlign w:val="bottom"/>
            <w:hideMark/>
          </w:tcPr>
          <w:p w14:paraId="716941F9" w14:textId="4312B582"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vAlign w:val="bottom"/>
            <w:hideMark/>
          </w:tcPr>
          <w:p w14:paraId="6E14DDB3" w14:textId="460B23DE"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vAlign w:val="bottom"/>
            <w:hideMark/>
          </w:tcPr>
          <w:p w14:paraId="318A10B1" w14:textId="25E4855D"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shd w:val="clear" w:color="auto" w:fill="DEEAF6" w:themeFill="accent5" w:themeFillTint="33"/>
            <w:vAlign w:val="bottom"/>
            <w:hideMark/>
          </w:tcPr>
          <w:p w14:paraId="18AF2919" w14:textId="1B70AA8C"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shd w:val="clear" w:color="auto" w:fill="DEEAF6" w:themeFill="accent5" w:themeFillTint="33"/>
            <w:vAlign w:val="bottom"/>
            <w:hideMark/>
          </w:tcPr>
          <w:p w14:paraId="12C872E9" w14:textId="06075A92"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r>
      <w:tr w:rsidR="003F31B3" w:rsidRPr="00447C80" w14:paraId="1B119EDB" w14:textId="77777777" w:rsidTr="003F4C18">
        <w:trPr>
          <w:trHeight w:val="20"/>
        </w:trPr>
        <w:tc>
          <w:tcPr>
            <w:tcW w:w="2736" w:type="dxa"/>
            <w:hideMark/>
          </w:tcPr>
          <w:p w14:paraId="56DBD93E" w14:textId="77777777" w:rsidR="003F31B3" w:rsidRPr="00447C80" w:rsidRDefault="003F31B3" w:rsidP="003F31B3">
            <w:pPr>
              <w:rPr>
                <w:szCs w:val="24"/>
              </w:rPr>
            </w:pPr>
            <w:r w:rsidRPr="00447C80">
              <w:rPr>
                <w:szCs w:val="24"/>
              </w:rPr>
              <w:t>Pres. HTSX</w:t>
            </w:r>
          </w:p>
        </w:tc>
        <w:tc>
          <w:tcPr>
            <w:tcW w:w="703" w:type="dxa"/>
            <w:shd w:val="clear" w:color="auto" w:fill="DEEAF6" w:themeFill="accent5" w:themeFillTint="33"/>
            <w:vAlign w:val="bottom"/>
            <w:hideMark/>
          </w:tcPr>
          <w:p w14:paraId="4B2A0367" w14:textId="6A24AD80"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shd w:val="clear" w:color="auto" w:fill="DEEAF6" w:themeFill="accent5" w:themeFillTint="33"/>
            <w:vAlign w:val="bottom"/>
            <w:hideMark/>
          </w:tcPr>
          <w:p w14:paraId="25D16521" w14:textId="361B0523"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vAlign w:val="bottom"/>
            <w:hideMark/>
          </w:tcPr>
          <w:p w14:paraId="6D216D3D" w14:textId="49B0F84F"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vAlign w:val="bottom"/>
            <w:hideMark/>
          </w:tcPr>
          <w:p w14:paraId="3668BD97" w14:textId="288924B4"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shd w:val="clear" w:color="auto" w:fill="DEEAF6" w:themeFill="accent5" w:themeFillTint="33"/>
            <w:vAlign w:val="bottom"/>
            <w:hideMark/>
          </w:tcPr>
          <w:p w14:paraId="6B3E0A37" w14:textId="4DBC7B29"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3" w:type="dxa"/>
            <w:shd w:val="clear" w:color="auto" w:fill="DEEAF6" w:themeFill="accent5" w:themeFillTint="33"/>
            <w:vAlign w:val="bottom"/>
            <w:hideMark/>
          </w:tcPr>
          <w:p w14:paraId="461AE14F" w14:textId="3A073A85"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vAlign w:val="bottom"/>
            <w:hideMark/>
          </w:tcPr>
          <w:p w14:paraId="10425AF6" w14:textId="7B756CE1"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vAlign w:val="bottom"/>
            <w:hideMark/>
          </w:tcPr>
          <w:p w14:paraId="5CA838E0" w14:textId="1B055B8C"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shd w:val="clear" w:color="auto" w:fill="DEEAF6" w:themeFill="accent5" w:themeFillTint="33"/>
            <w:vAlign w:val="bottom"/>
            <w:hideMark/>
          </w:tcPr>
          <w:p w14:paraId="3C9ADB57" w14:textId="072B76CE" w:rsidR="003F31B3" w:rsidRPr="003F31B3" w:rsidRDefault="003F31B3" w:rsidP="003F31B3">
            <w:pPr>
              <w:jc w:val="center"/>
              <w:rPr>
                <w:rFonts w:cstheme="minorHAnsi"/>
                <w:szCs w:val="24"/>
              </w:rPr>
            </w:pPr>
            <w:r w:rsidRPr="003F31B3">
              <w:rPr>
                <w:rFonts w:cstheme="minorHAnsi"/>
                <w:color w:val="000000"/>
                <w:kern w:val="24"/>
                <w:szCs w:val="24"/>
              </w:rPr>
              <w:t>0</w:t>
            </w:r>
          </w:p>
        </w:tc>
        <w:tc>
          <w:tcPr>
            <w:tcW w:w="704" w:type="dxa"/>
            <w:shd w:val="clear" w:color="auto" w:fill="DEEAF6" w:themeFill="accent5" w:themeFillTint="33"/>
            <w:vAlign w:val="bottom"/>
            <w:hideMark/>
          </w:tcPr>
          <w:p w14:paraId="1BDD7D03" w14:textId="334C596F" w:rsidR="003F31B3" w:rsidRPr="003F31B3" w:rsidRDefault="003F31B3" w:rsidP="003F31B3">
            <w:pPr>
              <w:jc w:val="center"/>
              <w:rPr>
                <w:rFonts w:cstheme="minorHAnsi"/>
                <w:szCs w:val="24"/>
              </w:rPr>
            </w:pPr>
            <w:r w:rsidRPr="003F31B3">
              <w:rPr>
                <w:rFonts w:cstheme="minorHAnsi"/>
                <w:color w:val="000000"/>
                <w:kern w:val="24"/>
                <w:szCs w:val="24"/>
              </w:rPr>
              <w:t>0%</w:t>
            </w:r>
          </w:p>
        </w:tc>
      </w:tr>
      <w:tr w:rsidR="003F31B3" w:rsidRPr="00447C80" w14:paraId="3E87EBF4" w14:textId="77777777" w:rsidTr="003F4C18">
        <w:trPr>
          <w:trHeight w:val="20"/>
        </w:trPr>
        <w:tc>
          <w:tcPr>
            <w:tcW w:w="2736" w:type="dxa"/>
            <w:hideMark/>
          </w:tcPr>
          <w:p w14:paraId="0E07E4F8" w14:textId="77777777" w:rsidR="003F31B3" w:rsidRPr="00447C80" w:rsidRDefault="003F31B3" w:rsidP="003F31B3">
            <w:pPr>
              <w:rPr>
                <w:szCs w:val="24"/>
              </w:rPr>
            </w:pPr>
            <w:r w:rsidRPr="00447C80">
              <w:rPr>
                <w:szCs w:val="24"/>
              </w:rPr>
              <w:t>NIR</w:t>
            </w:r>
          </w:p>
        </w:tc>
        <w:tc>
          <w:tcPr>
            <w:tcW w:w="703" w:type="dxa"/>
            <w:shd w:val="clear" w:color="auto" w:fill="DEEAF6" w:themeFill="accent5" w:themeFillTint="33"/>
            <w:vAlign w:val="bottom"/>
            <w:hideMark/>
          </w:tcPr>
          <w:p w14:paraId="5FE7B46A" w14:textId="5E73C579" w:rsidR="003F31B3" w:rsidRPr="003F31B3" w:rsidRDefault="003F31B3" w:rsidP="003F31B3">
            <w:pPr>
              <w:jc w:val="center"/>
              <w:rPr>
                <w:rFonts w:cstheme="minorHAnsi"/>
                <w:szCs w:val="24"/>
              </w:rPr>
            </w:pPr>
            <w:r w:rsidRPr="003F31B3">
              <w:rPr>
                <w:rFonts w:cstheme="minorHAnsi"/>
                <w:color w:val="000000"/>
                <w:kern w:val="24"/>
                <w:szCs w:val="24"/>
              </w:rPr>
              <w:t>10</w:t>
            </w:r>
          </w:p>
        </w:tc>
        <w:tc>
          <w:tcPr>
            <w:tcW w:w="704" w:type="dxa"/>
            <w:shd w:val="clear" w:color="auto" w:fill="DEEAF6" w:themeFill="accent5" w:themeFillTint="33"/>
            <w:vAlign w:val="bottom"/>
            <w:hideMark/>
          </w:tcPr>
          <w:p w14:paraId="57013ACC" w14:textId="3004663C" w:rsidR="003F31B3" w:rsidRPr="003F31B3" w:rsidRDefault="003F31B3" w:rsidP="003F31B3">
            <w:pPr>
              <w:jc w:val="center"/>
              <w:rPr>
                <w:rFonts w:cstheme="minorHAnsi"/>
                <w:szCs w:val="24"/>
              </w:rPr>
            </w:pPr>
            <w:r w:rsidRPr="003F31B3">
              <w:rPr>
                <w:rFonts w:cstheme="minorHAnsi"/>
                <w:color w:val="000000"/>
                <w:kern w:val="24"/>
                <w:szCs w:val="24"/>
              </w:rPr>
              <w:t>13%</w:t>
            </w:r>
          </w:p>
        </w:tc>
        <w:tc>
          <w:tcPr>
            <w:tcW w:w="704" w:type="dxa"/>
            <w:vAlign w:val="bottom"/>
            <w:hideMark/>
          </w:tcPr>
          <w:p w14:paraId="65397A5A" w14:textId="3811C5D1"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vAlign w:val="bottom"/>
            <w:hideMark/>
          </w:tcPr>
          <w:p w14:paraId="6917AB28" w14:textId="26BD6B3B"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shd w:val="clear" w:color="auto" w:fill="DEEAF6" w:themeFill="accent5" w:themeFillTint="33"/>
            <w:vAlign w:val="bottom"/>
            <w:hideMark/>
          </w:tcPr>
          <w:p w14:paraId="4C0DFCEA" w14:textId="417544EC" w:rsidR="003F31B3" w:rsidRPr="003F31B3" w:rsidRDefault="003F31B3" w:rsidP="003F31B3">
            <w:pPr>
              <w:jc w:val="center"/>
              <w:rPr>
                <w:rFonts w:cstheme="minorHAnsi"/>
                <w:szCs w:val="24"/>
              </w:rPr>
            </w:pPr>
            <w:r w:rsidRPr="003F31B3">
              <w:rPr>
                <w:rFonts w:cstheme="minorHAnsi"/>
                <w:color w:val="000000"/>
                <w:kern w:val="24"/>
                <w:szCs w:val="24"/>
              </w:rPr>
              <w:t>5</w:t>
            </w:r>
          </w:p>
        </w:tc>
        <w:tc>
          <w:tcPr>
            <w:tcW w:w="703" w:type="dxa"/>
            <w:shd w:val="clear" w:color="auto" w:fill="DEEAF6" w:themeFill="accent5" w:themeFillTint="33"/>
            <w:vAlign w:val="bottom"/>
            <w:hideMark/>
          </w:tcPr>
          <w:p w14:paraId="4FAC7F9D" w14:textId="5711A3D7" w:rsidR="003F31B3" w:rsidRPr="003F31B3" w:rsidRDefault="003F31B3" w:rsidP="003F31B3">
            <w:pPr>
              <w:jc w:val="center"/>
              <w:rPr>
                <w:rFonts w:cstheme="minorHAnsi"/>
                <w:szCs w:val="24"/>
              </w:rPr>
            </w:pPr>
            <w:r w:rsidRPr="003F31B3">
              <w:rPr>
                <w:rFonts w:cstheme="minorHAnsi"/>
                <w:color w:val="000000"/>
                <w:kern w:val="24"/>
                <w:szCs w:val="24"/>
              </w:rPr>
              <w:t>6%</w:t>
            </w:r>
          </w:p>
        </w:tc>
        <w:tc>
          <w:tcPr>
            <w:tcW w:w="704" w:type="dxa"/>
            <w:vAlign w:val="bottom"/>
            <w:hideMark/>
          </w:tcPr>
          <w:p w14:paraId="27A88560" w14:textId="2EAA2B05"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vAlign w:val="bottom"/>
            <w:hideMark/>
          </w:tcPr>
          <w:p w14:paraId="07117777" w14:textId="4E13379C"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c>
          <w:tcPr>
            <w:tcW w:w="704" w:type="dxa"/>
            <w:shd w:val="clear" w:color="auto" w:fill="DEEAF6" w:themeFill="accent5" w:themeFillTint="33"/>
            <w:vAlign w:val="bottom"/>
            <w:hideMark/>
          </w:tcPr>
          <w:p w14:paraId="4420BD90" w14:textId="5C186576" w:rsidR="003F31B3" w:rsidRPr="003F31B3" w:rsidRDefault="003F31B3" w:rsidP="003F31B3">
            <w:pPr>
              <w:jc w:val="center"/>
              <w:rPr>
                <w:rFonts w:cstheme="minorHAnsi"/>
                <w:szCs w:val="24"/>
              </w:rPr>
            </w:pPr>
            <w:r w:rsidRPr="003F31B3">
              <w:rPr>
                <w:rFonts w:eastAsiaTheme="minorEastAsia" w:cstheme="minorHAnsi"/>
                <w:color w:val="000000"/>
                <w:kern w:val="24"/>
                <w:szCs w:val="24"/>
              </w:rPr>
              <w:t>&lt;5</w:t>
            </w:r>
          </w:p>
        </w:tc>
        <w:tc>
          <w:tcPr>
            <w:tcW w:w="704" w:type="dxa"/>
            <w:shd w:val="clear" w:color="auto" w:fill="DEEAF6" w:themeFill="accent5" w:themeFillTint="33"/>
            <w:vAlign w:val="bottom"/>
            <w:hideMark/>
          </w:tcPr>
          <w:p w14:paraId="37151308" w14:textId="2BBCF431" w:rsidR="003F31B3" w:rsidRPr="003F31B3" w:rsidRDefault="003F31B3" w:rsidP="003F31B3">
            <w:pPr>
              <w:jc w:val="center"/>
              <w:rPr>
                <w:rFonts w:cstheme="minorHAnsi"/>
                <w:szCs w:val="24"/>
              </w:rPr>
            </w:pPr>
            <w:r w:rsidRPr="003F31B3">
              <w:rPr>
                <w:rFonts w:eastAsiaTheme="minorEastAsia" w:cstheme="minorHAnsi"/>
                <w:color w:val="000000"/>
                <w:kern w:val="24"/>
                <w:szCs w:val="24"/>
              </w:rPr>
              <w:t>N/A</w:t>
            </w:r>
          </w:p>
        </w:tc>
      </w:tr>
      <w:tr w:rsidR="003F31B3" w:rsidRPr="00447C80" w14:paraId="48772A25" w14:textId="77777777" w:rsidTr="003F4C18">
        <w:trPr>
          <w:trHeight w:val="20"/>
        </w:trPr>
        <w:tc>
          <w:tcPr>
            <w:tcW w:w="2736" w:type="dxa"/>
            <w:hideMark/>
          </w:tcPr>
          <w:p w14:paraId="7F73C581" w14:textId="77777777" w:rsidR="003F31B3" w:rsidRPr="00447C80" w:rsidRDefault="003F31B3" w:rsidP="003F31B3">
            <w:pPr>
              <w:rPr>
                <w:szCs w:val="24"/>
              </w:rPr>
            </w:pPr>
            <w:r w:rsidRPr="00447C80">
              <w:rPr>
                <w:b/>
                <w:bCs/>
                <w:szCs w:val="24"/>
              </w:rPr>
              <w:t>Total:</w:t>
            </w:r>
          </w:p>
        </w:tc>
        <w:tc>
          <w:tcPr>
            <w:tcW w:w="703" w:type="dxa"/>
            <w:shd w:val="clear" w:color="auto" w:fill="DEEAF6" w:themeFill="accent5" w:themeFillTint="33"/>
            <w:vAlign w:val="bottom"/>
            <w:hideMark/>
          </w:tcPr>
          <w:p w14:paraId="176CEC36" w14:textId="5357F0B9" w:rsidR="003F31B3" w:rsidRPr="003F31B3" w:rsidRDefault="003F31B3" w:rsidP="003F31B3">
            <w:pPr>
              <w:jc w:val="center"/>
              <w:rPr>
                <w:rFonts w:cstheme="minorHAnsi"/>
                <w:b/>
                <w:bCs/>
                <w:szCs w:val="24"/>
              </w:rPr>
            </w:pPr>
            <w:r w:rsidRPr="003F31B3">
              <w:rPr>
                <w:rFonts w:cstheme="minorHAnsi"/>
                <w:b/>
                <w:bCs/>
                <w:color w:val="000000"/>
                <w:kern w:val="24"/>
                <w:szCs w:val="24"/>
              </w:rPr>
              <w:t>79</w:t>
            </w:r>
          </w:p>
        </w:tc>
        <w:tc>
          <w:tcPr>
            <w:tcW w:w="704" w:type="dxa"/>
            <w:shd w:val="clear" w:color="auto" w:fill="DEEAF6" w:themeFill="accent5" w:themeFillTint="33"/>
            <w:vAlign w:val="bottom"/>
            <w:hideMark/>
          </w:tcPr>
          <w:p w14:paraId="48AEA151" w14:textId="6ED02760" w:rsidR="003F31B3" w:rsidRPr="003F31B3" w:rsidRDefault="003F31B3" w:rsidP="003F31B3">
            <w:pPr>
              <w:jc w:val="center"/>
              <w:rPr>
                <w:rFonts w:cstheme="minorHAnsi"/>
                <w:b/>
                <w:bCs/>
                <w:szCs w:val="24"/>
              </w:rPr>
            </w:pPr>
            <w:r w:rsidRPr="003F31B3">
              <w:rPr>
                <w:rFonts w:cstheme="minorHAnsi"/>
                <w:b/>
                <w:bCs/>
                <w:color w:val="000000"/>
                <w:kern w:val="24"/>
                <w:szCs w:val="24"/>
              </w:rPr>
              <w:t>100%</w:t>
            </w:r>
          </w:p>
        </w:tc>
        <w:tc>
          <w:tcPr>
            <w:tcW w:w="704" w:type="dxa"/>
            <w:vAlign w:val="bottom"/>
            <w:hideMark/>
          </w:tcPr>
          <w:p w14:paraId="6E6F8820" w14:textId="4C55E25B" w:rsidR="003F31B3" w:rsidRPr="003F31B3" w:rsidRDefault="003F31B3" w:rsidP="003F31B3">
            <w:pPr>
              <w:jc w:val="center"/>
              <w:rPr>
                <w:rFonts w:cstheme="minorHAnsi"/>
                <w:b/>
                <w:bCs/>
                <w:szCs w:val="24"/>
              </w:rPr>
            </w:pPr>
            <w:r w:rsidRPr="003F31B3">
              <w:rPr>
                <w:rFonts w:cstheme="minorHAnsi"/>
                <w:b/>
                <w:bCs/>
                <w:color w:val="000000"/>
                <w:kern w:val="24"/>
                <w:szCs w:val="24"/>
              </w:rPr>
              <w:t>98</w:t>
            </w:r>
          </w:p>
        </w:tc>
        <w:tc>
          <w:tcPr>
            <w:tcW w:w="704" w:type="dxa"/>
            <w:vAlign w:val="bottom"/>
            <w:hideMark/>
          </w:tcPr>
          <w:p w14:paraId="47C61C73" w14:textId="593C532E" w:rsidR="003F31B3" w:rsidRPr="003F31B3" w:rsidRDefault="003F31B3" w:rsidP="003F31B3">
            <w:pPr>
              <w:jc w:val="center"/>
              <w:rPr>
                <w:rFonts w:cstheme="minorHAnsi"/>
                <w:b/>
                <w:bCs/>
                <w:szCs w:val="24"/>
              </w:rPr>
            </w:pPr>
            <w:r w:rsidRPr="003F31B3">
              <w:rPr>
                <w:rFonts w:cstheme="minorHAnsi"/>
                <w:b/>
                <w:bCs/>
                <w:color w:val="000000"/>
                <w:kern w:val="24"/>
                <w:szCs w:val="24"/>
              </w:rPr>
              <w:t>100%</w:t>
            </w:r>
          </w:p>
        </w:tc>
        <w:tc>
          <w:tcPr>
            <w:tcW w:w="704" w:type="dxa"/>
            <w:shd w:val="clear" w:color="auto" w:fill="DEEAF6" w:themeFill="accent5" w:themeFillTint="33"/>
            <w:vAlign w:val="bottom"/>
            <w:hideMark/>
          </w:tcPr>
          <w:p w14:paraId="163E461D" w14:textId="68176D85" w:rsidR="003F31B3" w:rsidRPr="003F31B3" w:rsidRDefault="003F31B3" w:rsidP="003F31B3">
            <w:pPr>
              <w:jc w:val="center"/>
              <w:rPr>
                <w:rFonts w:cstheme="minorHAnsi"/>
                <w:b/>
                <w:bCs/>
                <w:szCs w:val="24"/>
              </w:rPr>
            </w:pPr>
            <w:r w:rsidRPr="003F31B3">
              <w:rPr>
                <w:rFonts w:cstheme="minorHAnsi"/>
                <w:b/>
                <w:bCs/>
                <w:color w:val="000000"/>
                <w:kern w:val="24"/>
                <w:szCs w:val="24"/>
              </w:rPr>
              <w:t>87</w:t>
            </w:r>
          </w:p>
        </w:tc>
        <w:tc>
          <w:tcPr>
            <w:tcW w:w="703" w:type="dxa"/>
            <w:shd w:val="clear" w:color="auto" w:fill="DEEAF6" w:themeFill="accent5" w:themeFillTint="33"/>
            <w:vAlign w:val="bottom"/>
            <w:hideMark/>
          </w:tcPr>
          <w:p w14:paraId="6E14944F" w14:textId="2EDEF24E" w:rsidR="003F31B3" w:rsidRPr="003F31B3" w:rsidRDefault="003F31B3" w:rsidP="003F31B3">
            <w:pPr>
              <w:jc w:val="center"/>
              <w:rPr>
                <w:rFonts w:cstheme="minorHAnsi"/>
                <w:b/>
                <w:bCs/>
                <w:szCs w:val="24"/>
              </w:rPr>
            </w:pPr>
            <w:r w:rsidRPr="003F31B3">
              <w:rPr>
                <w:rFonts w:cstheme="minorHAnsi"/>
                <w:b/>
                <w:bCs/>
                <w:color w:val="000000"/>
                <w:kern w:val="24"/>
                <w:szCs w:val="24"/>
              </w:rPr>
              <w:t>100%</w:t>
            </w:r>
          </w:p>
        </w:tc>
        <w:tc>
          <w:tcPr>
            <w:tcW w:w="704" w:type="dxa"/>
            <w:vAlign w:val="bottom"/>
            <w:hideMark/>
          </w:tcPr>
          <w:p w14:paraId="268A895F" w14:textId="09248B8F" w:rsidR="003F31B3" w:rsidRPr="003F31B3" w:rsidRDefault="003F31B3" w:rsidP="003F31B3">
            <w:pPr>
              <w:jc w:val="center"/>
              <w:rPr>
                <w:rFonts w:cstheme="minorHAnsi"/>
                <w:b/>
                <w:bCs/>
                <w:szCs w:val="24"/>
              </w:rPr>
            </w:pPr>
            <w:r w:rsidRPr="003F31B3">
              <w:rPr>
                <w:rFonts w:cstheme="minorHAnsi"/>
                <w:b/>
                <w:bCs/>
                <w:color w:val="000000"/>
                <w:kern w:val="24"/>
                <w:szCs w:val="24"/>
              </w:rPr>
              <w:t>51</w:t>
            </w:r>
          </w:p>
        </w:tc>
        <w:tc>
          <w:tcPr>
            <w:tcW w:w="704" w:type="dxa"/>
            <w:vAlign w:val="bottom"/>
            <w:hideMark/>
          </w:tcPr>
          <w:p w14:paraId="2BC4BFEE" w14:textId="67D2A393" w:rsidR="003F31B3" w:rsidRPr="003F31B3" w:rsidRDefault="003F31B3" w:rsidP="003F31B3">
            <w:pPr>
              <w:jc w:val="center"/>
              <w:rPr>
                <w:rFonts w:cstheme="minorHAnsi"/>
                <w:b/>
                <w:bCs/>
                <w:szCs w:val="24"/>
              </w:rPr>
            </w:pPr>
            <w:r w:rsidRPr="003F31B3">
              <w:rPr>
                <w:rFonts w:cstheme="minorHAnsi"/>
                <w:b/>
                <w:bCs/>
                <w:color w:val="000000"/>
                <w:kern w:val="24"/>
                <w:szCs w:val="24"/>
              </w:rPr>
              <w:t>100%</w:t>
            </w:r>
          </w:p>
        </w:tc>
        <w:tc>
          <w:tcPr>
            <w:tcW w:w="704" w:type="dxa"/>
            <w:shd w:val="clear" w:color="auto" w:fill="DEEAF6" w:themeFill="accent5" w:themeFillTint="33"/>
            <w:vAlign w:val="bottom"/>
            <w:hideMark/>
          </w:tcPr>
          <w:p w14:paraId="3603CCB4" w14:textId="49D4FDB1" w:rsidR="003F31B3" w:rsidRPr="003F31B3" w:rsidRDefault="003F31B3" w:rsidP="003F31B3">
            <w:pPr>
              <w:jc w:val="center"/>
              <w:rPr>
                <w:rFonts w:cstheme="minorHAnsi"/>
                <w:b/>
                <w:bCs/>
                <w:szCs w:val="24"/>
              </w:rPr>
            </w:pPr>
            <w:r w:rsidRPr="003F31B3">
              <w:rPr>
                <w:rFonts w:cstheme="minorHAnsi"/>
                <w:b/>
                <w:bCs/>
                <w:color w:val="000000"/>
                <w:kern w:val="24"/>
                <w:szCs w:val="24"/>
              </w:rPr>
              <w:t>42</w:t>
            </w:r>
          </w:p>
        </w:tc>
        <w:tc>
          <w:tcPr>
            <w:tcW w:w="704" w:type="dxa"/>
            <w:shd w:val="clear" w:color="auto" w:fill="DEEAF6" w:themeFill="accent5" w:themeFillTint="33"/>
            <w:vAlign w:val="bottom"/>
            <w:hideMark/>
          </w:tcPr>
          <w:p w14:paraId="4AD0D48E" w14:textId="4C58A818" w:rsidR="003F31B3" w:rsidRPr="003F31B3" w:rsidRDefault="003F31B3" w:rsidP="003F31B3">
            <w:pPr>
              <w:jc w:val="center"/>
              <w:rPr>
                <w:rFonts w:cstheme="minorHAnsi"/>
                <w:b/>
                <w:bCs/>
                <w:szCs w:val="24"/>
              </w:rPr>
            </w:pPr>
            <w:r w:rsidRPr="003F31B3">
              <w:rPr>
                <w:rFonts w:cstheme="minorHAnsi"/>
                <w:b/>
                <w:bCs/>
                <w:color w:val="000000"/>
                <w:kern w:val="24"/>
                <w:szCs w:val="24"/>
              </w:rPr>
              <w:t>100%</w:t>
            </w:r>
          </w:p>
        </w:tc>
      </w:tr>
    </w:tbl>
    <w:p w14:paraId="1A372BB6" w14:textId="72BCB6E5" w:rsidR="00EF0049" w:rsidRPr="00447C80" w:rsidRDefault="00EF0049" w:rsidP="007C2C42">
      <w:pPr>
        <w:rPr>
          <w:rFonts w:ascii="Calibri" w:eastAsia="Calibri" w:hAnsi="Calibri" w:cs="Calibri"/>
          <w:sz w:val="20"/>
          <w:szCs w:val="20"/>
        </w:rPr>
      </w:pPr>
      <w:r w:rsidRPr="00447C80">
        <w:rPr>
          <w:sz w:val="20"/>
          <w:szCs w:val="20"/>
        </w:rPr>
        <w:t>MSM=Male-to-Male Sex, IDU=Injection Drug Use, HTSX=Heterosexual Sex, Pres.=Presumed, NIR=No Identified Risk</w:t>
      </w:r>
      <w:r w:rsidR="0335A195" w:rsidRPr="00447C80">
        <w:rPr>
          <w:sz w:val="20"/>
          <w:szCs w:val="20"/>
        </w:rPr>
        <w:t>.</w:t>
      </w:r>
      <w:r w:rsidR="0335A195" w:rsidRPr="00447C80">
        <w:rPr>
          <w:rFonts w:ascii="Calibri" w:eastAsia="Calibri" w:hAnsi="Calibri" w:cs="Calibri"/>
          <w:sz w:val="20"/>
          <w:szCs w:val="20"/>
        </w:rPr>
        <w:t xml:space="preserve"> For more information, see HIV primary exposure mode definitions in </w:t>
      </w:r>
      <w:hyperlink w:anchor="_INTERPRETING_HIV,_STD," w:history="1">
        <w:r w:rsidR="0335A195" w:rsidRPr="00143EBD">
          <w:rPr>
            <w:rStyle w:val="Hyperlink"/>
            <w:rFonts w:ascii="Calibri" w:eastAsia="Calibri" w:hAnsi="Calibri" w:cs="Calibri"/>
            <w:sz w:val="20"/>
            <w:szCs w:val="20"/>
          </w:rPr>
          <w:t xml:space="preserve">Interpreting HIV, </w:t>
        </w:r>
        <w:r w:rsidR="00285320">
          <w:rPr>
            <w:rStyle w:val="Hyperlink"/>
            <w:rFonts w:ascii="Calibri" w:eastAsia="Calibri" w:hAnsi="Calibri" w:cs="Calibri"/>
            <w:sz w:val="20"/>
            <w:szCs w:val="20"/>
          </w:rPr>
          <w:t>STI</w:t>
        </w:r>
        <w:r w:rsidR="0335A195" w:rsidRPr="00143EBD">
          <w:rPr>
            <w:rStyle w:val="Hyperlink"/>
            <w:rFonts w:ascii="Calibri" w:eastAsia="Calibri" w:hAnsi="Calibri" w:cs="Calibri"/>
            <w:sz w:val="20"/>
            <w:szCs w:val="20"/>
          </w:rPr>
          <w:t>, and Viral Hepatitis Data</w:t>
        </w:r>
      </w:hyperlink>
      <w:r w:rsidR="0335A195" w:rsidRPr="00447C80">
        <w:rPr>
          <w:rFonts w:ascii="Calibri" w:eastAsia="Calibri" w:hAnsi="Calibri" w:cs="Calibri"/>
          <w:sz w:val="20"/>
          <w:szCs w:val="20"/>
        </w:rPr>
        <w:t>.</w:t>
      </w:r>
    </w:p>
    <w:p w14:paraId="51949333" w14:textId="0DB8F17E" w:rsidR="00EF0049" w:rsidRPr="00447C80" w:rsidRDefault="00131470" w:rsidP="007C2C42">
      <w:pPr>
        <w:spacing w:after="120"/>
        <w:rPr>
          <w:sz w:val="20"/>
          <w:szCs w:val="20"/>
        </w:rPr>
      </w:pPr>
      <w:r w:rsidRPr="00447C80">
        <w:rPr>
          <w:sz w:val="20"/>
          <w:szCs w:val="20"/>
        </w:rPr>
        <w:t xml:space="preserve">*Values one through four are suppressed for denominator populations less than 50,000 or for unknown population sizes. Additional values of zero and greater than or equal to five may be suppressed to prevent back calculation. </w:t>
      </w:r>
      <w:r w:rsidR="00EF0049" w:rsidRPr="00447C80">
        <w:rPr>
          <w:sz w:val="20"/>
          <w:szCs w:val="20"/>
        </w:rPr>
        <w:t xml:space="preserve">Data Source: Bureau of Infectious Disease and Laboratory Sciences, data are current as of </w:t>
      </w:r>
      <w:r w:rsidR="00DB706E">
        <w:rPr>
          <w:sz w:val="20"/>
          <w:szCs w:val="20"/>
        </w:rPr>
        <w:t>7</w:t>
      </w:r>
      <w:r w:rsidR="001F75D4" w:rsidRPr="00447C80">
        <w:rPr>
          <w:sz w:val="20"/>
          <w:szCs w:val="20"/>
        </w:rPr>
        <w:t>/</w:t>
      </w:r>
      <w:r w:rsidR="00DB706E">
        <w:rPr>
          <w:sz w:val="20"/>
          <w:szCs w:val="20"/>
        </w:rPr>
        <w:t>1</w:t>
      </w:r>
      <w:r w:rsidR="001F75D4" w:rsidRPr="00447C80">
        <w:rPr>
          <w:sz w:val="20"/>
          <w:szCs w:val="20"/>
        </w:rPr>
        <w:t>/202</w:t>
      </w:r>
      <w:r w:rsidR="00DB706E">
        <w:rPr>
          <w:sz w:val="20"/>
          <w:szCs w:val="20"/>
        </w:rPr>
        <w:t>4</w:t>
      </w:r>
      <w:r w:rsidR="00EF0049" w:rsidRPr="00447C80">
        <w:rPr>
          <w:sz w:val="20"/>
          <w:szCs w:val="20"/>
        </w:rPr>
        <w:t xml:space="preserve"> and subject to </w:t>
      </w:r>
      <w:r w:rsidR="00E63192" w:rsidRPr="00447C80">
        <w:rPr>
          <w:sz w:val="20"/>
          <w:szCs w:val="20"/>
        </w:rPr>
        <w:t>change.</w:t>
      </w:r>
    </w:p>
    <w:p w14:paraId="604F5875" w14:textId="77777777" w:rsidR="00143EBD" w:rsidRDefault="043BB783" w:rsidP="0015777B">
      <w:pPr>
        <w:pStyle w:val="spaced6"/>
      </w:pPr>
      <w:r w:rsidRPr="00447C80">
        <w:t>From 201</w:t>
      </w:r>
      <w:r w:rsidR="00143EBD">
        <w:t>9</w:t>
      </w:r>
      <w:r w:rsidRPr="00447C80">
        <w:t xml:space="preserve"> to 202</w:t>
      </w:r>
      <w:r w:rsidR="00143EBD">
        <w:t>3</w:t>
      </w:r>
      <w:r w:rsidRPr="00447C80">
        <w:t>,</w:t>
      </w:r>
      <w:r w:rsidR="00EF0049" w:rsidRPr="00447C80">
        <w:rPr>
          <w:rStyle w:val="FootnoteReference"/>
        </w:rPr>
        <w:footnoteReference w:id="92"/>
      </w:r>
      <w:r w:rsidRPr="00447C80">
        <w:rPr>
          <w:vertAlign w:val="superscript"/>
        </w:rPr>
        <w:t>,</w:t>
      </w:r>
      <w:r w:rsidR="00EF0049" w:rsidRPr="00447C80">
        <w:rPr>
          <w:rStyle w:val="FootnoteReference"/>
        </w:rPr>
        <w:footnoteReference w:id="93"/>
      </w:r>
      <w:r w:rsidRPr="00447C80">
        <w:t xml:space="preserve"> </w:t>
      </w:r>
      <w:r w:rsidR="00143EBD" w:rsidRPr="00143EBD">
        <w:t xml:space="preserve">the proportion of individuals co-infected with HIV/HCV who were assigned male at birth increased from 67% to 76%. During the same period, the proportion of individuals aged 50 years or older increased from 11% to 24%, while the proportion of 20-29 year-olds decreased from 27% to 7%. The proportion of individuals co-infected with HIV/HCV </w:t>
      </w:r>
      <w:r w:rsidR="00143EBD" w:rsidRPr="00143EBD">
        <w:lastRenderedPageBreak/>
        <w:t>with IDU exposure mode likely reflected two separate HIV outbreaks among persons who inject drugs (PWID), increasing from 65% in 2019 to 86% in 2021 and then decreasing to 71% in 2023</w:t>
      </w:r>
      <w:r w:rsidR="0015777B" w:rsidRPr="00447C80">
        <w:t>.</w:t>
      </w:r>
    </w:p>
    <w:p w14:paraId="42AB81F0" w14:textId="43AFD9A2" w:rsidR="007C2C42" w:rsidRDefault="00143EBD" w:rsidP="00143EBD">
      <w:pPr>
        <w:pStyle w:val="spaced6"/>
      </w:pPr>
      <w:r w:rsidRPr="00143EBD">
        <w:t>The distribution of individuals co-infected with HIV/HCV infection by race/ethnicity remained relatively stable from 2018 to 2022, with White (non-Hispanic) individuals accounting for the majority of cases each year (57-73%)</w:t>
      </w:r>
      <w:r w:rsidR="0015777B">
        <w:t xml:space="preserve">. </w:t>
      </w:r>
    </w:p>
    <w:p w14:paraId="4B98BA90" w14:textId="1DE2187A" w:rsidR="00143EBD" w:rsidRPr="00143EBD" w:rsidRDefault="00143EBD" w:rsidP="00143EBD">
      <w:pPr>
        <w:spacing w:after="160" w:line="259" w:lineRule="auto"/>
        <w:rPr>
          <w:szCs w:val="24"/>
        </w:rPr>
      </w:pPr>
      <w:r>
        <w:br w:type="page"/>
      </w:r>
    </w:p>
    <w:p w14:paraId="7DEC7705" w14:textId="54A9CF80" w:rsidR="00A95DB2" w:rsidRPr="00234D05" w:rsidRDefault="007C2C42" w:rsidP="007C2C42">
      <w:pPr>
        <w:pStyle w:val="Heading2"/>
        <w:rPr>
          <w:color w:val="FF0000"/>
        </w:rPr>
      </w:pPr>
      <w:bookmarkStart w:id="41" w:name="_Toc1191877971"/>
      <w:r>
        <w:lastRenderedPageBreak/>
        <w:t>HIV/HC</w:t>
      </w:r>
      <w:r w:rsidR="00F8731D">
        <w:t>V</w:t>
      </w:r>
      <w:r>
        <w:t xml:space="preserve"> – PERCENTAGE CO-INFECTED</w:t>
      </w:r>
      <w:bookmarkEnd w:id="41"/>
    </w:p>
    <w:p w14:paraId="69FED1CE" w14:textId="383C4E14" w:rsidR="007C2C42" w:rsidRPr="00447C80" w:rsidRDefault="007C2C42" w:rsidP="007C2C42">
      <w:r w:rsidRPr="533627D5">
        <w:rPr>
          <w:b/>
        </w:rPr>
        <w:t xml:space="preserve">Table 4. </w:t>
      </w:r>
      <w:r>
        <w:t>Percentage of 202</w:t>
      </w:r>
      <w:r w:rsidR="00241626">
        <w:t>3</w:t>
      </w:r>
      <w:r>
        <w:t xml:space="preserve"> HIV infection diagnoses ever co-infected with HCV by gender, race/ethnicity, age, and HIV exposure mode</w:t>
      </w:r>
    </w:p>
    <w:tbl>
      <w:tblPr>
        <w:tblStyle w:val="TableGrid"/>
        <w:tblW w:w="9560" w:type="dxa"/>
        <w:tblLook w:val="0420" w:firstRow="1" w:lastRow="0" w:firstColumn="0" w:lastColumn="0" w:noHBand="0" w:noVBand="1"/>
        <w:tblCaption w:val="Table 4. Percentage of 2022 HIV infection diagnoses ever co-infected with HCV by gender, race/ethnicity, age, and HIV exposure mode"/>
        <w:tblDescription w:val="The table displays the number of HIV diagnoses (N=527), the number of HIV/HCV co-infections (N=54) and the percentage of HIV cases co-infected with HCV by assigned sex at birth, race/ethnicity, age and HIV exposure mode.&#10;"/>
      </w:tblPr>
      <w:tblGrid>
        <w:gridCol w:w="2515"/>
        <w:gridCol w:w="2348"/>
        <w:gridCol w:w="2348"/>
        <w:gridCol w:w="2349"/>
      </w:tblGrid>
      <w:tr w:rsidR="00447C80" w:rsidRPr="00447C80" w14:paraId="0405798A" w14:textId="77777777" w:rsidTr="003B0BB0">
        <w:trPr>
          <w:trHeight w:val="360"/>
        </w:trPr>
        <w:tc>
          <w:tcPr>
            <w:tcW w:w="2515" w:type="dxa"/>
            <w:hideMark/>
          </w:tcPr>
          <w:p w14:paraId="2039121C" w14:textId="77777777" w:rsidR="007C2C42" w:rsidRPr="00447C80" w:rsidRDefault="007C2C42" w:rsidP="007C2C42">
            <w:pPr>
              <w:rPr>
                <w:rFonts w:cstheme="minorHAnsi"/>
              </w:rPr>
            </w:pPr>
          </w:p>
        </w:tc>
        <w:tc>
          <w:tcPr>
            <w:tcW w:w="2348" w:type="dxa"/>
            <w:hideMark/>
          </w:tcPr>
          <w:p w14:paraId="48788AEC" w14:textId="13493349" w:rsidR="007C2C42" w:rsidRPr="00447C80" w:rsidRDefault="5067CFA9" w:rsidP="38A4F72D">
            <w:pPr>
              <w:jc w:val="center"/>
              <w:rPr>
                <w:sz w:val="22"/>
              </w:rPr>
            </w:pPr>
            <w:r w:rsidRPr="00447C80">
              <w:rPr>
                <w:rFonts w:eastAsia="Calibri"/>
                <w:b/>
                <w:bCs/>
                <w:sz w:val="22"/>
              </w:rPr>
              <w:t xml:space="preserve"> HIV/HCV Co-infections</w:t>
            </w:r>
            <w:r w:rsidR="007C2C42" w:rsidRPr="00447C80">
              <w:rPr>
                <w:rStyle w:val="FootnoteReference"/>
                <w:sz w:val="22"/>
              </w:rPr>
              <w:footnoteReference w:id="94"/>
            </w:r>
          </w:p>
        </w:tc>
        <w:tc>
          <w:tcPr>
            <w:tcW w:w="2348" w:type="dxa"/>
            <w:hideMark/>
          </w:tcPr>
          <w:p w14:paraId="7DCA5468" w14:textId="4F675EFF" w:rsidR="007C2C42" w:rsidRPr="00447C80" w:rsidRDefault="1B91B182" w:rsidP="38A4F72D">
            <w:pPr>
              <w:jc w:val="center"/>
              <w:rPr>
                <w:rStyle w:val="FootnoteReference"/>
                <w:rFonts w:eastAsia="Calibri"/>
                <w:b/>
                <w:bCs/>
                <w:sz w:val="22"/>
              </w:rPr>
            </w:pPr>
            <w:r w:rsidRPr="00447C80">
              <w:rPr>
                <w:rFonts w:eastAsia="Calibri"/>
                <w:b/>
                <w:bCs/>
                <w:kern w:val="24"/>
                <w:sz w:val="22"/>
              </w:rPr>
              <w:t>HIV</w:t>
            </w:r>
            <w:r w:rsidR="34F960A4" w:rsidRPr="00447C80">
              <w:rPr>
                <w:rFonts w:eastAsia="Calibri"/>
                <w:b/>
                <w:bCs/>
                <w:kern w:val="24"/>
                <w:sz w:val="22"/>
              </w:rPr>
              <w:t xml:space="preserve"> Diagnoses</w:t>
            </w:r>
          </w:p>
        </w:tc>
        <w:tc>
          <w:tcPr>
            <w:tcW w:w="2349" w:type="dxa"/>
            <w:hideMark/>
          </w:tcPr>
          <w:p w14:paraId="79ADF098" w14:textId="77777777" w:rsidR="007C2C42" w:rsidRPr="00447C80" w:rsidRDefault="007C2C42" w:rsidP="007C2C42">
            <w:pPr>
              <w:pStyle w:val="NormalWeb"/>
              <w:spacing w:before="0" w:beforeAutospacing="0" w:after="0" w:afterAutospacing="0"/>
              <w:jc w:val="center"/>
              <w:rPr>
                <w:rFonts w:asciiTheme="minorHAnsi" w:hAnsiTheme="minorHAnsi" w:cstheme="minorHAnsi"/>
                <w:sz w:val="22"/>
                <w:szCs w:val="22"/>
              </w:rPr>
            </w:pPr>
            <w:r w:rsidRPr="00447C80">
              <w:rPr>
                <w:rFonts w:asciiTheme="minorHAnsi" w:hAnsiTheme="minorHAnsi" w:cstheme="minorHAnsi"/>
                <w:b/>
                <w:bCs/>
                <w:kern w:val="24"/>
                <w:sz w:val="22"/>
                <w:szCs w:val="22"/>
              </w:rPr>
              <w:t xml:space="preserve">% of HIV Diagnoses </w:t>
            </w:r>
          </w:p>
          <w:p w14:paraId="561523A6" w14:textId="20F3FEB1" w:rsidR="007C2C42" w:rsidRPr="00447C80" w:rsidRDefault="63DD4F2F" w:rsidP="034544F5">
            <w:pPr>
              <w:jc w:val="center"/>
              <w:rPr>
                <w:sz w:val="22"/>
              </w:rPr>
            </w:pPr>
            <w:r w:rsidRPr="00447C80">
              <w:rPr>
                <w:b/>
                <w:bCs/>
                <w:kern w:val="24"/>
                <w:sz w:val="22"/>
              </w:rPr>
              <w:t>Co-infected with HCV</w:t>
            </w:r>
          </w:p>
        </w:tc>
      </w:tr>
      <w:tr w:rsidR="00241626" w:rsidRPr="00447C80" w14:paraId="3EF94F7B" w14:textId="77777777" w:rsidTr="00CC06F2">
        <w:trPr>
          <w:trHeight w:val="20"/>
        </w:trPr>
        <w:tc>
          <w:tcPr>
            <w:tcW w:w="2515" w:type="dxa"/>
            <w:hideMark/>
          </w:tcPr>
          <w:p w14:paraId="33A3D22A" w14:textId="4BFA88E2" w:rsidR="00241626" w:rsidRPr="00447C80" w:rsidRDefault="00241626" w:rsidP="00241626">
            <w:pPr>
              <w:rPr>
                <w:b/>
                <w:bCs/>
                <w:sz w:val="22"/>
              </w:rPr>
            </w:pPr>
            <w:r w:rsidRPr="00447C80">
              <w:rPr>
                <w:b/>
                <w:bCs/>
                <w:sz w:val="22"/>
              </w:rPr>
              <w:t>Total</w:t>
            </w:r>
          </w:p>
        </w:tc>
        <w:tc>
          <w:tcPr>
            <w:tcW w:w="2348" w:type="dxa"/>
            <w:vAlign w:val="bottom"/>
            <w:hideMark/>
          </w:tcPr>
          <w:p w14:paraId="068566D3" w14:textId="52D38D09" w:rsidR="00241626" w:rsidRPr="00241626" w:rsidRDefault="00241626" w:rsidP="00241626">
            <w:pPr>
              <w:jc w:val="center"/>
              <w:rPr>
                <w:rFonts w:cstheme="minorHAnsi"/>
                <w:sz w:val="22"/>
              </w:rPr>
            </w:pPr>
            <w:r w:rsidRPr="00241626">
              <w:rPr>
                <w:rFonts w:cstheme="minorHAnsi"/>
                <w:b/>
                <w:bCs/>
                <w:color w:val="000000"/>
                <w:kern w:val="24"/>
                <w:sz w:val="22"/>
              </w:rPr>
              <w:t>42</w:t>
            </w:r>
          </w:p>
        </w:tc>
        <w:tc>
          <w:tcPr>
            <w:tcW w:w="2348" w:type="dxa"/>
            <w:vAlign w:val="bottom"/>
            <w:hideMark/>
          </w:tcPr>
          <w:p w14:paraId="0F40E03B" w14:textId="74F5A03B" w:rsidR="00241626" w:rsidRPr="00241626" w:rsidRDefault="00241626" w:rsidP="00241626">
            <w:pPr>
              <w:jc w:val="center"/>
              <w:rPr>
                <w:rFonts w:cstheme="minorHAnsi"/>
                <w:sz w:val="22"/>
              </w:rPr>
            </w:pPr>
            <w:r w:rsidRPr="00241626">
              <w:rPr>
                <w:rFonts w:cstheme="minorHAnsi"/>
                <w:b/>
                <w:bCs/>
                <w:color w:val="000000"/>
                <w:kern w:val="24"/>
                <w:sz w:val="22"/>
              </w:rPr>
              <w:t>540</w:t>
            </w:r>
          </w:p>
        </w:tc>
        <w:tc>
          <w:tcPr>
            <w:tcW w:w="2349" w:type="dxa"/>
            <w:vAlign w:val="bottom"/>
            <w:hideMark/>
          </w:tcPr>
          <w:p w14:paraId="53E1503B" w14:textId="380247B0" w:rsidR="00241626" w:rsidRPr="00241626" w:rsidRDefault="00241626" w:rsidP="00241626">
            <w:pPr>
              <w:jc w:val="center"/>
              <w:rPr>
                <w:rFonts w:cstheme="minorHAnsi"/>
                <w:sz w:val="22"/>
              </w:rPr>
            </w:pPr>
            <w:r w:rsidRPr="00241626">
              <w:rPr>
                <w:rFonts w:cstheme="minorHAnsi"/>
                <w:b/>
                <w:bCs/>
                <w:color w:val="000000"/>
                <w:kern w:val="24"/>
                <w:sz w:val="22"/>
              </w:rPr>
              <w:t>8%</w:t>
            </w:r>
          </w:p>
        </w:tc>
      </w:tr>
      <w:tr w:rsidR="00241626" w:rsidRPr="00447C80" w14:paraId="0E6025C9" w14:textId="77777777" w:rsidTr="00CC06F2">
        <w:trPr>
          <w:trHeight w:val="20"/>
        </w:trPr>
        <w:tc>
          <w:tcPr>
            <w:tcW w:w="2515" w:type="dxa"/>
            <w:hideMark/>
          </w:tcPr>
          <w:p w14:paraId="61145BA1" w14:textId="1A3C19A1" w:rsidR="00241626" w:rsidRPr="00447C80" w:rsidRDefault="00241626" w:rsidP="00241626">
            <w:pPr>
              <w:rPr>
                <w:rFonts w:cstheme="minorHAnsi"/>
                <w:sz w:val="22"/>
              </w:rPr>
            </w:pPr>
            <w:r w:rsidRPr="00447C80">
              <w:rPr>
                <w:rFonts w:cstheme="minorHAnsi"/>
                <w:b/>
                <w:bCs/>
                <w:kern w:val="24"/>
                <w:sz w:val="22"/>
              </w:rPr>
              <w:t>Assigned Sex at Birth:</w:t>
            </w:r>
          </w:p>
        </w:tc>
        <w:tc>
          <w:tcPr>
            <w:tcW w:w="2348" w:type="dxa"/>
            <w:vAlign w:val="bottom"/>
            <w:hideMark/>
          </w:tcPr>
          <w:p w14:paraId="650C07AD" w14:textId="77777777" w:rsidR="00241626" w:rsidRPr="00241626" w:rsidRDefault="00241626" w:rsidP="00241626">
            <w:pPr>
              <w:jc w:val="center"/>
              <w:rPr>
                <w:rFonts w:cstheme="minorHAnsi"/>
                <w:sz w:val="22"/>
              </w:rPr>
            </w:pPr>
          </w:p>
        </w:tc>
        <w:tc>
          <w:tcPr>
            <w:tcW w:w="2348" w:type="dxa"/>
            <w:vAlign w:val="bottom"/>
            <w:hideMark/>
          </w:tcPr>
          <w:p w14:paraId="198F7009" w14:textId="77777777" w:rsidR="00241626" w:rsidRPr="00241626" w:rsidRDefault="00241626" w:rsidP="00241626">
            <w:pPr>
              <w:jc w:val="center"/>
              <w:rPr>
                <w:rFonts w:cstheme="minorHAnsi"/>
                <w:sz w:val="22"/>
              </w:rPr>
            </w:pPr>
          </w:p>
        </w:tc>
        <w:tc>
          <w:tcPr>
            <w:tcW w:w="2349" w:type="dxa"/>
            <w:vAlign w:val="bottom"/>
            <w:hideMark/>
          </w:tcPr>
          <w:p w14:paraId="2EC9CA3C" w14:textId="77777777" w:rsidR="00241626" w:rsidRPr="00241626" w:rsidRDefault="00241626" w:rsidP="00241626">
            <w:pPr>
              <w:jc w:val="center"/>
              <w:rPr>
                <w:rFonts w:cstheme="minorHAnsi"/>
                <w:sz w:val="22"/>
              </w:rPr>
            </w:pPr>
          </w:p>
        </w:tc>
      </w:tr>
      <w:tr w:rsidR="00241626" w:rsidRPr="00447C80" w14:paraId="74B3C2B3" w14:textId="77777777" w:rsidTr="06A3C928">
        <w:trPr>
          <w:trHeight w:val="20"/>
        </w:trPr>
        <w:tc>
          <w:tcPr>
            <w:tcW w:w="2515" w:type="dxa"/>
            <w:hideMark/>
          </w:tcPr>
          <w:p w14:paraId="19963629" w14:textId="0E04B7D8" w:rsidR="00241626" w:rsidRPr="00447C80" w:rsidRDefault="00241626" w:rsidP="00241626">
            <w:pPr>
              <w:rPr>
                <w:rFonts w:cstheme="minorHAnsi"/>
                <w:sz w:val="22"/>
              </w:rPr>
            </w:pPr>
            <w:r w:rsidRPr="00447C80">
              <w:rPr>
                <w:rFonts w:cstheme="minorHAnsi"/>
                <w:kern w:val="24"/>
                <w:sz w:val="22"/>
              </w:rPr>
              <w:t>Male</w:t>
            </w:r>
          </w:p>
        </w:tc>
        <w:tc>
          <w:tcPr>
            <w:tcW w:w="2348" w:type="dxa"/>
            <w:vAlign w:val="bottom"/>
            <w:hideMark/>
          </w:tcPr>
          <w:p w14:paraId="14387BC7" w14:textId="6DA4A5FC" w:rsidR="00241626" w:rsidRPr="00241626" w:rsidRDefault="00241626" w:rsidP="00241626">
            <w:pPr>
              <w:jc w:val="center"/>
              <w:rPr>
                <w:rFonts w:eastAsia="Calibri" w:cstheme="minorHAnsi"/>
                <w:sz w:val="22"/>
              </w:rPr>
            </w:pPr>
            <w:r w:rsidRPr="00241626">
              <w:rPr>
                <w:rFonts w:cstheme="minorHAnsi"/>
                <w:color w:val="000000"/>
                <w:kern w:val="24"/>
                <w:sz w:val="22"/>
              </w:rPr>
              <w:t>32</w:t>
            </w:r>
          </w:p>
        </w:tc>
        <w:tc>
          <w:tcPr>
            <w:tcW w:w="2348" w:type="dxa"/>
            <w:vAlign w:val="bottom"/>
            <w:hideMark/>
          </w:tcPr>
          <w:p w14:paraId="36367313" w14:textId="44F657AC" w:rsidR="00241626" w:rsidRPr="00241626" w:rsidRDefault="00241626" w:rsidP="00241626">
            <w:pPr>
              <w:jc w:val="center"/>
              <w:rPr>
                <w:rFonts w:eastAsia="Calibri" w:cstheme="minorHAnsi"/>
                <w:sz w:val="22"/>
              </w:rPr>
            </w:pPr>
            <w:r w:rsidRPr="00241626">
              <w:rPr>
                <w:rFonts w:cstheme="minorHAnsi"/>
                <w:color w:val="000000"/>
                <w:kern w:val="24"/>
                <w:sz w:val="22"/>
              </w:rPr>
              <w:t>397</w:t>
            </w:r>
          </w:p>
        </w:tc>
        <w:tc>
          <w:tcPr>
            <w:tcW w:w="2349" w:type="dxa"/>
            <w:vAlign w:val="bottom"/>
            <w:hideMark/>
          </w:tcPr>
          <w:p w14:paraId="057500FE" w14:textId="1FCBD93C" w:rsidR="00241626" w:rsidRPr="00241626" w:rsidRDefault="00241626" w:rsidP="00241626">
            <w:pPr>
              <w:jc w:val="center"/>
              <w:rPr>
                <w:rFonts w:cstheme="minorHAnsi"/>
                <w:sz w:val="22"/>
              </w:rPr>
            </w:pPr>
            <w:r w:rsidRPr="00241626">
              <w:rPr>
                <w:rFonts w:cstheme="minorHAnsi"/>
                <w:color w:val="000000"/>
                <w:kern w:val="24"/>
                <w:sz w:val="22"/>
              </w:rPr>
              <w:t>8%</w:t>
            </w:r>
          </w:p>
        </w:tc>
      </w:tr>
      <w:tr w:rsidR="00241626" w:rsidRPr="00447C80" w14:paraId="427744CE" w14:textId="77777777" w:rsidTr="06A3C928">
        <w:trPr>
          <w:trHeight w:val="20"/>
        </w:trPr>
        <w:tc>
          <w:tcPr>
            <w:tcW w:w="2515" w:type="dxa"/>
            <w:hideMark/>
          </w:tcPr>
          <w:p w14:paraId="2F41303C" w14:textId="33043925" w:rsidR="00241626" w:rsidRPr="00447C80" w:rsidRDefault="00241626" w:rsidP="00241626">
            <w:pPr>
              <w:rPr>
                <w:rFonts w:cstheme="minorHAnsi"/>
                <w:sz w:val="22"/>
              </w:rPr>
            </w:pPr>
            <w:r w:rsidRPr="00447C80">
              <w:rPr>
                <w:rFonts w:cstheme="minorHAnsi"/>
                <w:kern w:val="24"/>
                <w:sz w:val="22"/>
              </w:rPr>
              <w:t>Female</w:t>
            </w:r>
          </w:p>
        </w:tc>
        <w:tc>
          <w:tcPr>
            <w:tcW w:w="2348" w:type="dxa"/>
            <w:vAlign w:val="bottom"/>
            <w:hideMark/>
          </w:tcPr>
          <w:p w14:paraId="63DEA0EF" w14:textId="0755DF0C" w:rsidR="00241626" w:rsidRPr="00241626" w:rsidRDefault="00241626" w:rsidP="00241626">
            <w:pPr>
              <w:jc w:val="center"/>
              <w:rPr>
                <w:rFonts w:eastAsia="Calibri" w:cstheme="minorHAnsi"/>
                <w:sz w:val="22"/>
              </w:rPr>
            </w:pPr>
            <w:r w:rsidRPr="00241626">
              <w:rPr>
                <w:rFonts w:cstheme="minorHAnsi"/>
                <w:color w:val="000000"/>
                <w:kern w:val="24"/>
                <w:sz w:val="22"/>
              </w:rPr>
              <w:t>10</w:t>
            </w:r>
          </w:p>
        </w:tc>
        <w:tc>
          <w:tcPr>
            <w:tcW w:w="2348" w:type="dxa"/>
            <w:vAlign w:val="bottom"/>
            <w:hideMark/>
          </w:tcPr>
          <w:p w14:paraId="7D0F2D14" w14:textId="1D0CD7EE" w:rsidR="00241626" w:rsidRPr="00241626" w:rsidRDefault="00241626" w:rsidP="00241626">
            <w:pPr>
              <w:jc w:val="center"/>
              <w:rPr>
                <w:rFonts w:eastAsia="Calibri" w:cstheme="minorHAnsi"/>
                <w:sz w:val="22"/>
              </w:rPr>
            </w:pPr>
            <w:r w:rsidRPr="00241626">
              <w:rPr>
                <w:rFonts w:cstheme="minorHAnsi"/>
                <w:color w:val="000000"/>
                <w:kern w:val="24"/>
                <w:sz w:val="22"/>
              </w:rPr>
              <w:t>143</w:t>
            </w:r>
          </w:p>
        </w:tc>
        <w:tc>
          <w:tcPr>
            <w:tcW w:w="2349" w:type="dxa"/>
            <w:vAlign w:val="bottom"/>
            <w:hideMark/>
          </w:tcPr>
          <w:p w14:paraId="360D976F" w14:textId="5C6EC036" w:rsidR="00241626" w:rsidRPr="00241626" w:rsidRDefault="00241626" w:rsidP="00241626">
            <w:pPr>
              <w:jc w:val="center"/>
              <w:rPr>
                <w:rFonts w:cstheme="minorHAnsi"/>
                <w:sz w:val="22"/>
              </w:rPr>
            </w:pPr>
            <w:r w:rsidRPr="00241626">
              <w:rPr>
                <w:rFonts w:cstheme="minorHAnsi"/>
                <w:color w:val="000000"/>
                <w:kern w:val="24"/>
                <w:sz w:val="22"/>
              </w:rPr>
              <w:t>7%</w:t>
            </w:r>
          </w:p>
        </w:tc>
      </w:tr>
      <w:tr w:rsidR="00241626" w:rsidRPr="00447C80" w14:paraId="288B56AF" w14:textId="77777777" w:rsidTr="06A3C928">
        <w:trPr>
          <w:trHeight w:val="20"/>
        </w:trPr>
        <w:tc>
          <w:tcPr>
            <w:tcW w:w="2515" w:type="dxa"/>
            <w:hideMark/>
          </w:tcPr>
          <w:p w14:paraId="7497779D" w14:textId="480BD25A" w:rsidR="00241626" w:rsidRPr="00447C80" w:rsidRDefault="00241626" w:rsidP="00241626">
            <w:pPr>
              <w:rPr>
                <w:sz w:val="22"/>
              </w:rPr>
            </w:pPr>
            <w:r w:rsidRPr="533627D5">
              <w:rPr>
                <w:b/>
                <w:sz w:val="22"/>
              </w:rPr>
              <w:t>Race/Ethnicity</w:t>
            </w:r>
            <w:r w:rsidRPr="533627D5">
              <w:rPr>
                <w:b/>
                <w:kern w:val="24"/>
                <w:sz w:val="22"/>
              </w:rPr>
              <w:t>:</w:t>
            </w:r>
          </w:p>
        </w:tc>
        <w:tc>
          <w:tcPr>
            <w:tcW w:w="2348" w:type="dxa"/>
            <w:vAlign w:val="bottom"/>
            <w:hideMark/>
          </w:tcPr>
          <w:p w14:paraId="4CA2944C" w14:textId="3625C7ED" w:rsidR="00241626" w:rsidRPr="00241626" w:rsidRDefault="00241626" w:rsidP="00241626">
            <w:pPr>
              <w:rPr>
                <w:rFonts w:cstheme="minorHAnsi"/>
                <w:sz w:val="22"/>
              </w:rPr>
            </w:pPr>
          </w:p>
        </w:tc>
        <w:tc>
          <w:tcPr>
            <w:tcW w:w="2348" w:type="dxa"/>
            <w:vAlign w:val="bottom"/>
            <w:hideMark/>
          </w:tcPr>
          <w:p w14:paraId="76149952" w14:textId="78260F93" w:rsidR="00241626" w:rsidRPr="00241626" w:rsidRDefault="00241626" w:rsidP="00241626">
            <w:pPr>
              <w:rPr>
                <w:rFonts w:cstheme="minorHAnsi"/>
                <w:sz w:val="22"/>
              </w:rPr>
            </w:pPr>
          </w:p>
        </w:tc>
        <w:tc>
          <w:tcPr>
            <w:tcW w:w="2349" w:type="dxa"/>
            <w:vAlign w:val="bottom"/>
            <w:hideMark/>
          </w:tcPr>
          <w:p w14:paraId="7A2640A8" w14:textId="0382C1EF" w:rsidR="00241626" w:rsidRPr="00241626" w:rsidRDefault="00241626" w:rsidP="00241626">
            <w:pPr>
              <w:jc w:val="center"/>
              <w:rPr>
                <w:rFonts w:cstheme="minorHAnsi"/>
                <w:sz w:val="22"/>
              </w:rPr>
            </w:pPr>
          </w:p>
        </w:tc>
      </w:tr>
      <w:tr w:rsidR="00241626" w:rsidRPr="00447C80" w14:paraId="32752974" w14:textId="77777777" w:rsidTr="06A3C928">
        <w:trPr>
          <w:trHeight w:val="20"/>
        </w:trPr>
        <w:tc>
          <w:tcPr>
            <w:tcW w:w="2515" w:type="dxa"/>
            <w:hideMark/>
          </w:tcPr>
          <w:p w14:paraId="04892F8D" w14:textId="7D648E5C" w:rsidR="00241626" w:rsidRPr="00447C80" w:rsidRDefault="00241626" w:rsidP="00241626">
            <w:pPr>
              <w:rPr>
                <w:rFonts w:cstheme="minorHAnsi"/>
                <w:sz w:val="22"/>
              </w:rPr>
            </w:pPr>
            <w:r w:rsidRPr="00447C80">
              <w:rPr>
                <w:rFonts w:cstheme="minorHAnsi"/>
                <w:kern w:val="24"/>
                <w:sz w:val="22"/>
              </w:rPr>
              <w:t>White NH</w:t>
            </w:r>
          </w:p>
        </w:tc>
        <w:tc>
          <w:tcPr>
            <w:tcW w:w="2348" w:type="dxa"/>
            <w:vAlign w:val="bottom"/>
            <w:hideMark/>
          </w:tcPr>
          <w:p w14:paraId="22EEDC6B" w14:textId="26CCA94E" w:rsidR="00241626" w:rsidRPr="00241626" w:rsidRDefault="00241626" w:rsidP="00241626">
            <w:pPr>
              <w:jc w:val="center"/>
              <w:rPr>
                <w:rFonts w:eastAsia="Calibri" w:cstheme="minorHAnsi"/>
                <w:sz w:val="22"/>
              </w:rPr>
            </w:pPr>
            <w:r w:rsidRPr="00241626">
              <w:rPr>
                <w:rFonts w:cstheme="minorHAnsi"/>
                <w:color w:val="000000"/>
                <w:kern w:val="24"/>
                <w:sz w:val="22"/>
              </w:rPr>
              <w:t>24</w:t>
            </w:r>
          </w:p>
        </w:tc>
        <w:tc>
          <w:tcPr>
            <w:tcW w:w="2348" w:type="dxa"/>
            <w:vAlign w:val="bottom"/>
            <w:hideMark/>
          </w:tcPr>
          <w:p w14:paraId="03294214" w14:textId="392F79BA" w:rsidR="00241626" w:rsidRPr="00241626" w:rsidRDefault="00241626" w:rsidP="00241626">
            <w:pPr>
              <w:jc w:val="center"/>
              <w:rPr>
                <w:rFonts w:eastAsia="Calibri" w:cstheme="minorHAnsi"/>
                <w:sz w:val="22"/>
              </w:rPr>
            </w:pPr>
            <w:r w:rsidRPr="00241626">
              <w:rPr>
                <w:rFonts w:cstheme="minorHAnsi"/>
                <w:color w:val="000000"/>
                <w:kern w:val="24"/>
                <w:sz w:val="22"/>
              </w:rPr>
              <w:t>145</w:t>
            </w:r>
          </w:p>
        </w:tc>
        <w:tc>
          <w:tcPr>
            <w:tcW w:w="2349" w:type="dxa"/>
            <w:vAlign w:val="bottom"/>
            <w:hideMark/>
          </w:tcPr>
          <w:p w14:paraId="74170704" w14:textId="3AAE89B6" w:rsidR="00241626" w:rsidRPr="00241626" w:rsidRDefault="00241626" w:rsidP="00241626">
            <w:pPr>
              <w:jc w:val="center"/>
              <w:rPr>
                <w:rFonts w:cstheme="minorHAnsi"/>
                <w:sz w:val="22"/>
              </w:rPr>
            </w:pPr>
            <w:r w:rsidRPr="00241626">
              <w:rPr>
                <w:rFonts w:cstheme="minorHAnsi"/>
                <w:color w:val="000000"/>
                <w:kern w:val="24"/>
                <w:sz w:val="22"/>
              </w:rPr>
              <w:t>17%</w:t>
            </w:r>
          </w:p>
        </w:tc>
      </w:tr>
      <w:tr w:rsidR="00241626" w:rsidRPr="00447C80" w14:paraId="4D1BD5EB" w14:textId="77777777" w:rsidTr="06A3C928">
        <w:trPr>
          <w:trHeight w:val="20"/>
        </w:trPr>
        <w:tc>
          <w:tcPr>
            <w:tcW w:w="2515" w:type="dxa"/>
            <w:hideMark/>
          </w:tcPr>
          <w:p w14:paraId="53C40A80" w14:textId="0D1E15E1" w:rsidR="00241626" w:rsidRPr="00447C80" w:rsidRDefault="00241626" w:rsidP="00241626">
            <w:pPr>
              <w:rPr>
                <w:rFonts w:cstheme="minorHAnsi"/>
                <w:sz w:val="22"/>
              </w:rPr>
            </w:pPr>
            <w:r w:rsidRPr="00447C80">
              <w:rPr>
                <w:rFonts w:cstheme="minorHAnsi"/>
                <w:kern w:val="24"/>
                <w:sz w:val="22"/>
              </w:rPr>
              <w:t>Black NH</w:t>
            </w:r>
          </w:p>
        </w:tc>
        <w:tc>
          <w:tcPr>
            <w:tcW w:w="2348" w:type="dxa"/>
            <w:vAlign w:val="bottom"/>
            <w:hideMark/>
          </w:tcPr>
          <w:p w14:paraId="676A33BE" w14:textId="0F79C01D" w:rsidR="00241626" w:rsidRPr="00241626" w:rsidRDefault="00241626" w:rsidP="00241626">
            <w:pPr>
              <w:jc w:val="center"/>
              <w:rPr>
                <w:rFonts w:eastAsia="Calibri" w:cstheme="minorHAnsi"/>
                <w:sz w:val="22"/>
              </w:rPr>
            </w:pPr>
            <w:r w:rsidRPr="00241626">
              <w:rPr>
                <w:rFonts w:cstheme="minorHAnsi"/>
                <w:color w:val="000000"/>
                <w:kern w:val="24"/>
                <w:sz w:val="22"/>
              </w:rPr>
              <w:t>4</w:t>
            </w:r>
          </w:p>
        </w:tc>
        <w:tc>
          <w:tcPr>
            <w:tcW w:w="2348" w:type="dxa"/>
            <w:vAlign w:val="bottom"/>
            <w:hideMark/>
          </w:tcPr>
          <w:p w14:paraId="36680698" w14:textId="43CB44D4" w:rsidR="00241626" w:rsidRPr="00241626" w:rsidRDefault="00241626" w:rsidP="00241626">
            <w:pPr>
              <w:jc w:val="center"/>
              <w:rPr>
                <w:rFonts w:eastAsia="Calibri" w:cstheme="minorHAnsi"/>
                <w:sz w:val="22"/>
              </w:rPr>
            </w:pPr>
            <w:r w:rsidRPr="00241626">
              <w:rPr>
                <w:rFonts w:cstheme="minorHAnsi"/>
                <w:color w:val="000000"/>
                <w:kern w:val="24"/>
                <w:sz w:val="22"/>
              </w:rPr>
              <w:t>200</w:t>
            </w:r>
          </w:p>
        </w:tc>
        <w:tc>
          <w:tcPr>
            <w:tcW w:w="2349" w:type="dxa"/>
            <w:vAlign w:val="bottom"/>
            <w:hideMark/>
          </w:tcPr>
          <w:p w14:paraId="4838FBAC" w14:textId="20673B75" w:rsidR="00241626" w:rsidRPr="00241626" w:rsidRDefault="00241626" w:rsidP="00241626">
            <w:pPr>
              <w:jc w:val="center"/>
              <w:rPr>
                <w:rFonts w:eastAsia="Calibri" w:cstheme="minorHAnsi"/>
                <w:sz w:val="22"/>
              </w:rPr>
            </w:pPr>
            <w:r w:rsidRPr="00241626">
              <w:rPr>
                <w:rFonts w:cstheme="minorHAnsi"/>
                <w:color w:val="000000"/>
                <w:kern w:val="24"/>
                <w:sz w:val="22"/>
              </w:rPr>
              <w:t>2%</w:t>
            </w:r>
          </w:p>
        </w:tc>
      </w:tr>
      <w:tr w:rsidR="00241626" w:rsidRPr="00447C80" w14:paraId="0CECD8B1" w14:textId="77777777" w:rsidTr="06A3C928">
        <w:trPr>
          <w:trHeight w:val="20"/>
        </w:trPr>
        <w:tc>
          <w:tcPr>
            <w:tcW w:w="2515" w:type="dxa"/>
            <w:hideMark/>
          </w:tcPr>
          <w:p w14:paraId="3FEA6972" w14:textId="0A24A07A" w:rsidR="00241626" w:rsidRPr="00447C80" w:rsidRDefault="00241626" w:rsidP="00241626">
            <w:pPr>
              <w:rPr>
                <w:rFonts w:cstheme="minorHAnsi"/>
                <w:sz w:val="22"/>
              </w:rPr>
            </w:pPr>
            <w:r w:rsidRPr="00447C80">
              <w:rPr>
                <w:rFonts w:cstheme="minorHAnsi"/>
                <w:kern w:val="24"/>
                <w:sz w:val="22"/>
              </w:rPr>
              <w:t>Hispanic/Latino</w:t>
            </w:r>
          </w:p>
        </w:tc>
        <w:tc>
          <w:tcPr>
            <w:tcW w:w="2348" w:type="dxa"/>
            <w:vAlign w:val="bottom"/>
            <w:hideMark/>
          </w:tcPr>
          <w:p w14:paraId="117404B1" w14:textId="232C7B93" w:rsidR="00241626" w:rsidRPr="00241626" w:rsidRDefault="00241626" w:rsidP="00241626">
            <w:pPr>
              <w:jc w:val="center"/>
              <w:rPr>
                <w:rFonts w:eastAsia="Calibri" w:cstheme="minorHAnsi"/>
                <w:sz w:val="22"/>
              </w:rPr>
            </w:pPr>
            <w:r w:rsidRPr="00241626">
              <w:rPr>
                <w:rFonts w:cstheme="minorHAnsi"/>
                <w:color w:val="000000"/>
                <w:kern w:val="24"/>
                <w:sz w:val="22"/>
              </w:rPr>
              <w:t>11</w:t>
            </w:r>
          </w:p>
        </w:tc>
        <w:tc>
          <w:tcPr>
            <w:tcW w:w="2348" w:type="dxa"/>
            <w:vAlign w:val="bottom"/>
            <w:hideMark/>
          </w:tcPr>
          <w:p w14:paraId="0128D87F" w14:textId="5C56BE0A" w:rsidR="00241626" w:rsidRPr="00241626" w:rsidRDefault="00241626" w:rsidP="00241626">
            <w:pPr>
              <w:jc w:val="center"/>
              <w:rPr>
                <w:rFonts w:eastAsia="Calibri" w:cstheme="minorHAnsi"/>
                <w:sz w:val="22"/>
              </w:rPr>
            </w:pPr>
            <w:r w:rsidRPr="00241626">
              <w:rPr>
                <w:rFonts w:cstheme="minorHAnsi"/>
                <w:color w:val="000000"/>
                <w:kern w:val="24"/>
                <w:sz w:val="22"/>
              </w:rPr>
              <w:t>171</w:t>
            </w:r>
          </w:p>
        </w:tc>
        <w:tc>
          <w:tcPr>
            <w:tcW w:w="2349" w:type="dxa"/>
            <w:vAlign w:val="bottom"/>
            <w:hideMark/>
          </w:tcPr>
          <w:p w14:paraId="679CFEEE" w14:textId="619840D4" w:rsidR="00241626" w:rsidRPr="00241626" w:rsidRDefault="00241626" w:rsidP="00241626">
            <w:pPr>
              <w:jc w:val="center"/>
              <w:rPr>
                <w:rFonts w:cstheme="minorHAnsi"/>
                <w:sz w:val="22"/>
              </w:rPr>
            </w:pPr>
            <w:r w:rsidRPr="00241626">
              <w:rPr>
                <w:rFonts w:cstheme="minorHAnsi"/>
                <w:color w:val="000000"/>
                <w:kern w:val="24"/>
                <w:sz w:val="22"/>
              </w:rPr>
              <w:t>6%</w:t>
            </w:r>
          </w:p>
        </w:tc>
      </w:tr>
      <w:tr w:rsidR="00241626" w:rsidRPr="00447C80" w14:paraId="01754218" w14:textId="77777777" w:rsidTr="06A3C928">
        <w:trPr>
          <w:trHeight w:val="20"/>
        </w:trPr>
        <w:tc>
          <w:tcPr>
            <w:tcW w:w="2515" w:type="dxa"/>
            <w:hideMark/>
          </w:tcPr>
          <w:p w14:paraId="7541A4D0" w14:textId="737F9BD0" w:rsidR="00241626" w:rsidRPr="00447C80" w:rsidRDefault="00241626" w:rsidP="00241626">
            <w:pPr>
              <w:rPr>
                <w:sz w:val="22"/>
              </w:rPr>
            </w:pPr>
            <w:r w:rsidRPr="00447C80">
              <w:rPr>
                <w:kern w:val="24"/>
                <w:sz w:val="22"/>
              </w:rPr>
              <w:t>Asian/Pacific Islander NH</w:t>
            </w:r>
          </w:p>
        </w:tc>
        <w:tc>
          <w:tcPr>
            <w:tcW w:w="2348" w:type="dxa"/>
            <w:vAlign w:val="bottom"/>
            <w:hideMark/>
          </w:tcPr>
          <w:p w14:paraId="13EF35BE" w14:textId="635BF550" w:rsidR="00241626" w:rsidRPr="00241626" w:rsidRDefault="00241626" w:rsidP="00241626">
            <w:pPr>
              <w:jc w:val="center"/>
              <w:rPr>
                <w:rFonts w:eastAsia="Calibri" w:cstheme="minorHAnsi"/>
                <w:sz w:val="22"/>
              </w:rPr>
            </w:pPr>
            <w:r w:rsidRPr="00241626">
              <w:rPr>
                <w:rFonts w:cstheme="minorHAnsi"/>
                <w:color w:val="000000"/>
                <w:kern w:val="24"/>
                <w:sz w:val="22"/>
              </w:rPr>
              <w:t>1</w:t>
            </w:r>
          </w:p>
        </w:tc>
        <w:tc>
          <w:tcPr>
            <w:tcW w:w="2348" w:type="dxa"/>
            <w:vAlign w:val="bottom"/>
            <w:hideMark/>
          </w:tcPr>
          <w:p w14:paraId="2BA7A00C" w14:textId="579CED1A" w:rsidR="00241626" w:rsidRPr="00241626" w:rsidRDefault="00241626" w:rsidP="00241626">
            <w:pPr>
              <w:jc w:val="center"/>
              <w:rPr>
                <w:rFonts w:eastAsia="Calibri" w:cstheme="minorHAnsi"/>
                <w:sz w:val="22"/>
              </w:rPr>
            </w:pPr>
            <w:r w:rsidRPr="00241626">
              <w:rPr>
                <w:rFonts w:cstheme="minorHAnsi"/>
                <w:color w:val="000000"/>
                <w:kern w:val="24"/>
                <w:sz w:val="22"/>
              </w:rPr>
              <w:t>14</w:t>
            </w:r>
          </w:p>
        </w:tc>
        <w:tc>
          <w:tcPr>
            <w:tcW w:w="2349" w:type="dxa"/>
            <w:vAlign w:val="bottom"/>
            <w:hideMark/>
          </w:tcPr>
          <w:p w14:paraId="13CED95B" w14:textId="67905957" w:rsidR="00241626" w:rsidRPr="00241626" w:rsidRDefault="00241626" w:rsidP="00241626">
            <w:pPr>
              <w:jc w:val="center"/>
              <w:rPr>
                <w:rFonts w:cstheme="minorHAnsi"/>
                <w:sz w:val="22"/>
              </w:rPr>
            </w:pPr>
            <w:r w:rsidRPr="00241626">
              <w:rPr>
                <w:rFonts w:cstheme="minorHAnsi"/>
                <w:color w:val="000000"/>
                <w:kern w:val="24"/>
                <w:sz w:val="22"/>
              </w:rPr>
              <w:t>7%</w:t>
            </w:r>
          </w:p>
        </w:tc>
      </w:tr>
      <w:tr w:rsidR="00241626" w:rsidRPr="00447C80" w14:paraId="626277D3" w14:textId="77777777" w:rsidTr="06A3C928">
        <w:trPr>
          <w:trHeight w:val="20"/>
        </w:trPr>
        <w:tc>
          <w:tcPr>
            <w:tcW w:w="2515" w:type="dxa"/>
            <w:hideMark/>
          </w:tcPr>
          <w:p w14:paraId="0A753185" w14:textId="51CD82E4" w:rsidR="00241626" w:rsidRPr="00447C80" w:rsidRDefault="00241626" w:rsidP="00241626">
            <w:pPr>
              <w:rPr>
                <w:sz w:val="22"/>
              </w:rPr>
            </w:pPr>
            <w:r w:rsidRPr="00447C80">
              <w:rPr>
                <w:kern w:val="24"/>
                <w:sz w:val="22"/>
              </w:rPr>
              <w:t>Other NH/Unknown</w:t>
            </w:r>
          </w:p>
        </w:tc>
        <w:tc>
          <w:tcPr>
            <w:tcW w:w="2348" w:type="dxa"/>
            <w:vAlign w:val="bottom"/>
            <w:hideMark/>
          </w:tcPr>
          <w:p w14:paraId="473337DB" w14:textId="184D1088" w:rsidR="00241626" w:rsidRPr="00241626" w:rsidRDefault="00241626" w:rsidP="00241626">
            <w:pPr>
              <w:jc w:val="center"/>
              <w:rPr>
                <w:rFonts w:eastAsia="Calibri" w:cstheme="minorHAnsi"/>
                <w:sz w:val="22"/>
              </w:rPr>
            </w:pPr>
            <w:r w:rsidRPr="00241626">
              <w:rPr>
                <w:rFonts w:cstheme="minorHAnsi"/>
                <w:color w:val="000000"/>
                <w:kern w:val="24"/>
                <w:sz w:val="22"/>
              </w:rPr>
              <w:t>2</w:t>
            </w:r>
          </w:p>
        </w:tc>
        <w:tc>
          <w:tcPr>
            <w:tcW w:w="2348" w:type="dxa"/>
            <w:vAlign w:val="bottom"/>
            <w:hideMark/>
          </w:tcPr>
          <w:p w14:paraId="55B80CFD" w14:textId="4A4E2ED3" w:rsidR="00241626" w:rsidRPr="00241626" w:rsidRDefault="00241626" w:rsidP="00241626">
            <w:pPr>
              <w:jc w:val="center"/>
              <w:rPr>
                <w:rFonts w:eastAsia="Calibri" w:cstheme="minorHAnsi"/>
                <w:sz w:val="22"/>
              </w:rPr>
            </w:pPr>
            <w:r w:rsidRPr="00241626">
              <w:rPr>
                <w:rFonts w:cstheme="minorHAnsi"/>
                <w:color w:val="000000"/>
                <w:kern w:val="24"/>
                <w:sz w:val="22"/>
              </w:rPr>
              <w:t>10</w:t>
            </w:r>
          </w:p>
        </w:tc>
        <w:tc>
          <w:tcPr>
            <w:tcW w:w="2349" w:type="dxa"/>
            <w:vAlign w:val="bottom"/>
            <w:hideMark/>
          </w:tcPr>
          <w:p w14:paraId="4FF76ECC" w14:textId="730E04DC" w:rsidR="00241626" w:rsidRPr="00241626" w:rsidRDefault="00241626" w:rsidP="00241626">
            <w:pPr>
              <w:jc w:val="center"/>
              <w:rPr>
                <w:rFonts w:eastAsia="Calibri" w:cstheme="minorHAnsi"/>
                <w:sz w:val="22"/>
              </w:rPr>
            </w:pPr>
            <w:r w:rsidRPr="00241626">
              <w:rPr>
                <w:rFonts w:cstheme="minorHAnsi"/>
                <w:color w:val="000000"/>
                <w:kern w:val="24"/>
                <w:sz w:val="22"/>
              </w:rPr>
              <w:t>20%</w:t>
            </w:r>
          </w:p>
        </w:tc>
      </w:tr>
      <w:tr w:rsidR="00241626" w:rsidRPr="00447C80" w14:paraId="7B73D18A" w14:textId="77777777" w:rsidTr="06A3C928">
        <w:trPr>
          <w:trHeight w:val="20"/>
        </w:trPr>
        <w:tc>
          <w:tcPr>
            <w:tcW w:w="2515" w:type="dxa"/>
            <w:hideMark/>
          </w:tcPr>
          <w:p w14:paraId="769BD32F" w14:textId="68AC19F3" w:rsidR="00241626" w:rsidRPr="00447C80" w:rsidRDefault="00241626" w:rsidP="00241626">
            <w:pPr>
              <w:rPr>
                <w:rFonts w:cstheme="minorHAnsi"/>
                <w:sz w:val="22"/>
              </w:rPr>
            </w:pPr>
            <w:r w:rsidRPr="00447C80">
              <w:rPr>
                <w:rFonts w:cstheme="minorHAnsi"/>
                <w:b/>
                <w:bCs/>
                <w:kern w:val="24"/>
                <w:sz w:val="22"/>
              </w:rPr>
              <w:t>Age:</w:t>
            </w:r>
          </w:p>
        </w:tc>
        <w:tc>
          <w:tcPr>
            <w:tcW w:w="2348" w:type="dxa"/>
            <w:vAlign w:val="bottom"/>
            <w:hideMark/>
          </w:tcPr>
          <w:p w14:paraId="01C7C61B" w14:textId="5531224F" w:rsidR="00241626" w:rsidRPr="00241626" w:rsidRDefault="00241626" w:rsidP="00241626">
            <w:pPr>
              <w:rPr>
                <w:rFonts w:cstheme="minorHAnsi"/>
                <w:sz w:val="22"/>
              </w:rPr>
            </w:pPr>
          </w:p>
        </w:tc>
        <w:tc>
          <w:tcPr>
            <w:tcW w:w="2348" w:type="dxa"/>
            <w:vAlign w:val="bottom"/>
            <w:hideMark/>
          </w:tcPr>
          <w:p w14:paraId="580208B5" w14:textId="2B5DFF86" w:rsidR="00241626" w:rsidRPr="00241626" w:rsidRDefault="00241626" w:rsidP="00241626">
            <w:pPr>
              <w:rPr>
                <w:rFonts w:cstheme="minorHAnsi"/>
                <w:sz w:val="22"/>
              </w:rPr>
            </w:pPr>
          </w:p>
        </w:tc>
        <w:tc>
          <w:tcPr>
            <w:tcW w:w="2349" w:type="dxa"/>
            <w:vAlign w:val="bottom"/>
            <w:hideMark/>
          </w:tcPr>
          <w:p w14:paraId="176792B4" w14:textId="69D87344" w:rsidR="00241626" w:rsidRPr="00241626" w:rsidRDefault="00241626" w:rsidP="00241626">
            <w:pPr>
              <w:jc w:val="center"/>
              <w:rPr>
                <w:rFonts w:cstheme="minorHAnsi"/>
                <w:sz w:val="22"/>
              </w:rPr>
            </w:pPr>
          </w:p>
        </w:tc>
      </w:tr>
      <w:tr w:rsidR="00241626" w:rsidRPr="00447C80" w14:paraId="33F79E8A" w14:textId="77777777" w:rsidTr="06A3C928">
        <w:trPr>
          <w:trHeight w:val="20"/>
        </w:trPr>
        <w:tc>
          <w:tcPr>
            <w:tcW w:w="2515" w:type="dxa"/>
            <w:hideMark/>
          </w:tcPr>
          <w:p w14:paraId="253A91C9" w14:textId="279C8638" w:rsidR="00241626" w:rsidRPr="00447C80" w:rsidRDefault="00241626" w:rsidP="00241626">
            <w:pPr>
              <w:rPr>
                <w:rFonts w:cstheme="minorHAnsi"/>
                <w:b/>
                <w:bCs/>
                <w:sz w:val="22"/>
              </w:rPr>
            </w:pPr>
            <w:r>
              <w:rPr>
                <w:rFonts w:cstheme="minorHAnsi"/>
                <w:kern w:val="24"/>
                <w:sz w:val="22"/>
              </w:rPr>
              <w:t>0</w:t>
            </w:r>
            <w:r w:rsidRPr="00447C80">
              <w:rPr>
                <w:rFonts w:cstheme="minorHAnsi"/>
                <w:kern w:val="24"/>
                <w:sz w:val="22"/>
              </w:rPr>
              <w:t>–19 years</w:t>
            </w:r>
          </w:p>
        </w:tc>
        <w:tc>
          <w:tcPr>
            <w:tcW w:w="2348" w:type="dxa"/>
            <w:vAlign w:val="bottom"/>
            <w:hideMark/>
          </w:tcPr>
          <w:p w14:paraId="30C1AE76" w14:textId="772B2926" w:rsidR="00241626" w:rsidRPr="00241626" w:rsidRDefault="00241626" w:rsidP="00241626">
            <w:pPr>
              <w:jc w:val="center"/>
              <w:rPr>
                <w:rFonts w:eastAsia="Calibri" w:cstheme="minorHAnsi"/>
                <w:sz w:val="22"/>
              </w:rPr>
            </w:pPr>
            <w:r w:rsidRPr="00241626">
              <w:rPr>
                <w:rFonts w:eastAsia="Calibri" w:cstheme="minorHAnsi"/>
                <w:color w:val="000000" w:themeColor="dark1"/>
                <w:kern w:val="24"/>
                <w:sz w:val="22"/>
              </w:rPr>
              <w:t>0</w:t>
            </w:r>
          </w:p>
        </w:tc>
        <w:tc>
          <w:tcPr>
            <w:tcW w:w="2348" w:type="dxa"/>
            <w:vAlign w:val="bottom"/>
            <w:hideMark/>
          </w:tcPr>
          <w:p w14:paraId="12BC996E" w14:textId="38446953" w:rsidR="00241626" w:rsidRPr="00241626" w:rsidRDefault="00241626" w:rsidP="00241626">
            <w:pPr>
              <w:jc w:val="center"/>
              <w:rPr>
                <w:rFonts w:eastAsia="Calibri" w:cstheme="minorHAnsi"/>
                <w:sz w:val="22"/>
              </w:rPr>
            </w:pPr>
            <w:r w:rsidRPr="00241626">
              <w:rPr>
                <w:rFonts w:eastAsia="Calibri" w:cstheme="minorHAnsi"/>
                <w:color w:val="000000" w:themeColor="dark1"/>
                <w:kern w:val="24"/>
                <w:sz w:val="22"/>
              </w:rPr>
              <w:t>15</w:t>
            </w:r>
          </w:p>
        </w:tc>
        <w:tc>
          <w:tcPr>
            <w:tcW w:w="2349" w:type="dxa"/>
            <w:vAlign w:val="bottom"/>
            <w:hideMark/>
          </w:tcPr>
          <w:p w14:paraId="3C30B75F" w14:textId="39F83D82" w:rsidR="00241626" w:rsidRPr="00241626" w:rsidRDefault="00241626" w:rsidP="00241626">
            <w:pPr>
              <w:jc w:val="center"/>
              <w:rPr>
                <w:rFonts w:cstheme="minorHAnsi"/>
                <w:sz w:val="22"/>
              </w:rPr>
            </w:pPr>
            <w:r w:rsidRPr="00241626">
              <w:rPr>
                <w:rFonts w:eastAsia="Calibri" w:cstheme="minorHAnsi"/>
                <w:color w:val="000000" w:themeColor="dark1"/>
                <w:kern w:val="24"/>
                <w:sz w:val="22"/>
              </w:rPr>
              <w:t>0%</w:t>
            </w:r>
          </w:p>
        </w:tc>
      </w:tr>
      <w:tr w:rsidR="00241626" w:rsidRPr="00447C80" w14:paraId="33C59CDC" w14:textId="77777777" w:rsidTr="06A3C928">
        <w:trPr>
          <w:trHeight w:val="20"/>
        </w:trPr>
        <w:tc>
          <w:tcPr>
            <w:tcW w:w="2515" w:type="dxa"/>
            <w:hideMark/>
          </w:tcPr>
          <w:p w14:paraId="3D89E49B" w14:textId="63789B6F" w:rsidR="00241626" w:rsidRPr="00447C80" w:rsidRDefault="00241626" w:rsidP="00241626">
            <w:pPr>
              <w:rPr>
                <w:rFonts w:cstheme="minorHAnsi"/>
                <w:sz w:val="22"/>
              </w:rPr>
            </w:pPr>
            <w:r w:rsidRPr="00447C80">
              <w:rPr>
                <w:rFonts w:cstheme="minorHAnsi"/>
                <w:kern w:val="24"/>
                <w:sz w:val="22"/>
              </w:rPr>
              <w:t>20–29 years</w:t>
            </w:r>
          </w:p>
        </w:tc>
        <w:tc>
          <w:tcPr>
            <w:tcW w:w="2348" w:type="dxa"/>
            <w:vAlign w:val="bottom"/>
            <w:hideMark/>
          </w:tcPr>
          <w:p w14:paraId="2D79B40D" w14:textId="0C1B5DD8" w:rsidR="00241626" w:rsidRPr="00241626" w:rsidRDefault="00241626" w:rsidP="00241626">
            <w:pPr>
              <w:jc w:val="center"/>
              <w:rPr>
                <w:rFonts w:eastAsia="Calibri" w:cstheme="minorHAnsi"/>
                <w:sz w:val="22"/>
              </w:rPr>
            </w:pPr>
            <w:r w:rsidRPr="00241626">
              <w:rPr>
                <w:rFonts w:cstheme="minorHAnsi"/>
                <w:color w:val="000000"/>
                <w:kern w:val="24"/>
                <w:sz w:val="22"/>
              </w:rPr>
              <w:t>3</w:t>
            </w:r>
          </w:p>
        </w:tc>
        <w:tc>
          <w:tcPr>
            <w:tcW w:w="2348" w:type="dxa"/>
            <w:vAlign w:val="bottom"/>
            <w:hideMark/>
          </w:tcPr>
          <w:p w14:paraId="3986679E" w14:textId="4691012D" w:rsidR="00241626" w:rsidRPr="00241626" w:rsidRDefault="00241626" w:rsidP="00241626">
            <w:pPr>
              <w:jc w:val="center"/>
              <w:rPr>
                <w:rFonts w:eastAsia="Calibri" w:cstheme="minorHAnsi"/>
                <w:sz w:val="22"/>
              </w:rPr>
            </w:pPr>
            <w:r w:rsidRPr="00241626">
              <w:rPr>
                <w:rFonts w:cstheme="minorHAnsi"/>
                <w:color w:val="000000"/>
                <w:kern w:val="24"/>
                <w:sz w:val="22"/>
              </w:rPr>
              <w:t>133</w:t>
            </w:r>
          </w:p>
        </w:tc>
        <w:tc>
          <w:tcPr>
            <w:tcW w:w="2349" w:type="dxa"/>
            <w:vAlign w:val="bottom"/>
            <w:hideMark/>
          </w:tcPr>
          <w:p w14:paraId="7FC1401D" w14:textId="0ED49E8D" w:rsidR="00241626" w:rsidRPr="00241626" w:rsidRDefault="00241626" w:rsidP="00241626">
            <w:pPr>
              <w:jc w:val="center"/>
              <w:rPr>
                <w:rFonts w:cstheme="minorHAnsi"/>
                <w:sz w:val="22"/>
              </w:rPr>
            </w:pPr>
            <w:r w:rsidRPr="00241626">
              <w:rPr>
                <w:rFonts w:cstheme="minorHAnsi"/>
                <w:color w:val="000000"/>
                <w:kern w:val="24"/>
                <w:sz w:val="22"/>
              </w:rPr>
              <w:t>2%</w:t>
            </w:r>
          </w:p>
        </w:tc>
      </w:tr>
      <w:tr w:rsidR="00241626" w:rsidRPr="00447C80" w14:paraId="50253692" w14:textId="77777777" w:rsidTr="06A3C928">
        <w:trPr>
          <w:trHeight w:val="20"/>
        </w:trPr>
        <w:tc>
          <w:tcPr>
            <w:tcW w:w="2515" w:type="dxa"/>
            <w:hideMark/>
          </w:tcPr>
          <w:p w14:paraId="3F1F755F" w14:textId="2074035C" w:rsidR="00241626" w:rsidRPr="00447C80" w:rsidRDefault="00241626" w:rsidP="00241626">
            <w:pPr>
              <w:rPr>
                <w:rFonts w:cstheme="minorHAnsi"/>
                <w:sz w:val="22"/>
              </w:rPr>
            </w:pPr>
            <w:r w:rsidRPr="00447C80">
              <w:rPr>
                <w:rFonts w:cstheme="minorHAnsi"/>
                <w:kern w:val="24"/>
                <w:sz w:val="22"/>
              </w:rPr>
              <w:t>30–39 years</w:t>
            </w:r>
          </w:p>
        </w:tc>
        <w:tc>
          <w:tcPr>
            <w:tcW w:w="2348" w:type="dxa"/>
            <w:vAlign w:val="bottom"/>
            <w:hideMark/>
          </w:tcPr>
          <w:p w14:paraId="5AA3EAE7" w14:textId="7D9EFE41" w:rsidR="00241626" w:rsidRPr="00241626" w:rsidRDefault="00241626" w:rsidP="00241626">
            <w:pPr>
              <w:jc w:val="center"/>
              <w:rPr>
                <w:rFonts w:eastAsia="Calibri" w:cstheme="minorHAnsi"/>
                <w:sz w:val="22"/>
              </w:rPr>
            </w:pPr>
            <w:r w:rsidRPr="00241626">
              <w:rPr>
                <w:rFonts w:cstheme="minorHAnsi"/>
                <w:color w:val="000000"/>
                <w:kern w:val="24"/>
                <w:sz w:val="22"/>
              </w:rPr>
              <w:t>19</w:t>
            </w:r>
          </w:p>
        </w:tc>
        <w:tc>
          <w:tcPr>
            <w:tcW w:w="2348" w:type="dxa"/>
            <w:vAlign w:val="bottom"/>
            <w:hideMark/>
          </w:tcPr>
          <w:p w14:paraId="1901FE83" w14:textId="56096F91" w:rsidR="00241626" w:rsidRPr="00241626" w:rsidRDefault="00241626" w:rsidP="00241626">
            <w:pPr>
              <w:jc w:val="center"/>
              <w:rPr>
                <w:rFonts w:eastAsia="Calibri" w:cstheme="minorHAnsi"/>
                <w:sz w:val="22"/>
              </w:rPr>
            </w:pPr>
            <w:r w:rsidRPr="00241626">
              <w:rPr>
                <w:rFonts w:cstheme="minorHAnsi"/>
                <w:color w:val="000000"/>
                <w:kern w:val="24"/>
                <w:sz w:val="22"/>
              </w:rPr>
              <w:t>187</w:t>
            </w:r>
          </w:p>
        </w:tc>
        <w:tc>
          <w:tcPr>
            <w:tcW w:w="2349" w:type="dxa"/>
            <w:vAlign w:val="bottom"/>
            <w:hideMark/>
          </w:tcPr>
          <w:p w14:paraId="0660F1B4" w14:textId="71BAF9D1" w:rsidR="00241626" w:rsidRPr="00241626" w:rsidRDefault="00241626" w:rsidP="00241626">
            <w:pPr>
              <w:jc w:val="center"/>
              <w:rPr>
                <w:rFonts w:cstheme="minorHAnsi"/>
                <w:sz w:val="22"/>
              </w:rPr>
            </w:pPr>
            <w:r w:rsidRPr="00241626">
              <w:rPr>
                <w:rFonts w:cstheme="minorHAnsi"/>
                <w:color w:val="000000"/>
                <w:kern w:val="24"/>
                <w:sz w:val="22"/>
              </w:rPr>
              <w:t>10%</w:t>
            </w:r>
          </w:p>
        </w:tc>
      </w:tr>
      <w:tr w:rsidR="00241626" w:rsidRPr="00447C80" w14:paraId="27A20FA6" w14:textId="77777777" w:rsidTr="06A3C928">
        <w:trPr>
          <w:trHeight w:val="20"/>
        </w:trPr>
        <w:tc>
          <w:tcPr>
            <w:tcW w:w="2515" w:type="dxa"/>
            <w:hideMark/>
          </w:tcPr>
          <w:p w14:paraId="3EAB5103" w14:textId="43D689F2" w:rsidR="00241626" w:rsidRPr="00447C80" w:rsidRDefault="00241626" w:rsidP="00241626">
            <w:pPr>
              <w:rPr>
                <w:rFonts w:cstheme="minorHAnsi"/>
                <w:sz w:val="22"/>
              </w:rPr>
            </w:pPr>
            <w:r w:rsidRPr="00447C80">
              <w:rPr>
                <w:rFonts w:cstheme="minorHAnsi"/>
                <w:kern w:val="24"/>
                <w:sz w:val="22"/>
              </w:rPr>
              <w:t>40–49 years</w:t>
            </w:r>
          </w:p>
        </w:tc>
        <w:tc>
          <w:tcPr>
            <w:tcW w:w="2348" w:type="dxa"/>
            <w:vAlign w:val="bottom"/>
            <w:hideMark/>
          </w:tcPr>
          <w:p w14:paraId="21B37E79" w14:textId="27B5944C" w:rsidR="00241626" w:rsidRPr="00241626" w:rsidRDefault="00241626" w:rsidP="00241626">
            <w:pPr>
              <w:jc w:val="center"/>
              <w:rPr>
                <w:rFonts w:eastAsia="Calibri" w:cstheme="minorHAnsi"/>
                <w:sz w:val="22"/>
              </w:rPr>
            </w:pPr>
            <w:r w:rsidRPr="00241626">
              <w:rPr>
                <w:rFonts w:cstheme="minorHAnsi"/>
                <w:color w:val="000000"/>
                <w:kern w:val="24"/>
                <w:sz w:val="22"/>
              </w:rPr>
              <w:t>10</w:t>
            </w:r>
          </w:p>
        </w:tc>
        <w:tc>
          <w:tcPr>
            <w:tcW w:w="2348" w:type="dxa"/>
            <w:vAlign w:val="bottom"/>
            <w:hideMark/>
          </w:tcPr>
          <w:p w14:paraId="28C153BA" w14:textId="2F7CBC3E" w:rsidR="00241626" w:rsidRPr="00241626" w:rsidRDefault="00241626" w:rsidP="00241626">
            <w:pPr>
              <w:jc w:val="center"/>
              <w:rPr>
                <w:rFonts w:eastAsia="Calibri" w:cstheme="minorHAnsi"/>
                <w:sz w:val="22"/>
              </w:rPr>
            </w:pPr>
            <w:r w:rsidRPr="00241626">
              <w:rPr>
                <w:rFonts w:cstheme="minorHAnsi"/>
                <w:color w:val="000000"/>
                <w:kern w:val="24"/>
                <w:sz w:val="22"/>
              </w:rPr>
              <w:t>100</w:t>
            </w:r>
          </w:p>
        </w:tc>
        <w:tc>
          <w:tcPr>
            <w:tcW w:w="2349" w:type="dxa"/>
            <w:vAlign w:val="bottom"/>
            <w:hideMark/>
          </w:tcPr>
          <w:p w14:paraId="601BDAB4" w14:textId="5B795CA7" w:rsidR="00241626" w:rsidRPr="00241626" w:rsidRDefault="00241626" w:rsidP="00241626">
            <w:pPr>
              <w:jc w:val="center"/>
              <w:rPr>
                <w:rFonts w:cstheme="minorHAnsi"/>
                <w:sz w:val="22"/>
              </w:rPr>
            </w:pPr>
            <w:r w:rsidRPr="00241626">
              <w:rPr>
                <w:rFonts w:cstheme="minorHAnsi"/>
                <w:color w:val="000000"/>
                <w:kern w:val="24"/>
                <w:sz w:val="22"/>
              </w:rPr>
              <w:t>10%</w:t>
            </w:r>
          </w:p>
        </w:tc>
      </w:tr>
      <w:tr w:rsidR="00241626" w:rsidRPr="00447C80" w14:paraId="62D282FD" w14:textId="77777777" w:rsidTr="06A3C928">
        <w:trPr>
          <w:trHeight w:val="20"/>
        </w:trPr>
        <w:tc>
          <w:tcPr>
            <w:tcW w:w="2515" w:type="dxa"/>
            <w:hideMark/>
          </w:tcPr>
          <w:p w14:paraId="0F3F0822" w14:textId="24FF8B1D" w:rsidR="00241626" w:rsidRPr="00447C80" w:rsidRDefault="00241626" w:rsidP="00241626">
            <w:pPr>
              <w:rPr>
                <w:rFonts w:cstheme="minorHAnsi"/>
                <w:sz w:val="22"/>
              </w:rPr>
            </w:pPr>
            <w:r w:rsidRPr="00447C80">
              <w:rPr>
                <w:rFonts w:cstheme="minorHAnsi"/>
                <w:kern w:val="24"/>
                <w:sz w:val="22"/>
              </w:rPr>
              <w:t xml:space="preserve">50+ years </w:t>
            </w:r>
          </w:p>
        </w:tc>
        <w:tc>
          <w:tcPr>
            <w:tcW w:w="2348" w:type="dxa"/>
            <w:vAlign w:val="bottom"/>
            <w:hideMark/>
          </w:tcPr>
          <w:p w14:paraId="0006C799" w14:textId="259471B2" w:rsidR="00241626" w:rsidRPr="00241626" w:rsidRDefault="00241626" w:rsidP="00241626">
            <w:pPr>
              <w:jc w:val="center"/>
              <w:rPr>
                <w:rFonts w:eastAsia="Calibri" w:cstheme="minorHAnsi"/>
                <w:sz w:val="22"/>
              </w:rPr>
            </w:pPr>
            <w:r w:rsidRPr="00241626">
              <w:rPr>
                <w:rFonts w:cstheme="minorHAnsi"/>
                <w:color w:val="000000"/>
                <w:kern w:val="24"/>
                <w:sz w:val="22"/>
              </w:rPr>
              <w:t>10</w:t>
            </w:r>
          </w:p>
        </w:tc>
        <w:tc>
          <w:tcPr>
            <w:tcW w:w="2348" w:type="dxa"/>
            <w:vAlign w:val="bottom"/>
            <w:hideMark/>
          </w:tcPr>
          <w:p w14:paraId="67D3671A" w14:textId="3A48FC5A" w:rsidR="00241626" w:rsidRPr="00241626" w:rsidRDefault="00241626" w:rsidP="00241626">
            <w:pPr>
              <w:jc w:val="center"/>
              <w:rPr>
                <w:rFonts w:eastAsia="Calibri" w:cstheme="minorHAnsi"/>
                <w:sz w:val="22"/>
              </w:rPr>
            </w:pPr>
            <w:r w:rsidRPr="00241626">
              <w:rPr>
                <w:rFonts w:cstheme="minorHAnsi"/>
                <w:color w:val="000000"/>
                <w:kern w:val="24"/>
                <w:sz w:val="22"/>
              </w:rPr>
              <w:t>105</w:t>
            </w:r>
          </w:p>
        </w:tc>
        <w:tc>
          <w:tcPr>
            <w:tcW w:w="2349" w:type="dxa"/>
            <w:vAlign w:val="bottom"/>
            <w:hideMark/>
          </w:tcPr>
          <w:p w14:paraId="11EA4129" w14:textId="05187BB9" w:rsidR="00241626" w:rsidRPr="00241626" w:rsidRDefault="00241626" w:rsidP="00241626">
            <w:pPr>
              <w:jc w:val="center"/>
              <w:rPr>
                <w:rFonts w:cstheme="minorHAnsi"/>
                <w:sz w:val="22"/>
              </w:rPr>
            </w:pPr>
            <w:r w:rsidRPr="00241626">
              <w:rPr>
                <w:rFonts w:cstheme="minorHAnsi"/>
                <w:color w:val="000000"/>
                <w:kern w:val="24"/>
                <w:sz w:val="22"/>
              </w:rPr>
              <w:t>10%</w:t>
            </w:r>
          </w:p>
        </w:tc>
      </w:tr>
      <w:tr w:rsidR="00241626" w:rsidRPr="00447C80" w14:paraId="15637641" w14:textId="77777777" w:rsidTr="06A3C928">
        <w:trPr>
          <w:trHeight w:val="20"/>
        </w:trPr>
        <w:tc>
          <w:tcPr>
            <w:tcW w:w="2515" w:type="dxa"/>
            <w:hideMark/>
          </w:tcPr>
          <w:p w14:paraId="40F7FFAE" w14:textId="60BB2D01" w:rsidR="00241626" w:rsidRPr="00447C80" w:rsidRDefault="00241626" w:rsidP="00241626">
            <w:pPr>
              <w:rPr>
                <w:rFonts w:cstheme="minorHAnsi"/>
                <w:sz w:val="22"/>
              </w:rPr>
            </w:pPr>
            <w:r w:rsidRPr="00447C80">
              <w:rPr>
                <w:rFonts w:cstheme="minorHAnsi"/>
                <w:b/>
                <w:bCs/>
                <w:kern w:val="24"/>
                <w:sz w:val="22"/>
              </w:rPr>
              <w:t>HIV Exposure Mode:</w:t>
            </w:r>
          </w:p>
        </w:tc>
        <w:tc>
          <w:tcPr>
            <w:tcW w:w="2348" w:type="dxa"/>
            <w:vAlign w:val="bottom"/>
            <w:hideMark/>
          </w:tcPr>
          <w:p w14:paraId="2D9E51C0" w14:textId="4862D0A8" w:rsidR="00241626" w:rsidRPr="00241626" w:rsidRDefault="00241626" w:rsidP="00241626">
            <w:pPr>
              <w:rPr>
                <w:rFonts w:cstheme="minorHAnsi"/>
                <w:sz w:val="22"/>
              </w:rPr>
            </w:pPr>
          </w:p>
        </w:tc>
        <w:tc>
          <w:tcPr>
            <w:tcW w:w="2348" w:type="dxa"/>
            <w:vAlign w:val="bottom"/>
            <w:hideMark/>
          </w:tcPr>
          <w:p w14:paraId="4C84A99B" w14:textId="4E57A75A" w:rsidR="00241626" w:rsidRPr="00241626" w:rsidRDefault="00241626" w:rsidP="00241626">
            <w:pPr>
              <w:rPr>
                <w:rFonts w:cstheme="minorHAnsi"/>
                <w:sz w:val="22"/>
              </w:rPr>
            </w:pPr>
          </w:p>
        </w:tc>
        <w:tc>
          <w:tcPr>
            <w:tcW w:w="2349" w:type="dxa"/>
            <w:vAlign w:val="bottom"/>
            <w:hideMark/>
          </w:tcPr>
          <w:p w14:paraId="4F01DC0B" w14:textId="66F588DB" w:rsidR="00241626" w:rsidRPr="00241626" w:rsidRDefault="00241626" w:rsidP="00241626">
            <w:pPr>
              <w:jc w:val="center"/>
              <w:rPr>
                <w:rFonts w:cstheme="minorHAnsi"/>
                <w:sz w:val="22"/>
              </w:rPr>
            </w:pPr>
          </w:p>
        </w:tc>
      </w:tr>
      <w:tr w:rsidR="00241626" w:rsidRPr="00447C80" w14:paraId="1E92461F" w14:textId="77777777" w:rsidTr="06A3C928">
        <w:trPr>
          <w:trHeight w:val="20"/>
        </w:trPr>
        <w:tc>
          <w:tcPr>
            <w:tcW w:w="2515" w:type="dxa"/>
            <w:hideMark/>
          </w:tcPr>
          <w:p w14:paraId="23BC5071" w14:textId="294AFA41" w:rsidR="00241626" w:rsidRPr="00447C80" w:rsidRDefault="00241626" w:rsidP="00241626">
            <w:pPr>
              <w:rPr>
                <w:rFonts w:cstheme="minorHAnsi"/>
                <w:sz w:val="22"/>
              </w:rPr>
            </w:pPr>
            <w:r w:rsidRPr="00447C80">
              <w:rPr>
                <w:rFonts w:cstheme="minorHAnsi"/>
                <w:kern w:val="24"/>
                <w:sz w:val="22"/>
              </w:rPr>
              <w:t>MSM</w:t>
            </w:r>
          </w:p>
        </w:tc>
        <w:tc>
          <w:tcPr>
            <w:tcW w:w="2348" w:type="dxa"/>
            <w:vAlign w:val="bottom"/>
            <w:hideMark/>
          </w:tcPr>
          <w:p w14:paraId="0DE12186" w14:textId="501CA34C" w:rsidR="00241626" w:rsidRPr="00241626" w:rsidRDefault="00241626" w:rsidP="00241626">
            <w:pPr>
              <w:jc w:val="center"/>
              <w:rPr>
                <w:rFonts w:eastAsia="Calibri" w:cstheme="minorHAnsi"/>
                <w:sz w:val="22"/>
              </w:rPr>
            </w:pPr>
            <w:r w:rsidRPr="00241626">
              <w:rPr>
                <w:rFonts w:cstheme="minorHAnsi"/>
                <w:color w:val="000000"/>
                <w:kern w:val="24"/>
                <w:sz w:val="22"/>
              </w:rPr>
              <w:t>7</w:t>
            </w:r>
          </w:p>
        </w:tc>
        <w:tc>
          <w:tcPr>
            <w:tcW w:w="2348" w:type="dxa"/>
            <w:vAlign w:val="bottom"/>
            <w:hideMark/>
          </w:tcPr>
          <w:p w14:paraId="6B4B48B5" w14:textId="36B88FD3" w:rsidR="00241626" w:rsidRPr="00241626" w:rsidRDefault="00241626" w:rsidP="00241626">
            <w:pPr>
              <w:jc w:val="center"/>
              <w:rPr>
                <w:rFonts w:eastAsia="Calibri" w:cstheme="minorHAnsi"/>
                <w:sz w:val="22"/>
              </w:rPr>
            </w:pPr>
            <w:r w:rsidRPr="00241626">
              <w:rPr>
                <w:rFonts w:cstheme="minorHAnsi"/>
                <w:color w:val="000000"/>
                <w:kern w:val="24"/>
                <w:sz w:val="22"/>
              </w:rPr>
              <w:t>227</w:t>
            </w:r>
          </w:p>
        </w:tc>
        <w:tc>
          <w:tcPr>
            <w:tcW w:w="2349" w:type="dxa"/>
            <w:vAlign w:val="bottom"/>
            <w:hideMark/>
          </w:tcPr>
          <w:p w14:paraId="25F762B3" w14:textId="7DEE8E4E" w:rsidR="00241626" w:rsidRPr="00241626" w:rsidRDefault="00241626" w:rsidP="00241626">
            <w:pPr>
              <w:jc w:val="center"/>
              <w:rPr>
                <w:rFonts w:cstheme="minorHAnsi"/>
                <w:sz w:val="22"/>
              </w:rPr>
            </w:pPr>
            <w:r w:rsidRPr="00241626">
              <w:rPr>
                <w:rFonts w:cstheme="minorHAnsi"/>
                <w:color w:val="000000"/>
                <w:kern w:val="24"/>
                <w:sz w:val="22"/>
              </w:rPr>
              <w:t>3%</w:t>
            </w:r>
          </w:p>
        </w:tc>
      </w:tr>
      <w:tr w:rsidR="00241626" w:rsidRPr="00447C80" w14:paraId="39FE655B" w14:textId="77777777" w:rsidTr="06A3C928">
        <w:trPr>
          <w:trHeight w:val="20"/>
        </w:trPr>
        <w:tc>
          <w:tcPr>
            <w:tcW w:w="2515" w:type="dxa"/>
          </w:tcPr>
          <w:p w14:paraId="6C98C59C" w14:textId="17C3291C" w:rsidR="00241626" w:rsidRPr="00447C80" w:rsidRDefault="00241626" w:rsidP="00241626">
            <w:pPr>
              <w:rPr>
                <w:rFonts w:cstheme="minorHAnsi"/>
                <w:sz w:val="22"/>
              </w:rPr>
            </w:pPr>
            <w:r w:rsidRPr="00447C80">
              <w:rPr>
                <w:rFonts w:cstheme="minorHAnsi"/>
                <w:kern w:val="24"/>
                <w:sz w:val="22"/>
              </w:rPr>
              <w:t>IDU</w:t>
            </w:r>
          </w:p>
        </w:tc>
        <w:tc>
          <w:tcPr>
            <w:tcW w:w="2348" w:type="dxa"/>
            <w:vAlign w:val="bottom"/>
          </w:tcPr>
          <w:p w14:paraId="7F7ABBBB" w14:textId="0BC7CBA1" w:rsidR="00241626" w:rsidRPr="00241626" w:rsidRDefault="00241626" w:rsidP="00241626">
            <w:pPr>
              <w:jc w:val="center"/>
              <w:rPr>
                <w:rFonts w:eastAsia="Calibri" w:cstheme="minorHAnsi"/>
                <w:sz w:val="22"/>
              </w:rPr>
            </w:pPr>
            <w:r w:rsidRPr="00241626">
              <w:rPr>
                <w:rFonts w:cstheme="minorHAnsi"/>
                <w:color w:val="000000"/>
                <w:kern w:val="24"/>
                <w:sz w:val="22"/>
              </w:rPr>
              <w:t>30</w:t>
            </w:r>
          </w:p>
        </w:tc>
        <w:tc>
          <w:tcPr>
            <w:tcW w:w="2348" w:type="dxa"/>
            <w:vAlign w:val="bottom"/>
          </w:tcPr>
          <w:p w14:paraId="7F99C470" w14:textId="23ECC78D" w:rsidR="00241626" w:rsidRPr="00241626" w:rsidRDefault="00241626" w:rsidP="00241626">
            <w:pPr>
              <w:jc w:val="center"/>
              <w:rPr>
                <w:rFonts w:eastAsia="Calibri" w:cstheme="minorHAnsi"/>
                <w:sz w:val="22"/>
              </w:rPr>
            </w:pPr>
            <w:r w:rsidRPr="00241626">
              <w:rPr>
                <w:rFonts w:cstheme="minorHAnsi"/>
                <w:color w:val="000000"/>
                <w:kern w:val="24"/>
                <w:sz w:val="22"/>
              </w:rPr>
              <w:t>38</w:t>
            </w:r>
          </w:p>
        </w:tc>
        <w:tc>
          <w:tcPr>
            <w:tcW w:w="2349" w:type="dxa"/>
            <w:vAlign w:val="bottom"/>
          </w:tcPr>
          <w:p w14:paraId="48BDF21F" w14:textId="7D1555A6" w:rsidR="00241626" w:rsidRPr="00241626" w:rsidRDefault="00241626" w:rsidP="00241626">
            <w:pPr>
              <w:jc w:val="center"/>
              <w:rPr>
                <w:rFonts w:cstheme="minorHAnsi"/>
                <w:sz w:val="22"/>
              </w:rPr>
            </w:pPr>
            <w:r w:rsidRPr="00241626">
              <w:rPr>
                <w:rFonts w:cstheme="minorHAnsi"/>
                <w:color w:val="000000"/>
                <w:kern w:val="24"/>
                <w:sz w:val="22"/>
              </w:rPr>
              <w:t>79%</w:t>
            </w:r>
          </w:p>
        </w:tc>
      </w:tr>
      <w:tr w:rsidR="00241626" w:rsidRPr="00447C80" w14:paraId="2508D8A5" w14:textId="77777777" w:rsidTr="06A3C928">
        <w:trPr>
          <w:trHeight w:val="20"/>
        </w:trPr>
        <w:tc>
          <w:tcPr>
            <w:tcW w:w="2515" w:type="dxa"/>
          </w:tcPr>
          <w:p w14:paraId="3D70011D" w14:textId="3E4454E5" w:rsidR="00241626" w:rsidRPr="00447C80" w:rsidRDefault="00241626" w:rsidP="00241626">
            <w:pPr>
              <w:rPr>
                <w:rFonts w:cstheme="minorHAnsi"/>
                <w:kern w:val="24"/>
                <w:sz w:val="22"/>
              </w:rPr>
            </w:pPr>
            <w:r w:rsidRPr="00447C80">
              <w:rPr>
                <w:rFonts w:cstheme="minorHAnsi"/>
                <w:kern w:val="24"/>
                <w:sz w:val="22"/>
              </w:rPr>
              <w:t>MSM/IDU</w:t>
            </w:r>
          </w:p>
        </w:tc>
        <w:tc>
          <w:tcPr>
            <w:tcW w:w="2348" w:type="dxa"/>
            <w:vAlign w:val="bottom"/>
          </w:tcPr>
          <w:p w14:paraId="59D25F27" w14:textId="7447F090" w:rsidR="00241626" w:rsidRPr="00241626" w:rsidRDefault="00241626" w:rsidP="00241626">
            <w:pPr>
              <w:jc w:val="center"/>
              <w:rPr>
                <w:rFonts w:eastAsia="Calibri" w:cstheme="minorHAnsi"/>
                <w:sz w:val="22"/>
              </w:rPr>
            </w:pPr>
            <w:r w:rsidRPr="00241626">
              <w:rPr>
                <w:rFonts w:eastAsia="Calibri" w:cstheme="minorHAnsi"/>
                <w:color w:val="000000"/>
                <w:kern w:val="24"/>
                <w:sz w:val="22"/>
              </w:rPr>
              <w:t>&lt;5</w:t>
            </w:r>
          </w:p>
        </w:tc>
        <w:tc>
          <w:tcPr>
            <w:tcW w:w="2348" w:type="dxa"/>
            <w:vAlign w:val="bottom"/>
          </w:tcPr>
          <w:p w14:paraId="3A920A86" w14:textId="11F1E6AA" w:rsidR="00241626" w:rsidRPr="00241626" w:rsidRDefault="00241626" w:rsidP="00241626">
            <w:pPr>
              <w:jc w:val="center"/>
              <w:rPr>
                <w:rFonts w:eastAsia="Calibri" w:cstheme="minorHAnsi"/>
                <w:sz w:val="22"/>
              </w:rPr>
            </w:pPr>
            <w:r w:rsidRPr="00241626">
              <w:rPr>
                <w:rFonts w:cstheme="minorHAnsi"/>
                <w:color w:val="000000"/>
                <w:kern w:val="24"/>
                <w:sz w:val="22"/>
              </w:rPr>
              <w:t>14</w:t>
            </w:r>
          </w:p>
        </w:tc>
        <w:tc>
          <w:tcPr>
            <w:tcW w:w="2349" w:type="dxa"/>
            <w:vAlign w:val="bottom"/>
          </w:tcPr>
          <w:p w14:paraId="23EF0E6B" w14:textId="1BA34B08" w:rsidR="00241626" w:rsidRPr="00241626" w:rsidRDefault="00241626" w:rsidP="00241626">
            <w:pPr>
              <w:jc w:val="center"/>
              <w:rPr>
                <w:rFonts w:eastAsia="Calibri" w:cstheme="minorHAnsi"/>
                <w:kern w:val="24"/>
                <w:sz w:val="22"/>
              </w:rPr>
            </w:pPr>
            <w:r w:rsidRPr="00241626">
              <w:rPr>
                <w:rFonts w:eastAsia="Yu Mincho" w:cstheme="minorHAnsi"/>
                <w:color w:val="000000"/>
                <w:kern w:val="24"/>
                <w:sz w:val="22"/>
              </w:rPr>
              <w:t xml:space="preserve"> </w:t>
            </w:r>
            <w:r>
              <w:rPr>
                <w:rFonts w:eastAsia="Yu Mincho" w:cstheme="minorHAnsi"/>
                <w:color w:val="000000"/>
                <w:kern w:val="24"/>
                <w:sz w:val="22"/>
              </w:rPr>
              <w:t xml:space="preserve"> </w:t>
            </w:r>
            <w:r w:rsidRPr="00241626">
              <w:rPr>
                <w:rFonts w:eastAsia="Yu Mincho" w:cstheme="minorHAnsi"/>
                <w:color w:val="000000"/>
                <w:kern w:val="24"/>
                <w:sz w:val="22"/>
              </w:rPr>
              <w:t>N/A*</w:t>
            </w:r>
          </w:p>
        </w:tc>
      </w:tr>
      <w:tr w:rsidR="00241626" w:rsidRPr="00447C80" w14:paraId="504A63F5" w14:textId="77777777" w:rsidTr="06A3C928">
        <w:trPr>
          <w:trHeight w:val="20"/>
        </w:trPr>
        <w:tc>
          <w:tcPr>
            <w:tcW w:w="2515" w:type="dxa"/>
          </w:tcPr>
          <w:p w14:paraId="740C018A" w14:textId="5E799E9F" w:rsidR="00241626" w:rsidRPr="00447C80" w:rsidRDefault="00241626" w:rsidP="00241626">
            <w:pPr>
              <w:rPr>
                <w:rFonts w:cstheme="minorHAnsi"/>
                <w:kern w:val="24"/>
                <w:sz w:val="22"/>
              </w:rPr>
            </w:pPr>
            <w:r w:rsidRPr="00447C80">
              <w:rPr>
                <w:rFonts w:cstheme="minorHAnsi"/>
                <w:kern w:val="24"/>
                <w:sz w:val="22"/>
              </w:rPr>
              <w:t>HTSX</w:t>
            </w:r>
          </w:p>
        </w:tc>
        <w:tc>
          <w:tcPr>
            <w:tcW w:w="2348" w:type="dxa"/>
            <w:vAlign w:val="bottom"/>
          </w:tcPr>
          <w:p w14:paraId="33921B87" w14:textId="7068E1CC" w:rsidR="00241626" w:rsidRPr="00241626" w:rsidRDefault="00241626" w:rsidP="00241626">
            <w:pPr>
              <w:jc w:val="center"/>
              <w:rPr>
                <w:rFonts w:eastAsia="Calibri" w:cstheme="minorHAnsi"/>
                <w:sz w:val="22"/>
              </w:rPr>
            </w:pPr>
            <w:r w:rsidRPr="00241626">
              <w:rPr>
                <w:rFonts w:eastAsia="Calibri" w:cstheme="minorHAnsi"/>
                <w:color w:val="000000"/>
                <w:kern w:val="24"/>
                <w:sz w:val="22"/>
              </w:rPr>
              <w:t>&lt;5</w:t>
            </w:r>
          </w:p>
        </w:tc>
        <w:tc>
          <w:tcPr>
            <w:tcW w:w="2348" w:type="dxa"/>
            <w:vAlign w:val="bottom"/>
          </w:tcPr>
          <w:p w14:paraId="46F092EA" w14:textId="7FE38F41" w:rsidR="00241626" w:rsidRPr="00241626" w:rsidRDefault="00241626" w:rsidP="00241626">
            <w:pPr>
              <w:jc w:val="center"/>
              <w:rPr>
                <w:rFonts w:eastAsia="Calibri" w:cstheme="minorHAnsi"/>
                <w:sz w:val="22"/>
              </w:rPr>
            </w:pPr>
            <w:r w:rsidRPr="00241626">
              <w:rPr>
                <w:rFonts w:cstheme="minorHAnsi"/>
                <w:color w:val="000000"/>
                <w:kern w:val="24"/>
                <w:sz w:val="22"/>
              </w:rPr>
              <w:t>25</w:t>
            </w:r>
          </w:p>
        </w:tc>
        <w:tc>
          <w:tcPr>
            <w:tcW w:w="2349" w:type="dxa"/>
            <w:vAlign w:val="bottom"/>
          </w:tcPr>
          <w:p w14:paraId="10816D4A" w14:textId="6FB2340A" w:rsidR="00241626" w:rsidRPr="00241626" w:rsidRDefault="00241626" w:rsidP="00241626">
            <w:pPr>
              <w:jc w:val="center"/>
              <w:rPr>
                <w:rFonts w:eastAsia="Calibri" w:cstheme="minorHAnsi"/>
                <w:kern w:val="24"/>
                <w:sz w:val="22"/>
              </w:rPr>
            </w:pPr>
            <w:r w:rsidRPr="00241626">
              <w:rPr>
                <w:rFonts w:cstheme="minorHAnsi"/>
                <w:color w:val="000000"/>
                <w:kern w:val="24"/>
                <w:sz w:val="22"/>
              </w:rPr>
              <w:t>N/A</w:t>
            </w:r>
          </w:p>
        </w:tc>
      </w:tr>
      <w:tr w:rsidR="00241626" w:rsidRPr="00447C80" w14:paraId="7FFFE397" w14:textId="77777777" w:rsidTr="06A3C928">
        <w:trPr>
          <w:trHeight w:val="20"/>
        </w:trPr>
        <w:tc>
          <w:tcPr>
            <w:tcW w:w="2515" w:type="dxa"/>
          </w:tcPr>
          <w:p w14:paraId="3D6F6F47" w14:textId="0620B19B" w:rsidR="00241626" w:rsidRPr="00447C80" w:rsidRDefault="00241626" w:rsidP="00241626">
            <w:pPr>
              <w:rPr>
                <w:rFonts w:cstheme="minorHAnsi"/>
                <w:kern w:val="24"/>
                <w:sz w:val="22"/>
              </w:rPr>
            </w:pPr>
            <w:r>
              <w:rPr>
                <w:rFonts w:cstheme="minorHAnsi"/>
                <w:kern w:val="24"/>
                <w:sz w:val="22"/>
              </w:rPr>
              <w:t>Other</w:t>
            </w:r>
          </w:p>
        </w:tc>
        <w:tc>
          <w:tcPr>
            <w:tcW w:w="2348" w:type="dxa"/>
            <w:vAlign w:val="bottom"/>
          </w:tcPr>
          <w:p w14:paraId="770CC697" w14:textId="22836902" w:rsidR="00241626" w:rsidRPr="00241626" w:rsidRDefault="00241626" w:rsidP="00241626">
            <w:pPr>
              <w:jc w:val="center"/>
              <w:rPr>
                <w:rFonts w:eastAsia="Calibri" w:cstheme="minorHAnsi"/>
                <w:sz w:val="22"/>
              </w:rPr>
            </w:pPr>
            <w:r w:rsidRPr="00241626">
              <w:rPr>
                <w:rFonts w:cstheme="minorHAnsi"/>
                <w:color w:val="000000"/>
                <w:kern w:val="24"/>
                <w:sz w:val="22"/>
              </w:rPr>
              <w:t>0</w:t>
            </w:r>
          </w:p>
        </w:tc>
        <w:tc>
          <w:tcPr>
            <w:tcW w:w="2348" w:type="dxa"/>
            <w:vAlign w:val="bottom"/>
          </w:tcPr>
          <w:p w14:paraId="402B79DA" w14:textId="2660317E" w:rsidR="00241626" w:rsidRPr="00241626" w:rsidRDefault="00241626" w:rsidP="00241626">
            <w:pPr>
              <w:jc w:val="center"/>
              <w:rPr>
                <w:rFonts w:eastAsia="Calibri" w:cstheme="minorHAnsi"/>
                <w:sz w:val="22"/>
              </w:rPr>
            </w:pPr>
            <w:r w:rsidRPr="00241626">
              <w:rPr>
                <w:rFonts w:cstheme="minorHAnsi"/>
                <w:color w:val="000000"/>
                <w:kern w:val="24"/>
                <w:sz w:val="22"/>
              </w:rPr>
              <w:t>3</w:t>
            </w:r>
          </w:p>
        </w:tc>
        <w:tc>
          <w:tcPr>
            <w:tcW w:w="2349" w:type="dxa"/>
            <w:vAlign w:val="bottom"/>
          </w:tcPr>
          <w:p w14:paraId="5EEE88B8" w14:textId="5357785A" w:rsidR="00241626" w:rsidRPr="00241626" w:rsidRDefault="00241626" w:rsidP="00241626">
            <w:pPr>
              <w:jc w:val="center"/>
              <w:rPr>
                <w:rFonts w:cstheme="minorHAnsi"/>
                <w:kern w:val="24"/>
                <w:sz w:val="22"/>
              </w:rPr>
            </w:pPr>
            <w:r w:rsidRPr="00241626">
              <w:rPr>
                <w:rFonts w:cstheme="minorHAnsi"/>
                <w:color w:val="000000"/>
                <w:kern w:val="24"/>
                <w:sz w:val="22"/>
              </w:rPr>
              <w:t>0%</w:t>
            </w:r>
          </w:p>
        </w:tc>
      </w:tr>
      <w:tr w:rsidR="00241626" w:rsidRPr="00447C80" w14:paraId="6088464A" w14:textId="77777777" w:rsidTr="06A3C928">
        <w:trPr>
          <w:trHeight w:val="20"/>
        </w:trPr>
        <w:tc>
          <w:tcPr>
            <w:tcW w:w="2515" w:type="dxa"/>
          </w:tcPr>
          <w:p w14:paraId="7AEB986D" w14:textId="7AC713E6" w:rsidR="00241626" w:rsidRPr="00447C80" w:rsidRDefault="00241626" w:rsidP="00241626">
            <w:pPr>
              <w:rPr>
                <w:rFonts w:cstheme="minorHAnsi"/>
                <w:kern w:val="24"/>
                <w:sz w:val="22"/>
              </w:rPr>
            </w:pPr>
            <w:r w:rsidRPr="00447C80">
              <w:rPr>
                <w:rFonts w:cstheme="minorHAnsi"/>
                <w:kern w:val="24"/>
                <w:sz w:val="22"/>
              </w:rPr>
              <w:t>Pres. HTSX</w:t>
            </w:r>
          </w:p>
        </w:tc>
        <w:tc>
          <w:tcPr>
            <w:tcW w:w="2348" w:type="dxa"/>
            <w:vAlign w:val="bottom"/>
          </w:tcPr>
          <w:p w14:paraId="74C23B99" w14:textId="69DDF6DE" w:rsidR="00241626" w:rsidRPr="00241626" w:rsidRDefault="00241626" w:rsidP="00241626">
            <w:pPr>
              <w:jc w:val="center"/>
              <w:rPr>
                <w:rFonts w:eastAsia="Calibri" w:cstheme="minorHAnsi"/>
                <w:sz w:val="22"/>
              </w:rPr>
            </w:pPr>
            <w:r w:rsidRPr="00241626">
              <w:rPr>
                <w:rFonts w:cstheme="minorHAnsi"/>
                <w:color w:val="000000"/>
                <w:kern w:val="24"/>
                <w:sz w:val="22"/>
              </w:rPr>
              <w:t>0</w:t>
            </w:r>
          </w:p>
        </w:tc>
        <w:tc>
          <w:tcPr>
            <w:tcW w:w="2348" w:type="dxa"/>
            <w:vAlign w:val="bottom"/>
          </w:tcPr>
          <w:p w14:paraId="4158FA32" w14:textId="5E8B72CD" w:rsidR="00241626" w:rsidRPr="00241626" w:rsidRDefault="00241626" w:rsidP="00241626">
            <w:pPr>
              <w:jc w:val="center"/>
              <w:rPr>
                <w:rFonts w:eastAsia="Calibri" w:cstheme="minorHAnsi"/>
                <w:sz w:val="22"/>
              </w:rPr>
            </w:pPr>
            <w:r w:rsidRPr="00241626">
              <w:rPr>
                <w:rFonts w:cstheme="minorHAnsi"/>
                <w:color w:val="000000"/>
                <w:kern w:val="24"/>
                <w:sz w:val="22"/>
              </w:rPr>
              <w:t>82</w:t>
            </w:r>
          </w:p>
        </w:tc>
        <w:tc>
          <w:tcPr>
            <w:tcW w:w="2349" w:type="dxa"/>
            <w:vAlign w:val="bottom"/>
          </w:tcPr>
          <w:p w14:paraId="228EEF8A" w14:textId="2F592511" w:rsidR="00241626" w:rsidRPr="00241626" w:rsidRDefault="00241626" w:rsidP="00241626">
            <w:pPr>
              <w:jc w:val="center"/>
              <w:rPr>
                <w:rFonts w:eastAsia="Calibri" w:cstheme="minorHAnsi"/>
                <w:kern w:val="24"/>
                <w:sz w:val="22"/>
              </w:rPr>
            </w:pPr>
            <w:r w:rsidRPr="00241626">
              <w:rPr>
                <w:rFonts w:cstheme="minorHAnsi"/>
                <w:color w:val="000000"/>
                <w:kern w:val="24"/>
                <w:sz w:val="22"/>
              </w:rPr>
              <w:t>0%</w:t>
            </w:r>
          </w:p>
        </w:tc>
      </w:tr>
      <w:tr w:rsidR="00241626" w:rsidRPr="00447C80" w14:paraId="3231250C" w14:textId="77777777" w:rsidTr="06A3C928">
        <w:trPr>
          <w:trHeight w:val="20"/>
        </w:trPr>
        <w:tc>
          <w:tcPr>
            <w:tcW w:w="2515" w:type="dxa"/>
          </w:tcPr>
          <w:p w14:paraId="5E64E758" w14:textId="42534C1A" w:rsidR="00241626" w:rsidRPr="00447C80" w:rsidRDefault="00241626" w:rsidP="00241626">
            <w:pPr>
              <w:rPr>
                <w:rFonts w:cstheme="minorHAnsi"/>
                <w:kern w:val="24"/>
                <w:sz w:val="22"/>
              </w:rPr>
            </w:pPr>
            <w:r w:rsidRPr="00447C80">
              <w:rPr>
                <w:rFonts w:cstheme="minorHAnsi"/>
                <w:kern w:val="24"/>
                <w:sz w:val="22"/>
              </w:rPr>
              <w:t>NIR</w:t>
            </w:r>
          </w:p>
        </w:tc>
        <w:tc>
          <w:tcPr>
            <w:tcW w:w="2348" w:type="dxa"/>
            <w:vAlign w:val="bottom"/>
          </w:tcPr>
          <w:p w14:paraId="48A9D462" w14:textId="4CA35978" w:rsidR="00241626" w:rsidRPr="00241626" w:rsidRDefault="00241626" w:rsidP="00241626">
            <w:pPr>
              <w:jc w:val="center"/>
              <w:rPr>
                <w:rFonts w:eastAsia="Calibri" w:cstheme="minorHAnsi"/>
                <w:sz w:val="22"/>
              </w:rPr>
            </w:pPr>
            <w:r w:rsidRPr="00241626">
              <w:rPr>
                <w:rFonts w:eastAsia="Calibri" w:cstheme="minorHAnsi"/>
                <w:color w:val="000000"/>
                <w:kern w:val="24"/>
                <w:sz w:val="22"/>
              </w:rPr>
              <w:t>&lt;5</w:t>
            </w:r>
          </w:p>
        </w:tc>
        <w:tc>
          <w:tcPr>
            <w:tcW w:w="2348" w:type="dxa"/>
            <w:vAlign w:val="bottom"/>
          </w:tcPr>
          <w:p w14:paraId="16422F16" w14:textId="32CB2E2E" w:rsidR="00241626" w:rsidRPr="00241626" w:rsidRDefault="00241626" w:rsidP="00241626">
            <w:pPr>
              <w:jc w:val="center"/>
              <w:rPr>
                <w:rFonts w:eastAsia="Calibri" w:cstheme="minorHAnsi"/>
                <w:sz w:val="22"/>
              </w:rPr>
            </w:pPr>
            <w:r w:rsidRPr="00241626">
              <w:rPr>
                <w:rFonts w:cstheme="minorHAnsi"/>
                <w:color w:val="000000"/>
                <w:kern w:val="24"/>
                <w:sz w:val="22"/>
              </w:rPr>
              <w:t>151</w:t>
            </w:r>
          </w:p>
        </w:tc>
        <w:tc>
          <w:tcPr>
            <w:tcW w:w="2349" w:type="dxa"/>
            <w:vAlign w:val="bottom"/>
          </w:tcPr>
          <w:p w14:paraId="33F752D3" w14:textId="146F31DB" w:rsidR="00241626" w:rsidRPr="00241626" w:rsidRDefault="00241626" w:rsidP="00241626">
            <w:pPr>
              <w:jc w:val="center"/>
              <w:rPr>
                <w:rFonts w:eastAsia="Calibri" w:cstheme="minorHAnsi"/>
                <w:kern w:val="24"/>
                <w:sz w:val="22"/>
              </w:rPr>
            </w:pPr>
            <w:r w:rsidRPr="00241626">
              <w:rPr>
                <w:rFonts w:cstheme="minorHAnsi"/>
                <w:color w:val="000000"/>
                <w:kern w:val="24"/>
                <w:sz w:val="22"/>
              </w:rPr>
              <w:t>N/A</w:t>
            </w:r>
          </w:p>
        </w:tc>
      </w:tr>
    </w:tbl>
    <w:p w14:paraId="087AAE5C" w14:textId="32945DF0" w:rsidR="00AA2304" w:rsidRPr="00447C80" w:rsidRDefault="00AA2304" w:rsidP="00AA2304">
      <w:pPr>
        <w:rPr>
          <w:sz w:val="20"/>
          <w:szCs w:val="20"/>
        </w:rPr>
      </w:pPr>
      <w:r w:rsidRPr="00447C80">
        <w:rPr>
          <w:sz w:val="20"/>
          <w:szCs w:val="20"/>
        </w:rPr>
        <w:t>MSM=Male-to-Male Sex and Men Who Have Sex with Men, IDU=Injection Drug Use, HTSX=Heterosexual Sex, Pres.=Presumed, NIR=No Identified Risk</w:t>
      </w:r>
      <w:r w:rsidR="00131470" w:rsidRPr="00447C80">
        <w:rPr>
          <w:sz w:val="20"/>
          <w:szCs w:val="20"/>
        </w:rPr>
        <w:t>. *Values one through four are suppressed for denominator populations less than 50,000 or for unknown population sizes. Additional values of zero and greater than or equal to five may be suppressed to prevent back calculation.</w:t>
      </w:r>
    </w:p>
    <w:p w14:paraId="657FBA8A" w14:textId="001827C5" w:rsidR="00AA2304" w:rsidRPr="00447C80" w:rsidRDefault="00AA2304" w:rsidP="00AA2304">
      <w:pPr>
        <w:spacing w:after="120"/>
        <w:rPr>
          <w:sz w:val="20"/>
          <w:szCs w:val="20"/>
        </w:rPr>
      </w:pPr>
      <w:r w:rsidRPr="00447C80">
        <w:rPr>
          <w:sz w:val="20"/>
          <w:szCs w:val="20"/>
        </w:rPr>
        <w:t xml:space="preserve">Data Source: Bureau of Infectious Disease and Laboratory Sciences, data are </w:t>
      </w:r>
      <w:r w:rsidR="004822C5" w:rsidRPr="00447C80">
        <w:rPr>
          <w:sz w:val="20"/>
          <w:szCs w:val="20"/>
        </w:rPr>
        <w:t>current as of 7/1/2024</w:t>
      </w:r>
      <w:r w:rsidRPr="00447C80">
        <w:rPr>
          <w:sz w:val="20"/>
          <w:szCs w:val="20"/>
        </w:rPr>
        <w:t xml:space="preserve"> and subject to change</w:t>
      </w:r>
      <w:r w:rsidR="00B1580A" w:rsidRPr="00447C80">
        <w:rPr>
          <w:sz w:val="20"/>
          <w:szCs w:val="20"/>
        </w:rPr>
        <w:t>.</w:t>
      </w:r>
    </w:p>
    <w:p w14:paraId="24E27E96" w14:textId="670ED0B4" w:rsidR="00BF564D" w:rsidRPr="00447C80" w:rsidRDefault="7D553B88" w:rsidP="00BF564D">
      <w:pPr>
        <w:pStyle w:val="spaced6"/>
      </w:pPr>
      <w:r w:rsidRPr="00447C80">
        <w:t>In 202</w:t>
      </w:r>
      <w:r w:rsidR="00B4286F">
        <w:t>3</w:t>
      </w:r>
      <w:r w:rsidRPr="00447C80">
        <w:t>,</w:t>
      </w:r>
      <w:r w:rsidR="00B53A1C" w:rsidRPr="00447C80">
        <w:rPr>
          <w:rStyle w:val="FootnoteReference"/>
        </w:rPr>
        <w:footnoteReference w:id="95"/>
      </w:r>
      <w:r w:rsidRPr="00447C80">
        <w:t xml:space="preserve"> </w:t>
      </w:r>
      <w:r w:rsidR="00B4286F" w:rsidRPr="00B4286F">
        <w:t>among 540 individuals diagnosed with HIV infection, 8% (N=42/540) were ever co-infected with HCV</w:t>
      </w:r>
      <w:r w:rsidR="00BF564D" w:rsidRPr="00447C80">
        <w:t>.</w:t>
      </w:r>
    </w:p>
    <w:p w14:paraId="67BD2574" w14:textId="68154300" w:rsidR="007E3833" w:rsidRPr="00447C80" w:rsidRDefault="00B4286F" w:rsidP="00094D04">
      <w:pPr>
        <w:pStyle w:val="spaced6"/>
      </w:pPr>
      <w:r w:rsidRPr="00B4286F">
        <w:t>Among individuals diagnosed with HIV infection in 2023, higher rates of HCV co-infection were observed in White (non-Hispanic) individuals (17%), individuals of other or unknown race/ethnicity and individuals with IDU exposure mode (83%). Co-infection rates were similar for individuals assigned male at birth and individuals assigned female at birth</w:t>
      </w:r>
      <w:r w:rsidR="00BF564D" w:rsidRPr="00447C80">
        <w:t>.</w:t>
      </w:r>
      <w:r w:rsidR="00AA2304" w:rsidRPr="00447C80">
        <w:br w:type="page"/>
      </w:r>
    </w:p>
    <w:p w14:paraId="69377CC4" w14:textId="5B18006A" w:rsidR="009232CF" w:rsidRPr="00381E6F" w:rsidRDefault="007E3833" w:rsidP="009232CF">
      <w:pPr>
        <w:pStyle w:val="Heading1"/>
      </w:pPr>
      <w:bookmarkStart w:id="42" w:name="_Toc873521826"/>
      <w:r>
        <w:lastRenderedPageBreak/>
        <w:t>SPECIFIC POPULATIONS-</w:t>
      </w:r>
      <w:r w:rsidR="009232CF">
        <w:t xml:space="preserve"> </w:t>
      </w:r>
      <w:r>
        <w:t>ADOLESCENTS AND YOUNG ADULTS</w:t>
      </w:r>
      <w:bookmarkEnd w:id="42"/>
      <w:r>
        <w:t xml:space="preserve"> </w:t>
      </w:r>
    </w:p>
    <w:p w14:paraId="26A5D521" w14:textId="32CA33A6" w:rsidR="007C2C42" w:rsidRPr="00381E6F" w:rsidRDefault="00285320" w:rsidP="009232CF">
      <w:pPr>
        <w:pStyle w:val="Heading2"/>
      </w:pPr>
      <w:bookmarkStart w:id="43" w:name="_Toc859110033"/>
      <w:r>
        <w:t>STI</w:t>
      </w:r>
      <w:r w:rsidR="007E3833">
        <w:t xml:space="preserve"> DIAGNOSES BY AGE</w:t>
      </w:r>
      <w:bookmarkEnd w:id="43"/>
    </w:p>
    <w:p w14:paraId="2F0C4EFE" w14:textId="69432C50" w:rsidR="007E3833" w:rsidRPr="00BC11CE" w:rsidRDefault="31445B20" w:rsidP="2AF4F12E">
      <w:r w:rsidRPr="00BC11CE">
        <w:rPr>
          <w:b/>
          <w:bCs/>
        </w:rPr>
        <w:t xml:space="preserve">Figure </w:t>
      </w:r>
      <w:r w:rsidR="002B4BE9" w:rsidRPr="00BC11CE">
        <w:rPr>
          <w:b/>
          <w:bCs/>
        </w:rPr>
        <w:t>32</w:t>
      </w:r>
      <w:r w:rsidRPr="00BC11CE">
        <w:rPr>
          <w:b/>
          <w:bCs/>
        </w:rPr>
        <w:t xml:space="preserve">. </w:t>
      </w:r>
      <w:r w:rsidRPr="00BC11CE">
        <w:t>Distribution of confirmed chlamydia and gonorrhea cases reported by age group (years), Massachusetts 202</w:t>
      </w:r>
      <w:r w:rsidR="00BC11CE" w:rsidRPr="00BC11CE">
        <w:t>3</w:t>
      </w:r>
    </w:p>
    <w:p w14:paraId="7E65EBA0" w14:textId="64B0CFB7" w:rsidR="007E3833" w:rsidRPr="00564297" w:rsidRDefault="00C567AF" w:rsidP="007E3833">
      <w:r>
        <w:rPr>
          <w:noProof/>
        </w:rPr>
        <w:drawing>
          <wp:inline distT="0" distB="0" distL="0" distR="0" wp14:anchorId="55C2F7CF" wp14:editId="34DD7555">
            <wp:extent cx="6407150" cy="3902075"/>
            <wp:effectExtent l="0" t="0" r="0" b="0"/>
            <wp:docPr id="1715860565" name="Picture 15" descr="The figure is a set of two side by side pie charts displaying the distribution by age group (15-24 or 25+) for 2023 chlamydia cases (N = 28,905 Excludes 5 missing age) on the left and 2023 gonorrhea cases (N = N = 9,779 All cases reported with age)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60565" name="Picture 15" descr="The figure is a set of two side by side pie charts displaying the distribution by age group (15-24 or 25+) for 2023 chlamydia cases (N = 28,905 Excludes 5 missing age) on the left and 2023 gonorrhea cases (N = N = 9,779 All cases reported with age) on the right.&#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7150" cy="3902075"/>
                    </a:xfrm>
                    <a:prstGeom prst="rect">
                      <a:avLst/>
                    </a:prstGeom>
                    <a:noFill/>
                  </pic:spPr>
                </pic:pic>
              </a:graphicData>
            </a:graphic>
          </wp:inline>
        </w:drawing>
      </w:r>
    </w:p>
    <w:p w14:paraId="3BD2CD75" w14:textId="25557E96" w:rsidR="007E3833" w:rsidRPr="00564297" w:rsidRDefault="007E3833" w:rsidP="007E3833">
      <w:pPr>
        <w:spacing w:after="120"/>
        <w:rPr>
          <w:sz w:val="20"/>
          <w:szCs w:val="20"/>
        </w:rPr>
      </w:pPr>
      <w:r w:rsidRPr="00564297">
        <w:rPr>
          <w:sz w:val="20"/>
          <w:szCs w:val="20"/>
        </w:rPr>
        <w:t xml:space="preserve">Data Source: Bureau of Infectious Disease and Laboratory Sciences, data are </w:t>
      </w:r>
      <w:r w:rsidR="009F7C6D" w:rsidRPr="00564297">
        <w:rPr>
          <w:sz w:val="20"/>
          <w:szCs w:val="20"/>
        </w:rPr>
        <w:t>current as of 7/22/2024</w:t>
      </w:r>
      <w:r w:rsidRPr="00564297">
        <w:rPr>
          <w:sz w:val="20"/>
          <w:szCs w:val="20"/>
        </w:rPr>
        <w:t xml:space="preserve"> and subject to change</w:t>
      </w:r>
      <w:r w:rsidR="00B1580A" w:rsidRPr="00564297">
        <w:rPr>
          <w:sz w:val="20"/>
          <w:szCs w:val="20"/>
        </w:rPr>
        <w:t>.</w:t>
      </w:r>
    </w:p>
    <w:p w14:paraId="5942AA95" w14:textId="4D0EB375" w:rsidR="00564297" w:rsidRPr="00564297" w:rsidRDefault="13BCBF38" w:rsidP="00564297">
      <w:pPr>
        <w:pStyle w:val="spaced6"/>
      </w:pPr>
      <w:r w:rsidRPr="00564297">
        <w:t>In 202</w:t>
      </w:r>
      <w:r w:rsidR="00564297" w:rsidRPr="00564297">
        <w:t>3</w:t>
      </w:r>
      <w:r w:rsidRPr="00564297">
        <w:t>,</w:t>
      </w:r>
      <w:r w:rsidR="007E3833" w:rsidRPr="00564297">
        <w:rPr>
          <w:rStyle w:val="FootnoteReference"/>
        </w:rPr>
        <w:footnoteReference w:id="96"/>
      </w:r>
      <w:r w:rsidRPr="00564297">
        <w:t xml:space="preserve"> </w:t>
      </w:r>
      <w:r w:rsidR="00564297" w:rsidRPr="00564297">
        <w:t xml:space="preserve">in Massachusetts, 56% of </w:t>
      </w:r>
      <w:r w:rsidR="003F6DFF">
        <w:t xml:space="preserve">confirmed </w:t>
      </w:r>
      <w:r w:rsidR="00564297" w:rsidRPr="00564297">
        <w:t xml:space="preserve">chlamydia cases and 35% of </w:t>
      </w:r>
      <w:r w:rsidR="003F6DFF">
        <w:t xml:space="preserve">confirmed </w:t>
      </w:r>
      <w:r w:rsidR="00564297" w:rsidRPr="00564297">
        <w:t xml:space="preserve">gonorrhea cases were reported among adolescents and young adults aged 15–24 years. </w:t>
      </w:r>
    </w:p>
    <w:p w14:paraId="0A78E71A" w14:textId="6D96F1FD" w:rsidR="007E3833" w:rsidRPr="00564297" w:rsidRDefault="00564297" w:rsidP="009F5B94">
      <w:pPr>
        <w:pStyle w:val="spaced6"/>
        <w:numPr>
          <w:ilvl w:val="1"/>
          <w:numId w:val="4"/>
        </w:numPr>
      </w:pPr>
      <w:r w:rsidRPr="00564297">
        <w:t>Nationally, 58% of chlamydia cases and 40% of gonorrhea cases were reported among adolescents and young adults aged 15–24 years in 2022</w:t>
      </w:r>
      <w:r w:rsidR="437C7907" w:rsidRPr="00564297">
        <w:t>.</w:t>
      </w:r>
      <w:r w:rsidR="007E3833" w:rsidRPr="00564297">
        <w:rPr>
          <w:rStyle w:val="FootnoteReference"/>
        </w:rPr>
        <w:footnoteReference w:id="97"/>
      </w:r>
      <w:r w:rsidR="437C7907" w:rsidRPr="00564297">
        <w:t xml:space="preserve">  </w:t>
      </w:r>
    </w:p>
    <w:p w14:paraId="42B36518" w14:textId="55A18582" w:rsidR="00B53EFB" w:rsidRPr="00234D05" w:rsidRDefault="00B53EFB" w:rsidP="007E3833">
      <w:pPr>
        <w:rPr>
          <w:color w:val="FF0000"/>
          <w:szCs w:val="24"/>
        </w:rPr>
      </w:pPr>
      <w:r w:rsidRPr="00234D05">
        <w:rPr>
          <w:color w:val="FF0000"/>
          <w:szCs w:val="24"/>
        </w:rPr>
        <w:br w:type="page"/>
      </w:r>
    </w:p>
    <w:p w14:paraId="66CE269C" w14:textId="47E88D4F" w:rsidR="00B53EFB" w:rsidRPr="007F2338" w:rsidRDefault="00285320" w:rsidP="00A2586D">
      <w:pPr>
        <w:pStyle w:val="Heading2"/>
      </w:pPr>
      <w:bookmarkStart w:id="44" w:name="_Toc682969368"/>
      <w:r>
        <w:lastRenderedPageBreak/>
        <w:t>STI</w:t>
      </w:r>
      <w:r w:rsidR="00B53EFB">
        <w:t xml:space="preserve"> DIAGNOSES BY AGE AND GENDER</w:t>
      </w:r>
      <w:bookmarkEnd w:id="44"/>
    </w:p>
    <w:p w14:paraId="202C60F2" w14:textId="7D19FB01" w:rsidR="00A2586D" w:rsidRPr="007F2338" w:rsidRDefault="721B1557" w:rsidP="2AF4F12E">
      <w:r w:rsidRPr="007F2338">
        <w:rPr>
          <w:b/>
          <w:bCs/>
        </w:rPr>
        <w:t xml:space="preserve">Figure </w:t>
      </w:r>
      <w:r w:rsidR="00794545" w:rsidRPr="007F2338">
        <w:rPr>
          <w:b/>
          <w:bCs/>
        </w:rPr>
        <w:t>33</w:t>
      </w:r>
      <w:r w:rsidRPr="007F2338">
        <w:rPr>
          <w:b/>
          <w:bCs/>
        </w:rPr>
        <w:t xml:space="preserve">. </w:t>
      </w:r>
      <w:r w:rsidRPr="007F2338">
        <w:t>Distribution of confirmed chlamydia and gonorrhea cases reported by age group (years) and gender, Massachusetts 202</w:t>
      </w:r>
      <w:r w:rsidR="007F2338" w:rsidRPr="007F2338">
        <w:t>3</w:t>
      </w:r>
    </w:p>
    <w:p w14:paraId="46D94E97" w14:textId="2478892A" w:rsidR="007E3833" w:rsidRPr="00234D05" w:rsidRDefault="000E153D" w:rsidP="007E3833">
      <w:pPr>
        <w:rPr>
          <w:color w:val="FF0000"/>
          <w:szCs w:val="24"/>
        </w:rPr>
      </w:pPr>
      <w:r>
        <w:rPr>
          <w:noProof/>
          <w:color w:val="FF0000"/>
          <w:szCs w:val="24"/>
        </w:rPr>
        <w:drawing>
          <wp:inline distT="0" distB="0" distL="0" distR="0" wp14:anchorId="09F3EF2E" wp14:editId="37D84772">
            <wp:extent cx="6352540" cy="3663950"/>
            <wp:effectExtent l="0" t="0" r="0" b="0"/>
            <wp:docPr id="1919366313" name="Picture 16" descr="The figure is a series of two stacked bar charts displaying the distribution by age group (&lt;15,15-24, 25-29, 30-39, 40-49, 50+) for four groups (male gender, female gender, transgender, and total) for chlamydia cases on the left and gonorrhea cases on the right for the most recen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66313" name="Picture 16" descr="The figure is a series of two stacked bar charts displaying the distribution by age group (&lt;15,15-24, 25-29, 30-39, 40-49, 50+) for four groups (male gender, female gender, transgender, and total) for chlamydia cases on the left and gonorrhea cases on the right for the most recent year.&#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2540" cy="3663950"/>
                    </a:xfrm>
                    <a:prstGeom prst="rect">
                      <a:avLst/>
                    </a:prstGeom>
                    <a:noFill/>
                  </pic:spPr>
                </pic:pic>
              </a:graphicData>
            </a:graphic>
          </wp:inline>
        </w:drawing>
      </w:r>
    </w:p>
    <w:p w14:paraId="21665658" w14:textId="1FD022A3" w:rsidR="00A2586D" w:rsidRPr="007F2338" w:rsidRDefault="00A2586D" w:rsidP="00A2586D">
      <w:pPr>
        <w:spacing w:after="120"/>
        <w:rPr>
          <w:sz w:val="20"/>
          <w:szCs w:val="20"/>
        </w:rPr>
      </w:pPr>
      <w:r w:rsidRPr="007F2338">
        <w:rPr>
          <w:sz w:val="20"/>
          <w:szCs w:val="20"/>
        </w:rPr>
        <w:t xml:space="preserve">Data Source: Bureau of Infectious Disease and Laboratory Sciences, data are </w:t>
      </w:r>
      <w:r w:rsidR="009F7C6D" w:rsidRPr="007F2338">
        <w:rPr>
          <w:sz w:val="20"/>
          <w:szCs w:val="20"/>
        </w:rPr>
        <w:t>current as of 7/22/2024</w:t>
      </w:r>
      <w:r w:rsidRPr="007F2338">
        <w:rPr>
          <w:sz w:val="20"/>
          <w:szCs w:val="20"/>
        </w:rPr>
        <w:t xml:space="preserve"> and subject to change</w:t>
      </w:r>
      <w:r w:rsidR="00B1580A" w:rsidRPr="007F2338">
        <w:rPr>
          <w:sz w:val="20"/>
          <w:szCs w:val="20"/>
        </w:rPr>
        <w:t>.</w:t>
      </w:r>
    </w:p>
    <w:p w14:paraId="77F2D925" w14:textId="7286DD28" w:rsidR="007F2338" w:rsidRPr="007F2338" w:rsidRDefault="76115FA0" w:rsidP="007F2338">
      <w:pPr>
        <w:pStyle w:val="spaced6"/>
      </w:pPr>
      <w:r w:rsidRPr="007F2338">
        <w:t>In 202</w:t>
      </w:r>
      <w:r w:rsidR="007F2338" w:rsidRPr="007F2338">
        <w:t>3</w:t>
      </w:r>
      <w:r w:rsidRPr="007F2338">
        <w:t>,</w:t>
      </w:r>
      <w:r w:rsidR="00A2586D" w:rsidRPr="007F2338">
        <w:rPr>
          <w:rStyle w:val="FootnoteReference"/>
        </w:rPr>
        <w:footnoteReference w:id="98"/>
      </w:r>
      <w:r w:rsidRPr="007F2338">
        <w:t xml:space="preserve"> </w:t>
      </w:r>
      <w:r w:rsidR="007F2338" w:rsidRPr="007F2338">
        <w:t xml:space="preserve">in Massachusetts, 44% of </w:t>
      </w:r>
      <w:r w:rsidR="003F6DFF">
        <w:t xml:space="preserve">confirmed </w:t>
      </w:r>
      <w:r w:rsidR="007F2338" w:rsidRPr="007F2338">
        <w:t>chlamydia cases reported among males, 63% among females, 22% among individuals of transgender experience,</w:t>
      </w:r>
      <w:r w:rsidRPr="0B77371A">
        <w:rPr>
          <w:rStyle w:val="FootnoteReference"/>
        </w:rPr>
        <w:footnoteReference w:id="99"/>
      </w:r>
      <w:r w:rsidR="007F2338" w:rsidRPr="007F2338">
        <w:t xml:space="preserve"> and 56% of total cases were reported among adolescents and young adults aged 15–24 years. </w:t>
      </w:r>
    </w:p>
    <w:p w14:paraId="6E5F0F74" w14:textId="3A816AD6" w:rsidR="00A2586D" w:rsidRPr="007F2338" w:rsidRDefault="007F2338" w:rsidP="007F2338">
      <w:pPr>
        <w:pStyle w:val="spaced6"/>
        <w:numPr>
          <w:ilvl w:val="1"/>
          <w:numId w:val="4"/>
        </w:numPr>
      </w:pPr>
      <w:r w:rsidRPr="007F2338">
        <w:t>Nationally in 2022, 46% of chlamydia cases reported among males, 65% among females, and 58% of total cases were reported among adolescents and young adults aged 15–24 years</w:t>
      </w:r>
      <w:r w:rsidR="48DC76DE" w:rsidRPr="007F2338">
        <w:t>.</w:t>
      </w:r>
    </w:p>
    <w:p w14:paraId="526C5E7B" w14:textId="25157C42" w:rsidR="007F2338" w:rsidRPr="007F2338" w:rsidRDefault="007F2338" w:rsidP="007F2338">
      <w:pPr>
        <w:pStyle w:val="spaced6"/>
      </w:pPr>
      <w:r w:rsidRPr="007F2338">
        <w:t xml:space="preserve">In 2023, in Massachusetts, 28% of </w:t>
      </w:r>
      <w:r w:rsidR="003F6DFF">
        <w:t xml:space="preserve">confirmed </w:t>
      </w:r>
      <w:r w:rsidRPr="007F2338">
        <w:t xml:space="preserve">gonorrhea cases reported among males, 52% among females, 30% among individuals of transgender experience, and 35% of total cases were reported among adolescents and young adults aged 15–24 years. </w:t>
      </w:r>
    </w:p>
    <w:p w14:paraId="1A470EF1" w14:textId="227183A8" w:rsidR="00FE4D0D" w:rsidRPr="007F2338" w:rsidRDefault="007F2338" w:rsidP="002D0838">
      <w:pPr>
        <w:pStyle w:val="spaced6"/>
        <w:numPr>
          <w:ilvl w:val="1"/>
          <w:numId w:val="4"/>
        </w:numPr>
      </w:pPr>
      <w:r w:rsidRPr="007F2338">
        <w:t>Nationally in 2022, 32% of gonorrhea cases reported among males, 53% among females, and 40% of total cases were reported among adolescents and young adults aged 15–24 years</w:t>
      </w:r>
      <w:r w:rsidR="60EE4A5E" w:rsidRPr="007F2338">
        <w:t>.</w:t>
      </w:r>
      <w:r w:rsidR="0016072F" w:rsidRPr="007F2338">
        <w:rPr>
          <w:rStyle w:val="FootnoteReference"/>
        </w:rPr>
        <w:footnoteReference w:id="100"/>
      </w:r>
      <w:r w:rsidR="00A2586D" w:rsidRPr="007F2338">
        <w:br w:type="page"/>
      </w:r>
    </w:p>
    <w:p w14:paraId="6760631C" w14:textId="08CECD8F" w:rsidR="00A2586D" w:rsidRPr="003B53AA" w:rsidRDefault="00FE4D0D" w:rsidP="38A4F72D">
      <w:pPr>
        <w:pStyle w:val="Heading2"/>
      </w:pPr>
      <w:bookmarkStart w:id="45" w:name="_Toc796502633"/>
      <w:r>
        <w:lastRenderedPageBreak/>
        <w:t>HIV DIAGNOSES BY RACE/ETHNICITY</w:t>
      </w:r>
      <w:bookmarkEnd w:id="45"/>
      <w:r w:rsidR="003B0BB0">
        <w:t xml:space="preserve"> </w:t>
      </w:r>
      <w:r w:rsidR="2BAF964C">
        <w:t>AMONG ADOLESCENTS AND YOUNG ADULTS</w:t>
      </w:r>
    </w:p>
    <w:p w14:paraId="75BBD1F2" w14:textId="12F460D1" w:rsidR="00FE4D0D" w:rsidRPr="00B97ADA" w:rsidRDefault="39DB278F" w:rsidP="00FE4D0D">
      <w:r w:rsidRPr="00B97ADA">
        <w:rPr>
          <w:b/>
          <w:bCs/>
        </w:rPr>
        <w:t xml:space="preserve">Figure 34. </w:t>
      </w:r>
      <w:r w:rsidRPr="00B97ADA">
        <w:t xml:space="preserve">Distribution of HIV infection diagnoses in adolescents and young adults (aged 15–24 years) by race/ethnicity, exposure mode, place of birth, and sex assigned at birth, Massachusetts </w:t>
      </w:r>
      <w:r w:rsidR="004822C5" w:rsidRPr="00B97ADA">
        <w:t>2021–2023</w:t>
      </w:r>
      <w:r w:rsidRPr="00B97ADA">
        <w:t>, N=1</w:t>
      </w:r>
      <w:r w:rsidR="00B97ADA" w:rsidRPr="00B97ADA">
        <w:t>57</w:t>
      </w:r>
    </w:p>
    <w:p w14:paraId="42430E94" w14:textId="44D821DD" w:rsidR="001F75D4" w:rsidRPr="00234D05" w:rsidRDefault="00535830" w:rsidP="00FE4D0D">
      <w:pPr>
        <w:spacing w:after="120"/>
        <w:rPr>
          <w:color w:val="FF0000"/>
          <w:sz w:val="20"/>
          <w:szCs w:val="20"/>
        </w:rPr>
      </w:pPr>
      <w:r>
        <w:rPr>
          <w:noProof/>
          <w:color w:val="FF0000"/>
          <w:sz w:val="20"/>
          <w:szCs w:val="20"/>
        </w:rPr>
        <w:drawing>
          <wp:inline distT="0" distB="0" distL="0" distR="0" wp14:anchorId="3E5D495A" wp14:editId="543B8454">
            <wp:extent cx="6553200" cy="4949340"/>
            <wp:effectExtent l="0" t="0" r="0" b="0"/>
            <wp:docPr id="186947058" name="Picture 17" descr="The figure is a series of four bar charts displaying the distribution of adolescents and young adults diagnosed with HIV infection by race/ethnicity, place of birth, sex assigned at birth,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7058" name="Picture 17" descr="The figure is a series of four bar charts displaying the distribution of adolescents and young adults diagnosed with HIV infection by race/ethnicity, place of birth, sex assigned at birth, and exposure mode.&#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54831" cy="4950572"/>
                    </a:xfrm>
                    <a:prstGeom prst="rect">
                      <a:avLst/>
                    </a:prstGeom>
                    <a:noFill/>
                  </pic:spPr>
                </pic:pic>
              </a:graphicData>
            </a:graphic>
          </wp:inline>
        </w:drawing>
      </w:r>
    </w:p>
    <w:p w14:paraId="481C0182" w14:textId="40127ADB" w:rsidR="00FE4D0D" w:rsidRPr="00B97ADA" w:rsidRDefault="00FE4D0D" w:rsidP="00FE4D0D">
      <w:pPr>
        <w:spacing w:after="120"/>
        <w:rPr>
          <w:sz w:val="20"/>
          <w:szCs w:val="20"/>
        </w:rPr>
      </w:pPr>
      <w:r w:rsidRPr="00B97ADA">
        <w:rPr>
          <w:sz w:val="20"/>
          <w:szCs w:val="20"/>
        </w:rPr>
        <w:t xml:space="preserve">Data Source: Bureau of Infectious Disease and Laboratory Sciences, data are </w:t>
      </w:r>
      <w:r w:rsidR="004822C5" w:rsidRPr="00B97ADA">
        <w:rPr>
          <w:sz w:val="20"/>
          <w:szCs w:val="20"/>
        </w:rPr>
        <w:t>current as of 7/1/2024</w:t>
      </w:r>
      <w:r w:rsidRPr="00B97ADA">
        <w:rPr>
          <w:sz w:val="20"/>
          <w:szCs w:val="20"/>
        </w:rPr>
        <w:t xml:space="preserve"> and subject to change</w:t>
      </w:r>
      <w:r w:rsidR="00B1580A" w:rsidRPr="00B97ADA">
        <w:rPr>
          <w:sz w:val="20"/>
          <w:szCs w:val="20"/>
        </w:rPr>
        <w:t>.</w:t>
      </w:r>
    </w:p>
    <w:p w14:paraId="254DD6C5" w14:textId="77777777" w:rsidR="009C700D" w:rsidRPr="009C700D" w:rsidRDefault="0BDA7600" w:rsidP="009C700D">
      <w:pPr>
        <w:pStyle w:val="spaced6"/>
      </w:pPr>
      <w:r w:rsidRPr="009C700D">
        <w:t>During 20</w:t>
      </w:r>
      <w:r w:rsidR="001F75D4" w:rsidRPr="009C700D">
        <w:t>2</w:t>
      </w:r>
      <w:r w:rsidR="009C700D" w:rsidRPr="009C700D">
        <w:t>1</w:t>
      </w:r>
      <w:r w:rsidRPr="009C700D">
        <w:t xml:space="preserve"> to 202</w:t>
      </w:r>
      <w:r w:rsidR="009C700D" w:rsidRPr="009C700D">
        <w:t>3</w:t>
      </w:r>
      <w:r w:rsidRPr="009C700D">
        <w:t>,</w:t>
      </w:r>
      <w:r w:rsidR="00FE4D0D" w:rsidRPr="009C700D">
        <w:rPr>
          <w:rStyle w:val="FootnoteReference"/>
        </w:rPr>
        <w:footnoteReference w:id="101"/>
      </w:r>
      <w:r w:rsidRPr="009C700D">
        <w:t xml:space="preserve"> </w:t>
      </w:r>
      <w:r w:rsidR="009C700D" w:rsidRPr="009C700D">
        <w:t xml:space="preserve">11% (N=157/1,435) of HIV infection diagnoses were reported among adolescents and young adults aged 15–24 years. </w:t>
      </w:r>
    </w:p>
    <w:p w14:paraId="659DDA6B" w14:textId="767A3BBF" w:rsidR="001F75D4" w:rsidRPr="009C700D" w:rsidRDefault="009C700D" w:rsidP="009C700D">
      <w:pPr>
        <w:pStyle w:val="spaced6"/>
      </w:pPr>
      <w:r w:rsidRPr="009C700D">
        <w:t xml:space="preserve">Adolescent and young adults aged 15–24 years newly diagnosed with HIV infection in Massachusetts during 2021 to 2023 were predominantly Hispanic/Latinx (48%) or Black (non-Hispanic) (24%), assigned male at birth (86%), and US born (61%), with an exposure mode of male-to-male sex (68%). </w:t>
      </w:r>
    </w:p>
    <w:p w14:paraId="456ED661" w14:textId="1271EAC3" w:rsidR="00FE4D0D" w:rsidRPr="004A3781" w:rsidRDefault="003A6561" w:rsidP="003A6561">
      <w:pPr>
        <w:pStyle w:val="Heading2"/>
      </w:pPr>
      <w:bookmarkStart w:id="46" w:name="_Toc1331297994"/>
      <w:r>
        <w:lastRenderedPageBreak/>
        <w:t>HEPATITIS C BY AGE AND GENDER</w:t>
      </w:r>
      <w:bookmarkEnd w:id="46"/>
    </w:p>
    <w:p w14:paraId="169DCB0E" w14:textId="1F8E61B1" w:rsidR="003A6561" w:rsidRPr="00B96FF0" w:rsidRDefault="3C02676E" w:rsidP="003A6561">
      <w:pPr>
        <w:rPr>
          <w:szCs w:val="24"/>
        </w:rPr>
      </w:pPr>
      <w:r w:rsidRPr="00B96FF0">
        <w:rPr>
          <w:b/>
          <w:bCs/>
        </w:rPr>
        <w:t xml:space="preserve">Figure </w:t>
      </w:r>
      <w:r w:rsidR="00B333F2" w:rsidRPr="00B96FF0">
        <w:rPr>
          <w:b/>
          <w:bCs/>
        </w:rPr>
        <w:t>35</w:t>
      </w:r>
      <w:r w:rsidRPr="00B96FF0">
        <w:rPr>
          <w:b/>
          <w:bCs/>
        </w:rPr>
        <w:t xml:space="preserve">. </w:t>
      </w:r>
      <w:r w:rsidRPr="00B96FF0">
        <w:t xml:space="preserve">Number of confirmed and probable </w:t>
      </w:r>
      <w:r w:rsidR="008203AA">
        <w:t>HCV</w:t>
      </w:r>
      <w:r w:rsidRPr="00B96FF0">
        <w:t xml:space="preserve"> cases reported by age and female and male gender, Massachusetts 2002, 2007, 202</w:t>
      </w:r>
      <w:r w:rsidR="004A3781" w:rsidRPr="00B96FF0">
        <w:t>3</w:t>
      </w:r>
      <w:r w:rsidR="003A6561" w:rsidRPr="00B96FF0">
        <w:rPr>
          <w:rStyle w:val="FootnoteReference"/>
        </w:rPr>
        <w:footnoteReference w:id="102"/>
      </w:r>
    </w:p>
    <w:p w14:paraId="24AE46F6" w14:textId="088377DE" w:rsidR="003A6561" w:rsidRPr="00234D05" w:rsidRDefault="003A6561" w:rsidP="034544F5"/>
    <w:p w14:paraId="0772AACA" w14:textId="6F5C9000" w:rsidR="00042FB8" w:rsidRDefault="348322CA" w:rsidP="004C354C">
      <w:r>
        <w:rPr>
          <w:noProof/>
          <w:szCs w:val="24"/>
        </w:rPr>
        <w:drawing>
          <wp:inline distT="0" distB="0" distL="0" distR="0" wp14:anchorId="643085C3" wp14:editId="73AB8B42">
            <wp:extent cx="5872336" cy="6629400"/>
            <wp:effectExtent l="0" t="0" r="0" b="0"/>
            <wp:docPr id="1955187130" name="Picture 1955187130" descr="The figure is a series of three stacked bar charts displaying the number of both male and female hepatitis C cases reported at each age from 0 to 95 years for the years 2002, 2007 and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87130" name="Picture 1955187130" descr="The figure is a series of three stacked bar charts displaying the number of both male and female hepatitis C cases reported at each age from 0 to 95 years for the years 2002, 2007 and 2023.&#10;"/>
                    <pic:cNvPicPr/>
                  </pic:nvPicPr>
                  <pic:blipFill>
                    <a:blip r:embed="rId59">
                      <a:extLst>
                        <a:ext uri="{28A0092B-C50C-407E-A947-70E740481C1C}">
                          <a14:useLocalDpi xmlns:a14="http://schemas.microsoft.com/office/drawing/2010/main" val="0"/>
                        </a:ext>
                      </a:extLst>
                    </a:blip>
                    <a:stretch>
                      <a:fillRect/>
                    </a:stretch>
                  </pic:blipFill>
                  <pic:spPr>
                    <a:xfrm>
                      <a:off x="0" y="0"/>
                      <a:ext cx="5886956" cy="6645905"/>
                    </a:xfrm>
                    <a:prstGeom prst="rect">
                      <a:avLst/>
                    </a:prstGeom>
                  </pic:spPr>
                </pic:pic>
              </a:graphicData>
            </a:graphic>
          </wp:inline>
        </w:drawing>
      </w:r>
      <w:r w:rsidR="00042FB8">
        <w:br w:type="page"/>
      </w:r>
    </w:p>
    <w:p w14:paraId="3EB19EAD" w14:textId="2A902AD3" w:rsidR="005D38C1" w:rsidRPr="0074251C" w:rsidRDefault="005D38C1" w:rsidP="00042FB8">
      <w:r w:rsidRPr="0074251C">
        <w:lastRenderedPageBreak/>
        <w:t xml:space="preserve">The age distribution of </w:t>
      </w:r>
      <w:r w:rsidR="008203AA">
        <w:t xml:space="preserve">hepatitis C </w:t>
      </w:r>
      <w:r w:rsidRPr="0074251C">
        <w:t>virus (HCV) cases reported in Massachusetts changed between 2002 and 202</w:t>
      </w:r>
      <w:r w:rsidR="0074251C" w:rsidRPr="0074251C">
        <w:t>3</w:t>
      </w:r>
      <w:r w:rsidRPr="0074251C">
        <w:rPr>
          <w:rStyle w:val="FootnoteReference"/>
        </w:rPr>
        <w:footnoteReference w:id="103"/>
      </w:r>
      <w:r w:rsidRPr="0074251C">
        <w:t xml:space="preserve"> with a significant increase in cases among young persons who inject drugs. </w:t>
      </w:r>
    </w:p>
    <w:p w14:paraId="6AE92202" w14:textId="77777777" w:rsidR="001D6A38" w:rsidRPr="001D6A38" w:rsidRDefault="001D6A38" w:rsidP="001D6A38">
      <w:pPr>
        <w:pStyle w:val="spaced6"/>
      </w:pPr>
      <w:r w:rsidRPr="001D6A38">
        <w:t xml:space="preserve">In 2002, reported HCV cases were distributed in a curve with one age peak at 44 years. </w:t>
      </w:r>
    </w:p>
    <w:p w14:paraId="0CCA8F1B" w14:textId="0F092385" w:rsidR="001D6A38" w:rsidRPr="001D6A38" w:rsidRDefault="001D6A38" w:rsidP="001D6A38">
      <w:pPr>
        <w:pStyle w:val="spaced6"/>
      </w:pPr>
      <w:r w:rsidRPr="001D6A38">
        <w:t xml:space="preserve">In 2007, reported cases of </w:t>
      </w:r>
      <w:r w:rsidR="008203AA">
        <w:t>HCV</w:t>
      </w:r>
      <w:r w:rsidRPr="001D6A38">
        <w:t xml:space="preserve"> were distributed in a curve with two age peaks, with the lower peak at age 24 years and the higher peak at age 49 years. </w:t>
      </w:r>
    </w:p>
    <w:p w14:paraId="51E0B355" w14:textId="77777777" w:rsidR="001D6A38" w:rsidRPr="001D6A38" w:rsidRDefault="001D6A38" w:rsidP="001D6A38">
      <w:pPr>
        <w:pStyle w:val="spaced6"/>
      </w:pPr>
      <w:r w:rsidRPr="001D6A38">
        <w:t>In 2023, HCV cases among young adults who inject drugs outnumbered newly reported cases among the older (“baby boomer”) age cohort.</w:t>
      </w:r>
    </w:p>
    <w:p w14:paraId="344CAA62" w14:textId="77777777" w:rsidR="001D6A38" w:rsidRPr="001D6A38" w:rsidRDefault="001D6A38" w:rsidP="001D6A38">
      <w:pPr>
        <w:pStyle w:val="spaced6"/>
      </w:pPr>
      <w:r w:rsidRPr="001D6A38">
        <w:t>The proportion of cases among young adults (aged 20-39 years) was higher in 2007 (38%, N=3,179/8,264) and 2023 (42%, N=1,066/2,542) compared to 2002 (31%, N=2,801/9,046).</w:t>
      </w:r>
    </w:p>
    <w:p w14:paraId="7C3137A8" w14:textId="76C162FE" w:rsidR="001D6A38" w:rsidRPr="001D6A38" w:rsidRDefault="001D6A38" w:rsidP="001D6A38">
      <w:pPr>
        <w:pStyle w:val="spaced6"/>
      </w:pPr>
      <w:r w:rsidRPr="001D6A38">
        <w:t xml:space="preserve">The primary risk for </w:t>
      </w:r>
      <w:r w:rsidR="008203AA">
        <w:t>HCV</w:t>
      </w:r>
      <w:r w:rsidRPr="001D6A38">
        <w:t xml:space="preserve"> infection in younger adults is injection drug use.  While the primary exposure mode for HIV infection in younger adults is male-to-male sex, recent increases in the number of HIV infections attributed to injection drug use have been observed, particularly among young adults (aged 13-29 years). </w:t>
      </w:r>
    </w:p>
    <w:p w14:paraId="4227A062" w14:textId="4847212D" w:rsidR="009E3E87" w:rsidRPr="001D6A38" w:rsidRDefault="009E3E87" w:rsidP="72E089C3">
      <w:pPr>
        <w:pStyle w:val="spaced6"/>
        <w:numPr>
          <w:ilvl w:val="0"/>
          <w:numId w:val="0"/>
        </w:numPr>
      </w:pPr>
      <w:r>
        <w:br w:type="page"/>
      </w:r>
    </w:p>
    <w:p w14:paraId="17FF9EB4" w14:textId="638EB30D" w:rsidR="00FE4D0D" w:rsidRPr="001D6A38" w:rsidRDefault="009E3E87" w:rsidP="009E3E87">
      <w:pPr>
        <w:pStyle w:val="Heading2"/>
      </w:pPr>
      <w:bookmarkStart w:id="47" w:name="_Toc1074799859"/>
      <w:r>
        <w:lastRenderedPageBreak/>
        <w:t>MASSACHUSETTS YOUTH RISK BEHAVIOR SURVEY</w:t>
      </w:r>
      <w:bookmarkEnd w:id="47"/>
    </w:p>
    <w:p w14:paraId="2C4DA8EF" w14:textId="4D7ABD17" w:rsidR="003A6561" w:rsidRPr="001D6A38" w:rsidRDefault="009E3E87" w:rsidP="00FE4D0D">
      <w:pPr>
        <w:rPr>
          <w:szCs w:val="24"/>
        </w:rPr>
      </w:pPr>
      <w:r w:rsidRPr="001D6A38">
        <w:rPr>
          <w:b/>
          <w:bCs/>
          <w:szCs w:val="24"/>
        </w:rPr>
        <w:t xml:space="preserve">Table 5. </w:t>
      </w:r>
      <w:r w:rsidRPr="001D6A38">
        <w:rPr>
          <w:szCs w:val="24"/>
        </w:rPr>
        <w:t>Reported sexual behaviors among Massachusetts high school students, 201</w:t>
      </w:r>
      <w:r w:rsidR="002B2FC5">
        <w:rPr>
          <w:szCs w:val="24"/>
        </w:rPr>
        <w:t>5</w:t>
      </w:r>
      <w:r w:rsidRPr="001D6A38">
        <w:rPr>
          <w:szCs w:val="24"/>
        </w:rPr>
        <w:t>–20</w:t>
      </w:r>
      <w:r w:rsidR="009378D7" w:rsidRPr="001D6A38">
        <w:rPr>
          <w:szCs w:val="24"/>
        </w:rPr>
        <w:t>2</w:t>
      </w:r>
      <w:r w:rsidR="002B2FC5">
        <w:rPr>
          <w:szCs w:val="24"/>
        </w:rPr>
        <w:t>3</w:t>
      </w:r>
    </w:p>
    <w:tbl>
      <w:tblPr>
        <w:tblStyle w:val="TableGrid"/>
        <w:tblW w:w="9420" w:type="dxa"/>
        <w:tblLook w:val="04A0" w:firstRow="1" w:lastRow="0" w:firstColumn="1" w:lastColumn="0" w:noHBand="0" w:noVBand="1"/>
        <w:tblCaption w:val="Table 5. Reported sexual behaviors among Massachusetts high school students, 2013–2021"/>
        <w:tblDescription w:val="The table displays the percentage of high school students who reported: ever having sexual intercourse, having sexual intercourse before age 13, having had sexual intercourse with four or more partners during their life, using a condom at last sexual intercourse, drinking alcohol or using drugs before last sexual intercourse, or ever injecting any illegal drug in 2013, 2015, 2017, 2019, and 2021.&#10;"/>
      </w:tblPr>
      <w:tblGrid>
        <w:gridCol w:w="2505"/>
        <w:gridCol w:w="1383"/>
        <w:gridCol w:w="1383"/>
        <w:gridCol w:w="1383"/>
        <w:gridCol w:w="1383"/>
        <w:gridCol w:w="1383"/>
      </w:tblGrid>
      <w:tr w:rsidR="002B2FC5" w:rsidRPr="001D6A38" w14:paraId="02B2E7AD" w14:textId="77777777" w:rsidTr="388E5C6E">
        <w:trPr>
          <w:trHeight w:val="207"/>
        </w:trPr>
        <w:tc>
          <w:tcPr>
            <w:tcW w:w="0" w:type="auto"/>
            <w:hideMark/>
          </w:tcPr>
          <w:p w14:paraId="10CD3DCB" w14:textId="77777777" w:rsidR="002B2FC5" w:rsidRPr="001D6A38" w:rsidRDefault="002B2FC5" w:rsidP="002B2FC5"/>
        </w:tc>
        <w:tc>
          <w:tcPr>
            <w:tcW w:w="1383" w:type="dxa"/>
            <w:hideMark/>
          </w:tcPr>
          <w:p w14:paraId="2CC85051" w14:textId="5BC2FDED" w:rsidR="002B2FC5" w:rsidRPr="001D6A38" w:rsidRDefault="002B2FC5" w:rsidP="002B2FC5">
            <w:pPr>
              <w:jc w:val="center"/>
            </w:pPr>
            <w:r w:rsidRPr="001D6A38">
              <w:rPr>
                <w:b/>
                <w:bCs/>
              </w:rPr>
              <w:t>2015</w:t>
            </w:r>
          </w:p>
        </w:tc>
        <w:tc>
          <w:tcPr>
            <w:tcW w:w="1383" w:type="dxa"/>
            <w:hideMark/>
          </w:tcPr>
          <w:p w14:paraId="1BBDF66A" w14:textId="7251BEBB" w:rsidR="002B2FC5" w:rsidRPr="001D6A38" w:rsidRDefault="002B2FC5" w:rsidP="002B2FC5">
            <w:pPr>
              <w:jc w:val="center"/>
            </w:pPr>
            <w:r w:rsidRPr="001D6A38">
              <w:rPr>
                <w:b/>
                <w:bCs/>
              </w:rPr>
              <w:t>2017</w:t>
            </w:r>
          </w:p>
        </w:tc>
        <w:tc>
          <w:tcPr>
            <w:tcW w:w="1383" w:type="dxa"/>
            <w:hideMark/>
          </w:tcPr>
          <w:p w14:paraId="61A302D1" w14:textId="69AE165C" w:rsidR="002B2FC5" w:rsidRPr="001D6A38" w:rsidRDefault="002B2FC5" w:rsidP="002B2FC5">
            <w:pPr>
              <w:jc w:val="center"/>
            </w:pPr>
            <w:r w:rsidRPr="001D6A38">
              <w:rPr>
                <w:b/>
                <w:bCs/>
              </w:rPr>
              <w:t>2019</w:t>
            </w:r>
          </w:p>
        </w:tc>
        <w:tc>
          <w:tcPr>
            <w:tcW w:w="1383" w:type="dxa"/>
            <w:hideMark/>
          </w:tcPr>
          <w:p w14:paraId="45B0029D" w14:textId="7386C9CC" w:rsidR="002B2FC5" w:rsidRPr="001D6A38" w:rsidRDefault="002B2FC5" w:rsidP="002B2FC5">
            <w:pPr>
              <w:jc w:val="center"/>
            </w:pPr>
            <w:r w:rsidRPr="001D6A38">
              <w:rPr>
                <w:b/>
                <w:bCs/>
              </w:rPr>
              <w:t>2021</w:t>
            </w:r>
            <w:r w:rsidR="00B33A9A">
              <w:rPr>
                <w:rStyle w:val="FootnoteReference"/>
                <w:b/>
                <w:bCs/>
              </w:rPr>
              <w:footnoteReference w:id="104"/>
            </w:r>
          </w:p>
        </w:tc>
        <w:tc>
          <w:tcPr>
            <w:tcW w:w="1383" w:type="dxa"/>
            <w:hideMark/>
          </w:tcPr>
          <w:p w14:paraId="0C611017" w14:textId="2EE57435" w:rsidR="002B2FC5" w:rsidRPr="001D6A38" w:rsidRDefault="002B2FC5" w:rsidP="002B2FC5">
            <w:pPr>
              <w:jc w:val="center"/>
            </w:pPr>
            <w:r w:rsidRPr="001D6A38">
              <w:rPr>
                <w:b/>
                <w:bCs/>
              </w:rPr>
              <w:t>202</w:t>
            </w:r>
            <w:r>
              <w:rPr>
                <w:b/>
                <w:bCs/>
              </w:rPr>
              <w:t>3</w:t>
            </w:r>
          </w:p>
        </w:tc>
      </w:tr>
      <w:tr w:rsidR="002B2FC5" w:rsidRPr="001D6A38" w14:paraId="53431EBA" w14:textId="77777777" w:rsidTr="388E5C6E">
        <w:trPr>
          <w:trHeight w:val="759"/>
        </w:trPr>
        <w:tc>
          <w:tcPr>
            <w:tcW w:w="2505" w:type="dxa"/>
            <w:hideMark/>
          </w:tcPr>
          <w:p w14:paraId="246E767F" w14:textId="77777777" w:rsidR="002B2FC5" w:rsidRPr="001D6A38" w:rsidRDefault="002B2FC5" w:rsidP="002B2FC5">
            <w:pPr>
              <w:rPr>
                <w:b/>
                <w:bCs/>
              </w:rPr>
            </w:pPr>
          </w:p>
          <w:p w14:paraId="3CC4A4C8" w14:textId="77777777" w:rsidR="002B2FC5" w:rsidRPr="001D6A38" w:rsidRDefault="002B2FC5" w:rsidP="002B2FC5">
            <w:r w:rsidRPr="001D6A38">
              <w:rPr>
                <w:b/>
                <w:bCs/>
              </w:rPr>
              <w:t>Percentage who reported:</w:t>
            </w:r>
          </w:p>
        </w:tc>
        <w:tc>
          <w:tcPr>
            <w:tcW w:w="1383" w:type="dxa"/>
            <w:hideMark/>
          </w:tcPr>
          <w:p w14:paraId="61320F16" w14:textId="77777777" w:rsidR="002B2FC5" w:rsidRPr="001D6A38" w:rsidRDefault="002B2FC5" w:rsidP="002B2FC5">
            <w:pPr>
              <w:jc w:val="center"/>
            </w:pPr>
            <w:r w:rsidRPr="001D6A38">
              <w:rPr>
                <w:b/>
                <w:bCs/>
              </w:rPr>
              <w:t>%</w:t>
            </w:r>
          </w:p>
          <w:p w14:paraId="5879B886" w14:textId="77777777" w:rsidR="002B2FC5" w:rsidRPr="001D6A38" w:rsidRDefault="002B2FC5" w:rsidP="002B2FC5">
            <w:pPr>
              <w:jc w:val="center"/>
            </w:pPr>
            <w:r w:rsidRPr="001D6A38">
              <w:rPr>
                <w:b/>
                <w:bCs/>
              </w:rPr>
              <w:t>(95% CI)</w:t>
            </w:r>
          </w:p>
          <w:p w14:paraId="40498E50" w14:textId="74F6F360" w:rsidR="002B2FC5" w:rsidRPr="001D6A38" w:rsidRDefault="002B2FC5" w:rsidP="002B2FC5">
            <w:pPr>
              <w:jc w:val="center"/>
            </w:pPr>
            <w:r w:rsidRPr="001D6A38">
              <w:rPr>
                <w:b/>
                <w:bCs/>
              </w:rPr>
              <w:t>n</w:t>
            </w:r>
            <w:r w:rsidR="00137E0C">
              <w:rPr>
                <w:rStyle w:val="FootnoteReference"/>
                <w:b/>
                <w:bCs/>
              </w:rPr>
              <w:footnoteReference w:id="105"/>
            </w:r>
          </w:p>
        </w:tc>
        <w:tc>
          <w:tcPr>
            <w:tcW w:w="1383" w:type="dxa"/>
            <w:hideMark/>
          </w:tcPr>
          <w:p w14:paraId="769B2587" w14:textId="77777777" w:rsidR="002B2FC5" w:rsidRPr="001D6A38" w:rsidRDefault="002B2FC5" w:rsidP="002B2FC5">
            <w:pPr>
              <w:jc w:val="center"/>
            </w:pPr>
            <w:r w:rsidRPr="001D6A38">
              <w:rPr>
                <w:b/>
                <w:bCs/>
              </w:rPr>
              <w:t>%</w:t>
            </w:r>
          </w:p>
          <w:p w14:paraId="38FBA4C1" w14:textId="77777777" w:rsidR="002B2FC5" w:rsidRPr="001D6A38" w:rsidRDefault="002B2FC5" w:rsidP="002B2FC5">
            <w:pPr>
              <w:jc w:val="center"/>
            </w:pPr>
            <w:r w:rsidRPr="001D6A38">
              <w:rPr>
                <w:b/>
                <w:bCs/>
              </w:rPr>
              <w:t>(95% CI)</w:t>
            </w:r>
          </w:p>
          <w:p w14:paraId="381CABDF" w14:textId="28EC4B91" w:rsidR="002B2FC5" w:rsidRPr="001D6A38" w:rsidRDefault="002B2FC5" w:rsidP="002B2FC5">
            <w:pPr>
              <w:jc w:val="center"/>
            </w:pPr>
            <w:r w:rsidRPr="001D6A38">
              <w:rPr>
                <w:b/>
                <w:bCs/>
              </w:rPr>
              <w:t>n</w:t>
            </w:r>
          </w:p>
        </w:tc>
        <w:tc>
          <w:tcPr>
            <w:tcW w:w="1383" w:type="dxa"/>
            <w:hideMark/>
          </w:tcPr>
          <w:p w14:paraId="220CE672" w14:textId="77777777" w:rsidR="002B2FC5" w:rsidRPr="001D6A38" w:rsidRDefault="002B2FC5" w:rsidP="002B2FC5">
            <w:pPr>
              <w:jc w:val="center"/>
            </w:pPr>
            <w:r w:rsidRPr="001D6A38">
              <w:rPr>
                <w:b/>
                <w:bCs/>
              </w:rPr>
              <w:t>%</w:t>
            </w:r>
          </w:p>
          <w:p w14:paraId="63F1766F" w14:textId="77777777" w:rsidR="002B2FC5" w:rsidRPr="001D6A38" w:rsidRDefault="002B2FC5" w:rsidP="002B2FC5">
            <w:pPr>
              <w:jc w:val="center"/>
            </w:pPr>
            <w:r w:rsidRPr="001D6A38">
              <w:rPr>
                <w:b/>
                <w:bCs/>
              </w:rPr>
              <w:t>(95% CI)</w:t>
            </w:r>
          </w:p>
          <w:p w14:paraId="7027251A" w14:textId="4159640E" w:rsidR="002B2FC5" w:rsidRPr="001D6A38" w:rsidRDefault="002B2FC5" w:rsidP="002B2FC5">
            <w:pPr>
              <w:jc w:val="center"/>
            </w:pPr>
            <w:r w:rsidRPr="001D6A38">
              <w:rPr>
                <w:b/>
                <w:bCs/>
              </w:rPr>
              <w:t>n</w:t>
            </w:r>
          </w:p>
        </w:tc>
        <w:tc>
          <w:tcPr>
            <w:tcW w:w="1383" w:type="dxa"/>
            <w:hideMark/>
          </w:tcPr>
          <w:p w14:paraId="1031F36C" w14:textId="77777777" w:rsidR="002B2FC5" w:rsidRPr="001D6A38" w:rsidRDefault="002B2FC5" w:rsidP="002B2FC5">
            <w:pPr>
              <w:jc w:val="center"/>
            </w:pPr>
            <w:r w:rsidRPr="001D6A38">
              <w:rPr>
                <w:b/>
                <w:bCs/>
              </w:rPr>
              <w:t>%</w:t>
            </w:r>
          </w:p>
          <w:p w14:paraId="6754292F" w14:textId="77777777" w:rsidR="002B2FC5" w:rsidRPr="001D6A38" w:rsidRDefault="002B2FC5" w:rsidP="002B2FC5">
            <w:pPr>
              <w:jc w:val="center"/>
            </w:pPr>
            <w:r w:rsidRPr="001D6A38">
              <w:rPr>
                <w:b/>
                <w:bCs/>
              </w:rPr>
              <w:t>(95% CI)</w:t>
            </w:r>
          </w:p>
          <w:p w14:paraId="7ED37E6C" w14:textId="22BCDDB2" w:rsidR="002B2FC5" w:rsidRPr="001D6A38" w:rsidRDefault="002B2FC5" w:rsidP="002B2FC5">
            <w:pPr>
              <w:jc w:val="center"/>
            </w:pPr>
            <w:r w:rsidRPr="001D6A38">
              <w:rPr>
                <w:b/>
                <w:bCs/>
              </w:rPr>
              <w:t>n</w:t>
            </w:r>
          </w:p>
        </w:tc>
        <w:tc>
          <w:tcPr>
            <w:tcW w:w="1383" w:type="dxa"/>
            <w:hideMark/>
          </w:tcPr>
          <w:p w14:paraId="12A5E7F4" w14:textId="77777777" w:rsidR="002B2FC5" w:rsidRPr="001D6A38" w:rsidRDefault="002B2FC5" w:rsidP="002B2FC5">
            <w:pPr>
              <w:jc w:val="center"/>
            </w:pPr>
            <w:r w:rsidRPr="001D6A38">
              <w:rPr>
                <w:b/>
                <w:bCs/>
              </w:rPr>
              <w:t>%</w:t>
            </w:r>
          </w:p>
          <w:p w14:paraId="01C049A5" w14:textId="77777777" w:rsidR="002B2FC5" w:rsidRPr="001D6A38" w:rsidRDefault="002B2FC5" w:rsidP="002B2FC5">
            <w:pPr>
              <w:jc w:val="center"/>
            </w:pPr>
            <w:r w:rsidRPr="001D6A38">
              <w:rPr>
                <w:b/>
                <w:bCs/>
              </w:rPr>
              <w:t>(95% CI)</w:t>
            </w:r>
          </w:p>
          <w:p w14:paraId="48D5F5CA" w14:textId="77777777" w:rsidR="002B2FC5" w:rsidRPr="001D6A38" w:rsidRDefault="002B2FC5" w:rsidP="002B2FC5">
            <w:pPr>
              <w:jc w:val="center"/>
            </w:pPr>
            <w:r w:rsidRPr="001D6A38">
              <w:rPr>
                <w:b/>
                <w:bCs/>
              </w:rPr>
              <w:t>n</w:t>
            </w:r>
          </w:p>
        </w:tc>
      </w:tr>
      <w:tr w:rsidR="002B2FC5" w:rsidRPr="001D6A38" w14:paraId="4597BC45" w14:textId="77777777" w:rsidTr="388E5C6E">
        <w:trPr>
          <w:trHeight w:val="759"/>
        </w:trPr>
        <w:tc>
          <w:tcPr>
            <w:tcW w:w="2505" w:type="dxa"/>
            <w:hideMark/>
          </w:tcPr>
          <w:p w14:paraId="50FE95F8" w14:textId="77777777" w:rsidR="002B2FC5" w:rsidRPr="001D6A38" w:rsidRDefault="002B2FC5" w:rsidP="002B2FC5">
            <w:r w:rsidRPr="001D6A38">
              <w:rPr>
                <w:b/>
                <w:bCs/>
              </w:rPr>
              <w:t>Ever having sexual intercourse</w:t>
            </w:r>
          </w:p>
        </w:tc>
        <w:tc>
          <w:tcPr>
            <w:tcW w:w="1383" w:type="dxa"/>
            <w:vAlign w:val="center"/>
            <w:hideMark/>
          </w:tcPr>
          <w:p w14:paraId="6D540ABC"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36.4% </w:t>
            </w:r>
          </w:p>
          <w:p w14:paraId="4C2CB2B3"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(32.4–40.6)</w:t>
            </w:r>
          </w:p>
          <w:p w14:paraId="07ABE71B" w14:textId="69D06626" w:rsidR="002B2FC5" w:rsidRPr="001D6A38" w:rsidRDefault="002B2FC5" w:rsidP="002B2FC5">
            <w:pPr>
              <w:jc w:val="center"/>
              <w:rPr>
                <w:rFonts w:cstheme="minorHAnsi"/>
                <w:sz w:val="22"/>
              </w:rPr>
            </w:pPr>
            <w:r w:rsidRPr="001D6A38">
              <w:rPr>
                <w:rFonts w:cstheme="minorHAnsi"/>
                <w:kern w:val="24"/>
                <w:sz w:val="22"/>
              </w:rPr>
              <w:t>2,779</w:t>
            </w:r>
          </w:p>
        </w:tc>
        <w:tc>
          <w:tcPr>
            <w:tcW w:w="1383" w:type="dxa"/>
            <w:vAlign w:val="center"/>
            <w:hideMark/>
          </w:tcPr>
          <w:p w14:paraId="404908E0"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35.3% </w:t>
            </w:r>
          </w:p>
          <w:p w14:paraId="4CE64760"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(31.8–39.1)</w:t>
            </w:r>
          </w:p>
          <w:p w14:paraId="5F8C5609" w14:textId="394D0B16" w:rsidR="002B2FC5" w:rsidRPr="001D6A38" w:rsidRDefault="002B2FC5" w:rsidP="002B2FC5">
            <w:pPr>
              <w:jc w:val="center"/>
              <w:rPr>
                <w:rFonts w:cstheme="minorHAnsi"/>
                <w:sz w:val="22"/>
              </w:rPr>
            </w:pPr>
            <w:r w:rsidRPr="001D6A38">
              <w:rPr>
                <w:rFonts w:cstheme="minorHAnsi"/>
                <w:kern w:val="24"/>
                <w:sz w:val="22"/>
              </w:rPr>
              <w:t>2,889</w:t>
            </w:r>
          </w:p>
        </w:tc>
        <w:tc>
          <w:tcPr>
            <w:tcW w:w="1383" w:type="dxa"/>
            <w:vAlign w:val="center"/>
            <w:hideMark/>
          </w:tcPr>
          <w:p w14:paraId="68EB53A3"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36.9% </w:t>
            </w:r>
          </w:p>
          <w:p w14:paraId="26F4734D"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(32.8–41.3)</w:t>
            </w:r>
          </w:p>
          <w:p w14:paraId="0C2CDF0C" w14:textId="0AF817B5" w:rsidR="002B2FC5" w:rsidRPr="001D6A38" w:rsidRDefault="002B2FC5" w:rsidP="002B2FC5">
            <w:pPr>
              <w:jc w:val="center"/>
              <w:rPr>
                <w:rFonts w:cstheme="minorHAnsi"/>
                <w:sz w:val="22"/>
              </w:rPr>
            </w:pPr>
            <w:r w:rsidRPr="001D6A38">
              <w:rPr>
                <w:rFonts w:cstheme="minorHAnsi"/>
                <w:kern w:val="24"/>
                <w:sz w:val="22"/>
              </w:rPr>
              <w:t>1,946</w:t>
            </w:r>
          </w:p>
        </w:tc>
        <w:tc>
          <w:tcPr>
            <w:tcW w:w="1383" w:type="dxa"/>
            <w:vAlign w:val="center"/>
            <w:hideMark/>
          </w:tcPr>
          <w:p w14:paraId="1E7503B7" w14:textId="53564011" w:rsidR="002B2FC5" w:rsidRPr="001D6A38" w:rsidRDefault="002B2FC5" w:rsidP="002B2FC5">
            <w:pPr>
              <w:jc w:val="center"/>
              <w:rPr>
                <w:rFonts w:cstheme="minorHAnsi"/>
                <w:sz w:val="22"/>
              </w:rPr>
            </w:pPr>
            <w:r w:rsidRPr="001D6A38">
              <w:rPr>
                <w:kern w:val="24"/>
                <w:sz w:val="22"/>
              </w:rPr>
              <w:t>NA</w:t>
            </w:r>
            <w:r w:rsidRPr="001D6A38">
              <w:rPr>
                <w:rStyle w:val="FootnoteReference"/>
                <w:kern w:val="24"/>
                <w:sz w:val="22"/>
              </w:rPr>
              <w:footnoteReference w:id="106"/>
            </w:r>
          </w:p>
        </w:tc>
        <w:tc>
          <w:tcPr>
            <w:tcW w:w="1383" w:type="dxa"/>
            <w:vAlign w:val="center"/>
            <w:hideMark/>
          </w:tcPr>
          <w:p w14:paraId="0B3D3144" w14:textId="33A7E248" w:rsidR="002B2FC5" w:rsidRPr="001D6A38" w:rsidRDefault="002B2FC5" w:rsidP="002B2FC5">
            <w:pPr>
              <w:jc w:val="center"/>
              <w:rPr>
                <w:rFonts w:cstheme="minorHAnsi"/>
                <w:sz w:val="22"/>
              </w:rPr>
            </w:pPr>
            <w:r w:rsidRPr="001D6A38">
              <w:rPr>
                <w:kern w:val="24"/>
                <w:sz w:val="22"/>
              </w:rPr>
              <w:t>NA</w:t>
            </w:r>
          </w:p>
        </w:tc>
      </w:tr>
      <w:tr w:rsidR="002B2FC5" w:rsidRPr="001D6A38" w14:paraId="126844C5" w14:textId="77777777" w:rsidTr="388E5C6E">
        <w:trPr>
          <w:trHeight w:val="759"/>
        </w:trPr>
        <w:tc>
          <w:tcPr>
            <w:tcW w:w="2505" w:type="dxa"/>
            <w:hideMark/>
          </w:tcPr>
          <w:p w14:paraId="691E703E" w14:textId="77777777" w:rsidR="002B2FC5" w:rsidRPr="001D6A38" w:rsidRDefault="002B2FC5" w:rsidP="002B2FC5">
            <w:r w:rsidRPr="001D6A38">
              <w:rPr>
                <w:b/>
                <w:bCs/>
              </w:rPr>
              <w:t>Having sexual intercourse before age 13</w:t>
            </w:r>
          </w:p>
        </w:tc>
        <w:tc>
          <w:tcPr>
            <w:tcW w:w="1383" w:type="dxa"/>
            <w:vAlign w:val="center"/>
            <w:hideMark/>
          </w:tcPr>
          <w:p w14:paraId="100FB26E"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2.9% </w:t>
            </w:r>
          </w:p>
          <w:p w14:paraId="453CCF2C"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(2.2–3.8)</w:t>
            </w:r>
          </w:p>
          <w:p w14:paraId="5B31F9DD" w14:textId="48E4A114" w:rsidR="002B2FC5" w:rsidRPr="001D6A38" w:rsidRDefault="002B2FC5" w:rsidP="002B2FC5">
            <w:pPr>
              <w:jc w:val="center"/>
              <w:rPr>
                <w:rFonts w:cstheme="minorHAnsi"/>
                <w:sz w:val="22"/>
              </w:rPr>
            </w:pPr>
            <w:r w:rsidRPr="001D6A38">
              <w:rPr>
                <w:rFonts w:cstheme="minorHAnsi"/>
                <w:kern w:val="24"/>
                <w:sz w:val="22"/>
              </w:rPr>
              <w:t>2,793</w:t>
            </w:r>
          </w:p>
        </w:tc>
        <w:tc>
          <w:tcPr>
            <w:tcW w:w="1383" w:type="dxa"/>
            <w:vAlign w:val="center"/>
            <w:hideMark/>
          </w:tcPr>
          <w:p w14:paraId="6DB60F02"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2.4% </w:t>
            </w:r>
          </w:p>
          <w:p w14:paraId="7C6AA194"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(1.6–3.4)</w:t>
            </w:r>
          </w:p>
          <w:p w14:paraId="391EE0CD" w14:textId="21C5B3A9" w:rsidR="002B2FC5" w:rsidRPr="001D6A38" w:rsidRDefault="002B2FC5" w:rsidP="002B2FC5">
            <w:pPr>
              <w:jc w:val="center"/>
              <w:rPr>
                <w:rFonts w:cstheme="minorHAnsi"/>
                <w:sz w:val="22"/>
              </w:rPr>
            </w:pPr>
            <w:r w:rsidRPr="001D6A38">
              <w:rPr>
                <w:rFonts w:cstheme="minorHAnsi"/>
                <w:kern w:val="24"/>
                <w:sz w:val="22"/>
              </w:rPr>
              <w:t>2,886</w:t>
            </w:r>
          </w:p>
        </w:tc>
        <w:tc>
          <w:tcPr>
            <w:tcW w:w="1383" w:type="dxa"/>
            <w:vAlign w:val="center"/>
            <w:hideMark/>
          </w:tcPr>
          <w:p w14:paraId="2833BCC8"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2.5% </w:t>
            </w:r>
          </w:p>
          <w:p w14:paraId="63DE13DB"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(1.7–3.4)</w:t>
            </w:r>
          </w:p>
          <w:p w14:paraId="240915C4" w14:textId="59AC922C" w:rsidR="002B2FC5" w:rsidRPr="001D6A38" w:rsidRDefault="002B2FC5" w:rsidP="002B2FC5">
            <w:pPr>
              <w:jc w:val="center"/>
              <w:rPr>
                <w:rFonts w:cstheme="minorHAnsi"/>
                <w:sz w:val="22"/>
              </w:rPr>
            </w:pPr>
            <w:r w:rsidRPr="001D6A38">
              <w:rPr>
                <w:rFonts w:cstheme="minorHAnsi"/>
                <w:kern w:val="24"/>
                <w:sz w:val="22"/>
              </w:rPr>
              <w:t>1,951</w:t>
            </w:r>
          </w:p>
        </w:tc>
        <w:tc>
          <w:tcPr>
            <w:tcW w:w="1383" w:type="dxa"/>
            <w:vAlign w:val="center"/>
            <w:hideMark/>
          </w:tcPr>
          <w:p w14:paraId="13AF8F4A"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2.7% </w:t>
            </w:r>
          </w:p>
          <w:p w14:paraId="5118D6FC"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(2.1–3.3)</w:t>
            </w:r>
          </w:p>
          <w:p w14:paraId="427D58CB" w14:textId="40FC57DD" w:rsidR="002B2FC5" w:rsidRPr="001D6A38" w:rsidRDefault="002B2FC5" w:rsidP="002B2FC5">
            <w:pPr>
              <w:jc w:val="center"/>
              <w:rPr>
                <w:rFonts w:cstheme="minorHAnsi"/>
                <w:sz w:val="22"/>
              </w:rPr>
            </w:pPr>
            <w:r w:rsidRPr="001D6A38">
              <w:rPr>
                <w:rFonts w:cstheme="minorHAnsi"/>
                <w:kern w:val="24"/>
                <w:sz w:val="22"/>
              </w:rPr>
              <w:t>2,897</w:t>
            </w:r>
          </w:p>
        </w:tc>
        <w:tc>
          <w:tcPr>
            <w:tcW w:w="1383" w:type="dxa"/>
            <w:vAlign w:val="center"/>
            <w:hideMark/>
          </w:tcPr>
          <w:p w14:paraId="2349AFAB"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3.0%</w:t>
            </w:r>
          </w:p>
          <w:p w14:paraId="5CE4EB04"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(2.2–3.8)</w:t>
            </w:r>
          </w:p>
          <w:p w14:paraId="5AFC0C14" w14:textId="5518E59F" w:rsidR="002B2FC5" w:rsidRPr="002B2FC5" w:rsidRDefault="002B2FC5" w:rsidP="002B2FC5">
            <w:pPr>
              <w:jc w:val="center"/>
              <w:rPr>
                <w:rFonts w:cstheme="minorHAnsi"/>
                <w:color w:val="FF0000"/>
                <w:sz w:val="22"/>
              </w:rPr>
            </w:pPr>
            <w:r w:rsidRPr="002B2FC5">
              <w:rPr>
                <w:rFonts w:cstheme="minorHAnsi"/>
                <w:color w:val="000000" w:themeColor="text1"/>
                <w:kern w:val="24"/>
                <w:sz w:val="22"/>
              </w:rPr>
              <w:t>2,740</w:t>
            </w:r>
          </w:p>
        </w:tc>
      </w:tr>
      <w:tr w:rsidR="002B2FC5" w:rsidRPr="001D6A38" w14:paraId="00D1F3A3" w14:textId="77777777" w:rsidTr="388E5C6E">
        <w:trPr>
          <w:trHeight w:val="759"/>
        </w:trPr>
        <w:tc>
          <w:tcPr>
            <w:tcW w:w="2505" w:type="dxa"/>
            <w:hideMark/>
          </w:tcPr>
          <w:p w14:paraId="4522E374" w14:textId="77777777" w:rsidR="002B2FC5" w:rsidRPr="001D6A38" w:rsidRDefault="002B2FC5" w:rsidP="002B2FC5">
            <w:r w:rsidRPr="001D6A38">
              <w:rPr>
                <w:b/>
                <w:bCs/>
              </w:rPr>
              <w:t xml:space="preserve">Having had sexual intercourse with 4+ partners during their life </w:t>
            </w:r>
          </w:p>
        </w:tc>
        <w:tc>
          <w:tcPr>
            <w:tcW w:w="1383" w:type="dxa"/>
            <w:vAlign w:val="center"/>
            <w:hideMark/>
          </w:tcPr>
          <w:p w14:paraId="0A5FF3BF"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7.9% </w:t>
            </w:r>
          </w:p>
          <w:p w14:paraId="1E16A302"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(6.2–10.0)</w:t>
            </w:r>
          </w:p>
          <w:p w14:paraId="36F55ADD" w14:textId="6578352D" w:rsidR="002B2FC5" w:rsidRPr="001D6A38" w:rsidRDefault="002B2FC5" w:rsidP="002B2FC5">
            <w:pPr>
              <w:jc w:val="center"/>
              <w:rPr>
                <w:rFonts w:cstheme="minorHAnsi"/>
                <w:sz w:val="22"/>
              </w:rPr>
            </w:pPr>
            <w:r w:rsidRPr="001D6A38">
              <w:rPr>
                <w:rFonts w:cstheme="minorHAnsi"/>
                <w:kern w:val="24"/>
                <w:sz w:val="22"/>
              </w:rPr>
              <w:t>2,781</w:t>
            </w:r>
          </w:p>
        </w:tc>
        <w:tc>
          <w:tcPr>
            <w:tcW w:w="1383" w:type="dxa"/>
            <w:vAlign w:val="center"/>
            <w:hideMark/>
          </w:tcPr>
          <w:p w14:paraId="54581DA7"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 6.7% </w:t>
            </w:r>
          </w:p>
          <w:p w14:paraId="53767A24"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(5.4–8.2)</w:t>
            </w:r>
          </w:p>
          <w:p w14:paraId="2D2C0AB3" w14:textId="03389531" w:rsidR="002B2FC5" w:rsidRPr="001D6A38" w:rsidRDefault="002B2FC5" w:rsidP="002B2FC5">
            <w:pPr>
              <w:jc w:val="center"/>
              <w:rPr>
                <w:rFonts w:cstheme="minorHAnsi"/>
                <w:sz w:val="22"/>
              </w:rPr>
            </w:pPr>
            <w:r w:rsidRPr="001D6A38">
              <w:rPr>
                <w:rFonts w:cstheme="minorHAnsi"/>
                <w:kern w:val="24"/>
                <w:sz w:val="22"/>
              </w:rPr>
              <w:t>2,886</w:t>
            </w:r>
          </w:p>
        </w:tc>
        <w:tc>
          <w:tcPr>
            <w:tcW w:w="1383" w:type="dxa"/>
            <w:vAlign w:val="center"/>
            <w:hideMark/>
          </w:tcPr>
          <w:p w14:paraId="643E6827"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 7.8% </w:t>
            </w:r>
          </w:p>
          <w:p w14:paraId="492E9AC0"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(6.3–9.5)</w:t>
            </w:r>
          </w:p>
          <w:p w14:paraId="3055FE9A" w14:textId="1BF397E3" w:rsidR="002B2FC5" w:rsidRPr="001D6A38" w:rsidRDefault="002B2FC5" w:rsidP="002B2FC5">
            <w:pPr>
              <w:jc w:val="center"/>
              <w:rPr>
                <w:rFonts w:cstheme="minorHAnsi"/>
                <w:sz w:val="22"/>
              </w:rPr>
            </w:pPr>
            <w:r w:rsidRPr="001D6A38">
              <w:rPr>
                <w:rFonts w:cstheme="minorHAnsi"/>
                <w:kern w:val="24"/>
                <w:sz w:val="22"/>
              </w:rPr>
              <w:t>1,938</w:t>
            </w:r>
          </w:p>
        </w:tc>
        <w:tc>
          <w:tcPr>
            <w:tcW w:w="1383" w:type="dxa"/>
            <w:vAlign w:val="center"/>
            <w:hideMark/>
          </w:tcPr>
          <w:p w14:paraId="5C52163F"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 4.3% </w:t>
            </w:r>
          </w:p>
          <w:p w14:paraId="542C5CA8"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(3.4–5.3)</w:t>
            </w:r>
          </w:p>
          <w:p w14:paraId="37299AE5" w14:textId="44EB76D7" w:rsidR="002B2FC5" w:rsidRPr="001D6A38" w:rsidRDefault="002B2FC5" w:rsidP="002B2FC5">
            <w:pPr>
              <w:jc w:val="center"/>
              <w:rPr>
                <w:rFonts w:cstheme="minorHAnsi"/>
                <w:sz w:val="22"/>
              </w:rPr>
            </w:pPr>
            <w:r w:rsidRPr="001D6A38">
              <w:rPr>
                <w:rFonts w:cstheme="minorHAnsi"/>
                <w:kern w:val="24"/>
                <w:sz w:val="22"/>
              </w:rPr>
              <w:t>2,883</w:t>
            </w:r>
          </w:p>
        </w:tc>
        <w:tc>
          <w:tcPr>
            <w:tcW w:w="1383" w:type="dxa"/>
            <w:vAlign w:val="center"/>
            <w:hideMark/>
          </w:tcPr>
          <w:p w14:paraId="797EC08C"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5.3%</w:t>
            </w:r>
          </w:p>
          <w:p w14:paraId="0EADC362"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(3.9–6.7)</w:t>
            </w:r>
          </w:p>
          <w:p w14:paraId="6359A313" w14:textId="3B2D3848" w:rsidR="002B2FC5" w:rsidRPr="002B2FC5" w:rsidRDefault="002B2FC5" w:rsidP="002B2FC5">
            <w:pPr>
              <w:jc w:val="center"/>
              <w:rPr>
                <w:rFonts w:cstheme="minorHAnsi"/>
                <w:color w:val="FF0000"/>
                <w:sz w:val="22"/>
              </w:rPr>
            </w:pPr>
            <w:r w:rsidRPr="002B2FC5">
              <w:rPr>
                <w:rFonts w:cstheme="minorHAnsi"/>
                <w:color w:val="000000" w:themeColor="text1"/>
                <w:kern w:val="24"/>
                <w:sz w:val="22"/>
              </w:rPr>
              <w:t>2,732</w:t>
            </w:r>
          </w:p>
        </w:tc>
      </w:tr>
      <w:tr w:rsidR="002B2FC5" w:rsidRPr="001D6A38" w14:paraId="3F8FB3F4" w14:textId="77777777" w:rsidTr="388E5C6E">
        <w:trPr>
          <w:trHeight w:val="759"/>
        </w:trPr>
        <w:tc>
          <w:tcPr>
            <w:tcW w:w="2505" w:type="dxa"/>
            <w:hideMark/>
          </w:tcPr>
          <w:p w14:paraId="117C5EA1" w14:textId="77777777" w:rsidR="002B2FC5" w:rsidRPr="001D6A38" w:rsidRDefault="002B2FC5" w:rsidP="002B2FC5">
            <w:r w:rsidRPr="001D6A38">
              <w:rPr>
                <w:b/>
                <w:bCs/>
              </w:rPr>
              <w:t>Using a condom at last sexual intercourse</w:t>
            </w:r>
            <w:r w:rsidRPr="001D6A38">
              <w:rPr>
                <w:rStyle w:val="FootnoteReference"/>
                <w:b/>
                <w:bCs/>
              </w:rPr>
              <w:footnoteReference w:id="107"/>
            </w:r>
          </w:p>
        </w:tc>
        <w:tc>
          <w:tcPr>
            <w:tcW w:w="1383" w:type="dxa"/>
            <w:vAlign w:val="center"/>
            <w:hideMark/>
          </w:tcPr>
          <w:p w14:paraId="2A754D2C"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62.5% </w:t>
            </w:r>
          </w:p>
          <w:p w14:paraId="711E4CB3"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(58.9–65.9)</w:t>
            </w:r>
          </w:p>
          <w:p w14:paraId="1427DDB6" w14:textId="32716650" w:rsidR="002B2FC5" w:rsidRPr="001D6A38" w:rsidRDefault="002B2FC5" w:rsidP="002B2FC5">
            <w:pPr>
              <w:jc w:val="center"/>
              <w:rPr>
                <w:rFonts w:cstheme="minorHAnsi"/>
                <w:sz w:val="22"/>
              </w:rPr>
            </w:pPr>
            <w:r w:rsidRPr="001D6A38">
              <w:rPr>
                <w:rFonts w:cstheme="minorHAnsi"/>
                <w:kern w:val="24"/>
                <w:sz w:val="22"/>
              </w:rPr>
              <w:t>766</w:t>
            </w:r>
          </w:p>
        </w:tc>
        <w:tc>
          <w:tcPr>
            <w:tcW w:w="1383" w:type="dxa"/>
            <w:vAlign w:val="center"/>
            <w:hideMark/>
          </w:tcPr>
          <w:p w14:paraId="114D3836"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57.8% </w:t>
            </w:r>
          </w:p>
          <w:p w14:paraId="5A72379F"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(53.1–62.3)</w:t>
            </w:r>
          </w:p>
          <w:p w14:paraId="6E767115" w14:textId="6ACCBDF4" w:rsidR="002B2FC5" w:rsidRPr="001D6A38" w:rsidRDefault="002B2FC5" w:rsidP="002B2FC5">
            <w:pPr>
              <w:jc w:val="center"/>
              <w:rPr>
                <w:rFonts w:cstheme="minorHAnsi"/>
                <w:sz w:val="22"/>
              </w:rPr>
            </w:pPr>
            <w:r w:rsidRPr="001D6A38">
              <w:rPr>
                <w:rFonts w:cstheme="minorHAnsi"/>
                <w:kern w:val="24"/>
                <w:sz w:val="22"/>
              </w:rPr>
              <w:t>719</w:t>
            </w:r>
          </w:p>
        </w:tc>
        <w:tc>
          <w:tcPr>
            <w:tcW w:w="1383" w:type="dxa"/>
            <w:vAlign w:val="center"/>
            <w:hideMark/>
          </w:tcPr>
          <w:p w14:paraId="5A4882B3"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51.4% </w:t>
            </w:r>
          </w:p>
          <w:p w14:paraId="2ACB0045"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(45.3–57.4)</w:t>
            </w:r>
          </w:p>
          <w:p w14:paraId="4458D839" w14:textId="48D6187B" w:rsidR="002B2FC5" w:rsidRPr="001D6A38" w:rsidRDefault="002B2FC5" w:rsidP="002B2FC5">
            <w:pPr>
              <w:jc w:val="center"/>
              <w:rPr>
                <w:rFonts w:cstheme="minorHAnsi"/>
                <w:sz w:val="22"/>
              </w:rPr>
            </w:pPr>
            <w:r w:rsidRPr="001D6A38">
              <w:rPr>
                <w:rFonts w:cstheme="minorHAnsi"/>
                <w:kern w:val="24"/>
                <w:sz w:val="22"/>
              </w:rPr>
              <w:t>427</w:t>
            </w:r>
          </w:p>
        </w:tc>
        <w:tc>
          <w:tcPr>
            <w:tcW w:w="1383" w:type="dxa"/>
            <w:vAlign w:val="center"/>
            <w:hideMark/>
          </w:tcPr>
          <w:p w14:paraId="3F8962AD"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58.0% </w:t>
            </w:r>
          </w:p>
          <w:p w14:paraId="149B4E08"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(52.8–63.3)</w:t>
            </w:r>
          </w:p>
          <w:p w14:paraId="5A6FD401" w14:textId="250D51D0" w:rsidR="002B2FC5" w:rsidRPr="001D6A38" w:rsidRDefault="002B2FC5" w:rsidP="002B2FC5">
            <w:pPr>
              <w:jc w:val="center"/>
              <w:rPr>
                <w:rFonts w:cstheme="minorHAnsi"/>
                <w:sz w:val="22"/>
              </w:rPr>
            </w:pPr>
            <w:r w:rsidRPr="001D6A38">
              <w:rPr>
                <w:rFonts w:cstheme="minorHAnsi"/>
                <w:kern w:val="24"/>
                <w:sz w:val="22"/>
              </w:rPr>
              <w:t>468</w:t>
            </w:r>
          </w:p>
        </w:tc>
        <w:tc>
          <w:tcPr>
            <w:tcW w:w="1383" w:type="dxa"/>
            <w:vAlign w:val="center"/>
            <w:hideMark/>
          </w:tcPr>
          <w:p w14:paraId="1289FD34"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51.6%</w:t>
            </w:r>
          </w:p>
          <w:p w14:paraId="52C37920"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(45.7–57.5)</w:t>
            </w:r>
          </w:p>
          <w:p w14:paraId="3FD73EC4" w14:textId="300A942C" w:rsidR="002B2FC5" w:rsidRPr="002B2FC5" w:rsidRDefault="002B2FC5" w:rsidP="002B2FC5">
            <w:pPr>
              <w:jc w:val="center"/>
              <w:rPr>
                <w:rFonts w:cstheme="minorHAnsi"/>
                <w:color w:val="FF0000"/>
                <w:sz w:val="22"/>
              </w:rPr>
            </w:pPr>
            <w:r w:rsidRPr="002B2FC5">
              <w:rPr>
                <w:rFonts w:cstheme="minorHAnsi"/>
                <w:color w:val="000000" w:themeColor="text1"/>
                <w:kern w:val="24"/>
                <w:sz w:val="22"/>
              </w:rPr>
              <w:t>568</w:t>
            </w:r>
          </w:p>
        </w:tc>
      </w:tr>
      <w:tr w:rsidR="002B2FC5" w:rsidRPr="001D6A38" w14:paraId="7F729984" w14:textId="77777777" w:rsidTr="388E5C6E">
        <w:trPr>
          <w:trHeight w:val="759"/>
        </w:trPr>
        <w:tc>
          <w:tcPr>
            <w:tcW w:w="2505" w:type="dxa"/>
            <w:hideMark/>
          </w:tcPr>
          <w:p w14:paraId="06F76DD0" w14:textId="77777777" w:rsidR="002B2FC5" w:rsidRPr="001D6A38" w:rsidRDefault="002B2FC5" w:rsidP="002B2FC5">
            <w:r w:rsidRPr="001D6A38">
              <w:rPr>
                <w:b/>
                <w:bCs/>
              </w:rPr>
              <w:t>Drinking alcohol or using drugs before last sexual intercourse</w:t>
            </w:r>
            <w:r w:rsidRPr="001D6A38">
              <w:rPr>
                <w:rStyle w:val="FootnoteReference"/>
                <w:b/>
                <w:bCs/>
              </w:rPr>
              <w:footnoteReference w:id="108"/>
            </w:r>
          </w:p>
        </w:tc>
        <w:tc>
          <w:tcPr>
            <w:tcW w:w="1383" w:type="dxa"/>
            <w:vAlign w:val="center"/>
            <w:hideMark/>
          </w:tcPr>
          <w:p w14:paraId="5C959C8C"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21.8% </w:t>
            </w:r>
          </w:p>
          <w:p w14:paraId="72A39381"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(18.1–26.0)</w:t>
            </w:r>
          </w:p>
          <w:p w14:paraId="74703110" w14:textId="085EA43E" w:rsidR="002B2FC5" w:rsidRPr="001D6A38" w:rsidRDefault="002B2FC5" w:rsidP="002B2FC5">
            <w:pPr>
              <w:jc w:val="center"/>
              <w:rPr>
                <w:rFonts w:cstheme="minorHAnsi"/>
                <w:sz w:val="22"/>
              </w:rPr>
            </w:pPr>
            <w:r w:rsidRPr="001D6A38">
              <w:rPr>
                <w:rFonts w:cstheme="minorHAnsi"/>
                <w:kern w:val="24"/>
                <w:sz w:val="22"/>
              </w:rPr>
              <w:t>782</w:t>
            </w:r>
          </w:p>
        </w:tc>
        <w:tc>
          <w:tcPr>
            <w:tcW w:w="1383" w:type="dxa"/>
            <w:vAlign w:val="center"/>
            <w:hideMark/>
          </w:tcPr>
          <w:p w14:paraId="034919DE"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18.2% </w:t>
            </w:r>
          </w:p>
          <w:p w14:paraId="2671F958"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(15.8–21.0)</w:t>
            </w:r>
          </w:p>
          <w:p w14:paraId="3E688F73" w14:textId="7D777870" w:rsidR="002B2FC5" w:rsidRPr="001D6A38" w:rsidRDefault="002B2FC5" w:rsidP="002B2FC5">
            <w:pPr>
              <w:jc w:val="center"/>
              <w:rPr>
                <w:rFonts w:cstheme="minorHAnsi"/>
                <w:sz w:val="22"/>
              </w:rPr>
            </w:pPr>
            <w:r w:rsidRPr="001D6A38">
              <w:rPr>
                <w:rFonts w:cstheme="minorHAnsi"/>
                <w:kern w:val="24"/>
                <w:sz w:val="22"/>
              </w:rPr>
              <w:t>631</w:t>
            </w:r>
          </w:p>
        </w:tc>
        <w:tc>
          <w:tcPr>
            <w:tcW w:w="1383" w:type="dxa"/>
            <w:vAlign w:val="center"/>
            <w:hideMark/>
          </w:tcPr>
          <w:p w14:paraId="1EC83FFE"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23.4% </w:t>
            </w:r>
          </w:p>
          <w:p w14:paraId="034BC8EC"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(19.5–27.9)</w:t>
            </w:r>
          </w:p>
          <w:p w14:paraId="51CFBCB7" w14:textId="0D67AA74" w:rsidR="002B2FC5" w:rsidRPr="001D6A38" w:rsidRDefault="002B2FC5" w:rsidP="002B2FC5">
            <w:pPr>
              <w:jc w:val="center"/>
              <w:rPr>
                <w:rFonts w:cstheme="minorHAnsi"/>
                <w:sz w:val="22"/>
              </w:rPr>
            </w:pPr>
            <w:r w:rsidRPr="001D6A38">
              <w:rPr>
                <w:rFonts w:cstheme="minorHAnsi"/>
                <w:kern w:val="24"/>
                <w:sz w:val="22"/>
              </w:rPr>
              <w:t>434</w:t>
            </w:r>
          </w:p>
        </w:tc>
        <w:tc>
          <w:tcPr>
            <w:tcW w:w="1383" w:type="dxa"/>
            <w:vAlign w:val="center"/>
            <w:hideMark/>
          </w:tcPr>
          <w:p w14:paraId="511C70D0"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20.7% </w:t>
            </w:r>
          </w:p>
          <w:p w14:paraId="4B20CA02"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hAnsiTheme="minorHAnsi" w:cstheme="minorHAnsi"/>
                <w:kern w:val="24"/>
                <w:sz w:val="22"/>
                <w:szCs w:val="22"/>
              </w:rPr>
              <w:t>(17.6–23.7)</w:t>
            </w:r>
          </w:p>
          <w:p w14:paraId="7ACDF11D" w14:textId="43F27E86" w:rsidR="002B2FC5" w:rsidRPr="001D6A38" w:rsidRDefault="002B2FC5" w:rsidP="002B2FC5">
            <w:pPr>
              <w:jc w:val="center"/>
              <w:rPr>
                <w:rFonts w:cstheme="minorHAnsi"/>
                <w:sz w:val="22"/>
              </w:rPr>
            </w:pPr>
            <w:r w:rsidRPr="001D6A38">
              <w:rPr>
                <w:rFonts w:cstheme="minorHAnsi"/>
                <w:kern w:val="24"/>
                <w:sz w:val="22"/>
              </w:rPr>
              <w:t>432</w:t>
            </w:r>
          </w:p>
        </w:tc>
        <w:tc>
          <w:tcPr>
            <w:tcW w:w="1383" w:type="dxa"/>
            <w:vAlign w:val="center"/>
            <w:hideMark/>
          </w:tcPr>
          <w:p w14:paraId="44DFF07E"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19.1%</w:t>
            </w:r>
          </w:p>
          <w:p w14:paraId="5E19E6E4" w14:textId="77777777" w:rsidR="002B2FC5" w:rsidRPr="002B2FC5"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2B2FC5">
              <w:rPr>
                <w:rFonts w:asciiTheme="minorHAnsi" w:hAnsiTheme="minorHAnsi" w:cstheme="minorHAnsi"/>
                <w:color w:val="000000" w:themeColor="text1"/>
                <w:kern w:val="24"/>
                <w:sz w:val="22"/>
                <w:szCs w:val="22"/>
              </w:rPr>
              <w:t>(14.2–23.9)</w:t>
            </w:r>
          </w:p>
          <w:p w14:paraId="56471161" w14:textId="22BB9FDB" w:rsidR="002B2FC5" w:rsidRPr="002B2FC5" w:rsidRDefault="002B2FC5" w:rsidP="002B2FC5">
            <w:pPr>
              <w:jc w:val="center"/>
              <w:rPr>
                <w:rFonts w:cstheme="minorHAnsi"/>
                <w:color w:val="FF0000"/>
                <w:sz w:val="22"/>
              </w:rPr>
            </w:pPr>
            <w:r w:rsidRPr="002B2FC5">
              <w:rPr>
                <w:rFonts w:cstheme="minorHAnsi"/>
                <w:color w:val="000000" w:themeColor="text1"/>
                <w:kern w:val="24"/>
                <w:sz w:val="22"/>
              </w:rPr>
              <w:t>572</w:t>
            </w:r>
          </w:p>
        </w:tc>
      </w:tr>
      <w:tr w:rsidR="002B2FC5" w:rsidRPr="001D6A38" w14:paraId="180EAE95" w14:textId="77777777" w:rsidTr="388E5C6E">
        <w:trPr>
          <w:trHeight w:val="552"/>
        </w:trPr>
        <w:tc>
          <w:tcPr>
            <w:tcW w:w="2505" w:type="dxa"/>
            <w:hideMark/>
          </w:tcPr>
          <w:p w14:paraId="6A7850A4" w14:textId="77777777" w:rsidR="002B2FC5" w:rsidRPr="001D6A38" w:rsidRDefault="002B2FC5" w:rsidP="002B2FC5">
            <w:r w:rsidRPr="001D6A38">
              <w:rPr>
                <w:b/>
                <w:bCs/>
              </w:rPr>
              <w:t>Ever tested for HIV</w:t>
            </w:r>
          </w:p>
        </w:tc>
        <w:tc>
          <w:tcPr>
            <w:tcW w:w="1383" w:type="dxa"/>
            <w:vAlign w:val="center"/>
            <w:hideMark/>
          </w:tcPr>
          <w:p w14:paraId="3E68665F"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eastAsiaTheme="minorEastAsia" w:hAnsiTheme="minorHAnsi" w:cstheme="minorHAnsi"/>
                <w:kern w:val="24"/>
                <w:sz w:val="22"/>
                <w:szCs w:val="22"/>
              </w:rPr>
              <w:t>9.9% </w:t>
            </w:r>
          </w:p>
          <w:p w14:paraId="462C3343"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eastAsiaTheme="minorEastAsia" w:hAnsiTheme="minorHAnsi" w:cstheme="minorHAnsi"/>
                <w:kern w:val="24"/>
                <w:sz w:val="22"/>
                <w:szCs w:val="22"/>
              </w:rPr>
              <w:t>(8.0–12.2)</w:t>
            </w:r>
          </w:p>
          <w:p w14:paraId="747DFB84" w14:textId="28B768A2" w:rsidR="002B2FC5" w:rsidRPr="001D6A38" w:rsidRDefault="002B2FC5" w:rsidP="002B2FC5">
            <w:pPr>
              <w:jc w:val="center"/>
              <w:rPr>
                <w:rFonts w:cstheme="minorHAnsi"/>
                <w:sz w:val="22"/>
              </w:rPr>
            </w:pPr>
            <w:r w:rsidRPr="001D6A38">
              <w:rPr>
                <w:rFonts w:cstheme="minorHAnsi"/>
                <w:kern w:val="24"/>
                <w:sz w:val="22"/>
              </w:rPr>
              <w:t>3,010</w:t>
            </w:r>
          </w:p>
        </w:tc>
        <w:tc>
          <w:tcPr>
            <w:tcW w:w="1383" w:type="dxa"/>
            <w:vAlign w:val="center"/>
            <w:hideMark/>
          </w:tcPr>
          <w:p w14:paraId="6FF099B5"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eastAsiaTheme="minorEastAsia" w:hAnsiTheme="minorHAnsi" w:cstheme="minorHAnsi"/>
                <w:kern w:val="24"/>
                <w:sz w:val="22"/>
                <w:szCs w:val="22"/>
              </w:rPr>
              <w:t>10.5% </w:t>
            </w:r>
          </w:p>
          <w:p w14:paraId="7C459C9A"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eastAsiaTheme="minorEastAsia" w:hAnsiTheme="minorHAnsi" w:cstheme="minorHAnsi"/>
                <w:kern w:val="24"/>
                <w:sz w:val="22"/>
                <w:szCs w:val="22"/>
              </w:rPr>
              <w:t>(9.0–12.1)</w:t>
            </w:r>
          </w:p>
          <w:p w14:paraId="5883475B" w14:textId="1595B6DC" w:rsidR="002B2FC5" w:rsidRPr="001D6A38" w:rsidRDefault="002B2FC5" w:rsidP="002B2FC5">
            <w:pPr>
              <w:jc w:val="center"/>
              <w:rPr>
                <w:rFonts w:cstheme="minorHAnsi"/>
                <w:sz w:val="22"/>
              </w:rPr>
            </w:pPr>
            <w:r w:rsidRPr="001D6A38">
              <w:rPr>
                <w:rFonts w:cstheme="minorHAnsi"/>
                <w:kern w:val="24"/>
                <w:sz w:val="22"/>
              </w:rPr>
              <w:t>3,125</w:t>
            </w:r>
          </w:p>
        </w:tc>
        <w:tc>
          <w:tcPr>
            <w:tcW w:w="1383" w:type="dxa"/>
            <w:vAlign w:val="center"/>
            <w:hideMark/>
          </w:tcPr>
          <w:p w14:paraId="07860E24"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eastAsiaTheme="minorEastAsia" w:hAnsiTheme="minorHAnsi" w:cstheme="minorHAnsi"/>
                <w:kern w:val="24"/>
                <w:sz w:val="22"/>
                <w:szCs w:val="22"/>
              </w:rPr>
              <w:t>12.6% </w:t>
            </w:r>
          </w:p>
          <w:p w14:paraId="3CD93D17" w14:textId="77777777" w:rsidR="002B2FC5" w:rsidRPr="001D6A38" w:rsidRDefault="002B2FC5" w:rsidP="002B2FC5">
            <w:pPr>
              <w:pStyle w:val="NormalWeb"/>
              <w:spacing w:before="0" w:beforeAutospacing="0" w:after="0" w:afterAutospacing="0"/>
              <w:jc w:val="center"/>
              <w:textAlignment w:val="baseline"/>
              <w:rPr>
                <w:rFonts w:asciiTheme="minorHAnsi" w:hAnsiTheme="minorHAnsi" w:cstheme="minorHAnsi"/>
                <w:sz w:val="22"/>
                <w:szCs w:val="22"/>
              </w:rPr>
            </w:pPr>
            <w:r w:rsidRPr="001D6A38">
              <w:rPr>
                <w:rFonts w:asciiTheme="minorHAnsi" w:eastAsiaTheme="minorEastAsia" w:hAnsiTheme="minorHAnsi" w:cstheme="minorHAnsi"/>
                <w:kern w:val="24"/>
                <w:sz w:val="22"/>
                <w:szCs w:val="22"/>
              </w:rPr>
              <w:t>(10.4–15.3)</w:t>
            </w:r>
          </w:p>
          <w:p w14:paraId="04892DD1" w14:textId="7509762A" w:rsidR="002B2FC5" w:rsidRPr="001D6A38" w:rsidRDefault="002B2FC5" w:rsidP="002B2FC5">
            <w:pPr>
              <w:jc w:val="center"/>
              <w:rPr>
                <w:rFonts w:cstheme="minorHAnsi"/>
                <w:sz w:val="22"/>
              </w:rPr>
            </w:pPr>
            <w:r w:rsidRPr="001D6A38">
              <w:rPr>
                <w:rFonts w:cstheme="minorHAnsi"/>
                <w:kern w:val="24"/>
                <w:sz w:val="22"/>
              </w:rPr>
              <w:t>2,085</w:t>
            </w:r>
          </w:p>
        </w:tc>
        <w:tc>
          <w:tcPr>
            <w:tcW w:w="1383" w:type="dxa"/>
            <w:vAlign w:val="center"/>
            <w:hideMark/>
          </w:tcPr>
          <w:p w14:paraId="7D18E66B" w14:textId="39A8DBC9" w:rsidR="002B2FC5" w:rsidRPr="001D6A38" w:rsidRDefault="002B2FC5" w:rsidP="002B2FC5">
            <w:pPr>
              <w:jc w:val="center"/>
              <w:rPr>
                <w:rFonts w:cstheme="minorHAnsi"/>
                <w:sz w:val="22"/>
              </w:rPr>
            </w:pPr>
            <w:r w:rsidRPr="001D6A38">
              <w:rPr>
                <w:rFonts w:eastAsiaTheme="minorEastAsia" w:cstheme="minorHAnsi"/>
                <w:kern w:val="24"/>
                <w:sz w:val="22"/>
              </w:rPr>
              <w:t>NA</w:t>
            </w:r>
          </w:p>
        </w:tc>
        <w:tc>
          <w:tcPr>
            <w:tcW w:w="1383" w:type="dxa"/>
            <w:vAlign w:val="center"/>
            <w:hideMark/>
          </w:tcPr>
          <w:p w14:paraId="7F631AF9" w14:textId="3704BB4F" w:rsidR="002B2FC5" w:rsidRPr="002B2FC5" w:rsidRDefault="002B2FC5" w:rsidP="002B2FC5">
            <w:pPr>
              <w:jc w:val="center"/>
              <w:rPr>
                <w:rFonts w:cstheme="minorHAnsi"/>
                <w:color w:val="FF0000"/>
                <w:sz w:val="22"/>
              </w:rPr>
            </w:pPr>
            <w:r w:rsidRPr="002B2FC5">
              <w:rPr>
                <w:rFonts w:eastAsiaTheme="minorEastAsia" w:cstheme="minorHAnsi"/>
                <w:kern w:val="24"/>
                <w:sz w:val="22"/>
              </w:rPr>
              <w:t>NA</w:t>
            </w:r>
          </w:p>
        </w:tc>
      </w:tr>
    </w:tbl>
    <w:p w14:paraId="46F52DEC" w14:textId="156236E1" w:rsidR="003A6561" w:rsidRPr="001D6A38" w:rsidRDefault="3DDA55DC" w:rsidP="24377A7B">
      <w:pPr>
        <w:rPr>
          <w:sz w:val="18"/>
          <w:szCs w:val="18"/>
        </w:rPr>
      </w:pPr>
      <w:r w:rsidRPr="001D6A38">
        <w:rPr>
          <w:sz w:val="20"/>
          <w:szCs w:val="20"/>
        </w:rPr>
        <w:t>Data Source: Massachusetts Department of Elementary and Secondary Education and Massachusetts Department of Public Health, Office of Data Management and Outcomes Assessment</w:t>
      </w:r>
    </w:p>
    <w:p w14:paraId="2B8C8FDF" w14:textId="7DE171C1" w:rsidR="003A6561" w:rsidRPr="001D6A38" w:rsidRDefault="003A6561" w:rsidP="24377A7B"/>
    <w:p w14:paraId="09A81F8B" w14:textId="77777777" w:rsidR="005F6247" w:rsidRPr="001D6A38" w:rsidRDefault="005F6247" w:rsidP="005F6247">
      <w:pPr>
        <w:pStyle w:val="spaced6"/>
      </w:pPr>
      <w:r w:rsidRPr="001D6A38">
        <w:t xml:space="preserve">The Massachusetts Youth Risk Behavior Survey (MYRBS) is performed biennially among a sample of ninth to twelfth grade students.  </w:t>
      </w:r>
    </w:p>
    <w:p w14:paraId="22EF5DB3" w14:textId="7D79FAAA" w:rsidR="00F57ACA" w:rsidRPr="001D6A38" w:rsidRDefault="00EB3044" w:rsidP="00FE4D0D">
      <w:pPr>
        <w:pStyle w:val="spaced6"/>
      </w:pPr>
      <w:r w:rsidRPr="00EB3044">
        <w:t>The proportion of students reporting condom use at last sexual intercourse was lower in 2023 (51.6%, 95% CI: 45.7%–57.5%, n=568) compared to 2015 (62.5%, 95% CI: 58.9%–65.9%, n=766)</w:t>
      </w:r>
      <w:r w:rsidR="41BD9531" w:rsidRPr="001D6A38">
        <w:t>.</w:t>
      </w:r>
      <w:r w:rsidRPr="001D6A38">
        <w:t xml:space="preserve"> </w:t>
      </w:r>
      <w:r w:rsidR="00F57ACA" w:rsidRPr="001D6A38">
        <w:br w:type="page"/>
      </w:r>
    </w:p>
    <w:p w14:paraId="712322A2" w14:textId="3847EF93" w:rsidR="007D74BB" w:rsidRPr="001D6A38" w:rsidRDefault="007D74BB" w:rsidP="007D74BB">
      <w:pPr>
        <w:pStyle w:val="Heading1"/>
      </w:pPr>
      <w:bookmarkStart w:id="48" w:name="_Toc751751675"/>
      <w:r>
        <w:lastRenderedPageBreak/>
        <w:t xml:space="preserve">SPECIFIC POPULATIONS - </w:t>
      </w:r>
      <w:r w:rsidR="00F57ACA">
        <w:t>MEN WHO HAVE SEX WITH MEN</w:t>
      </w:r>
      <w:bookmarkEnd w:id="48"/>
      <w:r w:rsidR="00F57ACA">
        <w:t xml:space="preserve"> </w:t>
      </w:r>
    </w:p>
    <w:p w14:paraId="1EDD6B3D" w14:textId="7EED5001" w:rsidR="004F63D2" w:rsidRPr="001D6A38" w:rsidRDefault="00F57ACA" w:rsidP="007476F0">
      <w:pPr>
        <w:pStyle w:val="Heading2"/>
      </w:pPr>
      <w:bookmarkStart w:id="49" w:name="_Toc646549047"/>
      <w:r>
        <w:t>HIV DIAGNOSIS RATE PER 100,000</w:t>
      </w:r>
      <w:bookmarkEnd w:id="49"/>
    </w:p>
    <w:p w14:paraId="3BBEF992" w14:textId="111F69C0" w:rsidR="007476F0" w:rsidRPr="001D6A38" w:rsidRDefault="1D8E82FA" w:rsidP="007476F0">
      <w:pPr>
        <w:rPr>
          <w:szCs w:val="24"/>
        </w:rPr>
      </w:pPr>
      <w:r w:rsidRPr="001D6A38">
        <w:rPr>
          <w:b/>
          <w:bCs/>
        </w:rPr>
        <w:t>Figure 3</w:t>
      </w:r>
      <w:r w:rsidR="00775ABA" w:rsidRPr="001D6A38">
        <w:rPr>
          <w:b/>
          <w:bCs/>
        </w:rPr>
        <w:t>6</w:t>
      </w:r>
      <w:r w:rsidRPr="001D6A38">
        <w:t>. Estimated</w:t>
      </w:r>
      <w:r w:rsidR="00EB02A0" w:rsidRPr="001D6A38">
        <w:rPr>
          <w:rStyle w:val="FootnoteReference"/>
        </w:rPr>
        <w:footnoteReference w:id="109"/>
      </w:r>
      <w:r w:rsidRPr="001D6A38">
        <w:t xml:space="preserve"> average annual HIV diagnosis rate per 100,000 population: MSM (men who have sex with men) compared to non-MSM (males) ages 18–64 years: Massachusetts </w:t>
      </w:r>
      <w:r w:rsidR="004822C5" w:rsidRPr="001D6A38">
        <w:t>2021–2023</w:t>
      </w:r>
    </w:p>
    <w:p w14:paraId="3D87E6D4" w14:textId="4A80338D" w:rsidR="00F57ACA" w:rsidRPr="00234D05" w:rsidRDefault="004C354C" w:rsidP="00FE4D0D">
      <w:pPr>
        <w:rPr>
          <w:color w:val="FF0000"/>
          <w:szCs w:val="24"/>
        </w:rPr>
      </w:pPr>
      <w:r>
        <w:rPr>
          <w:noProof/>
          <w:color w:val="FF0000"/>
          <w:szCs w:val="24"/>
        </w:rPr>
        <w:drawing>
          <wp:inline distT="0" distB="0" distL="0" distR="0" wp14:anchorId="4141131B" wp14:editId="32B94B21">
            <wp:extent cx="6078220" cy="4852670"/>
            <wp:effectExtent l="0" t="0" r="0" b="0"/>
            <wp:docPr id="1917287621" name="Picture 18" descr="The figure is a bar chart displaying the average annual HIV diagnosis rate for MSM on the left, compared to the average annual HIV diagnosis rate for non-MSM male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7621" name="Picture 18" descr="The figure is a bar chart displaying the average annual HIV diagnosis rate for MSM on the left, compared to the average annual HIV diagnosis rate for non-MSM males on the right.&#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8220" cy="4852670"/>
                    </a:xfrm>
                    <a:prstGeom prst="rect">
                      <a:avLst/>
                    </a:prstGeom>
                    <a:noFill/>
                  </pic:spPr>
                </pic:pic>
              </a:graphicData>
            </a:graphic>
          </wp:inline>
        </w:drawing>
      </w:r>
    </w:p>
    <w:p w14:paraId="58D7198A" w14:textId="32215BE6" w:rsidR="00F57ACA" w:rsidRPr="001D6A38" w:rsidRDefault="00F57ACA" w:rsidP="00FE4D0D">
      <w:pPr>
        <w:rPr>
          <w:szCs w:val="24"/>
        </w:rPr>
      </w:pPr>
    </w:p>
    <w:p w14:paraId="26777ADA" w14:textId="4532E374" w:rsidR="001D6A38" w:rsidRPr="001D6A38" w:rsidRDefault="001D6A38" w:rsidP="00F84E3A">
      <w:pPr>
        <w:numPr>
          <w:ilvl w:val="0"/>
          <w:numId w:val="48"/>
        </w:numPr>
        <w:ind w:left="360"/>
      </w:pPr>
      <w:r w:rsidRPr="001D6A38">
        <w:t>At 148.4 per 100,000 population (95% confidence interval [CI]: 123.0–190.8 per 100,000), the estimated average rate of HIV diagnosis from 2021 to 2023</w:t>
      </w:r>
      <w:r w:rsidR="00C316D2" w:rsidRPr="0074251C">
        <w:rPr>
          <w:rStyle w:val="FootnoteReference"/>
        </w:rPr>
        <w:footnoteReference w:id="110"/>
      </w:r>
      <w:r w:rsidRPr="001D6A38">
        <w:t xml:space="preserve"> among MSM (ages 18–64 years) was 21 times the rate of infection in men who did not report sex with men (7.1 per 100,000 [95% CI: 7.0–7.2 per 100,000]).</w:t>
      </w:r>
    </w:p>
    <w:p w14:paraId="3F66F31D" w14:textId="229E1AD1" w:rsidR="00EB02A0" w:rsidRPr="00234D05" w:rsidRDefault="00EB02A0" w:rsidP="72E089C3">
      <w:pPr>
        <w:rPr>
          <w:color w:val="FF0000"/>
        </w:rPr>
      </w:pPr>
      <w:r w:rsidRPr="72E089C3">
        <w:rPr>
          <w:color w:val="FF0000"/>
        </w:rPr>
        <w:br w:type="page"/>
      </w:r>
    </w:p>
    <w:p w14:paraId="2B680C30" w14:textId="428CA076" w:rsidR="00EB02A0" w:rsidRPr="001D6A38" w:rsidRDefault="00EB02A0" w:rsidP="00EB02A0">
      <w:pPr>
        <w:pStyle w:val="Heading2"/>
      </w:pPr>
      <w:bookmarkStart w:id="50" w:name="_Toc192942339"/>
      <w:r>
        <w:lastRenderedPageBreak/>
        <w:t>MSM – SYPHILIS RATE PER 100,000</w:t>
      </w:r>
      <w:bookmarkEnd w:id="50"/>
    </w:p>
    <w:p w14:paraId="490B1934" w14:textId="4A02A216" w:rsidR="00EB02A0" w:rsidRPr="001D6A38" w:rsidRDefault="3343F522" w:rsidP="00EB02A0">
      <w:pPr>
        <w:rPr>
          <w:szCs w:val="24"/>
        </w:rPr>
      </w:pPr>
      <w:r w:rsidRPr="001D6A38">
        <w:rPr>
          <w:b/>
          <w:bCs/>
        </w:rPr>
        <w:t>Figure 3</w:t>
      </w:r>
      <w:r w:rsidR="00383CB6" w:rsidRPr="001D6A38">
        <w:rPr>
          <w:b/>
          <w:bCs/>
        </w:rPr>
        <w:t>7</w:t>
      </w:r>
      <w:r w:rsidRPr="001D6A38">
        <w:t>. Estimated</w:t>
      </w:r>
      <w:r w:rsidR="00043689" w:rsidRPr="001D6A38">
        <w:rPr>
          <w:rStyle w:val="FootnoteReference"/>
        </w:rPr>
        <w:footnoteReference w:id="111"/>
      </w:r>
      <w:r w:rsidRPr="001D6A38">
        <w:t xml:space="preserve"> </w:t>
      </w:r>
      <w:r w:rsidR="00B901A2">
        <w:t xml:space="preserve">confirmed and probable </w:t>
      </w:r>
      <w:r w:rsidRPr="001D6A38">
        <w:t>infectious syphilis</w:t>
      </w:r>
      <w:r w:rsidR="00043689" w:rsidRPr="001D6A38">
        <w:rPr>
          <w:rStyle w:val="FootnoteReference"/>
        </w:rPr>
        <w:footnoteReference w:id="112"/>
      </w:r>
      <w:r w:rsidRPr="001D6A38">
        <w:t xml:space="preserve"> rate per 100,000 population: MSM compared to non-MSM (males) ages 18–64 years: Massachusetts 202</w:t>
      </w:r>
      <w:r w:rsidR="001D6A38" w:rsidRPr="001D6A38">
        <w:t>3</w:t>
      </w:r>
    </w:p>
    <w:p w14:paraId="434CEEF3" w14:textId="13B75A39" w:rsidR="00EB02A0" w:rsidRPr="00234D05" w:rsidRDefault="009461B1" w:rsidP="00EB02A0">
      <w:pPr>
        <w:rPr>
          <w:color w:val="FF0000"/>
          <w:szCs w:val="24"/>
        </w:rPr>
      </w:pPr>
      <w:r>
        <w:rPr>
          <w:noProof/>
          <w:color w:val="FF0000"/>
          <w:szCs w:val="24"/>
        </w:rPr>
        <w:drawing>
          <wp:inline distT="0" distB="0" distL="0" distR="0" wp14:anchorId="554D385D" wp14:editId="2FEFD711">
            <wp:extent cx="6078220" cy="4852670"/>
            <wp:effectExtent l="0" t="0" r="0" b="0"/>
            <wp:docPr id="118665497" name="Picture 19" descr="The figure is a bar chart displaying the estimated infectious syphilis rate per 100,000 for MSM on the left, compared to the estimated infectious syphilis rate per 100,000 for non-MSM male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5497" name="Picture 19" descr="The figure is a bar chart displaying the estimated infectious syphilis rate per 100,000 for MSM on the left, compared to the estimated infectious syphilis rate per 100,000 for non-MSM males on the right.&#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8220" cy="4852670"/>
                    </a:xfrm>
                    <a:prstGeom prst="rect">
                      <a:avLst/>
                    </a:prstGeom>
                    <a:noFill/>
                  </pic:spPr>
                </pic:pic>
              </a:graphicData>
            </a:graphic>
          </wp:inline>
        </w:drawing>
      </w:r>
    </w:p>
    <w:p w14:paraId="799897E4" w14:textId="22AEA22A" w:rsidR="006C21FE" w:rsidRPr="006C21FE" w:rsidRDefault="006C21FE" w:rsidP="00F84E3A">
      <w:pPr>
        <w:numPr>
          <w:ilvl w:val="0"/>
          <w:numId w:val="43"/>
        </w:numPr>
        <w:ind w:left="360"/>
        <w:rPr>
          <w:szCs w:val="24"/>
        </w:rPr>
      </w:pPr>
      <w:r w:rsidRPr="006C21FE">
        <w:rPr>
          <w:szCs w:val="24"/>
        </w:rPr>
        <w:t>At 625.6 per 100,000 population (95% confidence interval [CI]: 518.6–804.3 per 100,000), the estimated</w:t>
      </w:r>
      <w:r w:rsidR="007B0328">
        <w:rPr>
          <w:szCs w:val="24"/>
        </w:rPr>
        <w:t xml:space="preserve"> confirmed and probable</w:t>
      </w:r>
      <w:r w:rsidRPr="006C21FE">
        <w:rPr>
          <w:szCs w:val="24"/>
        </w:rPr>
        <w:t xml:space="preserve"> infectious syphilis rate in 2023</w:t>
      </w:r>
      <w:r w:rsidR="00C316D2" w:rsidRPr="0074251C">
        <w:rPr>
          <w:rStyle w:val="FootnoteReference"/>
        </w:rPr>
        <w:footnoteReference w:id="113"/>
      </w:r>
      <w:r w:rsidRPr="006C21FE">
        <w:rPr>
          <w:szCs w:val="24"/>
        </w:rPr>
        <w:t xml:space="preserve"> among MSM (ages 18–64) was 39 times the rate of infection in men who did not report sex with men (16.0 per 100,000 [95% CI: 15.8–16.2 per 100,000]).</w:t>
      </w:r>
    </w:p>
    <w:p w14:paraId="5328449A" w14:textId="7D993524" w:rsidR="00E11171" w:rsidRPr="00234D05" w:rsidRDefault="00E11171" w:rsidP="72E089C3">
      <w:pPr>
        <w:rPr>
          <w:color w:val="FF0000"/>
        </w:rPr>
      </w:pPr>
      <w:r w:rsidRPr="72E089C3">
        <w:rPr>
          <w:color w:val="FF0000"/>
        </w:rPr>
        <w:br w:type="page"/>
      </w:r>
    </w:p>
    <w:p w14:paraId="325305BA" w14:textId="6B6F71A4" w:rsidR="00E11171" w:rsidRPr="006C21FE" w:rsidRDefault="00E11171" w:rsidP="00E11171">
      <w:pPr>
        <w:pStyle w:val="Heading2"/>
      </w:pPr>
      <w:bookmarkStart w:id="51" w:name="_Toc221085451"/>
      <w:r>
        <w:lastRenderedPageBreak/>
        <w:t>MSM – SYPHILIS/HIV CO-INFECTION</w:t>
      </w:r>
      <w:bookmarkEnd w:id="51"/>
    </w:p>
    <w:p w14:paraId="375C59CB" w14:textId="6C259BA5" w:rsidR="00E11171" w:rsidRPr="006C21FE" w:rsidRDefault="30E4BE02" w:rsidP="00E11171">
      <w:r w:rsidRPr="006C21FE">
        <w:rPr>
          <w:b/>
          <w:bCs/>
        </w:rPr>
        <w:t>Figure 3</w:t>
      </w:r>
      <w:r w:rsidR="18A5FC49" w:rsidRPr="006C21FE">
        <w:rPr>
          <w:b/>
          <w:bCs/>
        </w:rPr>
        <w:t>8</w:t>
      </w:r>
      <w:r w:rsidRPr="006C21FE">
        <w:rPr>
          <w:b/>
          <w:bCs/>
        </w:rPr>
        <w:t xml:space="preserve">. </w:t>
      </w:r>
      <w:r w:rsidRPr="006C21FE">
        <w:t>Number of confirmed and probable infectious syphilis</w:t>
      </w:r>
      <w:r w:rsidR="00E11171" w:rsidRPr="006C21FE">
        <w:rPr>
          <w:rStyle w:val="FootnoteReference"/>
        </w:rPr>
        <w:footnoteReference w:id="114"/>
      </w:r>
      <w:r w:rsidRPr="006C21FE">
        <w:t xml:space="preserve"> cases among MSM and the percent of cases among MSM known to ever be co-infected with HIV, Massachusetts 201</w:t>
      </w:r>
      <w:r w:rsidR="006C21FE" w:rsidRPr="006C21FE">
        <w:t>9</w:t>
      </w:r>
      <w:r w:rsidRPr="006C21FE">
        <w:t>–202</w:t>
      </w:r>
      <w:r w:rsidR="006C21FE" w:rsidRPr="006C21FE">
        <w:t>3</w:t>
      </w:r>
      <w:r w:rsidRPr="006C21FE">
        <w:t xml:space="preserve"> </w:t>
      </w:r>
    </w:p>
    <w:p w14:paraId="1D53D910" w14:textId="472821D8" w:rsidR="00E11171" w:rsidRPr="00234D05" w:rsidRDefault="009461B1" w:rsidP="7108AB92">
      <w:pPr>
        <w:rPr>
          <w:color w:val="FF0000"/>
          <w:sz w:val="20"/>
          <w:szCs w:val="20"/>
        </w:rPr>
      </w:pPr>
      <w:r>
        <w:rPr>
          <w:noProof/>
          <w:color w:val="FF0000"/>
          <w:sz w:val="20"/>
          <w:szCs w:val="20"/>
        </w:rPr>
        <w:drawing>
          <wp:inline distT="0" distB="0" distL="0" distR="0" wp14:anchorId="35612B5C" wp14:editId="03E74696">
            <wp:extent cx="6687820" cy="3865245"/>
            <wp:effectExtent l="0" t="0" r="0" b="0"/>
            <wp:docPr id="2143298156" name="Picture 20" descr="The figure is a bar chart displaying the number of syphilis cases among MSM and total syphilis cases for each year from 2019 to 2023 with an overlaid trendline displaying the percentage of syphilis cases among MSM that were also HIV positive in each of those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98156" name="Picture 20" descr="The figure is a bar chart displaying the number of syphilis cases among MSM and total syphilis cases for each year from 2019 to 2023 with an overlaid trendline displaying the percentage of syphilis cases among MSM that were also HIV positive in each of those years.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87820" cy="3865245"/>
                    </a:xfrm>
                    <a:prstGeom prst="rect">
                      <a:avLst/>
                    </a:prstGeom>
                    <a:noFill/>
                  </pic:spPr>
                </pic:pic>
              </a:graphicData>
            </a:graphic>
          </wp:inline>
        </w:drawing>
      </w:r>
    </w:p>
    <w:p w14:paraId="4F59F739" w14:textId="3B45ED22" w:rsidR="00E11171" w:rsidRPr="00234D05" w:rsidRDefault="00E11171" w:rsidP="7108AB92">
      <w:pPr>
        <w:rPr>
          <w:color w:val="FF0000"/>
          <w:sz w:val="20"/>
          <w:szCs w:val="20"/>
        </w:rPr>
      </w:pPr>
    </w:p>
    <w:p w14:paraId="1C1884E6" w14:textId="00F90FA7" w:rsidR="00E11171" w:rsidRPr="00234D05" w:rsidRDefault="55D3C585" w:rsidP="00E11171">
      <w:pPr>
        <w:rPr>
          <w:color w:val="FF0000"/>
          <w:sz w:val="20"/>
          <w:szCs w:val="20"/>
        </w:rPr>
      </w:pPr>
      <w:r w:rsidRPr="006C21FE">
        <w:rPr>
          <w:sz w:val="20"/>
          <w:szCs w:val="20"/>
        </w:rPr>
        <w:t>D</w:t>
      </w:r>
      <w:r w:rsidR="484441F6" w:rsidRPr="006C21FE">
        <w:rPr>
          <w:sz w:val="20"/>
          <w:szCs w:val="20"/>
        </w:rPr>
        <w:t xml:space="preserve">ata Source: Bureau of Infectious Disease and Laboratory Sciences, data are </w:t>
      </w:r>
      <w:r w:rsidR="009F7C6D" w:rsidRPr="006C21FE">
        <w:rPr>
          <w:sz w:val="20"/>
          <w:szCs w:val="20"/>
        </w:rPr>
        <w:t>current as of 7/22/2024</w:t>
      </w:r>
      <w:r w:rsidR="484441F6" w:rsidRPr="006C21FE">
        <w:rPr>
          <w:sz w:val="20"/>
          <w:szCs w:val="20"/>
        </w:rPr>
        <w:t xml:space="preserve"> and subject to change</w:t>
      </w:r>
      <w:r w:rsidR="00B1580A" w:rsidRPr="006C21FE">
        <w:rPr>
          <w:sz w:val="20"/>
          <w:szCs w:val="20"/>
        </w:rPr>
        <w:t>.</w:t>
      </w:r>
    </w:p>
    <w:p w14:paraId="664C2DE6" w14:textId="64C86CEC" w:rsidR="00E11171" w:rsidRPr="00234D05" w:rsidRDefault="00E11171" w:rsidP="00E11171">
      <w:pPr>
        <w:rPr>
          <w:color w:val="FF0000"/>
          <w:szCs w:val="24"/>
        </w:rPr>
      </w:pPr>
    </w:p>
    <w:p w14:paraId="79ED0A9E" w14:textId="1BBAC33C" w:rsidR="009C152D" w:rsidRPr="009C152D" w:rsidRDefault="009C152D" w:rsidP="009C152D">
      <w:pPr>
        <w:pStyle w:val="spaced6"/>
      </w:pPr>
      <w:r w:rsidRPr="009C152D">
        <w:t xml:space="preserve">The incidence of </w:t>
      </w:r>
      <w:r w:rsidR="007B0328">
        <w:t xml:space="preserve">confirmed and probable infectious </w:t>
      </w:r>
      <w:r w:rsidRPr="009C152D">
        <w:t>syphilis in Massachusetts increased by 27% from 2019 to 2022 and subsequently decreased by 8% in 2023; MSM represented the majority of cases (59% in 2023).</w:t>
      </w:r>
    </w:p>
    <w:p w14:paraId="6DB36A25" w14:textId="027DD78F" w:rsidR="00E11171" w:rsidRPr="00463C40" w:rsidRDefault="38D65134" w:rsidP="00463C40">
      <w:pPr>
        <w:pStyle w:val="spaced6"/>
      </w:pPr>
      <w:r w:rsidRPr="00463C40">
        <w:t>In 202</w:t>
      </w:r>
      <w:r w:rsidR="00463C40" w:rsidRPr="00463C40">
        <w:t>3</w:t>
      </w:r>
      <w:r w:rsidRPr="00463C40">
        <w:t>,</w:t>
      </w:r>
      <w:r w:rsidR="00E11171" w:rsidRPr="00463C40">
        <w:rPr>
          <w:rStyle w:val="FootnoteReference"/>
        </w:rPr>
        <w:footnoteReference w:id="115"/>
      </w:r>
      <w:r w:rsidRPr="00463C40">
        <w:t xml:space="preserve"> </w:t>
      </w:r>
      <w:r w:rsidR="009C152D" w:rsidRPr="009C152D">
        <w:t xml:space="preserve">35% (N=296/850) of </w:t>
      </w:r>
      <w:r w:rsidR="007B0328">
        <w:t xml:space="preserve">confirmed and probable </w:t>
      </w:r>
      <w:r w:rsidR="009C152D" w:rsidRPr="009C152D">
        <w:t>infectious syphilis cases among men reporting sex with men also self-reported co-infection with HIV</w:t>
      </w:r>
      <w:r w:rsidR="00463C40" w:rsidRPr="00463C40">
        <w:t>.</w:t>
      </w:r>
      <w:r w:rsidR="00E11171" w:rsidRPr="00463C40">
        <w:rPr>
          <w:rStyle w:val="FootnoteReference"/>
        </w:rPr>
        <w:footnoteReference w:id="116"/>
      </w:r>
      <w:r w:rsidRPr="00463C40">
        <w:t xml:space="preserve"> </w:t>
      </w:r>
    </w:p>
    <w:p w14:paraId="78078853" w14:textId="57DB8045" w:rsidR="008B2807" w:rsidRPr="00234D05" w:rsidRDefault="008B2807" w:rsidP="00E11171">
      <w:pPr>
        <w:ind w:left="360"/>
        <w:rPr>
          <w:color w:val="FF0000"/>
          <w:szCs w:val="24"/>
        </w:rPr>
      </w:pPr>
      <w:r w:rsidRPr="00234D05">
        <w:rPr>
          <w:color w:val="FF0000"/>
          <w:szCs w:val="24"/>
        </w:rPr>
        <w:br w:type="page"/>
      </w:r>
    </w:p>
    <w:p w14:paraId="1AD4C0DE" w14:textId="6995C668" w:rsidR="00E11171" w:rsidRPr="00463C40" w:rsidRDefault="008B2807" w:rsidP="38A4F72D">
      <w:pPr>
        <w:pStyle w:val="Heading2"/>
      </w:pPr>
      <w:bookmarkStart w:id="52" w:name="_Toc2080751066"/>
      <w:r>
        <w:lastRenderedPageBreak/>
        <w:t>MSM - SYPHILIS BY COUNTY</w:t>
      </w:r>
      <w:bookmarkEnd w:id="52"/>
    </w:p>
    <w:p w14:paraId="0B1C72D8" w14:textId="612E2ADC" w:rsidR="00BA0B92" w:rsidRPr="00463C40" w:rsidRDefault="2B880D8E" w:rsidP="3405EFDC">
      <w:pPr>
        <w:spacing w:after="160" w:line="259" w:lineRule="auto"/>
      </w:pPr>
      <w:r w:rsidRPr="00463C40">
        <w:rPr>
          <w:b/>
          <w:bCs/>
        </w:rPr>
        <w:t>Figure 3</w:t>
      </w:r>
      <w:r w:rsidR="001675CD" w:rsidRPr="00463C40">
        <w:rPr>
          <w:b/>
          <w:bCs/>
        </w:rPr>
        <w:t>9</w:t>
      </w:r>
      <w:r w:rsidRPr="00463C40">
        <w:rPr>
          <w:b/>
          <w:bCs/>
        </w:rPr>
        <w:t xml:space="preserve">. </w:t>
      </w:r>
      <w:r w:rsidRPr="00463C40">
        <w:t>Total number of confirmed and probable infectious syphilis</w:t>
      </w:r>
      <w:r w:rsidR="00BA0B92" w:rsidRPr="00463C40">
        <w:rPr>
          <w:rStyle w:val="FootnoteReference"/>
        </w:rPr>
        <w:footnoteReference w:id="117"/>
      </w:r>
      <w:r w:rsidRPr="00463C40">
        <w:t xml:space="preserve"> cases and number among MSM by county, Massachusetts 202</w:t>
      </w:r>
      <w:r w:rsidR="00463C40" w:rsidRPr="00463C40">
        <w:t>3</w:t>
      </w:r>
    </w:p>
    <w:p w14:paraId="31E97EAA" w14:textId="2B96C214" w:rsidR="008B2807" w:rsidRPr="00234D05" w:rsidRDefault="00E91954" w:rsidP="008B2807">
      <w:pPr>
        <w:rPr>
          <w:color w:val="FF0000"/>
        </w:rPr>
      </w:pPr>
      <w:r>
        <w:rPr>
          <w:noProof/>
          <w:color w:val="FF0000"/>
          <w:shd w:val="clear" w:color="auto" w:fill="E6E6E6"/>
        </w:rPr>
        <w:drawing>
          <wp:inline distT="0" distB="0" distL="0" distR="0" wp14:anchorId="713E6517" wp14:editId="7846E4BC">
            <wp:extent cx="6389370" cy="4877435"/>
            <wp:effectExtent l="0" t="0" r="0" b="0"/>
            <wp:docPr id="1373609421" name="Picture 1373609421" descr="The figure is a bar chart which displays both the total number of syphilis cases and the number of syphilis cases among MSM in each Massachusetts county: Barnstable/Dukes/Nantucket, Berkshire, Bristol, Essex, Franklin, Hampden, Hampshire, Middlesex, Norfolk, Plymouth, Suffolk, and Worc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09421" name="Picture 27" descr="The figure is a bar chart which displays both the total number of syphilis cases and the number of syphilis cases among MSM in each Massachusetts county: Barnstable/Dukes/Nantucket, Berkshire, Bristol, Essex, Franklin, Hampden, Hampshire, Middlesex, Norfolk, Plymouth, Suffolk, and Worcester.&#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9370" cy="4877435"/>
                    </a:xfrm>
                    <a:prstGeom prst="rect">
                      <a:avLst/>
                    </a:prstGeom>
                    <a:noFill/>
                    <a:ln>
                      <a:noFill/>
                    </a:ln>
                  </pic:spPr>
                </pic:pic>
              </a:graphicData>
            </a:graphic>
          </wp:inline>
        </w:drawing>
      </w:r>
    </w:p>
    <w:p w14:paraId="429CCA52" w14:textId="77777777" w:rsidR="00F235EF" w:rsidRPr="00F235EF" w:rsidRDefault="00F235EF" w:rsidP="00B746F1">
      <w:pPr>
        <w:rPr>
          <w:sz w:val="20"/>
          <w:szCs w:val="20"/>
        </w:rPr>
      </w:pPr>
      <w:r w:rsidRPr="00F235EF">
        <w:rPr>
          <w:sz w:val="20"/>
          <w:szCs w:val="20"/>
        </w:rPr>
        <w:t xml:space="preserve">Note: MSM N=850, missing risk information N=142, total cases N=1,449 </w:t>
      </w:r>
    </w:p>
    <w:p w14:paraId="40B57B78" w14:textId="1D46DD19" w:rsidR="00B746F1" w:rsidRPr="00F235EF" w:rsidRDefault="00B746F1" w:rsidP="00B746F1">
      <w:pPr>
        <w:rPr>
          <w:sz w:val="20"/>
          <w:szCs w:val="20"/>
        </w:rPr>
      </w:pPr>
      <w:r w:rsidRPr="00F235EF">
        <w:rPr>
          <w:sz w:val="20"/>
          <w:szCs w:val="20"/>
        </w:rPr>
        <w:t xml:space="preserve">Data Source: Bureau of Infectious Disease and Laboratory Sciences, data are </w:t>
      </w:r>
      <w:r w:rsidR="009F7C6D" w:rsidRPr="00F235EF">
        <w:rPr>
          <w:sz w:val="20"/>
          <w:szCs w:val="20"/>
        </w:rPr>
        <w:t>current as of 7/22/2024</w:t>
      </w:r>
      <w:r w:rsidRPr="00F235EF">
        <w:rPr>
          <w:sz w:val="20"/>
          <w:szCs w:val="20"/>
        </w:rPr>
        <w:t xml:space="preserve"> and subject to change.</w:t>
      </w:r>
    </w:p>
    <w:p w14:paraId="67323775" w14:textId="6C287C38" w:rsidR="00BA0B92" w:rsidRPr="00F235EF" w:rsidRDefault="00B746F1" w:rsidP="00BA0B92">
      <w:pPr>
        <w:rPr>
          <w:sz w:val="20"/>
          <w:szCs w:val="20"/>
        </w:rPr>
      </w:pPr>
      <w:r w:rsidRPr="00F235EF">
        <w:rPr>
          <w:sz w:val="20"/>
          <w:szCs w:val="20"/>
        </w:rPr>
        <w:t>BDN=</w:t>
      </w:r>
      <w:r w:rsidR="00BA0B92" w:rsidRPr="00F235EF">
        <w:rPr>
          <w:sz w:val="20"/>
          <w:szCs w:val="20"/>
        </w:rPr>
        <w:t>Barnstable, Dukes and Nantucket</w:t>
      </w:r>
      <w:r w:rsidRPr="00F235EF">
        <w:rPr>
          <w:sz w:val="20"/>
          <w:szCs w:val="20"/>
        </w:rPr>
        <w:t>;</w:t>
      </w:r>
      <w:r w:rsidR="00BA0B92" w:rsidRPr="00F235EF">
        <w:rPr>
          <w:sz w:val="20"/>
          <w:szCs w:val="20"/>
        </w:rPr>
        <w:t xml:space="preserve"> Counties are combined because of small numbers.</w:t>
      </w:r>
    </w:p>
    <w:p w14:paraId="7C6728CB" w14:textId="7B632AEE" w:rsidR="00BA0B92" w:rsidRPr="00234D05" w:rsidRDefault="00BA0B92" w:rsidP="00BA0B92">
      <w:pPr>
        <w:rPr>
          <w:color w:val="FF0000"/>
          <w:szCs w:val="24"/>
        </w:rPr>
      </w:pPr>
    </w:p>
    <w:p w14:paraId="08C106A7" w14:textId="59C6E608" w:rsidR="00BA0B92" w:rsidRPr="00891464" w:rsidRDefault="6356AF67" w:rsidP="00F84E3A">
      <w:pPr>
        <w:numPr>
          <w:ilvl w:val="0"/>
          <w:numId w:val="11"/>
        </w:numPr>
      </w:pPr>
      <w:r w:rsidRPr="00891464">
        <w:t>In 202</w:t>
      </w:r>
      <w:r w:rsidR="00891464" w:rsidRPr="00891464">
        <w:t>3</w:t>
      </w:r>
      <w:r w:rsidRPr="00891464">
        <w:t>,</w:t>
      </w:r>
      <w:r w:rsidR="00BA0B92" w:rsidRPr="00891464">
        <w:rPr>
          <w:rStyle w:val="FootnoteReference"/>
        </w:rPr>
        <w:footnoteReference w:id="118"/>
      </w:r>
      <w:r w:rsidRPr="00891464">
        <w:t xml:space="preserve"> </w:t>
      </w:r>
      <w:r w:rsidR="00891464" w:rsidRPr="00891464">
        <w:t xml:space="preserve">the largest proportions of MSM among </w:t>
      </w:r>
      <w:r w:rsidR="007B0328">
        <w:t xml:space="preserve">confirmed and probable </w:t>
      </w:r>
      <w:r w:rsidR="00891464" w:rsidRPr="00891464">
        <w:t>infectious syphilis cases were reported in Suffolk (69%, N=301/434) and Middlesex (68%, N=214/314) counties</w:t>
      </w:r>
      <w:r w:rsidR="00B746F1" w:rsidRPr="00891464">
        <w:t xml:space="preserve">.  </w:t>
      </w:r>
    </w:p>
    <w:p w14:paraId="2672D85C" w14:textId="474C9DBA" w:rsidR="0036655D" w:rsidRPr="00234D05" w:rsidRDefault="0036655D" w:rsidP="00BA0B92">
      <w:pPr>
        <w:rPr>
          <w:color w:val="FF0000"/>
          <w:szCs w:val="24"/>
        </w:rPr>
      </w:pPr>
      <w:r w:rsidRPr="00234D05">
        <w:rPr>
          <w:color w:val="FF0000"/>
          <w:szCs w:val="24"/>
        </w:rPr>
        <w:br w:type="page"/>
      </w:r>
    </w:p>
    <w:p w14:paraId="614BBA04" w14:textId="5416A96C" w:rsidR="00BA0B92" w:rsidRPr="00891464" w:rsidRDefault="003B5E4D" w:rsidP="003B5E4D">
      <w:pPr>
        <w:pStyle w:val="Style2"/>
      </w:pPr>
      <w:bookmarkStart w:id="53" w:name="_Toc528987586"/>
      <w:r>
        <w:lastRenderedPageBreak/>
        <w:t>MSM – RECENT HIV DIAGNOSES</w:t>
      </w:r>
      <w:bookmarkEnd w:id="53"/>
    </w:p>
    <w:p w14:paraId="7DBF01C4" w14:textId="407A0EBA" w:rsidR="000E2784" w:rsidRPr="00891464" w:rsidRDefault="000E2784" w:rsidP="000E2784">
      <w:r w:rsidRPr="533627D5">
        <w:rPr>
          <w:b/>
        </w:rPr>
        <w:t xml:space="preserve">Figure </w:t>
      </w:r>
      <w:r w:rsidR="00B746F1" w:rsidRPr="533627D5">
        <w:rPr>
          <w:b/>
        </w:rPr>
        <w:t>40</w:t>
      </w:r>
      <w:r w:rsidRPr="533627D5">
        <w:rPr>
          <w:b/>
        </w:rPr>
        <w:t xml:space="preserve">. </w:t>
      </w:r>
      <w:r>
        <w:t xml:space="preserve">HIV infection diagnoses among men reporting sex with men by race/ethnicity, age at diagnosis, and place of birth, Massachusetts </w:t>
      </w:r>
      <w:r w:rsidR="004822C5">
        <w:t>2021–2023</w:t>
      </w:r>
      <w:r>
        <w:t xml:space="preserve"> (N=</w:t>
      </w:r>
      <w:r w:rsidR="00891464">
        <w:t>559</w:t>
      </w:r>
      <w:r>
        <w:t xml:space="preserve">) </w:t>
      </w:r>
    </w:p>
    <w:p w14:paraId="56EDC6BB" w14:textId="54433471" w:rsidR="003B5E4D" w:rsidRPr="00F06BCF" w:rsidRDefault="00191C83" w:rsidP="003B5E4D">
      <w:pPr>
        <w:rPr>
          <w:szCs w:val="24"/>
        </w:rPr>
      </w:pPr>
      <w:r>
        <w:rPr>
          <w:noProof/>
          <w:szCs w:val="24"/>
        </w:rPr>
        <w:drawing>
          <wp:inline distT="0" distB="0" distL="0" distR="0" wp14:anchorId="345BAD00" wp14:editId="5FAEEA55">
            <wp:extent cx="6767195" cy="4554220"/>
            <wp:effectExtent l="0" t="0" r="0" b="0"/>
            <wp:docPr id="2024361346" name="Picture 21" descr="The figure is a series of three bar chart displaying the percentage distribution of individuals diagnosed with HIV infection with MSM exposure mode by race/ethnicity, age, and place of bi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61346" name="Picture 21" descr="The figure is a series of three bar chart displaying the percentage distribution of individuals diagnosed with HIV infection with MSM exposure mode by race/ethnicity, age, and place of birth.&#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7195" cy="4554220"/>
                    </a:xfrm>
                    <a:prstGeom prst="rect">
                      <a:avLst/>
                    </a:prstGeom>
                    <a:noFill/>
                  </pic:spPr>
                </pic:pic>
              </a:graphicData>
            </a:graphic>
          </wp:inline>
        </w:drawing>
      </w:r>
    </w:p>
    <w:p w14:paraId="21416292" w14:textId="3CD6AAA3" w:rsidR="000E2784" w:rsidRPr="00F06BCF" w:rsidRDefault="000E2784" w:rsidP="00E1705D">
      <w:pPr>
        <w:spacing w:after="120"/>
        <w:rPr>
          <w:sz w:val="20"/>
          <w:szCs w:val="20"/>
        </w:rPr>
      </w:pPr>
      <w:r w:rsidRPr="00F06BCF">
        <w:rPr>
          <w:sz w:val="20"/>
          <w:szCs w:val="20"/>
        </w:rPr>
        <w:t xml:space="preserve">Data Source: Bureau of Infectious Disease and Laboratory Sciences, data are </w:t>
      </w:r>
      <w:r w:rsidR="004822C5" w:rsidRPr="00F06BCF">
        <w:rPr>
          <w:sz w:val="20"/>
          <w:szCs w:val="20"/>
        </w:rPr>
        <w:t>current as of 7/1/2024</w:t>
      </w:r>
      <w:r w:rsidRPr="00F06BCF">
        <w:rPr>
          <w:sz w:val="20"/>
          <w:szCs w:val="20"/>
        </w:rPr>
        <w:t xml:space="preserve"> and subject to change</w:t>
      </w:r>
      <w:r w:rsidR="00B1580A" w:rsidRPr="00F06BCF">
        <w:rPr>
          <w:sz w:val="20"/>
          <w:szCs w:val="20"/>
        </w:rPr>
        <w:t>.</w:t>
      </w:r>
    </w:p>
    <w:p w14:paraId="38DDA9CF" w14:textId="77777777" w:rsidR="00F06BCF" w:rsidRPr="00F06BCF" w:rsidRDefault="00F06BCF" w:rsidP="00F06BCF">
      <w:pPr>
        <w:pStyle w:val="spaced6"/>
      </w:pPr>
      <w:r w:rsidRPr="00F06BCF">
        <w:t xml:space="preserve">Black (non-Hispanic) and Hispanic/Latinx individuals represented 7% and 13% of men in Massachusetts, compared to 19% and 41%, respectively, of men recently diagnosed with HIV infection with MSM exposure mode. </w:t>
      </w:r>
    </w:p>
    <w:p w14:paraId="7B2764ED" w14:textId="7D96AE69" w:rsidR="00DA78C5" w:rsidRPr="00F06BCF" w:rsidRDefault="00F06BCF" w:rsidP="00F06BCF">
      <w:pPr>
        <w:pStyle w:val="spaced6"/>
      </w:pPr>
      <w:r w:rsidRPr="00F06BCF">
        <w:t>Individuals with MSM exposure mode newly diagnosed with HIV infection in Massachusetts during 2021 to 2023</w:t>
      </w:r>
      <w:r w:rsidR="00E1705D" w:rsidRPr="00F06BCF">
        <w:rPr>
          <w:rStyle w:val="FootnoteReference"/>
        </w:rPr>
        <w:footnoteReference w:id="119"/>
      </w:r>
      <w:r w:rsidR="1715D795" w:rsidRPr="00F06BCF">
        <w:t xml:space="preserve"> </w:t>
      </w:r>
      <w:r w:rsidR="00DA78C5" w:rsidRPr="00F06BCF">
        <w:t xml:space="preserve">were predominantly in their </w:t>
      </w:r>
      <w:r w:rsidRPr="00F06BCF">
        <w:t>twenties or thirties (38% 20–29 year-olds, 32% 30–39 year-olds), Hispanic/Latinx (41%) or White (non-Hispanic) (34%), and US born (59%).</w:t>
      </w:r>
    </w:p>
    <w:p w14:paraId="107A70EA" w14:textId="71B9ACCF" w:rsidR="00E1705D" w:rsidRPr="00234D05" w:rsidRDefault="00E1705D" w:rsidP="72E089C3">
      <w:pPr>
        <w:pStyle w:val="spaced6"/>
        <w:numPr>
          <w:ilvl w:val="0"/>
          <w:numId w:val="0"/>
        </w:numPr>
        <w:rPr>
          <w:color w:val="FF0000"/>
        </w:rPr>
      </w:pPr>
      <w:r w:rsidRPr="72E089C3">
        <w:rPr>
          <w:color w:val="FF0000"/>
        </w:rPr>
        <w:br w:type="page"/>
      </w:r>
    </w:p>
    <w:p w14:paraId="02691B25" w14:textId="4BD9B910" w:rsidR="003B5E4D" w:rsidRPr="00F06BCF" w:rsidRDefault="00E1705D" w:rsidP="00E1705D">
      <w:pPr>
        <w:pStyle w:val="Style2"/>
      </w:pPr>
      <w:bookmarkStart w:id="54" w:name="_Toc1997340567"/>
      <w:r>
        <w:lastRenderedPageBreak/>
        <w:t>MSM – SYPHILIS CASES</w:t>
      </w:r>
      <w:bookmarkEnd w:id="54"/>
    </w:p>
    <w:p w14:paraId="37521EB7" w14:textId="401EFED0" w:rsidR="00E1705D" w:rsidRPr="004223EF" w:rsidRDefault="4FD96748" w:rsidP="00E1705D">
      <w:r w:rsidRPr="004223EF">
        <w:rPr>
          <w:b/>
          <w:bCs/>
        </w:rPr>
        <w:t xml:space="preserve">Figure </w:t>
      </w:r>
      <w:r w:rsidR="00C96E6A" w:rsidRPr="004223EF">
        <w:rPr>
          <w:b/>
          <w:bCs/>
        </w:rPr>
        <w:t>41</w:t>
      </w:r>
      <w:r w:rsidRPr="004223EF">
        <w:rPr>
          <w:b/>
          <w:bCs/>
        </w:rPr>
        <w:t xml:space="preserve">. </w:t>
      </w:r>
      <w:r w:rsidRPr="004223EF">
        <w:t>Confirmed and probable infectious syphilis</w:t>
      </w:r>
      <w:r w:rsidR="00E1705D" w:rsidRPr="004223EF">
        <w:rPr>
          <w:rStyle w:val="FootnoteReference"/>
        </w:rPr>
        <w:footnoteReference w:id="120"/>
      </w:r>
      <w:r w:rsidRPr="004223EF">
        <w:t xml:space="preserve"> </w:t>
      </w:r>
      <w:r w:rsidR="00C96E6A" w:rsidRPr="004223EF">
        <w:t>cases among men reporting sex with men, by race/ethnicity and age, Massachusetts 202</w:t>
      </w:r>
      <w:r w:rsidR="004223EF" w:rsidRPr="004223EF">
        <w:t>3</w:t>
      </w:r>
      <w:r w:rsidR="00C96E6A" w:rsidRPr="004223EF">
        <w:t xml:space="preserve"> (N=</w:t>
      </w:r>
      <w:r w:rsidR="004223EF" w:rsidRPr="004223EF">
        <w:t>850</w:t>
      </w:r>
      <w:r w:rsidR="00C96E6A" w:rsidRPr="004223EF">
        <w:t>)</w:t>
      </w:r>
    </w:p>
    <w:p w14:paraId="78EA7921" w14:textId="5716DD83" w:rsidR="003B5E4D" w:rsidRPr="004223EF" w:rsidRDefault="0066656A" w:rsidP="003B5E4D">
      <w:pPr>
        <w:rPr>
          <w:szCs w:val="24"/>
        </w:rPr>
      </w:pPr>
      <w:r>
        <w:rPr>
          <w:noProof/>
          <w:szCs w:val="24"/>
        </w:rPr>
        <w:drawing>
          <wp:inline distT="0" distB="0" distL="0" distR="0" wp14:anchorId="7A015E36" wp14:editId="0B51BF85">
            <wp:extent cx="6773545" cy="3578860"/>
            <wp:effectExtent l="0" t="0" r="0" b="0"/>
            <wp:docPr id="993016895" name="Picture 22" descr="The figure is a series of two bar charts displaying the percentage distribution of infectious syphilis cases among men who have sex with men by race/ethnicity on the left and age at diagnosis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16895" name="Picture 22" descr="The figure is a series of two bar charts displaying the percentage distribution of infectious syphilis cases among men who have sex with men by race/ethnicity on the left and age at diagnosis on the right.&#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73545" cy="3578860"/>
                    </a:xfrm>
                    <a:prstGeom prst="rect">
                      <a:avLst/>
                    </a:prstGeom>
                    <a:noFill/>
                  </pic:spPr>
                </pic:pic>
              </a:graphicData>
            </a:graphic>
          </wp:inline>
        </w:drawing>
      </w:r>
    </w:p>
    <w:p w14:paraId="0F561CD2" w14:textId="5AE3F1A0" w:rsidR="00E1705D" w:rsidRPr="004223EF" w:rsidRDefault="00E1705D" w:rsidP="00E1705D">
      <w:pPr>
        <w:spacing w:after="120"/>
        <w:rPr>
          <w:sz w:val="20"/>
          <w:szCs w:val="20"/>
        </w:rPr>
      </w:pPr>
      <w:r w:rsidRPr="004223EF">
        <w:rPr>
          <w:sz w:val="20"/>
          <w:szCs w:val="20"/>
        </w:rPr>
        <w:t xml:space="preserve">Data Source: Bureau of Infectious Disease and Laboratory Sciences, data are </w:t>
      </w:r>
      <w:r w:rsidR="009F7C6D" w:rsidRPr="004223EF">
        <w:rPr>
          <w:sz w:val="20"/>
          <w:szCs w:val="20"/>
        </w:rPr>
        <w:t>current as of 7/22/2024</w:t>
      </w:r>
      <w:r w:rsidRPr="004223EF">
        <w:rPr>
          <w:sz w:val="20"/>
          <w:szCs w:val="20"/>
        </w:rPr>
        <w:t xml:space="preserve"> and subject to change</w:t>
      </w:r>
      <w:r w:rsidR="00B1580A" w:rsidRPr="004223EF">
        <w:rPr>
          <w:sz w:val="20"/>
          <w:szCs w:val="20"/>
        </w:rPr>
        <w:t>.</w:t>
      </w:r>
    </w:p>
    <w:p w14:paraId="0C6216F0" w14:textId="1A5D9352" w:rsidR="004223EF" w:rsidRPr="004223EF" w:rsidRDefault="004223EF" w:rsidP="004223EF">
      <w:pPr>
        <w:pStyle w:val="spaced6"/>
      </w:pPr>
      <w:r w:rsidRPr="004223EF">
        <w:t xml:space="preserve">Black (non-Hispanic) and Hispanic/Latinx individuals represented 7% and 13% of men in Massachusetts, compared to 16% and 34%, respectively, of </w:t>
      </w:r>
      <w:r w:rsidR="000073E6">
        <w:t xml:space="preserve">confirmed and probable </w:t>
      </w:r>
      <w:r w:rsidRPr="004223EF">
        <w:t xml:space="preserve">infectious syphilis cases among men reporting sex with men in 2023. </w:t>
      </w:r>
    </w:p>
    <w:p w14:paraId="7EDE3160" w14:textId="6F356795" w:rsidR="004223EF" w:rsidRPr="004223EF" w:rsidRDefault="00C96E6A" w:rsidP="007C2B4D">
      <w:pPr>
        <w:pStyle w:val="spaced6"/>
      </w:pPr>
      <w:r w:rsidRPr="004223EF">
        <w:t>In 202</w:t>
      </w:r>
      <w:r w:rsidR="004223EF" w:rsidRPr="004223EF">
        <w:t>3</w:t>
      </w:r>
      <w:r w:rsidR="19DB68D6" w:rsidRPr="004223EF">
        <w:t>,</w:t>
      </w:r>
      <w:r w:rsidR="00E1705D" w:rsidRPr="004223EF">
        <w:rPr>
          <w:rStyle w:val="FootnoteReference"/>
        </w:rPr>
        <w:footnoteReference w:id="121"/>
      </w:r>
      <w:r w:rsidR="19DB68D6" w:rsidRPr="004223EF">
        <w:t xml:space="preserve"> </w:t>
      </w:r>
      <w:r w:rsidR="000073E6">
        <w:t xml:space="preserve">confirmed and probable </w:t>
      </w:r>
      <w:r w:rsidR="004223EF" w:rsidRPr="004223EF">
        <w:t>infectious syphilis cases among men reporting sex with men were predominantly White (non-Hispanic) (39%), and age 30 years and above (72% 30+ year-olds).</w:t>
      </w:r>
    </w:p>
    <w:p w14:paraId="6960FDAC" w14:textId="2924ABC3" w:rsidR="00E1705D" w:rsidRPr="004223EF" w:rsidRDefault="00E1705D" w:rsidP="72E089C3">
      <w:pPr>
        <w:pStyle w:val="spaced6"/>
        <w:numPr>
          <w:ilvl w:val="0"/>
          <w:numId w:val="0"/>
        </w:numPr>
      </w:pPr>
      <w:r>
        <w:br w:type="page"/>
      </w:r>
    </w:p>
    <w:p w14:paraId="00B50989" w14:textId="598275A6" w:rsidR="003B5E4D" w:rsidRPr="004223EF" w:rsidRDefault="00E8508F" w:rsidP="00E617B9">
      <w:pPr>
        <w:pStyle w:val="Heading2"/>
      </w:pPr>
      <w:bookmarkStart w:id="55" w:name="_Toc1992781653"/>
      <w:r>
        <w:lastRenderedPageBreak/>
        <w:t>TRENDS IN HIV EXPOSURE MODE AMONG MALES</w:t>
      </w:r>
      <w:bookmarkEnd w:id="55"/>
    </w:p>
    <w:p w14:paraId="28F5A30A" w14:textId="0F8DD29D" w:rsidR="00E8508F" w:rsidRPr="004223EF" w:rsidRDefault="79F4D5F5" w:rsidP="00E8508F">
      <w:r w:rsidRPr="004223EF">
        <w:rPr>
          <w:b/>
          <w:bCs/>
        </w:rPr>
        <w:t xml:space="preserve">Figure </w:t>
      </w:r>
      <w:r w:rsidR="00EA09A0" w:rsidRPr="004223EF">
        <w:rPr>
          <w:b/>
          <w:bCs/>
        </w:rPr>
        <w:t>42</w:t>
      </w:r>
      <w:r w:rsidRPr="004223EF">
        <w:rPr>
          <w:b/>
          <w:bCs/>
        </w:rPr>
        <w:t xml:space="preserve">. </w:t>
      </w:r>
      <w:r w:rsidRPr="004223EF">
        <w:t xml:space="preserve">Percentage distribution of individuals assigned male at birth (AMAB) diagnosed with HIV infection by exposure mode, Massachusetts </w:t>
      </w:r>
      <w:r w:rsidR="00F446E3" w:rsidRPr="004223EF">
        <w:t>2014–2023</w:t>
      </w:r>
      <w:r w:rsidRPr="004223EF">
        <w:t xml:space="preserve"> </w:t>
      </w:r>
    </w:p>
    <w:p w14:paraId="0110DA11" w14:textId="4A058411" w:rsidR="00AE72D1" w:rsidRPr="00234D05" w:rsidRDefault="00AE72D1" w:rsidP="00EA09A0">
      <w:pPr>
        <w:rPr>
          <w:color w:val="FF0000"/>
        </w:rPr>
      </w:pPr>
    </w:p>
    <w:p w14:paraId="0710DE97" w14:textId="77777777" w:rsidR="002B0353" w:rsidRDefault="0A12B912" w:rsidP="002B0353">
      <w:pPr>
        <w:spacing w:after="120"/>
        <w:jc w:val="center"/>
        <w:rPr>
          <w:sz w:val="20"/>
          <w:szCs w:val="20"/>
        </w:rPr>
      </w:pPr>
      <w:r>
        <w:rPr>
          <w:noProof/>
        </w:rPr>
        <w:drawing>
          <wp:inline distT="0" distB="0" distL="0" distR="0" wp14:anchorId="1EA6A6D8" wp14:editId="78073FD7">
            <wp:extent cx="4642203" cy="3337560"/>
            <wp:effectExtent l="0" t="0" r="0" b="0"/>
            <wp:docPr id="1872491009" name="Picture 1872491009" descr="The figure is a trendline displaying the percentage distribution of HIV infection diagnoses among males by exposure mode (male-to-male sex, injection drug use, male-to-male sex/injection drug use, heterosexual sex, no identified risk, and Other) for the most recent ten-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1009" name="Picture 1872491009" descr="The figure is a trendline displaying the percentage distribution of HIV infection diagnoses among males by exposure mode (male-to-male sex, injection drug use, male-to-male sex/injection drug use, heterosexual sex, no identified risk, and Other) for the most recent ten-year period.&#10;"/>
                    <pic:cNvPicPr/>
                  </pic:nvPicPr>
                  <pic:blipFill>
                    <a:blip r:embed="rId66">
                      <a:extLst>
                        <a:ext uri="{28A0092B-C50C-407E-A947-70E740481C1C}">
                          <a14:useLocalDpi xmlns:a14="http://schemas.microsoft.com/office/drawing/2010/main" val="0"/>
                        </a:ext>
                      </a:extLst>
                    </a:blip>
                    <a:stretch>
                      <a:fillRect/>
                    </a:stretch>
                  </pic:blipFill>
                  <pic:spPr>
                    <a:xfrm>
                      <a:off x="0" y="0"/>
                      <a:ext cx="4675840" cy="3361743"/>
                    </a:xfrm>
                    <a:prstGeom prst="rect">
                      <a:avLst/>
                    </a:prstGeom>
                  </pic:spPr>
                </pic:pic>
              </a:graphicData>
            </a:graphic>
          </wp:inline>
        </w:drawing>
      </w:r>
    </w:p>
    <w:p w14:paraId="6D48430D" w14:textId="38393E1E" w:rsidR="00DB2AA6" w:rsidRPr="00B81022" w:rsidRDefault="00DB2AA6" w:rsidP="00DB2AA6">
      <w:pPr>
        <w:spacing w:after="120"/>
        <w:rPr>
          <w:sz w:val="20"/>
          <w:szCs w:val="20"/>
        </w:rPr>
      </w:pPr>
      <w:r w:rsidRPr="526E7F34">
        <w:rPr>
          <w:sz w:val="20"/>
          <w:szCs w:val="20"/>
        </w:rPr>
        <w:t xml:space="preserve">Data Source: Bureau of Infectious Disease and Laboratory Sciences, data are </w:t>
      </w:r>
      <w:r w:rsidR="004822C5" w:rsidRPr="526E7F34">
        <w:rPr>
          <w:sz w:val="20"/>
          <w:szCs w:val="20"/>
        </w:rPr>
        <w:t>current as of 7/1/2024</w:t>
      </w:r>
      <w:r w:rsidRPr="526E7F34">
        <w:rPr>
          <w:sz w:val="20"/>
          <w:szCs w:val="20"/>
        </w:rPr>
        <w:t xml:space="preserve"> and subject to change</w:t>
      </w:r>
      <w:r w:rsidR="00B1580A" w:rsidRPr="526E7F34">
        <w:rPr>
          <w:sz w:val="20"/>
          <w:szCs w:val="20"/>
        </w:rPr>
        <w:t>.</w:t>
      </w:r>
    </w:p>
    <w:p w14:paraId="3C14771B" w14:textId="77777777" w:rsidR="00B81022" w:rsidRPr="00CB6BB2" w:rsidRDefault="00B81022" w:rsidP="00B81022">
      <w:pPr>
        <w:pStyle w:val="spaced6"/>
      </w:pPr>
      <w:r w:rsidRPr="00B81022">
        <w:t>Among individuals AMAB, the proportion of HIV infection diagnoses with male-to-male sex as the reported mode of exposure decreased from 66% in 2014 to 51% in 2022 and subsequently increased to 57% in 2023</w:t>
      </w:r>
      <w:r w:rsidR="516393C2" w:rsidRPr="00B81022">
        <w:t>.</w:t>
      </w:r>
      <w:r w:rsidR="0016286F" w:rsidRPr="00B81022">
        <w:rPr>
          <w:rStyle w:val="FootnoteReference"/>
        </w:rPr>
        <w:footnoteReference w:id="122"/>
      </w:r>
      <w:r w:rsidR="516393C2" w:rsidRPr="00B81022">
        <w:t xml:space="preserve"> </w:t>
      </w:r>
      <w:r w:rsidRPr="00B81022">
        <w:t>During the same time period, the proportion reported with no identified risk remained between 20% and 30%.</w:t>
      </w:r>
    </w:p>
    <w:p w14:paraId="3A267EEC" w14:textId="6CB7F922" w:rsidR="72E089C3" w:rsidRDefault="00CB6BB2" w:rsidP="009F3B0A">
      <w:pPr>
        <w:pStyle w:val="spaced6"/>
      </w:pPr>
      <w:r w:rsidRPr="00CB6BB2">
        <w:t>The proportion of cases among individuals AMAB attributed to injection drug use increased from 4% in 2014 to 17% in 2017 and then decreased to 9% in 2019. The increase in 2017 was primarily due to an outbreak among persons who inject drugs in the northeast part of the state between 2016 and 2018</w:t>
      </w:r>
      <w:r w:rsidR="516393C2" w:rsidRPr="00CB6BB2">
        <w:t>.</w:t>
      </w:r>
      <w:r w:rsidR="0016286F" w:rsidRPr="00CB6BB2">
        <w:rPr>
          <w:rStyle w:val="FootnoteReference"/>
        </w:rPr>
        <w:footnoteReference w:id="123"/>
      </w:r>
      <w:r w:rsidR="516393C2" w:rsidRPr="00CB6BB2">
        <w:t xml:space="preserve"> </w:t>
      </w:r>
      <w:r w:rsidRPr="00CB6BB2">
        <w:t xml:space="preserve">Following a focused public health response, the number of HIV infection diagnoses attributed to IDU in the northeast decreased. However, in early 2019, a new cluster of HIV infection was identified in Boston among PWID who were experiencing or had experienced recent homelessness, and the proportion of HIV infection diagnoses among </w:t>
      </w:r>
      <w:r w:rsidR="14053E2C" w:rsidRPr="00CB6BB2">
        <w:t>individuals</w:t>
      </w:r>
      <w:r w:rsidR="3B47827F" w:rsidRPr="00CB6BB2">
        <w:t xml:space="preserve"> </w:t>
      </w:r>
      <w:r w:rsidRPr="00CB6BB2">
        <w:t>AMAB with IDU as the primary exposure increased to 18% in 2021. Following another focused public health response, the proportion decreased to 6% in 2023</w:t>
      </w:r>
      <w:r w:rsidR="516393C2" w:rsidRPr="00CB6BB2">
        <w:t>.</w:t>
      </w:r>
      <w:r w:rsidR="0016286F" w:rsidRPr="00CB6BB2">
        <w:rPr>
          <w:rStyle w:val="FootnoteReference"/>
        </w:rPr>
        <w:footnoteReference w:id="124"/>
      </w:r>
      <w:r w:rsidR="516393C2" w:rsidRPr="00CB6BB2">
        <w:t xml:space="preserve"> </w:t>
      </w:r>
      <w:r w:rsidR="72E089C3">
        <w:br w:type="page"/>
      </w:r>
    </w:p>
    <w:p w14:paraId="5ED8A541" w14:textId="2A758A94" w:rsidR="00DB2AA6" w:rsidRPr="00CB6BB2" w:rsidRDefault="0016286F" w:rsidP="00BD61BF">
      <w:pPr>
        <w:pStyle w:val="Heading1"/>
      </w:pPr>
      <w:bookmarkStart w:id="56" w:name="_SPECIFIC_POPULATIONS_–"/>
      <w:bookmarkStart w:id="57" w:name="_Toc956374126"/>
      <w:bookmarkEnd w:id="56"/>
      <w:r>
        <w:lastRenderedPageBreak/>
        <w:t>SPECIFIC POPULATIONS – PERSONS WHO INJECT DRUGS</w:t>
      </w:r>
      <w:bookmarkEnd w:id="57"/>
    </w:p>
    <w:p w14:paraId="4BB1775B" w14:textId="73D2DE85" w:rsidR="00706568" w:rsidRPr="00234D05" w:rsidRDefault="460094B2" w:rsidP="00706568">
      <w:pPr>
        <w:rPr>
          <w:color w:val="FF0000"/>
        </w:rPr>
      </w:pPr>
      <w:r w:rsidRPr="00CB6BB2">
        <w:rPr>
          <w:b/>
          <w:bCs/>
        </w:rPr>
        <w:t xml:space="preserve">Figure </w:t>
      </w:r>
      <w:r w:rsidR="009839C2" w:rsidRPr="00CB6BB2">
        <w:rPr>
          <w:b/>
          <w:bCs/>
        </w:rPr>
        <w:t>43</w:t>
      </w:r>
      <w:r w:rsidRPr="00CB6BB2">
        <w:rPr>
          <w:b/>
          <w:bCs/>
        </w:rPr>
        <w:t xml:space="preserve">. </w:t>
      </w:r>
      <w:r w:rsidRPr="00CB6BB2">
        <w:t xml:space="preserve">Individuals diagnosed with HIV infection by exposure mode, Massachusetts </w:t>
      </w:r>
      <w:r w:rsidR="00F446E3" w:rsidRPr="00CB6BB2">
        <w:t>2014–2023</w:t>
      </w:r>
    </w:p>
    <w:p w14:paraId="136C84D8" w14:textId="41ADBCEE" w:rsidR="00DB2AA6" w:rsidRPr="00D67BEB" w:rsidRDefault="00DB2AA6" w:rsidP="00E8508F"/>
    <w:p w14:paraId="14FBADFD" w14:textId="77777777" w:rsidR="009F3B0A" w:rsidRDefault="41C7FD3D" w:rsidP="009F3B0A">
      <w:pPr>
        <w:spacing w:after="120"/>
        <w:jc w:val="center"/>
        <w:rPr>
          <w:sz w:val="20"/>
          <w:szCs w:val="18"/>
        </w:rPr>
      </w:pPr>
      <w:r>
        <w:rPr>
          <w:noProof/>
        </w:rPr>
        <w:drawing>
          <wp:inline distT="0" distB="0" distL="0" distR="0" wp14:anchorId="4940EFDE" wp14:editId="4B6A1587">
            <wp:extent cx="5097780" cy="3254386"/>
            <wp:effectExtent l="0" t="0" r="0" b="0"/>
            <wp:docPr id="145871420" name="Picture 145871420" descr="The figure is a trendline displaying the number of HIV infections diagnosed each year of the most recent ten-year period for each of seven exposure mode categories: male-to-male sex, injection drug use, male-to-male sex/injection drug use, heterosexual sex, other, presumed heterosexual sex, and no identified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1420" name="Picture 145871420" descr="The figure is a trendline displaying the number of HIV infections diagnosed each year of the most recent ten-year period for each of seven exposure mode categories: male-to-male sex, injection drug use, male-to-male sex/injection drug use, heterosexual sex, other, presumed heterosexual sex, and no identified risk.&#10;"/>
                    <pic:cNvPicPr/>
                  </pic:nvPicPr>
                  <pic:blipFill>
                    <a:blip r:embed="rId67">
                      <a:extLst>
                        <a:ext uri="{28A0092B-C50C-407E-A947-70E740481C1C}">
                          <a14:useLocalDpi xmlns:a14="http://schemas.microsoft.com/office/drawing/2010/main" val="0"/>
                        </a:ext>
                      </a:extLst>
                    </a:blip>
                    <a:stretch>
                      <a:fillRect/>
                    </a:stretch>
                  </pic:blipFill>
                  <pic:spPr>
                    <a:xfrm>
                      <a:off x="0" y="0"/>
                      <a:ext cx="5115547" cy="3265728"/>
                    </a:xfrm>
                    <a:prstGeom prst="rect">
                      <a:avLst/>
                    </a:prstGeom>
                  </pic:spPr>
                </pic:pic>
              </a:graphicData>
            </a:graphic>
          </wp:inline>
        </w:drawing>
      </w:r>
    </w:p>
    <w:p w14:paraId="664BC2B6" w14:textId="3FC8CA0A" w:rsidR="00F95EEE" w:rsidRPr="00D67BEB" w:rsidRDefault="00F95EEE" w:rsidP="009F3B0A">
      <w:pPr>
        <w:spacing w:after="120"/>
        <w:jc w:val="center"/>
        <w:rPr>
          <w:sz w:val="20"/>
          <w:szCs w:val="18"/>
        </w:rPr>
      </w:pPr>
      <w:r w:rsidRPr="00D67BEB">
        <w:rPr>
          <w:sz w:val="20"/>
          <w:szCs w:val="18"/>
        </w:rPr>
        <w:t xml:space="preserve">Data Source: Bureau of Infectious Disease and Laboratory Sciences, data are </w:t>
      </w:r>
      <w:r w:rsidR="004822C5" w:rsidRPr="00D67BEB">
        <w:rPr>
          <w:sz w:val="20"/>
          <w:szCs w:val="18"/>
        </w:rPr>
        <w:t>current as of 7/1/2024</w:t>
      </w:r>
      <w:r w:rsidRPr="00D67BEB">
        <w:rPr>
          <w:sz w:val="20"/>
          <w:szCs w:val="18"/>
        </w:rPr>
        <w:t xml:space="preserve"> and subject to change</w:t>
      </w:r>
      <w:r w:rsidR="00B1580A" w:rsidRPr="00D67BEB">
        <w:rPr>
          <w:sz w:val="20"/>
          <w:szCs w:val="18"/>
        </w:rPr>
        <w:t>.</w:t>
      </w:r>
    </w:p>
    <w:p w14:paraId="6925C865" w14:textId="78D80077" w:rsidR="007561C9" w:rsidRPr="00F320E6" w:rsidRDefault="00B22399" w:rsidP="00F84E3A">
      <w:pPr>
        <w:numPr>
          <w:ilvl w:val="0"/>
          <w:numId w:val="12"/>
        </w:numPr>
      </w:pPr>
      <w:r w:rsidRPr="00B22399">
        <w:t>The number of reported cases with injection drug use (IDU) as the primary exposure mode increased from a low of 31 in 2014 to a peak of 116 in 2017, and then decreased to 59 in 2019. The increase in 2017 was primarily due to an outbreak among persons who inject drugs (PWID) in the northeast part of the state between 2016 and 2018</w:t>
      </w:r>
      <w:r w:rsidR="4286487D" w:rsidRPr="00B22399">
        <w:t>.</w:t>
      </w:r>
      <w:r w:rsidR="00F95EEE" w:rsidRPr="00B22399">
        <w:rPr>
          <w:rStyle w:val="FootnoteReference"/>
        </w:rPr>
        <w:footnoteReference w:id="125"/>
      </w:r>
      <w:r w:rsidR="4286487D" w:rsidRPr="00B22399">
        <w:t xml:space="preserve"> </w:t>
      </w:r>
      <w:r w:rsidR="007561C9" w:rsidRPr="00B22399">
        <w:t>Following a</w:t>
      </w:r>
      <w:r w:rsidR="004879B7" w:rsidRPr="00B22399">
        <w:t xml:space="preserve"> focused</w:t>
      </w:r>
      <w:r w:rsidR="00A8743D" w:rsidRPr="00B22399">
        <w:t xml:space="preserve"> </w:t>
      </w:r>
      <w:r w:rsidR="007561C9" w:rsidRPr="00B22399">
        <w:t xml:space="preserve">public health response, the number of HIV infection diagnoses attributed to IDU in the northeast has decreased. </w:t>
      </w:r>
    </w:p>
    <w:p w14:paraId="1CEDFCEA" w14:textId="6AA7B4B0" w:rsidR="00FA73E7" w:rsidRPr="00F320E6" w:rsidRDefault="00B22399" w:rsidP="00F84E3A">
      <w:pPr>
        <w:numPr>
          <w:ilvl w:val="0"/>
          <w:numId w:val="12"/>
        </w:numPr>
      </w:pPr>
      <w:r w:rsidRPr="00F320E6">
        <w:t>However, in early 2019, a new cluster of HIV infection was identified in Boston among PWID who were experiencing or had experienced recent homelessness, and the total statewide number of reported cases with IDU as the primary exposure increased to 82 in 2021</w:t>
      </w:r>
      <w:r w:rsidR="0CD7C69F" w:rsidRPr="00F320E6">
        <w:t>.</w:t>
      </w:r>
      <w:r w:rsidR="00F95EEE" w:rsidRPr="00F320E6">
        <w:rPr>
          <w:rStyle w:val="FootnoteReference"/>
        </w:rPr>
        <w:footnoteReference w:id="126"/>
      </w:r>
      <w:r w:rsidR="0CD7C69F" w:rsidRPr="00F320E6">
        <w:t xml:space="preserve"> </w:t>
      </w:r>
      <w:r w:rsidRPr="00F320E6">
        <w:t xml:space="preserve">Following another focused public health response, the number of HIV infection diagnoses attributed to IDU decreased by 54% to 38 cases in 2023. As of July 1, 2024, a total of 213 cases diagnosed since November 2018 have been investigated and identified as part of the Boston cluster. As it is an active cluster of concern, additional cases will continue to be investigated and added. </w:t>
      </w:r>
      <w:r w:rsidR="2C00C60F" w:rsidRPr="00F320E6">
        <w:t>Continuing</w:t>
      </w:r>
      <w:r w:rsidRPr="00F320E6">
        <w:t xml:space="preserve"> trends among those newly diagnosed in the Boston cluster (N=15 cases diagnosed in 2023) include an increase in polysubstance and methamphetamine use.</w:t>
      </w:r>
      <w:r w:rsidR="00F95EEE" w:rsidRPr="00F320E6">
        <w:rPr>
          <w:rStyle w:val="FootnoteReference"/>
        </w:rPr>
        <w:footnoteReference w:id="127"/>
      </w:r>
      <w:r w:rsidR="00FA73E7" w:rsidRPr="00F320E6">
        <w:br w:type="page"/>
      </w:r>
    </w:p>
    <w:p w14:paraId="72604F03" w14:textId="1AD9A324" w:rsidR="00F95EEE" w:rsidRPr="00F320E6" w:rsidRDefault="00FA73E7" w:rsidP="00FA73E7">
      <w:pPr>
        <w:pStyle w:val="Heading2"/>
      </w:pPr>
      <w:bookmarkStart w:id="58" w:name="_Toc1750493936"/>
      <w:r>
        <w:lastRenderedPageBreak/>
        <w:t>PERSONS WHO INJECT DRUGS – RECENT HIV DIAGNOSES</w:t>
      </w:r>
      <w:bookmarkEnd w:id="58"/>
    </w:p>
    <w:p w14:paraId="3B45275F" w14:textId="1E9C5B41" w:rsidR="00FA73E7" w:rsidRPr="00F320E6" w:rsidRDefault="00FA73E7" w:rsidP="00FA73E7">
      <w:r w:rsidRPr="00F320E6">
        <w:rPr>
          <w:b/>
          <w:bCs/>
        </w:rPr>
        <w:t xml:space="preserve">Figure </w:t>
      </w:r>
      <w:r w:rsidR="00464251" w:rsidRPr="00F320E6">
        <w:rPr>
          <w:b/>
          <w:bCs/>
        </w:rPr>
        <w:t>44</w:t>
      </w:r>
      <w:r w:rsidRPr="00F320E6">
        <w:rPr>
          <w:b/>
          <w:bCs/>
        </w:rPr>
        <w:t xml:space="preserve">. </w:t>
      </w:r>
      <w:r w:rsidRPr="00F320E6">
        <w:t xml:space="preserve">Percentage of individuals with IDU exposure mode diagnosed with HIV infection by race/ethnicity, age, place of birth and current gender, Massachusetts </w:t>
      </w:r>
      <w:r w:rsidR="004822C5" w:rsidRPr="00F320E6">
        <w:t>2021–2023</w:t>
      </w:r>
      <w:r w:rsidRPr="00F320E6">
        <w:t xml:space="preserve"> (N=</w:t>
      </w:r>
      <w:r w:rsidR="00F320E6" w:rsidRPr="00F320E6">
        <w:t>164</w:t>
      </w:r>
      <w:r w:rsidRPr="00F320E6">
        <w:t>)</w:t>
      </w:r>
    </w:p>
    <w:p w14:paraId="0FE8D3CF" w14:textId="245B9F37" w:rsidR="00F95EEE" w:rsidRPr="00F320E6" w:rsidRDefault="00154018" w:rsidP="00E8508F">
      <w:r>
        <w:rPr>
          <w:noProof/>
        </w:rPr>
        <w:drawing>
          <wp:inline distT="0" distB="0" distL="0" distR="0" wp14:anchorId="2E48E3DC" wp14:editId="1DE92B99">
            <wp:extent cx="6767195" cy="4486910"/>
            <wp:effectExtent l="0" t="0" r="0" b="0"/>
            <wp:docPr id="208787677" name="Picture 23" descr="The figure is a series of four bar charts displaying the percentage distribution of individuals diagnosed with HIV infection with IDU exposure mode by race/ethnicity (White NH, Black NH, Hispanic/Latinx, Asian/Pacific Islander, Other/unknown), age at diagnosis (0-19, 20-24, 25-29, 30-39, 40-49, 50+), place of birth (US Born, PR/USD), non-US born), and gender (male, female, transgen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7677" name="Picture 23" descr="The figure is a series of four bar charts displaying the percentage distribution of individuals diagnosed with HIV infection with IDU exposure mode by race/ethnicity (White NH, Black NH, Hispanic/Latinx, Asian/Pacific Islander, Other/unknown), age at diagnosis (0-19, 20-24, 25-29, 30-39, 40-49, 50+), place of birth (US Born, PR/USD), non-US born), and gender (male, female, transgender).&#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7195" cy="4486910"/>
                    </a:xfrm>
                    <a:prstGeom prst="rect">
                      <a:avLst/>
                    </a:prstGeom>
                    <a:noFill/>
                  </pic:spPr>
                </pic:pic>
              </a:graphicData>
            </a:graphic>
          </wp:inline>
        </w:drawing>
      </w:r>
    </w:p>
    <w:p w14:paraId="2AC7AD54" w14:textId="64037BEE" w:rsidR="00FA73E7" w:rsidRPr="00F320E6" w:rsidRDefault="00FA73E7" w:rsidP="00FA73E7">
      <w:pPr>
        <w:rPr>
          <w:sz w:val="20"/>
          <w:szCs w:val="18"/>
        </w:rPr>
      </w:pPr>
      <w:r w:rsidRPr="00F320E6">
        <w:rPr>
          <w:sz w:val="20"/>
          <w:szCs w:val="18"/>
        </w:rPr>
        <w:t xml:space="preserve">Data Source: Bureau of Infectious Disease and Laboratory Sciences, data are </w:t>
      </w:r>
      <w:r w:rsidR="004822C5" w:rsidRPr="00F320E6">
        <w:rPr>
          <w:sz w:val="20"/>
          <w:szCs w:val="18"/>
        </w:rPr>
        <w:t>current as of 7/1/2024</w:t>
      </w:r>
      <w:r w:rsidRPr="00F320E6">
        <w:rPr>
          <w:sz w:val="20"/>
          <w:szCs w:val="18"/>
        </w:rPr>
        <w:t xml:space="preserve"> and subject to change</w:t>
      </w:r>
      <w:r w:rsidR="00B1580A" w:rsidRPr="00F320E6">
        <w:rPr>
          <w:sz w:val="20"/>
          <w:szCs w:val="18"/>
        </w:rPr>
        <w:t>.</w:t>
      </w:r>
    </w:p>
    <w:p w14:paraId="7232C8A3" w14:textId="31D12E86" w:rsidR="00FA73E7" w:rsidRPr="00F320E6" w:rsidRDefault="00FA73E7" w:rsidP="00E8508F"/>
    <w:p w14:paraId="6513A9A4" w14:textId="63855239" w:rsidR="00234003" w:rsidRPr="00F320E6" w:rsidRDefault="152460A4" w:rsidP="00F84E3A">
      <w:pPr>
        <w:numPr>
          <w:ilvl w:val="0"/>
          <w:numId w:val="13"/>
        </w:numPr>
      </w:pPr>
      <w:r w:rsidRPr="00F320E6">
        <w:t>Individuals with IDU exposure mode newly diagnosed with HIV infection in Massachusetts during 20</w:t>
      </w:r>
      <w:r w:rsidR="00381EB0" w:rsidRPr="00F320E6">
        <w:t>2</w:t>
      </w:r>
      <w:r w:rsidR="00F320E6" w:rsidRPr="00F320E6">
        <w:t>1</w:t>
      </w:r>
      <w:r w:rsidRPr="00F320E6">
        <w:t xml:space="preserve"> to 202</w:t>
      </w:r>
      <w:r w:rsidR="00F320E6" w:rsidRPr="00F320E6">
        <w:t>3</w:t>
      </w:r>
      <w:r w:rsidR="00234003" w:rsidRPr="00F320E6">
        <w:rPr>
          <w:rStyle w:val="FootnoteReference"/>
        </w:rPr>
        <w:footnoteReference w:id="128"/>
      </w:r>
      <w:r w:rsidRPr="00F320E6">
        <w:t xml:space="preserve"> </w:t>
      </w:r>
      <w:r w:rsidR="00F320E6" w:rsidRPr="00F320E6">
        <w:t>were predominantly White (non-Hispanic) (68%), between 30 and 39 years of age (50%), US born (94%), and male (68%).</w:t>
      </w:r>
    </w:p>
    <w:p w14:paraId="40F296A9" w14:textId="081C0636" w:rsidR="00234003" w:rsidRPr="00F320E6" w:rsidRDefault="00234003" w:rsidP="00E8508F">
      <w:r w:rsidRPr="00F320E6">
        <w:br w:type="page"/>
      </w:r>
    </w:p>
    <w:p w14:paraId="3626F173" w14:textId="51F62D56" w:rsidR="00FA73E7" w:rsidRPr="005C21E1" w:rsidRDefault="00234003" w:rsidP="38A4F72D">
      <w:pPr>
        <w:pStyle w:val="Heading2"/>
      </w:pPr>
      <w:bookmarkStart w:id="59" w:name="_Toc2143047264"/>
      <w:r>
        <w:lastRenderedPageBreak/>
        <w:t>DEATHS FROM ANY CAUSE AMONG INDIVIDUALS REPORTED WITH HIV BY EXPOSURE MODE</w:t>
      </w:r>
      <w:bookmarkEnd w:id="59"/>
    </w:p>
    <w:p w14:paraId="763ABC32" w14:textId="793544FF" w:rsidR="00234003" w:rsidRPr="005C21E1" w:rsidRDefault="00234003" w:rsidP="00234003">
      <w:r w:rsidRPr="005C21E1">
        <w:rPr>
          <w:b/>
          <w:bCs/>
        </w:rPr>
        <w:t xml:space="preserve">Figure </w:t>
      </w:r>
      <w:r w:rsidR="00381EB0" w:rsidRPr="005C21E1">
        <w:rPr>
          <w:b/>
          <w:bCs/>
        </w:rPr>
        <w:t>45</w:t>
      </w:r>
      <w:r w:rsidRPr="005C21E1">
        <w:rPr>
          <w:b/>
          <w:bCs/>
        </w:rPr>
        <w:t xml:space="preserve">. </w:t>
      </w:r>
      <w:r w:rsidRPr="005C21E1">
        <w:t>Deaths from any cause among individuals reported with HIV by exposure mode, Massachusetts 202</w:t>
      </w:r>
      <w:r w:rsidR="005C21E1" w:rsidRPr="005C21E1">
        <w:t>3</w:t>
      </w:r>
      <w:r w:rsidRPr="005C21E1">
        <w:t xml:space="preserve"> (N=</w:t>
      </w:r>
      <w:r w:rsidR="6C0ED2A4">
        <w:t>307</w:t>
      </w:r>
      <w:r w:rsidRPr="005C21E1">
        <w:t>)</w:t>
      </w:r>
    </w:p>
    <w:p w14:paraId="6C362DFB" w14:textId="0E4D2723" w:rsidR="00234003" w:rsidRPr="00234D05" w:rsidRDefault="004C5349" w:rsidP="00F2712E">
      <w:pPr>
        <w:jc w:val="center"/>
        <w:rPr>
          <w:color w:val="FF0000"/>
        </w:rPr>
      </w:pPr>
      <w:r>
        <w:rPr>
          <w:noProof/>
          <w:color w:val="FF0000"/>
        </w:rPr>
        <w:drawing>
          <wp:inline distT="0" distB="0" distL="0" distR="0" wp14:anchorId="30A5F3CC" wp14:editId="7603DF81">
            <wp:extent cx="4676140" cy="3975100"/>
            <wp:effectExtent l="0" t="0" r="0" b="0"/>
            <wp:docPr id="1130941329" name="Picture 24" descr="The figure is an open pie chart which displays the distribution by exposure mode of deaths among individuals reported with HIV for the most recent year. Text in the center of the pie chart reads, &quot;40% reported IDU&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41329" name="Picture 24" descr="The figure is an open pie chart which displays the distribution by exposure mode of deaths among individuals reported with HIV for the most recent year. Text in the center of the pie chart reads, &quot;40% reported IDU&quot;.&#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6140" cy="3975100"/>
                    </a:xfrm>
                    <a:prstGeom prst="rect">
                      <a:avLst/>
                    </a:prstGeom>
                    <a:noFill/>
                  </pic:spPr>
                </pic:pic>
              </a:graphicData>
            </a:graphic>
          </wp:inline>
        </w:drawing>
      </w:r>
    </w:p>
    <w:p w14:paraId="62EB8AD9" w14:textId="0D4DDD7A" w:rsidR="00234003" w:rsidRPr="00726221" w:rsidRDefault="00234003" w:rsidP="00234003">
      <w:pPr>
        <w:rPr>
          <w:sz w:val="20"/>
          <w:szCs w:val="18"/>
        </w:rPr>
      </w:pPr>
      <w:r w:rsidRPr="00726221">
        <w:rPr>
          <w:sz w:val="20"/>
          <w:szCs w:val="18"/>
        </w:rPr>
        <w:t xml:space="preserve">Data Source: Bureau of Infectious Disease and Laboratory Sciences, data are </w:t>
      </w:r>
      <w:r w:rsidR="004822C5" w:rsidRPr="00726221">
        <w:rPr>
          <w:sz w:val="20"/>
          <w:szCs w:val="18"/>
        </w:rPr>
        <w:t>current as of 7/1/2024</w:t>
      </w:r>
      <w:r w:rsidRPr="00726221">
        <w:rPr>
          <w:sz w:val="20"/>
          <w:szCs w:val="18"/>
        </w:rPr>
        <w:t xml:space="preserve"> and subject to change</w:t>
      </w:r>
      <w:r w:rsidR="00B1580A" w:rsidRPr="00726221">
        <w:rPr>
          <w:sz w:val="20"/>
          <w:szCs w:val="18"/>
        </w:rPr>
        <w:t>.</w:t>
      </w:r>
    </w:p>
    <w:p w14:paraId="2BFBD75C" w14:textId="2CDD8623" w:rsidR="00234003" w:rsidRPr="00726221" w:rsidRDefault="00234003" w:rsidP="00234003"/>
    <w:p w14:paraId="3E60876D" w14:textId="47ABB07C" w:rsidR="00234003" w:rsidRPr="00726221" w:rsidRDefault="00726221" w:rsidP="00F84E3A">
      <w:pPr>
        <w:numPr>
          <w:ilvl w:val="0"/>
          <w:numId w:val="14"/>
        </w:numPr>
      </w:pPr>
      <w:r w:rsidRPr="00726221">
        <w:t>The proportion of deaths from any cause among individuals with HIV with IDU exposure mode decreased from 42% in 2014 to 32% in 2023</w:t>
      </w:r>
      <w:r w:rsidR="152460A4" w:rsidRPr="00726221">
        <w:t>.</w:t>
      </w:r>
      <w:r w:rsidR="152460A4" w:rsidRPr="00726221">
        <w:rPr>
          <w:rStyle w:val="FootnoteReference"/>
        </w:rPr>
        <w:t xml:space="preserve"> </w:t>
      </w:r>
      <w:r w:rsidR="00234003" w:rsidRPr="00726221">
        <w:rPr>
          <w:rStyle w:val="FootnoteReference"/>
        </w:rPr>
        <w:footnoteReference w:id="129"/>
      </w:r>
      <w:r w:rsidR="152460A4" w:rsidRPr="00726221">
        <w:t xml:space="preserve"> </w:t>
      </w:r>
      <w:r w:rsidRPr="00726221">
        <w:t>At 32%, the proportion among IDU remained the largest among exposure modes in 2023, followed closely by MSM at 31%, with an additional 8% reported with an exposure mode of MSM/IDU</w:t>
      </w:r>
      <w:r w:rsidR="341BA427" w:rsidRPr="00726221">
        <w:t>.</w:t>
      </w:r>
      <w:r w:rsidR="417E87D1" w:rsidRPr="00726221">
        <w:t xml:space="preserve"> </w:t>
      </w:r>
      <w:r w:rsidR="1B5171CF" w:rsidRPr="00726221">
        <w:t>Comparatively</w:t>
      </w:r>
      <w:r w:rsidRPr="00726221">
        <w:t xml:space="preserve">, </w:t>
      </w:r>
      <w:r w:rsidR="1B5171CF" w:rsidRPr="00726221">
        <w:t>IDU and MSM accounted for</w:t>
      </w:r>
      <w:r w:rsidR="00936EBA">
        <w:t xml:space="preserve"> </w:t>
      </w:r>
      <w:r w:rsidRPr="00726221">
        <w:t>7% and 3%, respectively, of new HIV diagnoses</w:t>
      </w:r>
      <w:r w:rsidR="557C05F9" w:rsidRPr="00726221">
        <w:t xml:space="preserve"> in that year</w:t>
      </w:r>
      <w:r w:rsidRPr="00726221">
        <w:t>.</w:t>
      </w:r>
    </w:p>
    <w:p w14:paraId="496FC5E1" w14:textId="0DBC52ED" w:rsidR="00234003" w:rsidRPr="00726221" w:rsidRDefault="00234003" w:rsidP="00234003">
      <w:r w:rsidRPr="00726221">
        <w:br w:type="page"/>
      </w:r>
    </w:p>
    <w:p w14:paraId="0CC5F630" w14:textId="4FA843FC" w:rsidR="00234003" w:rsidRPr="00726221" w:rsidRDefault="00234003" w:rsidP="009D128C">
      <w:pPr>
        <w:pStyle w:val="Heading1"/>
      </w:pPr>
      <w:bookmarkStart w:id="60" w:name="_Toc431061053"/>
      <w:r>
        <w:lastRenderedPageBreak/>
        <w:t>SPECIFIC POPULATIONS – RACIAL</w:t>
      </w:r>
      <w:r w:rsidR="009BA0A4">
        <w:t xml:space="preserve"> AND </w:t>
      </w:r>
      <w:r>
        <w:t xml:space="preserve">ETHNIC </w:t>
      </w:r>
      <w:r w:rsidR="292D647E">
        <w:t>GROUPS</w:t>
      </w:r>
      <w:bookmarkEnd w:id="60"/>
    </w:p>
    <w:p w14:paraId="662D6B24" w14:textId="2D9AD627" w:rsidR="00386072" w:rsidRPr="00726221" w:rsidRDefault="01BE3A5B" w:rsidP="00386072">
      <w:r w:rsidRPr="00726221">
        <w:rPr>
          <w:b/>
          <w:bCs/>
        </w:rPr>
        <w:t>Figure 4</w:t>
      </w:r>
      <w:r w:rsidR="386F5E5B" w:rsidRPr="00726221">
        <w:rPr>
          <w:b/>
          <w:bCs/>
        </w:rPr>
        <w:t>6</w:t>
      </w:r>
      <w:r w:rsidRPr="00726221">
        <w:rPr>
          <w:b/>
          <w:bCs/>
        </w:rPr>
        <w:t xml:space="preserve">. </w:t>
      </w:r>
      <w:r w:rsidRPr="00726221">
        <w:t>Distribution of the general population</w:t>
      </w:r>
      <w:r w:rsidR="007D7E86" w:rsidRPr="00726221">
        <w:rPr>
          <w:rStyle w:val="FootnoteReference"/>
        </w:rPr>
        <w:footnoteReference w:id="130"/>
      </w:r>
      <w:r w:rsidRPr="00726221">
        <w:t xml:space="preserve"> and of individuals diagnosed with confirmed and probable infectious syphilis</w:t>
      </w:r>
      <w:r w:rsidR="007D7E86" w:rsidRPr="00726221">
        <w:rPr>
          <w:rStyle w:val="FootnoteReference"/>
        </w:rPr>
        <w:footnoteReference w:id="131"/>
      </w:r>
      <w:r w:rsidRPr="00726221">
        <w:t xml:space="preserve"> in 202</w:t>
      </w:r>
      <w:r w:rsidR="00726221" w:rsidRPr="00726221">
        <w:t>3</w:t>
      </w:r>
      <w:r w:rsidRPr="00726221">
        <w:t xml:space="preserve">, and HIV infection during </w:t>
      </w:r>
      <w:r w:rsidR="004822C5" w:rsidRPr="00726221">
        <w:t>2021–2023</w:t>
      </w:r>
      <w:r w:rsidRPr="00726221">
        <w:t xml:space="preserve"> by race/ethnicity, Massachusetts</w:t>
      </w:r>
    </w:p>
    <w:p w14:paraId="5D29C673" w14:textId="77118D97" w:rsidR="00386072" w:rsidRPr="00726221" w:rsidRDefault="004C5349" w:rsidP="00386072">
      <w:r>
        <w:rPr>
          <w:noProof/>
        </w:rPr>
        <w:drawing>
          <wp:inline distT="0" distB="0" distL="0" distR="0" wp14:anchorId="75553CB0" wp14:editId="3A5EA60D">
            <wp:extent cx="6755130" cy="4273550"/>
            <wp:effectExtent l="0" t="0" r="0" b="0"/>
            <wp:docPr id="1263245024" name="Picture 25" descr="The figure is a stacked bar chart displaying the percentage distribution by race/ethnicity of three groups: the Massachusetts population, 2023 infectious syphilis cases, and 2021-2023 HIV Diagno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45024" name="Picture 25" descr="The figure is a stacked bar chart displaying the percentage distribution by race/ethnicity of three groups: the Massachusetts population, 2023 infectious syphilis cases, and 2021-2023 HIV Diagnoses.&#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55130" cy="4273550"/>
                    </a:xfrm>
                    <a:prstGeom prst="rect">
                      <a:avLst/>
                    </a:prstGeom>
                    <a:noFill/>
                  </pic:spPr>
                </pic:pic>
              </a:graphicData>
            </a:graphic>
          </wp:inline>
        </w:drawing>
      </w:r>
    </w:p>
    <w:p w14:paraId="77925C69" w14:textId="1B1554A7" w:rsidR="00207CA5" w:rsidRPr="00207CA5" w:rsidRDefault="00207CA5" w:rsidP="00207CA5">
      <w:pPr>
        <w:pStyle w:val="spaced6"/>
        <w:numPr>
          <w:ilvl w:val="0"/>
          <w:numId w:val="0"/>
        </w:numPr>
        <w:rPr>
          <w:sz w:val="20"/>
          <w:szCs w:val="20"/>
        </w:rPr>
      </w:pPr>
      <w:r w:rsidRPr="00207CA5">
        <w:rPr>
          <w:sz w:val="20"/>
          <w:szCs w:val="20"/>
        </w:rPr>
        <w:t>Confirmed and Probable Infectious Syphilis 2023, N=1,404 and excludes 45 (3%) cases missing race/ethnicity; HIV Diagnoses 2021-2023, N=1,435</w:t>
      </w:r>
    </w:p>
    <w:p w14:paraId="42DD07E5" w14:textId="77F16D65" w:rsidR="009F709C" w:rsidRPr="00207CA5" w:rsidRDefault="00207CA5" w:rsidP="00207CA5">
      <w:pPr>
        <w:pStyle w:val="spaced6"/>
        <w:numPr>
          <w:ilvl w:val="0"/>
          <w:numId w:val="0"/>
        </w:numPr>
      </w:pPr>
      <w:r w:rsidRPr="00207CA5">
        <w:rPr>
          <w:sz w:val="20"/>
          <w:szCs w:val="20"/>
        </w:rPr>
        <w:t xml:space="preserve">Data Source: Bureau of Infectious Disease and Laboratory Sciences, HIV data are current as of 7/1/2024, </w:t>
      </w:r>
      <w:r w:rsidR="00285320">
        <w:rPr>
          <w:sz w:val="20"/>
          <w:szCs w:val="20"/>
        </w:rPr>
        <w:t>STI</w:t>
      </w:r>
      <w:r w:rsidRPr="00207CA5">
        <w:rPr>
          <w:sz w:val="20"/>
          <w:szCs w:val="20"/>
        </w:rPr>
        <w:t xml:space="preserve"> data are current as of 7/22/2024 and subject to change</w:t>
      </w:r>
      <w:r w:rsidR="00B1580A" w:rsidRPr="00207CA5">
        <w:rPr>
          <w:sz w:val="20"/>
          <w:szCs w:val="18"/>
        </w:rPr>
        <w:t>.</w:t>
      </w:r>
    </w:p>
    <w:p w14:paraId="29127DA4" w14:textId="740A2C81" w:rsidR="00207CA5" w:rsidRPr="00207CA5" w:rsidRDefault="2EBB8370" w:rsidP="00207CA5">
      <w:pPr>
        <w:pStyle w:val="spaced6"/>
      </w:pPr>
      <w:r w:rsidRPr="00207CA5">
        <w:t>In 202</w:t>
      </w:r>
      <w:r w:rsidR="00207CA5" w:rsidRPr="00207CA5">
        <w:t>3</w:t>
      </w:r>
      <w:r w:rsidRPr="00207CA5">
        <w:t>,</w:t>
      </w:r>
      <w:r w:rsidR="007D7E86" w:rsidRPr="00207CA5">
        <w:rPr>
          <w:rStyle w:val="FootnoteReference"/>
        </w:rPr>
        <w:footnoteReference w:id="132"/>
      </w:r>
      <w:r w:rsidRPr="00207CA5">
        <w:t xml:space="preserve"> </w:t>
      </w:r>
      <w:r w:rsidR="00207CA5" w:rsidRPr="00207CA5">
        <w:t xml:space="preserve">Black (non-Hispanic) and Hispanic/Latinx individuals represented 7% and 12% of the total Massachusetts population and 18% and 36% of </w:t>
      </w:r>
      <w:r w:rsidR="000073E6">
        <w:t xml:space="preserve">confirmed and probable </w:t>
      </w:r>
      <w:r w:rsidR="00207CA5" w:rsidRPr="00207CA5">
        <w:t xml:space="preserve">infectious syphilis cases (with known race/ethnicity), respectively. </w:t>
      </w:r>
    </w:p>
    <w:p w14:paraId="1BC62504" w14:textId="456ACC87" w:rsidR="009F709C" w:rsidRPr="00207CA5" w:rsidRDefault="00207CA5" w:rsidP="00207CA5">
      <w:pPr>
        <w:pStyle w:val="spaced6"/>
      </w:pPr>
      <w:r w:rsidRPr="00207CA5">
        <w:t>During 2021 to 2023, Black (non-Hispanic) and Hispanic/Latinx individuals represented 35% and 30% of individuals diagnosed with HIV infection in Massachusetts, respectively</w:t>
      </w:r>
      <w:r w:rsidR="0F481FE5" w:rsidRPr="00207CA5">
        <w:t xml:space="preserve">. </w:t>
      </w:r>
    </w:p>
    <w:p w14:paraId="7266DCFA" w14:textId="33B26EBA" w:rsidR="007D7E86" w:rsidRPr="00207CA5" w:rsidRDefault="007D7E86" w:rsidP="00386072">
      <w:r w:rsidRPr="00234D05">
        <w:rPr>
          <w:color w:val="FF0000"/>
        </w:rPr>
        <w:br w:type="page"/>
      </w:r>
    </w:p>
    <w:p w14:paraId="5F4EA61E" w14:textId="2064B57C" w:rsidR="007D7E86" w:rsidRPr="00207CA5" w:rsidRDefault="007D7E86" w:rsidP="38A4F72D">
      <w:pPr>
        <w:pStyle w:val="Heading2"/>
      </w:pPr>
      <w:bookmarkStart w:id="61" w:name="_Toc977877690"/>
      <w:r>
        <w:lastRenderedPageBreak/>
        <w:t>SYPHILIS BY RACE/ETHNICITY</w:t>
      </w:r>
      <w:bookmarkEnd w:id="61"/>
    </w:p>
    <w:p w14:paraId="4A036AC3" w14:textId="59898E22" w:rsidR="007D7E86" w:rsidRPr="00207CA5" w:rsidRDefault="07E49689" w:rsidP="007D7E86">
      <w:r w:rsidRPr="00207CA5">
        <w:rPr>
          <w:b/>
          <w:bCs/>
        </w:rPr>
        <w:t>Figure 4</w:t>
      </w:r>
      <w:r w:rsidR="3F648765" w:rsidRPr="00207CA5">
        <w:rPr>
          <w:b/>
          <w:bCs/>
        </w:rPr>
        <w:t>7</w:t>
      </w:r>
      <w:r w:rsidRPr="00207CA5">
        <w:rPr>
          <w:b/>
          <w:bCs/>
        </w:rPr>
        <w:t xml:space="preserve">. </w:t>
      </w:r>
      <w:r w:rsidRPr="00207CA5">
        <w:t>Number of confirmed and probable infectious syphilis</w:t>
      </w:r>
      <w:r w:rsidR="00F77C3D" w:rsidRPr="00207CA5">
        <w:rPr>
          <w:rStyle w:val="FootnoteReference"/>
        </w:rPr>
        <w:footnoteReference w:id="133"/>
      </w:r>
      <w:r w:rsidRPr="00207CA5">
        <w:t xml:space="preserve"> cases reported by race/ethnicity, Massachusetts </w:t>
      </w:r>
      <w:r w:rsidR="00F446E3" w:rsidRPr="00207CA5">
        <w:t>2014–2023</w:t>
      </w:r>
    </w:p>
    <w:p w14:paraId="7673FB1C" w14:textId="04603D3C" w:rsidR="007D7E86" w:rsidRPr="00234D05" w:rsidRDefault="00FE6A3B" w:rsidP="00FE6A3B">
      <w:pPr>
        <w:jc w:val="center"/>
        <w:rPr>
          <w:color w:val="FF0000"/>
        </w:rPr>
      </w:pPr>
      <w:r>
        <w:rPr>
          <w:noProof/>
          <w:color w:val="FF0000"/>
        </w:rPr>
        <w:drawing>
          <wp:inline distT="0" distB="0" distL="0" distR="0" wp14:anchorId="7BE2D745" wp14:editId="63695DE5">
            <wp:extent cx="5367266" cy="3672840"/>
            <wp:effectExtent l="0" t="0" r="0" b="0"/>
            <wp:docPr id="365071488" name="Picture 26" descr="The figure is a stacked bar graph displaying the number of infectious syphilis cases reported each year for the most recent ten-year period among White non-Hispanic individuals, Black non-Hispanic individuals, Hispanic/Latinx individuals, and those of other non-Hispanic race/ethni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1488" name="Picture 26" descr="The figure is a stacked bar graph displaying the number of infectious syphilis cases reported each year for the most recent ten-year period among White non-Hispanic individuals, Black non-Hispanic individuals, Hispanic/Latinx individuals, and those of other non-Hispanic race/ethnicity.&#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3138" cy="3683701"/>
                    </a:xfrm>
                    <a:prstGeom prst="rect">
                      <a:avLst/>
                    </a:prstGeom>
                    <a:noFill/>
                  </pic:spPr>
                </pic:pic>
              </a:graphicData>
            </a:graphic>
          </wp:inline>
        </w:drawing>
      </w:r>
    </w:p>
    <w:p w14:paraId="7BD24AE1" w14:textId="77D22AA9" w:rsidR="00207CA5" w:rsidRPr="00207CA5" w:rsidRDefault="00207CA5" w:rsidP="00207CA5">
      <w:pPr>
        <w:rPr>
          <w:sz w:val="20"/>
          <w:szCs w:val="20"/>
        </w:rPr>
      </w:pPr>
      <w:r w:rsidRPr="533627D5">
        <w:rPr>
          <w:sz w:val="20"/>
          <w:szCs w:val="20"/>
        </w:rPr>
        <w:t xml:space="preserve">Confirmed and Probable Syphilis 2014-2023 Total N=10,871; 600 (5%) cases missing race/ethnicity are not included in this figure  </w:t>
      </w:r>
    </w:p>
    <w:p w14:paraId="04C6D3A0" w14:textId="26B15338" w:rsidR="00740E0E" w:rsidRDefault="00740E0E" w:rsidP="00207CA5">
      <w:pPr>
        <w:rPr>
          <w:sz w:val="20"/>
          <w:szCs w:val="18"/>
        </w:rPr>
      </w:pPr>
      <w:r w:rsidRPr="00207CA5">
        <w:rPr>
          <w:sz w:val="20"/>
          <w:szCs w:val="18"/>
        </w:rPr>
        <w:t xml:space="preserve">Data Source: Bureau of Infectious Disease and Laboratory Sciences, data are </w:t>
      </w:r>
      <w:r w:rsidR="009F7C6D" w:rsidRPr="00207CA5">
        <w:rPr>
          <w:sz w:val="20"/>
          <w:szCs w:val="18"/>
        </w:rPr>
        <w:t>current as of 7/22/2024</w:t>
      </w:r>
      <w:r w:rsidRPr="00207CA5">
        <w:rPr>
          <w:sz w:val="20"/>
          <w:szCs w:val="18"/>
        </w:rPr>
        <w:t xml:space="preserve"> and subject to change</w:t>
      </w:r>
      <w:r w:rsidR="00B1580A" w:rsidRPr="00207CA5">
        <w:rPr>
          <w:sz w:val="20"/>
          <w:szCs w:val="18"/>
        </w:rPr>
        <w:t>.</w:t>
      </w:r>
    </w:p>
    <w:p w14:paraId="18547310" w14:textId="77777777" w:rsidR="00BB2452" w:rsidRPr="00CE5AED" w:rsidRDefault="00BB2452" w:rsidP="00207CA5">
      <w:pPr>
        <w:rPr>
          <w:sz w:val="20"/>
          <w:szCs w:val="18"/>
        </w:rPr>
      </w:pPr>
    </w:p>
    <w:p w14:paraId="14F90033" w14:textId="75FD5B99" w:rsidR="00F77C3D" w:rsidRPr="00CE5AED" w:rsidRDefault="00CE5AED">
      <w:pPr>
        <w:pStyle w:val="spaced6"/>
      </w:pPr>
      <w:r w:rsidRPr="00CE5AED">
        <w:t xml:space="preserve">The greatest number of </w:t>
      </w:r>
      <w:r w:rsidR="000073E6">
        <w:t xml:space="preserve">confirmed and probable </w:t>
      </w:r>
      <w:r w:rsidRPr="00CE5AED">
        <w:t>infectious syphilis cases was among White (non-Hispanic) individuals each year from 2014 to 2023</w:t>
      </w:r>
      <w:r w:rsidR="1C4D1FE7" w:rsidRPr="00CE5AED">
        <w:t>.</w:t>
      </w:r>
      <w:r w:rsidR="00F77C3D" w:rsidRPr="00CE5AED">
        <w:rPr>
          <w:rStyle w:val="FootnoteReference"/>
        </w:rPr>
        <w:footnoteReference w:id="134"/>
      </w:r>
    </w:p>
    <w:p w14:paraId="614AE599" w14:textId="7893F625" w:rsidR="00CE5AED" w:rsidRPr="00CE5AED" w:rsidRDefault="00CE5AED" w:rsidP="00CE5AED">
      <w:pPr>
        <w:numPr>
          <w:ilvl w:val="0"/>
          <w:numId w:val="4"/>
        </w:numPr>
        <w:spacing w:after="120"/>
      </w:pPr>
      <w:r w:rsidRPr="00CE5AED">
        <w:t xml:space="preserve">From 2014 to 2023, the greatest proportionate increase in the number of </w:t>
      </w:r>
      <w:r w:rsidR="000073E6">
        <w:t xml:space="preserve">confirmed and probable </w:t>
      </w:r>
      <w:r w:rsidRPr="00CE5AED">
        <w:t>infectious syphilis cases was reported among Hispanic/Latinx individuals (more than tripled from 137 to 510), followed by Black (non-Hispanic) individuals (more than doubled from 99 to 255), and White (non-Hispanic) (increased by 70% from 303 to 514).</w:t>
      </w:r>
    </w:p>
    <w:p w14:paraId="11571A97" w14:textId="5F56D184" w:rsidR="00CE5AED" w:rsidRPr="00CE5AED" w:rsidRDefault="00CE5AED" w:rsidP="00CE5AED">
      <w:pPr>
        <w:numPr>
          <w:ilvl w:val="0"/>
          <w:numId w:val="4"/>
        </w:numPr>
        <w:spacing w:after="120"/>
      </w:pPr>
      <w:r w:rsidRPr="00CE5AED">
        <w:t xml:space="preserve">From 2104 to 2023, the proportion of </w:t>
      </w:r>
      <w:r w:rsidR="000073E6">
        <w:t xml:space="preserve">confirmed and probable </w:t>
      </w:r>
      <w:r w:rsidRPr="00CE5AED">
        <w:t>infectious syphilis cases among White (non-Hispanic) individuals decreased from 54% to 37% while it increased from 25% to 36% among Hispanic/Latinx individuals.</w:t>
      </w:r>
    </w:p>
    <w:p w14:paraId="6B4D5301" w14:textId="20B09A55" w:rsidR="00F77C3D" w:rsidRPr="00CE5AED" w:rsidRDefault="00CE5AED" w:rsidP="00CE5AED">
      <w:pPr>
        <w:pStyle w:val="spaced6"/>
      </w:pPr>
      <w:r w:rsidRPr="00CE5AED">
        <w:rPr>
          <w:szCs w:val="22"/>
        </w:rPr>
        <w:t xml:space="preserve">In 2023, the age-adjusted </w:t>
      </w:r>
      <w:r w:rsidR="000073E6">
        <w:t xml:space="preserve">confirmed and probable </w:t>
      </w:r>
      <w:r w:rsidRPr="00CE5AED">
        <w:rPr>
          <w:szCs w:val="22"/>
        </w:rPr>
        <w:t>infectious syphilis incidence rate among Black (non-Hispanic) individuals (46.5 per 100,000) and Hispanic/Latinx individuals (55.2 per 100.000) were four and five times that of White (non-Hispanic) individuals (10.4 per 100,000), respectively</w:t>
      </w:r>
      <w:r w:rsidR="00740E0E" w:rsidRPr="00CE5AED">
        <w:t xml:space="preserve"> </w:t>
      </w:r>
      <w:r w:rsidR="00740E0E" w:rsidRPr="00CE5AED">
        <w:br w:type="page"/>
      </w:r>
    </w:p>
    <w:p w14:paraId="17314C7F" w14:textId="6B502AB6" w:rsidR="00F77C3D" w:rsidRPr="00A67A73" w:rsidRDefault="00F77C3D" w:rsidP="38A4F72D">
      <w:pPr>
        <w:pStyle w:val="Heading2"/>
      </w:pPr>
      <w:bookmarkStart w:id="62" w:name="_Toc1196522038"/>
      <w:r>
        <w:lastRenderedPageBreak/>
        <w:t>HIV BY RACE/ETHNICITY</w:t>
      </w:r>
      <w:bookmarkEnd w:id="62"/>
    </w:p>
    <w:p w14:paraId="519E248D" w14:textId="40AF7D59" w:rsidR="00F77C3D" w:rsidRPr="00A67A73" w:rsidRDefault="0FBD81A7" w:rsidP="00F77C3D">
      <w:r w:rsidRPr="00A67A73">
        <w:rPr>
          <w:b/>
          <w:bCs/>
        </w:rPr>
        <w:t>Figure 4</w:t>
      </w:r>
      <w:r w:rsidR="00B50836" w:rsidRPr="00A67A73">
        <w:rPr>
          <w:b/>
          <w:bCs/>
        </w:rPr>
        <w:t>8</w:t>
      </w:r>
      <w:r w:rsidRPr="00A67A73">
        <w:rPr>
          <w:b/>
          <w:bCs/>
        </w:rPr>
        <w:t xml:space="preserve">. </w:t>
      </w:r>
      <w:r w:rsidRPr="00A67A73">
        <w:t>Average annual age-adjusted HIV diagnosis rate per 100,000 population</w:t>
      </w:r>
      <w:r w:rsidR="00F77C3D" w:rsidRPr="00A67A73">
        <w:rPr>
          <w:rStyle w:val="FootnoteReference"/>
        </w:rPr>
        <w:footnoteReference w:id="135"/>
      </w:r>
      <w:r w:rsidRPr="00A67A73">
        <w:t xml:space="preserve"> by sex assigned at birth and race/ethnicity, Massachusetts </w:t>
      </w:r>
      <w:r w:rsidR="004822C5" w:rsidRPr="00A67A73">
        <w:t>2021–2023</w:t>
      </w:r>
      <w:r w:rsidRPr="00A67A73">
        <w:t xml:space="preserve"> (N=1,</w:t>
      </w:r>
      <w:r w:rsidR="00A67A73" w:rsidRPr="00A67A73">
        <w:t>435</w:t>
      </w:r>
      <w:r w:rsidRPr="00A67A73">
        <w:t>)</w:t>
      </w:r>
    </w:p>
    <w:p w14:paraId="30CCAF26" w14:textId="0081FDAF" w:rsidR="00F77C3D" w:rsidRPr="003E6DF5" w:rsidRDefault="74DF78D9" w:rsidP="00F77C3D">
      <w:r>
        <w:rPr>
          <w:noProof/>
        </w:rPr>
        <w:drawing>
          <wp:inline distT="0" distB="0" distL="0" distR="0" wp14:anchorId="39AAD248" wp14:editId="722FD627">
            <wp:extent cx="5867400" cy="3089086"/>
            <wp:effectExtent l="0" t="0" r="0" b="0"/>
            <wp:docPr id="689385469" name="Picture 689385469" descr="The figure is a bar chart displaying the age-adjusted HIV diagnosis rate among individuals assigned male at birth, female at birth, and total cases for five groups: the total population, White non-Hispanic individuals, Black non-Hispanic individuals, Hispanic/Latinx individuals, and Asian Pacific Islan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85469"/>
                    <pic:cNvPicPr/>
                  </pic:nvPicPr>
                  <pic:blipFill>
                    <a:blip r:embed="rId72">
                      <a:extLst>
                        <a:ext uri="{28A0092B-C50C-407E-A947-70E740481C1C}">
                          <a14:useLocalDpi xmlns:a14="http://schemas.microsoft.com/office/drawing/2010/main" val="0"/>
                        </a:ext>
                      </a:extLst>
                    </a:blip>
                    <a:stretch>
                      <a:fillRect/>
                    </a:stretch>
                  </pic:blipFill>
                  <pic:spPr>
                    <a:xfrm>
                      <a:off x="0" y="0"/>
                      <a:ext cx="5881820" cy="3096678"/>
                    </a:xfrm>
                    <a:prstGeom prst="rect">
                      <a:avLst/>
                    </a:prstGeom>
                  </pic:spPr>
                </pic:pic>
              </a:graphicData>
            </a:graphic>
          </wp:inline>
        </w:drawing>
      </w:r>
    </w:p>
    <w:p w14:paraId="2D0015A2" w14:textId="3133244F" w:rsidR="226330D8" w:rsidRPr="003B0BB0" w:rsidRDefault="226330D8">
      <w:pPr>
        <w:rPr>
          <w:rFonts w:eastAsiaTheme="minorEastAsia"/>
          <w:color w:val="000000" w:themeColor="text1"/>
          <w:sz w:val="20"/>
          <w:szCs w:val="20"/>
        </w:rPr>
      </w:pPr>
      <w:r w:rsidRPr="003B0BB0">
        <w:rPr>
          <w:rFonts w:eastAsiaTheme="minorEastAsia"/>
          <w:color w:val="000000" w:themeColor="text1"/>
          <w:sz w:val="20"/>
          <w:szCs w:val="20"/>
        </w:rPr>
        <w:t>**Rates based on numerators &lt;12 are marked with an asterisk (*) and should be interpreted with caution.</w:t>
      </w:r>
    </w:p>
    <w:p w14:paraId="60A5A91A" w14:textId="79A4D3B1" w:rsidR="00F77C3D" w:rsidRPr="003E6DF5" w:rsidRDefault="00F77C3D" w:rsidP="00F77C3D">
      <w:pPr>
        <w:spacing w:after="120"/>
        <w:rPr>
          <w:sz w:val="20"/>
          <w:szCs w:val="18"/>
        </w:rPr>
      </w:pPr>
      <w:r w:rsidRPr="003E6DF5">
        <w:rPr>
          <w:sz w:val="20"/>
          <w:szCs w:val="18"/>
        </w:rPr>
        <w:t xml:space="preserve">Data Source: Bureau of Infectious Disease and Laboratory Sciences, data are </w:t>
      </w:r>
      <w:r w:rsidR="004822C5" w:rsidRPr="003E6DF5">
        <w:rPr>
          <w:sz w:val="20"/>
          <w:szCs w:val="18"/>
        </w:rPr>
        <w:t>current as of 7/1/2024</w:t>
      </w:r>
      <w:r w:rsidRPr="003E6DF5">
        <w:rPr>
          <w:sz w:val="20"/>
          <w:szCs w:val="18"/>
        </w:rPr>
        <w:t xml:space="preserve"> and subject to change</w:t>
      </w:r>
      <w:r w:rsidR="00B1580A" w:rsidRPr="003E6DF5">
        <w:rPr>
          <w:sz w:val="20"/>
          <w:szCs w:val="18"/>
        </w:rPr>
        <w:t>.</w:t>
      </w:r>
    </w:p>
    <w:p w14:paraId="04B90FDF" w14:textId="788B94B5" w:rsidR="003E6DF5" w:rsidRPr="003E6DF5" w:rsidRDefault="64CB7EDC" w:rsidP="003E6DF5">
      <w:pPr>
        <w:pStyle w:val="spaced6"/>
        <w:numPr>
          <w:ilvl w:val="0"/>
          <w:numId w:val="0"/>
        </w:numPr>
      </w:pPr>
      <w:r w:rsidRPr="003E6DF5">
        <w:t xml:space="preserve">In </w:t>
      </w:r>
      <w:r w:rsidR="004822C5" w:rsidRPr="003E6DF5">
        <w:t>2021–2023</w:t>
      </w:r>
      <w:r w:rsidRPr="003E6DF5">
        <w:t>,</w:t>
      </w:r>
      <w:r w:rsidR="00F77C3D" w:rsidRPr="003E6DF5">
        <w:rPr>
          <w:rStyle w:val="FootnoteReference"/>
        </w:rPr>
        <w:footnoteReference w:id="136"/>
      </w:r>
      <w:r w:rsidRPr="003E6DF5">
        <w:t xml:space="preserve"> </w:t>
      </w:r>
      <w:r w:rsidR="003E6DF5" w:rsidRPr="003E6DF5">
        <w:t>the average annual age-adjusted HIV diagnosis rate per 100,000 population of individuals assigned male at birth (AMAB) was three times that of individuals assigned female at birth (AFAB). There were large disparities in average annual age-adjusted HIV diagnosis rates for 2021 to 2023 by race/ethnicity</w:t>
      </w:r>
      <w:r w:rsidR="7C02E2FE" w:rsidRPr="003E6DF5">
        <w:t xml:space="preserve">. </w:t>
      </w:r>
      <w:r w:rsidR="003E6DF5" w:rsidRPr="003E6DF5">
        <w:t xml:space="preserve">Compared to the rate among </w:t>
      </w:r>
      <w:r w:rsidR="48BEB941">
        <w:t>W</w:t>
      </w:r>
      <w:r w:rsidR="2519BB6A" w:rsidRPr="003E6DF5">
        <w:t>hite</w:t>
      </w:r>
      <w:r w:rsidR="003E6DF5" w:rsidRPr="003E6DF5">
        <w:t xml:space="preserve"> (non-Hispanic) individuals, the rate among:</w:t>
      </w:r>
    </w:p>
    <w:p w14:paraId="05E7DB3D" w14:textId="77777777" w:rsidR="003E6DF5" w:rsidRPr="003E6DF5" w:rsidRDefault="003E6DF5" w:rsidP="003E6DF5">
      <w:pPr>
        <w:pStyle w:val="spaced6"/>
      </w:pPr>
      <w:r w:rsidRPr="003E6DF5">
        <w:t xml:space="preserve">Black (non-Hispanic) individuals was 11 times greater, and </w:t>
      </w:r>
    </w:p>
    <w:p w14:paraId="2AD272B3" w14:textId="77777777" w:rsidR="003E6DF5" w:rsidRDefault="003E6DF5" w:rsidP="003E6DF5">
      <w:pPr>
        <w:pStyle w:val="spaced6"/>
      </w:pPr>
      <w:r w:rsidRPr="003E6DF5">
        <w:t>Hispanic/Latinx individuals was five times greater.</w:t>
      </w:r>
    </w:p>
    <w:p w14:paraId="68FA89E5" w14:textId="2EBFD8D1" w:rsidR="003E6DF5" w:rsidRPr="003E6DF5" w:rsidRDefault="003E6DF5" w:rsidP="003E6DF5">
      <w:pPr>
        <w:pStyle w:val="spaced6"/>
        <w:numPr>
          <w:ilvl w:val="0"/>
          <w:numId w:val="0"/>
        </w:numPr>
      </w:pPr>
      <w:r w:rsidRPr="003E6DF5">
        <w:t>With respect to differences based on race/ethnicity and sex assigned at birth, the average annual age-adjusted HIV diagnosis rate for 2021 to 2023 among:</w:t>
      </w:r>
    </w:p>
    <w:p w14:paraId="0FDFFF7A" w14:textId="3AAB802B" w:rsidR="003E6DF5" w:rsidRPr="003E6DF5" w:rsidRDefault="003E6DF5" w:rsidP="003E6DF5">
      <w:pPr>
        <w:pStyle w:val="spaced6"/>
      </w:pPr>
      <w:r w:rsidRPr="003E6DF5">
        <w:t xml:space="preserve">Black (non-Hispanic) individuals assigned male at birth (AMAB), was seven times that of </w:t>
      </w:r>
      <w:r w:rsidR="003B0BB0">
        <w:t>W</w:t>
      </w:r>
      <w:r>
        <w:t>hite</w:t>
      </w:r>
      <w:r w:rsidRPr="003E6DF5">
        <w:t xml:space="preserve"> (non-Hispanic) individuals AMAB, </w:t>
      </w:r>
    </w:p>
    <w:p w14:paraId="1F589AE8" w14:textId="36858A2D" w:rsidR="003E6DF5" w:rsidRPr="003E6DF5" w:rsidRDefault="003E6DF5" w:rsidP="003E6DF5">
      <w:pPr>
        <w:pStyle w:val="spaced6"/>
      </w:pPr>
      <w:r w:rsidRPr="003E6DF5">
        <w:t xml:space="preserve">Hispanic/Latinx individuals AMAB was five times that of </w:t>
      </w:r>
      <w:r>
        <w:t>White</w:t>
      </w:r>
      <w:r w:rsidRPr="003E6DF5">
        <w:t xml:space="preserve"> (non-Hispanic) individuals AMAB,</w:t>
      </w:r>
    </w:p>
    <w:p w14:paraId="253B6783" w14:textId="7CEDB7F6" w:rsidR="003E6DF5" w:rsidRPr="003E6DF5" w:rsidRDefault="003E6DF5" w:rsidP="003E6DF5">
      <w:pPr>
        <w:pStyle w:val="spaced6"/>
      </w:pPr>
      <w:r w:rsidRPr="003E6DF5">
        <w:t xml:space="preserve">Black (non-Hispanic) individuals assigned female at birth (AFAB) was 24 times that of </w:t>
      </w:r>
      <w:r>
        <w:t>White</w:t>
      </w:r>
      <w:r w:rsidRPr="003E6DF5">
        <w:t xml:space="preserve"> (non-Hispanic) individuals AFAB, and</w:t>
      </w:r>
    </w:p>
    <w:p w14:paraId="02683EF9" w14:textId="035B29CB" w:rsidR="00F77C3D" w:rsidRPr="003E6DF5" w:rsidRDefault="003E6DF5" w:rsidP="003E6DF5">
      <w:pPr>
        <w:pStyle w:val="spaced6"/>
      </w:pPr>
      <w:r w:rsidRPr="003E6DF5">
        <w:t xml:space="preserve">Hispanic/Latinx individuals AFAB was five times that of </w:t>
      </w:r>
      <w:r>
        <w:t>White</w:t>
      </w:r>
      <w:r w:rsidRPr="003E6DF5">
        <w:t xml:space="preserve"> (non-Hispanic) individuals AFAB.</w:t>
      </w:r>
      <w:r w:rsidR="00F77C3D" w:rsidRPr="003E6DF5">
        <w:br w:type="page"/>
      </w:r>
    </w:p>
    <w:p w14:paraId="3CFB3E53" w14:textId="324DC8D0" w:rsidR="00F77C3D" w:rsidRPr="00421211" w:rsidRDefault="00F77C3D" w:rsidP="38A4F72D">
      <w:pPr>
        <w:pStyle w:val="Heading1"/>
      </w:pPr>
      <w:bookmarkStart w:id="63" w:name="_Toc827490782"/>
      <w:r>
        <w:lastRenderedPageBreak/>
        <w:t>SPECIFIC POPULATIONS - WOMEN AND INFANTS</w:t>
      </w:r>
      <w:bookmarkEnd w:id="63"/>
    </w:p>
    <w:p w14:paraId="0198AED4" w14:textId="2F96F3D4" w:rsidR="00F77C3D" w:rsidRPr="00421211" w:rsidRDefault="00F77C3D" w:rsidP="00F77C3D">
      <w:r w:rsidRPr="00421211">
        <w:rPr>
          <w:b/>
          <w:bCs/>
        </w:rPr>
        <w:t>Figure 4</w:t>
      </w:r>
      <w:r w:rsidR="003C4EB4" w:rsidRPr="00421211">
        <w:rPr>
          <w:b/>
          <w:bCs/>
        </w:rPr>
        <w:t>9</w:t>
      </w:r>
      <w:r w:rsidRPr="00421211">
        <w:rPr>
          <w:b/>
          <w:bCs/>
        </w:rPr>
        <w:t xml:space="preserve">. </w:t>
      </w:r>
      <w:r w:rsidRPr="00421211">
        <w:t>Distribution of confirmed chlamydia and gonorrhea cases reported by gender, Massachusetts 202</w:t>
      </w:r>
      <w:r w:rsidR="00421211" w:rsidRPr="00421211">
        <w:t>3</w:t>
      </w:r>
    </w:p>
    <w:p w14:paraId="1CC09C07" w14:textId="6E7B159F" w:rsidR="000B6E81" w:rsidRPr="00421211" w:rsidRDefault="00A55829" w:rsidP="004D5C8E">
      <w:pPr>
        <w:spacing w:after="120"/>
        <w:rPr>
          <w:sz w:val="20"/>
          <w:szCs w:val="18"/>
        </w:rPr>
      </w:pPr>
      <w:r>
        <w:rPr>
          <w:noProof/>
          <w:sz w:val="20"/>
          <w:szCs w:val="18"/>
        </w:rPr>
        <w:drawing>
          <wp:inline distT="0" distB="0" distL="0" distR="0" wp14:anchorId="277AC93E" wp14:editId="28C335D9">
            <wp:extent cx="6515014" cy="4953000"/>
            <wp:effectExtent l="0" t="0" r="0" b="0"/>
            <wp:docPr id="25162945" name="Picture 27" descr="The figure is a series of two side by side pie charts displaying the distribution by gender of 2023 chlamydia cases (N = 28,889 Excludes 21 missing gender) on the left and 2023 gonorrhea cases (N = 9,771 Excludes 8 missing gender)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945" name="Picture 27" descr="The figure is a series of two side by side pie charts displaying the distribution by gender of 2023 chlamydia cases (N = 28,889 Excludes 21 missing gender) on the left and 2023 gonorrhea cases (N = 9,771 Excludes 8 missing gender) on the right.&#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16416" cy="4954066"/>
                    </a:xfrm>
                    <a:prstGeom prst="rect">
                      <a:avLst/>
                    </a:prstGeom>
                    <a:noFill/>
                  </pic:spPr>
                </pic:pic>
              </a:graphicData>
            </a:graphic>
          </wp:inline>
        </w:drawing>
      </w:r>
    </w:p>
    <w:p w14:paraId="7EA20717" w14:textId="741CF781" w:rsidR="004D5C8E" w:rsidRPr="00421211" w:rsidRDefault="004D5C8E" w:rsidP="004D5C8E">
      <w:pPr>
        <w:spacing w:after="120"/>
        <w:rPr>
          <w:sz w:val="20"/>
          <w:szCs w:val="18"/>
        </w:rPr>
      </w:pPr>
      <w:r w:rsidRPr="00421211">
        <w:rPr>
          <w:sz w:val="20"/>
          <w:szCs w:val="18"/>
        </w:rPr>
        <w:t xml:space="preserve">Data Source: Bureau of Infectious Disease and Laboratory Sciences, data are </w:t>
      </w:r>
      <w:r w:rsidR="009F7C6D" w:rsidRPr="00421211">
        <w:rPr>
          <w:sz w:val="20"/>
          <w:szCs w:val="18"/>
        </w:rPr>
        <w:t>current as of 7/22/2024</w:t>
      </w:r>
      <w:r w:rsidRPr="00421211">
        <w:rPr>
          <w:sz w:val="20"/>
          <w:szCs w:val="18"/>
        </w:rPr>
        <w:t xml:space="preserve"> and subject to change</w:t>
      </w:r>
      <w:r w:rsidR="00B1580A" w:rsidRPr="00421211">
        <w:rPr>
          <w:sz w:val="20"/>
          <w:szCs w:val="18"/>
        </w:rPr>
        <w:t>.</w:t>
      </w:r>
    </w:p>
    <w:p w14:paraId="11EC6A43" w14:textId="77777777" w:rsidR="00627C6E" w:rsidRPr="00421211" w:rsidRDefault="00627C6E" w:rsidP="004D5C8E">
      <w:pPr>
        <w:spacing w:after="120"/>
        <w:rPr>
          <w:sz w:val="20"/>
          <w:szCs w:val="18"/>
        </w:rPr>
      </w:pPr>
    </w:p>
    <w:p w14:paraId="35FFD317" w14:textId="68B13898" w:rsidR="0066502B" w:rsidRDefault="32A8A0A9" w:rsidP="001A0C82">
      <w:pPr>
        <w:pStyle w:val="spaced6"/>
      </w:pPr>
      <w:r w:rsidRPr="001A0C82">
        <w:t>In 202</w:t>
      </w:r>
      <w:r w:rsidR="00421211" w:rsidRPr="001A0C82">
        <w:t>3</w:t>
      </w:r>
      <w:r w:rsidRPr="001A0C82">
        <w:t>,</w:t>
      </w:r>
      <w:r w:rsidR="004D5C8E" w:rsidRPr="001A0C82">
        <w:rPr>
          <w:rStyle w:val="FootnoteReference"/>
        </w:rPr>
        <w:footnoteReference w:id="137"/>
      </w:r>
      <w:r w:rsidRPr="001A0C82">
        <w:t xml:space="preserve"> </w:t>
      </w:r>
      <w:r w:rsidR="001A0C82" w:rsidRPr="001A0C82">
        <w:t xml:space="preserve">61% of </w:t>
      </w:r>
      <w:r w:rsidR="001D624E">
        <w:t>confirmed</w:t>
      </w:r>
      <w:r w:rsidR="001A0C82" w:rsidRPr="001A0C82">
        <w:t xml:space="preserve"> chlamydia cases were among females (N=17,630), 39% were among males (N=11,187), less than one percent (N=72) was among individuals of transgender experience, and no cases were reported among individuals who are nonbinary.</w:t>
      </w:r>
      <w:r w:rsidRPr="2F91CBFE">
        <w:rPr>
          <w:rStyle w:val="FootnoteReference"/>
        </w:rPr>
        <w:footnoteReference w:id="138"/>
      </w:r>
      <w:r w:rsidR="001A0C82" w:rsidRPr="001A0C82">
        <w:t xml:space="preserve"> </w:t>
      </w:r>
    </w:p>
    <w:p w14:paraId="109303E6" w14:textId="65D9A78C" w:rsidR="003C4EB4" w:rsidRPr="001A0C82" w:rsidRDefault="001A0C82" w:rsidP="001A0C82">
      <w:pPr>
        <w:pStyle w:val="spaced6"/>
      </w:pPr>
      <w:r w:rsidRPr="001A0C82">
        <w:t xml:space="preserve">In 2023, 31% of </w:t>
      </w:r>
      <w:r w:rsidR="001D624E">
        <w:t>confirmed</w:t>
      </w:r>
      <w:r w:rsidRPr="001A0C82">
        <w:t xml:space="preserve"> gonorrhea cases were among females (N=3,038), 68% were among males (N=6,662), and one percent (N=71) was among individuals of transgender experience or individuals who are nonbinary.</w:t>
      </w:r>
      <w:r w:rsidR="003C4EB4" w:rsidRPr="001A0C82">
        <w:t xml:space="preserve">  </w:t>
      </w:r>
    </w:p>
    <w:p w14:paraId="35A733FD" w14:textId="73095A87" w:rsidR="005D6F5C" w:rsidRPr="001A0C82" w:rsidRDefault="005D6F5C" w:rsidP="72E089C3">
      <w:pPr>
        <w:pStyle w:val="spaced6"/>
        <w:numPr>
          <w:ilvl w:val="0"/>
          <w:numId w:val="0"/>
        </w:numPr>
      </w:pPr>
      <w:r>
        <w:br w:type="page"/>
      </w:r>
    </w:p>
    <w:p w14:paraId="1231B721" w14:textId="23B0964E" w:rsidR="00F77C3D" w:rsidRPr="001A0C82" w:rsidRDefault="005D6F5C" w:rsidP="38A4F72D">
      <w:pPr>
        <w:pStyle w:val="Heading2"/>
      </w:pPr>
      <w:bookmarkStart w:id="64" w:name="_Toc231154708"/>
      <w:r>
        <w:lastRenderedPageBreak/>
        <w:t>WOMEN AND INFANTS – CONGENITAL SYPHILIS</w:t>
      </w:r>
      <w:bookmarkEnd w:id="64"/>
    </w:p>
    <w:p w14:paraId="71D76D11" w14:textId="51405380" w:rsidR="005D6F5C" w:rsidRPr="001A0C82" w:rsidRDefault="1CFB87E9" w:rsidP="00B01A7D">
      <w:pPr>
        <w:spacing w:after="120"/>
        <w:rPr>
          <w:color w:val="3333FF"/>
        </w:rPr>
      </w:pPr>
      <w:r w:rsidRPr="001A0C82">
        <w:t>Despite close follow-up of cases of syphilis in pregnant patients and their partners, breakthrough cases of congenital syphilis</w:t>
      </w:r>
      <w:r w:rsidR="00BB7166" w:rsidRPr="001A0C82">
        <w:rPr>
          <w:rStyle w:val="FootnoteReference"/>
        </w:rPr>
        <w:footnoteReference w:id="139"/>
      </w:r>
      <w:r w:rsidRPr="001A0C82">
        <w:t xml:space="preserve"> have increased in Massachusetts. </w:t>
      </w:r>
      <w:r w:rsidR="00627C6E" w:rsidRPr="00A72EA7">
        <w:t>T</w:t>
      </w:r>
      <w:r w:rsidR="00A72EA7" w:rsidRPr="00A72EA7">
        <w:t>hree</w:t>
      </w:r>
      <w:r w:rsidR="00627C6E" w:rsidRPr="00A72EA7">
        <w:t xml:space="preserve"> syphilitic stillbirths and </w:t>
      </w:r>
      <w:r w:rsidR="00A72EA7" w:rsidRPr="00A72EA7">
        <w:t>eleven</w:t>
      </w:r>
      <w:r w:rsidR="00627C6E" w:rsidRPr="00A72EA7">
        <w:t xml:space="preserve"> presumptive reportable cases were reported to </w:t>
      </w:r>
      <w:r w:rsidR="00D3661F" w:rsidRPr="00A72EA7">
        <w:t>DPH</w:t>
      </w:r>
      <w:r w:rsidR="00627C6E" w:rsidRPr="00A72EA7">
        <w:t xml:space="preserve"> in 202</w:t>
      </w:r>
      <w:r w:rsidR="00A72EA7" w:rsidRPr="00A72EA7">
        <w:t>3</w:t>
      </w:r>
      <w:r w:rsidR="00627C6E" w:rsidRPr="00A72EA7">
        <w:t xml:space="preserve">. </w:t>
      </w:r>
      <w:r w:rsidR="00627C6E" w:rsidRPr="001A0C82">
        <w:t xml:space="preserve">In 2020, </w:t>
      </w:r>
      <w:r w:rsidR="00D3661F" w:rsidRPr="001A0C82">
        <w:t>DPH</w:t>
      </w:r>
      <w:r w:rsidR="00627C6E" w:rsidRPr="001A0C82">
        <w:t xml:space="preserve"> released a recommendation for universal syphilis screening early in the 3rd trimester (around 27–28 weeks gestation), in addition to routine syphilis screening performed at the first prenatal visit. For more information see, Congenital Syphilis Clinical Alert, June 30, 2020</w:t>
      </w:r>
      <w:r w:rsidRPr="001A0C82">
        <w:t xml:space="preserve">, available at </w:t>
      </w:r>
      <w:hyperlink r:id="rId74" w:history="1">
        <w:r w:rsidRPr="001A0C82">
          <w:rPr>
            <w:rStyle w:val="Hyperlink"/>
            <w:color w:val="3333FF"/>
          </w:rPr>
          <w:t>https://www.mass.gov/doc/congenital-syphilis-clinical-alert-6-30-2020/download</w:t>
        </w:r>
      </w:hyperlink>
      <w:r w:rsidRPr="001A0C82">
        <w:rPr>
          <w:color w:val="3333FF"/>
        </w:rPr>
        <w:t xml:space="preserve"> </w:t>
      </w:r>
    </w:p>
    <w:p w14:paraId="053BDA0D" w14:textId="538A49F0" w:rsidR="005D6F5C" w:rsidRDefault="5BE5F329" w:rsidP="005D6F5C">
      <w:r w:rsidRPr="001A0C82">
        <w:rPr>
          <w:b/>
          <w:bCs/>
        </w:rPr>
        <w:t xml:space="preserve">Figure </w:t>
      </w:r>
      <w:r w:rsidR="7A29BF95" w:rsidRPr="001A0C82">
        <w:rPr>
          <w:b/>
          <w:bCs/>
        </w:rPr>
        <w:t>50</w:t>
      </w:r>
      <w:r w:rsidRPr="001A0C82">
        <w:rPr>
          <w:b/>
          <w:bCs/>
        </w:rPr>
        <w:t xml:space="preserve">. </w:t>
      </w:r>
      <w:r w:rsidRPr="001A0C82">
        <w:t xml:space="preserve">Number of confirmed and probable congenital syphilis cases reported by year of birth and rate of </w:t>
      </w:r>
      <w:r w:rsidR="0028157B">
        <w:t xml:space="preserve">confirmed and probable </w:t>
      </w:r>
      <w:r w:rsidRPr="001A0C82">
        <w:t xml:space="preserve">infectious syphilis per 100,000 among </w:t>
      </w:r>
      <w:r w:rsidR="1A963945" w:rsidRPr="001A0C82">
        <w:t xml:space="preserve">individuals assigned female at birth (AFAB) </w:t>
      </w:r>
      <w:r w:rsidRPr="001A0C82">
        <w:t xml:space="preserve">of child-bearing age (15–44 years), Massachusetts </w:t>
      </w:r>
      <w:r w:rsidR="00F446E3" w:rsidRPr="001A0C82">
        <w:t>2014–2023</w:t>
      </w:r>
    </w:p>
    <w:p w14:paraId="5A4E0DDB" w14:textId="77777777" w:rsidR="00CC046C" w:rsidRPr="001A0C82" w:rsidRDefault="00CC046C" w:rsidP="005D6F5C"/>
    <w:p w14:paraId="7D71DDA7" w14:textId="77777777" w:rsidR="00CC046C" w:rsidRDefault="21927F65" w:rsidP="00BB7166">
      <w:pPr>
        <w:spacing w:after="120"/>
        <w:rPr>
          <w:sz w:val="20"/>
          <w:szCs w:val="20"/>
        </w:rPr>
      </w:pPr>
      <w:r>
        <w:rPr>
          <w:noProof/>
        </w:rPr>
        <w:drawing>
          <wp:inline distT="0" distB="0" distL="0" distR="0" wp14:anchorId="23412F98" wp14:editId="2E6EF231">
            <wp:extent cx="6689209" cy="3154680"/>
            <wp:effectExtent l="0" t="0" r="0" b="0"/>
            <wp:docPr id="1412376951" name="Picture 1412376951" descr="The figure is a bar chart displaying the total number of confirmed and probable congenital syphilis cases each year of the ten-year period with an overlaid trendline displaying the rate of infectious syphilis per 100,000 among females of child-bearing age for each of the same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6951" name="Picture 1412376951" descr="The figure is a bar chart displaying the total number of confirmed and probable congenital syphilis cases each year of the ten-year period with an overlaid trendline displaying the rate of infectious syphilis per 100,000 among females of child-bearing age for each of the same years.&#10;"/>
                    <pic:cNvPicPr/>
                  </pic:nvPicPr>
                  <pic:blipFill>
                    <a:blip r:embed="rId75">
                      <a:extLst>
                        <a:ext uri="{28A0092B-C50C-407E-A947-70E740481C1C}">
                          <a14:useLocalDpi xmlns:a14="http://schemas.microsoft.com/office/drawing/2010/main" val="0"/>
                        </a:ext>
                      </a:extLst>
                    </a:blip>
                    <a:stretch>
                      <a:fillRect/>
                    </a:stretch>
                  </pic:blipFill>
                  <pic:spPr>
                    <a:xfrm>
                      <a:off x="0" y="0"/>
                      <a:ext cx="6711518" cy="3165201"/>
                    </a:xfrm>
                    <a:prstGeom prst="rect">
                      <a:avLst/>
                    </a:prstGeom>
                  </pic:spPr>
                </pic:pic>
              </a:graphicData>
            </a:graphic>
          </wp:inline>
        </w:drawing>
      </w:r>
    </w:p>
    <w:p w14:paraId="734A986E" w14:textId="7F766E49" w:rsidR="005D6F5C" w:rsidRPr="00883213" w:rsidRDefault="005D6F5C" w:rsidP="00BB7166">
      <w:pPr>
        <w:spacing w:after="120"/>
        <w:rPr>
          <w:sz w:val="20"/>
          <w:szCs w:val="20"/>
        </w:rPr>
      </w:pPr>
      <w:r w:rsidRPr="7AA342EF">
        <w:rPr>
          <w:sz w:val="20"/>
          <w:szCs w:val="20"/>
        </w:rPr>
        <w:t xml:space="preserve">Data Source: Bureau of Infectious Disease and Laboratory Sciences, data are </w:t>
      </w:r>
      <w:r w:rsidR="009F7C6D" w:rsidRPr="7AA342EF">
        <w:rPr>
          <w:sz w:val="20"/>
          <w:szCs w:val="20"/>
        </w:rPr>
        <w:t>current as of 7/22/2024</w:t>
      </w:r>
      <w:r w:rsidRPr="7AA342EF">
        <w:rPr>
          <w:sz w:val="20"/>
          <w:szCs w:val="20"/>
        </w:rPr>
        <w:t xml:space="preserve"> and subject to </w:t>
      </w:r>
      <w:r w:rsidR="00301485" w:rsidRPr="7AA342EF">
        <w:rPr>
          <w:sz w:val="20"/>
          <w:szCs w:val="20"/>
        </w:rPr>
        <w:t>change.</w:t>
      </w:r>
    </w:p>
    <w:p w14:paraId="24429342" w14:textId="1F4A09BB" w:rsidR="005D6F5C" w:rsidRPr="00883213" w:rsidRDefault="28BAADE6">
      <w:pPr>
        <w:pStyle w:val="spaced6"/>
      </w:pPr>
      <w:r w:rsidRPr="00883213">
        <w:t xml:space="preserve">Trends in congenital syphilis typically mirror trends in infectious syphilis among </w:t>
      </w:r>
      <w:r w:rsidR="32B965E7" w:rsidRPr="00883213">
        <w:t xml:space="preserve">individuals AFAB </w:t>
      </w:r>
      <w:r w:rsidRPr="00883213">
        <w:t>of child-bearing age.</w:t>
      </w:r>
      <w:r w:rsidR="00BB7166" w:rsidRPr="00883213">
        <w:rPr>
          <w:rStyle w:val="FootnoteReference"/>
        </w:rPr>
        <w:footnoteReference w:id="140"/>
      </w:r>
      <w:r w:rsidRPr="00883213">
        <w:t xml:space="preserve"> </w:t>
      </w:r>
      <w:r w:rsidR="00883213" w:rsidRPr="00883213">
        <w:t xml:space="preserve">In Massachusetts, as the rate of </w:t>
      </w:r>
      <w:r w:rsidR="0028157B">
        <w:t xml:space="preserve">confirmed and probable </w:t>
      </w:r>
      <w:r w:rsidR="00883213" w:rsidRPr="00883213">
        <w:t>infectious syphilis among individuals AFAB of child-bearing age increased to 11.2 per 100,000 in 2023,</w:t>
      </w:r>
      <w:r w:rsidR="0066502B" w:rsidRPr="0066502B">
        <w:rPr>
          <w:rStyle w:val="FootnoteReference"/>
        </w:rPr>
        <w:t xml:space="preserve"> </w:t>
      </w:r>
      <w:r w:rsidR="0066502B" w:rsidRPr="001A0C82">
        <w:rPr>
          <w:rStyle w:val="FootnoteReference"/>
        </w:rPr>
        <w:footnoteReference w:id="141"/>
      </w:r>
      <w:r w:rsidR="00883213" w:rsidRPr="00883213">
        <w:t xml:space="preserve"> so too did the number of </w:t>
      </w:r>
      <w:r w:rsidR="0028157B">
        <w:t xml:space="preserve">confirmed and </w:t>
      </w:r>
      <w:r w:rsidR="00883213" w:rsidRPr="00883213">
        <w:t>probable cases of congenital syphilis (N=14).</w:t>
      </w:r>
    </w:p>
    <w:p w14:paraId="29180952" w14:textId="51EA9B21" w:rsidR="0017574F" w:rsidRPr="00883213" w:rsidRDefault="00883213" w:rsidP="00576365">
      <w:pPr>
        <w:pStyle w:val="spaced6"/>
      </w:pPr>
      <w:r w:rsidRPr="00883213">
        <w:lastRenderedPageBreak/>
        <w:t>Nationally, the number of congenital syphilis cases reached 3,755 in 2022, with a rate of 102.5 cases per 100,000 live births, the highest rate reported since 1994. Massachusetts ranked 46</w:t>
      </w:r>
      <w:r w:rsidRPr="007C71EF">
        <w:rPr>
          <w:vertAlign w:val="superscript"/>
        </w:rPr>
        <w:t>th</w:t>
      </w:r>
      <w:r w:rsidR="007C71EF">
        <w:t xml:space="preserve"> </w:t>
      </w:r>
      <w:r w:rsidRPr="00883213">
        <w:t>in congenital syphilis incidence rate among the 50 states in 2022</w:t>
      </w:r>
      <w:r w:rsidR="384CB16D" w:rsidRPr="00883213">
        <w:t>.</w:t>
      </w:r>
      <w:r w:rsidR="00B01A7D" w:rsidRPr="00883213">
        <w:rPr>
          <w:rStyle w:val="FootnoteReference"/>
        </w:rPr>
        <w:footnoteReference w:id="142"/>
      </w:r>
      <w:r w:rsidR="0017574F" w:rsidRPr="00883213">
        <w:br w:type="page"/>
      </w:r>
    </w:p>
    <w:p w14:paraId="2D7E3368" w14:textId="16F6175F" w:rsidR="005D6F5C" w:rsidRPr="00576365" w:rsidRDefault="383AA930" w:rsidP="0017574F">
      <w:pPr>
        <w:pStyle w:val="Heading2"/>
      </w:pPr>
      <w:bookmarkStart w:id="65" w:name="_Toc15208966"/>
      <w:r w:rsidRPr="00576365">
        <w:lastRenderedPageBreak/>
        <w:t>WOMEN</w:t>
      </w:r>
      <w:r w:rsidR="0017574F" w:rsidRPr="00576365">
        <w:rPr>
          <w:rStyle w:val="FootnoteReference"/>
        </w:rPr>
        <w:footnoteReference w:id="143"/>
      </w:r>
      <w:r w:rsidRPr="00576365">
        <w:t xml:space="preserve"> - RECENT HIV DIAGNOSES</w:t>
      </w:r>
      <w:bookmarkEnd w:id="65"/>
    </w:p>
    <w:p w14:paraId="6F70944C" w14:textId="2D9758CC" w:rsidR="0017574F" w:rsidRPr="00576365" w:rsidRDefault="0ED6048C" w:rsidP="0017574F">
      <w:r w:rsidRPr="00576365">
        <w:rPr>
          <w:b/>
          <w:bCs/>
        </w:rPr>
        <w:t xml:space="preserve">Figure </w:t>
      </w:r>
      <w:r w:rsidR="76A761B7" w:rsidRPr="00576365">
        <w:rPr>
          <w:b/>
          <w:bCs/>
        </w:rPr>
        <w:t>51</w:t>
      </w:r>
      <w:r w:rsidRPr="00576365">
        <w:rPr>
          <w:b/>
          <w:bCs/>
        </w:rPr>
        <w:t xml:space="preserve">. </w:t>
      </w:r>
      <w:r w:rsidRPr="00576365">
        <w:t xml:space="preserve">Percentage of individuals assigned female at birth and diagnosed with HIV infection by race/ethnicity, age, place of birth, and exposure mode, Massachusetts </w:t>
      </w:r>
      <w:r w:rsidR="004822C5" w:rsidRPr="00576365">
        <w:t>2021–2023</w:t>
      </w:r>
      <w:r w:rsidRPr="00576365">
        <w:t xml:space="preserve"> (N=3</w:t>
      </w:r>
      <w:r w:rsidR="00576365" w:rsidRPr="00576365">
        <w:t>96</w:t>
      </w:r>
      <w:r w:rsidRPr="00576365">
        <w:t>)</w:t>
      </w:r>
    </w:p>
    <w:p w14:paraId="66DFBFEA" w14:textId="35D3F560" w:rsidR="005D6F5C" w:rsidRPr="00234D05" w:rsidRDefault="0009246D" w:rsidP="005D6F5C">
      <w:pPr>
        <w:rPr>
          <w:color w:val="FF0000"/>
        </w:rPr>
      </w:pPr>
      <w:r>
        <w:rPr>
          <w:noProof/>
          <w:color w:val="FF0000"/>
        </w:rPr>
        <w:drawing>
          <wp:inline distT="0" distB="0" distL="0" distR="0" wp14:anchorId="1C4504C1" wp14:editId="2F149F7D">
            <wp:extent cx="6469380" cy="4576420"/>
            <wp:effectExtent l="0" t="0" r="0" b="0"/>
            <wp:docPr id="922608913" name="Picture 28" descr="The figure is a series of bar charts displaying the percentage distribution of women recently diagnosed with HIV infection by race/ethnicity, place of birth, age,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08913" name="Picture 28" descr="The figure is a series of bar charts displaying the percentage distribution of women recently diagnosed with HIV infection by race/ethnicity, place of birth, age, and exposure mode.&#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1645" cy="4578022"/>
                    </a:xfrm>
                    <a:prstGeom prst="rect">
                      <a:avLst/>
                    </a:prstGeom>
                    <a:noFill/>
                  </pic:spPr>
                </pic:pic>
              </a:graphicData>
            </a:graphic>
          </wp:inline>
        </w:drawing>
      </w:r>
    </w:p>
    <w:p w14:paraId="1C6EF614" w14:textId="740F50F0" w:rsidR="0017574F" w:rsidRPr="00576365" w:rsidRDefault="0017574F" w:rsidP="0017574F">
      <w:pPr>
        <w:spacing w:after="120"/>
        <w:rPr>
          <w:sz w:val="20"/>
          <w:szCs w:val="18"/>
        </w:rPr>
      </w:pPr>
      <w:r w:rsidRPr="00576365">
        <w:rPr>
          <w:sz w:val="20"/>
          <w:szCs w:val="18"/>
        </w:rPr>
        <w:t xml:space="preserve">Data Source: Bureau of Infectious Disease and Laboratory Sciences, data are </w:t>
      </w:r>
      <w:r w:rsidR="004822C5" w:rsidRPr="00576365">
        <w:rPr>
          <w:sz w:val="20"/>
          <w:szCs w:val="18"/>
        </w:rPr>
        <w:t>current as of 7/1/2024</w:t>
      </w:r>
      <w:r w:rsidRPr="00576365">
        <w:rPr>
          <w:sz w:val="20"/>
          <w:szCs w:val="18"/>
        </w:rPr>
        <w:t xml:space="preserve"> and subject to change</w:t>
      </w:r>
      <w:r w:rsidR="00B1580A" w:rsidRPr="00576365">
        <w:rPr>
          <w:sz w:val="20"/>
          <w:szCs w:val="18"/>
        </w:rPr>
        <w:t>.</w:t>
      </w:r>
    </w:p>
    <w:p w14:paraId="5A804426" w14:textId="77777777" w:rsidR="00576365" w:rsidRPr="00576365" w:rsidRDefault="5FDDDD1F" w:rsidP="00576365">
      <w:pPr>
        <w:pStyle w:val="spaced6"/>
      </w:pPr>
      <w:r w:rsidRPr="00576365">
        <w:t xml:space="preserve">Individuals assigned female at birth (AFAB) and newly diagnosed with HIV infection in Massachusetts during </w:t>
      </w:r>
      <w:r w:rsidR="004822C5" w:rsidRPr="00576365">
        <w:t>2021–2023</w:t>
      </w:r>
      <w:r w:rsidR="00E420FF" w:rsidRPr="00576365">
        <w:rPr>
          <w:rStyle w:val="FootnoteReference"/>
        </w:rPr>
        <w:footnoteReference w:id="144"/>
      </w:r>
      <w:r w:rsidRPr="00576365">
        <w:t xml:space="preserve"> </w:t>
      </w:r>
      <w:r w:rsidR="00576365" w:rsidRPr="00576365">
        <w:t>were predominantly Black (non-Hispanic) (57%), 30 years of age or older (34% 30–39 year-olds, 22% 40–49 year-olds, 29% 50+ year-olds), with an exposure mode of presumed heterosexual sex (47%). While presumed heterosexual sex was the leading reported exposure mode, a large percentage of new HIV diagnoses were reported with no identified risk (NIR) (27%).</w:t>
      </w:r>
    </w:p>
    <w:p w14:paraId="35C727F2" w14:textId="6A6107D4" w:rsidR="00B55FE7" w:rsidRPr="00576365" w:rsidRDefault="00576365" w:rsidP="00576365">
      <w:pPr>
        <w:pStyle w:val="spaced6"/>
      </w:pPr>
      <w:r w:rsidRPr="00576365">
        <w:t>Among individuals AFAB, the proportion of HIV infection diagnoses with IDU exposure mode increased from 7% (N=12/165) in 2014 to 25% (N=40/159) in 2017, remained between 18% (2019, N=25/140) and 22% (2020, N=27/121) from 2018 through 2021, and then decreased to 9% (N=13/143) in 2023</w:t>
      </w:r>
      <w:r w:rsidR="0056532F" w:rsidRPr="00576365">
        <w:t>.</w:t>
      </w:r>
      <w:r w:rsidR="0056532F" w:rsidRPr="00576365">
        <w:br w:type="page"/>
      </w:r>
    </w:p>
    <w:p w14:paraId="2330DD6C" w14:textId="77777777" w:rsidR="00103607" w:rsidRPr="0096685B" w:rsidRDefault="002C4A99" w:rsidP="00B55FE7">
      <w:pPr>
        <w:pStyle w:val="Heading1"/>
      </w:pPr>
      <w:bookmarkStart w:id="66" w:name="_Toc808847349"/>
      <w:r>
        <w:lastRenderedPageBreak/>
        <w:t>SPECIFIC POPULATIONS – OLDER INDIVIDUALS</w:t>
      </w:r>
      <w:bookmarkEnd w:id="66"/>
      <w:r>
        <w:t xml:space="preserve"> </w:t>
      </w:r>
    </w:p>
    <w:p w14:paraId="5BC917DF" w14:textId="5BDD5025" w:rsidR="002C4A99" w:rsidRPr="0096685B" w:rsidRDefault="00285320" w:rsidP="00103607">
      <w:pPr>
        <w:pStyle w:val="Heading2"/>
      </w:pPr>
      <w:bookmarkStart w:id="67" w:name="_Toc1100875511"/>
      <w:r>
        <w:t>STI</w:t>
      </w:r>
      <w:r w:rsidR="002C4A99">
        <w:t xml:space="preserve"> DIAGNOSES BY AGE</w:t>
      </w:r>
      <w:bookmarkEnd w:id="67"/>
    </w:p>
    <w:p w14:paraId="5E23B039" w14:textId="5554E9CD" w:rsidR="002C4A99" w:rsidRPr="00E1143E" w:rsidRDefault="002C4A99" w:rsidP="002C4A99">
      <w:r w:rsidRPr="00E1143E">
        <w:rPr>
          <w:b/>
          <w:bCs/>
        </w:rPr>
        <w:t xml:space="preserve">Figure 52. </w:t>
      </w:r>
      <w:r w:rsidRPr="00E1143E">
        <w:t xml:space="preserve">Distribution of confirmed chlamydia, </w:t>
      </w:r>
      <w:r w:rsidR="007C71EF">
        <w:t xml:space="preserve">confirmed </w:t>
      </w:r>
      <w:r w:rsidRPr="00E1143E">
        <w:t xml:space="preserve">gonorrhea, and </w:t>
      </w:r>
      <w:r w:rsidR="007C71EF">
        <w:t xml:space="preserve">confirmed and probable infectious </w:t>
      </w:r>
      <w:r w:rsidRPr="00E1143E">
        <w:t>syphilis cases</w:t>
      </w:r>
      <w:r w:rsidR="007C71EF" w:rsidRPr="004223EF">
        <w:rPr>
          <w:rStyle w:val="FootnoteReference"/>
        </w:rPr>
        <w:footnoteReference w:id="145"/>
      </w:r>
      <w:r w:rsidRPr="00E1143E">
        <w:t xml:space="preserve"> reported by age group (years), Massachusetts 202</w:t>
      </w:r>
      <w:r w:rsidR="0096685B" w:rsidRPr="00E1143E">
        <w:t>3</w:t>
      </w:r>
    </w:p>
    <w:p w14:paraId="0D89EAFA" w14:textId="600D087D" w:rsidR="002C4A99" w:rsidRPr="00746547" w:rsidRDefault="00055D64" w:rsidP="002C4A99">
      <w:r>
        <w:rPr>
          <w:noProof/>
        </w:rPr>
        <w:drawing>
          <wp:inline distT="0" distB="0" distL="0" distR="0" wp14:anchorId="79BC9C4F" wp14:editId="2998CE97">
            <wp:extent cx="6474460" cy="4481195"/>
            <wp:effectExtent l="0" t="0" r="0" b="0"/>
            <wp:docPr id="1515849066" name="Picture 29" descr="The figure is a stacked bar chart displaying the distribution by age (&lt;15 years, 15-24 years, 25-29 years, 30-39 years, 40-49 years, 50-59 years, and 60+ years) for three groups: confirmed chlamydia, gonorrhea, and syphilis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9066" name="Picture 29" descr="The figure is a stacked bar chart displaying the distribution by age (&lt;15 years, 15-24 years, 25-29 years, 30-39 years, 40-49 years, 50-59 years, and 60+ years) for three groups: confirmed chlamydia, gonorrhea, and syphilis cases.&#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4460" cy="4481195"/>
                    </a:xfrm>
                    <a:prstGeom prst="rect">
                      <a:avLst/>
                    </a:prstGeom>
                    <a:noFill/>
                  </pic:spPr>
                </pic:pic>
              </a:graphicData>
            </a:graphic>
          </wp:inline>
        </w:drawing>
      </w:r>
    </w:p>
    <w:p w14:paraId="2BEB283F" w14:textId="6A4EF008" w:rsidR="002C4A99" w:rsidRPr="00746547" w:rsidRDefault="002C4A99" w:rsidP="002C4A99">
      <w:pPr>
        <w:spacing w:after="120"/>
        <w:rPr>
          <w:sz w:val="20"/>
          <w:szCs w:val="18"/>
        </w:rPr>
      </w:pPr>
      <w:r w:rsidRPr="00746547">
        <w:rPr>
          <w:sz w:val="20"/>
          <w:szCs w:val="18"/>
        </w:rPr>
        <w:t xml:space="preserve">Data Source: Bureau of Infectious Disease and Laboratory Sciences, data are </w:t>
      </w:r>
      <w:r w:rsidR="009F7C6D" w:rsidRPr="00746547">
        <w:rPr>
          <w:sz w:val="20"/>
          <w:szCs w:val="18"/>
        </w:rPr>
        <w:t>current as of 7/22/2024</w:t>
      </w:r>
      <w:r w:rsidRPr="00746547">
        <w:rPr>
          <w:sz w:val="20"/>
          <w:szCs w:val="18"/>
        </w:rPr>
        <w:t xml:space="preserve"> and subject to change</w:t>
      </w:r>
      <w:r w:rsidR="00B1580A" w:rsidRPr="00746547">
        <w:rPr>
          <w:sz w:val="20"/>
          <w:szCs w:val="18"/>
        </w:rPr>
        <w:t>.</w:t>
      </w:r>
    </w:p>
    <w:p w14:paraId="79638887" w14:textId="2A1E5F4D" w:rsidR="002C4A99" w:rsidRPr="00746547" w:rsidRDefault="002C4A99" w:rsidP="00F84E3A">
      <w:pPr>
        <w:numPr>
          <w:ilvl w:val="0"/>
          <w:numId w:val="49"/>
        </w:numPr>
      </w:pPr>
      <w:r w:rsidRPr="00746547">
        <w:t>In 202</w:t>
      </w:r>
      <w:r w:rsidR="00746547" w:rsidRPr="00746547">
        <w:t>3</w:t>
      </w:r>
      <w:r w:rsidRPr="00746547">
        <w:t>,</w:t>
      </w:r>
      <w:r w:rsidRPr="00746547">
        <w:rPr>
          <w:rStyle w:val="FootnoteReference"/>
        </w:rPr>
        <w:t xml:space="preserve"> </w:t>
      </w:r>
      <w:r w:rsidRPr="00746547">
        <w:rPr>
          <w:rStyle w:val="FootnoteReference"/>
        </w:rPr>
        <w:footnoteReference w:id="146"/>
      </w:r>
      <w:r w:rsidRPr="00746547">
        <w:t xml:space="preserve"> </w:t>
      </w:r>
      <w:r w:rsidR="00746547" w:rsidRPr="00746547">
        <w:t xml:space="preserve">in Massachusetts, </w:t>
      </w:r>
      <w:r w:rsidR="007C71EF" w:rsidRPr="007C71EF">
        <w:t>1% of confirmed chlamydia cases, 2% of confirmed gonorrhea cases, and 6% of confirmed and probable infectious syphilis cases were reported among individuals aged 60+ years. An additional 2% of confirmed chlamydia cases, 5% of confirmed gonorrhea cases, and 14% of confirmed and probable infectious syphilis cases were reported among individuals aged 50–59 years</w:t>
      </w:r>
      <w:r w:rsidR="00746547" w:rsidRPr="00746547">
        <w:t>.</w:t>
      </w:r>
    </w:p>
    <w:p w14:paraId="77E5CDC9" w14:textId="77777777" w:rsidR="002C4A99" w:rsidRPr="00746547" w:rsidRDefault="002C4A99" w:rsidP="002C4A99"/>
    <w:p w14:paraId="465B1B79" w14:textId="7F082E51" w:rsidR="002C4A99" w:rsidRPr="00746547" w:rsidRDefault="002C4A99" w:rsidP="00B55FE7">
      <w:pPr>
        <w:pStyle w:val="Heading1"/>
        <w:rPr>
          <w:bCs/>
          <w:color w:val="auto"/>
        </w:rPr>
      </w:pPr>
      <w:r w:rsidRPr="00746547">
        <w:rPr>
          <w:bCs/>
          <w:color w:val="auto"/>
        </w:rPr>
        <w:br w:type="page"/>
      </w:r>
    </w:p>
    <w:p w14:paraId="49B62768" w14:textId="62C8A39C" w:rsidR="00325797" w:rsidRPr="00746547" w:rsidRDefault="00285320" w:rsidP="00103607">
      <w:pPr>
        <w:pStyle w:val="Heading2"/>
      </w:pPr>
      <w:bookmarkStart w:id="68" w:name="_Toc356459140"/>
      <w:r>
        <w:lastRenderedPageBreak/>
        <w:t>STI</w:t>
      </w:r>
      <w:r w:rsidR="00325797">
        <w:t xml:space="preserve"> DIAGNOSES BY AGE AND GENDER</w:t>
      </w:r>
      <w:bookmarkEnd w:id="68"/>
    </w:p>
    <w:p w14:paraId="3D0ACC61" w14:textId="0AA3616B" w:rsidR="00325797" w:rsidRPr="00D00D50" w:rsidRDefault="00325797" w:rsidP="00325797">
      <w:r w:rsidRPr="00D00D50">
        <w:rPr>
          <w:b/>
          <w:bCs/>
        </w:rPr>
        <w:t xml:space="preserve">Figure 53. </w:t>
      </w:r>
      <w:r w:rsidRPr="00D00D50">
        <w:t>Percentage of confirmed chlamydia and gonorrhea cases by age at diagnosis (&lt;60 years vs. 60+ years) and gender, Massachusetts 202</w:t>
      </w:r>
      <w:r w:rsidR="00D00D50" w:rsidRPr="00D00D50">
        <w:t>3</w:t>
      </w:r>
    </w:p>
    <w:p w14:paraId="3AF0AC3F" w14:textId="201B59BE" w:rsidR="00325797" w:rsidRPr="00D00D50" w:rsidRDefault="00D00D50" w:rsidP="00325797">
      <w:r>
        <w:rPr>
          <w:noProof/>
          <w:color w:val="2B579A"/>
          <w:shd w:val="clear" w:color="auto" w:fill="E6E6E6"/>
        </w:rPr>
        <w:drawing>
          <wp:inline distT="0" distB="0" distL="0" distR="0" wp14:anchorId="23A142BD" wp14:editId="09415BA0">
            <wp:extent cx="6572250" cy="3340735"/>
            <wp:effectExtent l="0" t="0" r="0" b="0"/>
            <wp:docPr id="1344755388" name="Picture 1344755388" descr="The figure is a butterfly graph comparing the percentage distribution of people under 60 years to people aged 60+ years and diagnosed with chlamydia and gonorrhea by gender (male, female, transgender/nonbin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55388" name="Picture 4" descr="The figure is a butterfly graph comparing the percentage distribution of people under 60 years to people aged 60+ years and diagnosed with chlamydia and gonorrhea by gender (male, female, transgender/nonbinary)&#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2250" cy="3340735"/>
                    </a:xfrm>
                    <a:prstGeom prst="rect">
                      <a:avLst/>
                    </a:prstGeom>
                    <a:noFill/>
                  </pic:spPr>
                </pic:pic>
              </a:graphicData>
            </a:graphic>
          </wp:inline>
        </w:drawing>
      </w:r>
    </w:p>
    <w:p w14:paraId="0ABDA46B" w14:textId="213FAC6A" w:rsidR="00325797" w:rsidRPr="00CC2114" w:rsidRDefault="00325797" w:rsidP="00325797"/>
    <w:p w14:paraId="1D864E4C" w14:textId="77777777" w:rsidR="00CC2114" w:rsidRPr="00CC2114" w:rsidRDefault="00CC2114" w:rsidP="00325797">
      <w:pPr>
        <w:rPr>
          <w:sz w:val="20"/>
          <w:szCs w:val="18"/>
        </w:rPr>
      </w:pPr>
      <w:r w:rsidRPr="00CC2114">
        <w:rPr>
          <w:sz w:val="20"/>
          <w:szCs w:val="18"/>
        </w:rPr>
        <w:t xml:space="preserve">Note: 2023 chlamydia N=28,884 (&lt;60 N=28,669; 60+ N=215) and excludes cases missing gender and/or age (N=26). 2023 gonorrhea N=9,771 (&lt;60 N=9,556; 60+ N=215) and excludes cases missing gender and/or age (N=7). </w:t>
      </w:r>
    </w:p>
    <w:p w14:paraId="43FBE82C" w14:textId="73C667BA" w:rsidR="00325797" w:rsidRPr="00CC2114" w:rsidRDefault="00325797" w:rsidP="00325797">
      <w:pPr>
        <w:rPr>
          <w:sz w:val="20"/>
          <w:szCs w:val="18"/>
        </w:rPr>
      </w:pPr>
      <w:r w:rsidRPr="00CC2114">
        <w:rPr>
          <w:sz w:val="20"/>
          <w:szCs w:val="18"/>
        </w:rPr>
        <w:t xml:space="preserve">Data Source: Bureau of Infectious Disease and Laboratory Sciences, data are </w:t>
      </w:r>
      <w:r w:rsidR="009F7C6D" w:rsidRPr="00CC2114">
        <w:rPr>
          <w:sz w:val="20"/>
          <w:szCs w:val="18"/>
        </w:rPr>
        <w:t>current as of 7/22/2024</w:t>
      </w:r>
      <w:r w:rsidRPr="00CC2114">
        <w:rPr>
          <w:sz w:val="20"/>
          <w:szCs w:val="18"/>
        </w:rPr>
        <w:t xml:space="preserve"> and subject to change</w:t>
      </w:r>
      <w:r w:rsidR="00B1580A" w:rsidRPr="00CC2114">
        <w:rPr>
          <w:sz w:val="20"/>
          <w:szCs w:val="18"/>
        </w:rPr>
        <w:t>.</w:t>
      </w:r>
    </w:p>
    <w:p w14:paraId="48B75271" w14:textId="77777777" w:rsidR="00325797" w:rsidRPr="00CC2114" w:rsidRDefault="00325797" w:rsidP="00325797"/>
    <w:p w14:paraId="0F90C734" w14:textId="0AEBC353" w:rsidR="00CC2114" w:rsidRPr="00CC2114" w:rsidRDefault="00325797" w:rsidP="00F84E3A">
      <w:pPr>
        <w:numPr>
          <w:ilvl w:val="0"/>
          <w:numId w:val="49"/>
        </w:numPr>
        <w:spacing w:after="120"/>
      </w:pPr>
      <w:r w:rsidRPr="00CC2114">
        <w:t>In 202</w:t>
      </w:r>
      <w:r w:rsidR="00CC2114" w:rsidRPr="00CC2114">
        <w:t>3</w:t>
      </w:r>
      <w:r w:rsidRPr="00CC2114">
        <w:t>,</w:t>
      </w:r>
      <w:r w:rsidR="005D49B5" w:rsidRPr="00CC2114">
        <w:rPr>
          <w:rStyle w:val="FootnoteReference"/>
        </w:rPr>
        <w:t xml:space="preserve"> </w:t>
      </w:r>
      <w:r w:rsidR="005D49B5" w:rsidRPr="00CC2114">
        <w:rPr>
          <w:rStyle w:val="FootnoteReference"/>
        </w:rPr>
        <w:footnoteReference w:id="147"/>
      </w:r>
      <w:r w:rsidRPr="00CC2114">
        <w:t xml:space="preserve"> </w:t>
      </w:r>
      <w:r w:rsidR="00CC2114" w:rsidRPr="00CC2114">
        <w:t xml:space="preserve">a much larger proportion of </w:t>
      </w:r>
      <w:r w:rsidR="007C71EF">
        <w:t xml:space="preserve">confirmed </w:t>
      </w:r>
      <w:r w:rsidR="00CC2114" w:rsidRPr="00CC2114">
        <w:t xml:space="preserve">chlamydia cases among individuals aged 60 years or older (75%) than aged less than 60 years (38%) was male. </w:t>
      </w:r>
    </w:p>
    <w:p w14:paraId="7FEA7252" w14:textId="74EFE47D" w:rsidR="00325797" w:rsidRPr="00CC2114" w:rsidRDefault="00CC2114" w:rsidP="00F84E3A">
      <w:pPr>
        <w:numPr>
          <w:ilvl w:val="0"/>
          <w:numId w:val="49"/>
        </w:numPr>
        <w:spacing w:after="120"/>
      </w:pPr>
      <w:r w:rsidRPr="00CC2114">
        <w:t xml:space="preserve">Similarly in 2023, a much larger proportion of </w:t>
      </w:r>
      <w:r w:rsidR="007C71EF">
        <w:t xml:space="preserve">confirmed </w:t>
      </w:r>
      <w:r w:rsidRPr="00CC2114">
        <w:t>gonorrhea cases among individuals aged 60 years or older (96%) than aged less than 60 years (68%) was male.</w:t>
      </w:r>
    </w:p>
    <w:p w14:paraId="6DE34855" w14:textId="77777777" w:rsidR="005D49B5" w:rsidRPr="00CC2114" w:rsidRDefault="005D49B5" w:rsidP="00B55FE7">
      <w:pPr>
        <w:pStyle w:val="Heading1"/>
        <w:rPr>
          <w:bCs/>
          <w:color w:val="auto"/>
        </w:rPr>
      </w:pPr>
      <w:r w:rsidRPr="00CC2114">
        <w:rPr>
          <w:bCs/>
          <w:color w:val="auto"/>
        </w:rPr>
        <w:br w:type="page"/>
      </w:r>
    </w:p>
    <w:p w14:paraId="5BA3B4C1" w14:textId="6DC49785" w:rsidR="005D49B5" w:rsidRPr="00CC2114" w:rsidRDefault="005D49B5" w:rsidP="00103607">
      <w:pPr>
        <w:pStyle w:val="Heading2"/>
      </w:pPr>
      <w:bookmarkStart w:id="69" w:name="_Toc840705223"/>
      <w:r>
        <w:lastRenderedPageBreak/>
        <w:t>SYPHILIS BY AGE, GENDER, RACE/ETHNICITY, AND RISK</w:t>
      </w:r>
      <w:bookmarkEnd w:id="69"/>
    </w:p>
    <w:p w14:paraId="72E644E9" w14:textId="173F82DF" w:rsidR="005D49B5" w:rsidRPr="00CC2114" w:rsidRDefault="005D49B5" w:rsidP="005D49B5">
      <w:r w:rsidRPr="00CC2114">
        <w:rPr>
          <w:b/>
          <w:bCs/>
        </w:rPr>
        <w:t xml:space="preserve">Figure 54. </w:t>
      </w:r>
      <w:r w:rsidRPr="00CC2114">
        <w:t xml:space="preserve">Percentage of </w:t>
      </w:r>
      <w:r w:rsidR="007C71EF">
        <w:t xml:space="preserve">confirmed and probable </w:t>
      </w:r>
      <w:r w:rsidRPr="00CC2114">
        <w:t>infectious syphilis cases</w:t>
      </w:r>
      <w:r w:rsidR="00B3553B" w:rsidRPr="004223EF">
        <w:rPr>
          <w:rStyle w:val="FootnoteReference"/>
        </w:rPr>
        <w:footnoteReference w:id="148"/>
      </w:r>
      <w:r w:rsidR="00B3553B" w:rsidRPr="00E1143E">
        <w:t xml:space="preserve"> </w:t>
      </w:r>
      <w:r w:rsidRPr="00CC2114">
        <w:t>by age at diagnosis (&lt;60 years vs. 60+ years), gender, race/ethnicity, and risk, Massachusetts 202</w:t>
      </w:r>
      <w:r w:rsidR="00CC2114" w:rsidRPr="00CC2114">
        <w:t>3</w:t>
      </w:r>
    </w:p>
    <w:p w14:paraId="4B6F4020" w14:textId="33D2F28A" w:rsidR="005D49B5" w:rsidRPr="00CC2114" w:rsidRDefault="00CC2114" w:rsidP="005D49B5">
      <w:r>
        <w:rPr>
          <w:noProof/>
          <w:color w:val="2B579A"/>
          <w:shd w:val="clear" w:color="auto" w:fill="E6E6E6"/>
        </w:rPr>
        <w:drawing>
          <wp:inline distT="0" distB="0" distL="0" distR="0" wp14:anchorId="1D60A15C" wp14:editId="7D1008A2">
            <wp:extent cx="6511290" cy="4919980"/>
            <wp:effectExtent l="0" t="0" r="3810" b="0"/>
            <wp:docPr id="520981656" name="Picture 520981656" descr="The figure is a butterfly graph comparing the percentage distribution of people under 60 years to people aged 60+ years and diagnosed with syphilis by gender, race/ethnicity, exposure mode and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81656" name="Picture 5" descr="The figure is a butterfly graph comparing the percentage distribution of people under 60 years to people aged 60+ years and diagnosed with syphilis by gender, race/ethnicity, exposure mode and risk.&#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11290" cy="4919980"/>
                    </a:xfrm>
                    <a:prstGeom prst="rect">
                      <a:avLst/>
                    </a:prstGeom>
                    <a:noFill/>
                  </pic:spPr>
                </pic:pic>
              </a:graphicData>
            </a:graphic>
          </wp:inline>
        </w:drawing>
      </w:r>
    </w:p>
    <w:p w14:paraId="2E259ACE" w14:textId="1A23038E" w:rsidR="005D49B5" w:rsidRPr="00CC2114" w:rsidRDefault="005D49B5" w:rsidP="005D49B5"/>
    <w:p w14:paraId="331CE8A7" w14:textId="332DDF63" w:rsidR="005D49B5" w:rsidRPr="00CC2114" w:rsidRDefault="005D49B5" w:rsidP="005D49B5">
      <w:pPr>
        <w:spacing w:after="120"/>
        <w:rPr>
          <w:sz w:val="20"/>
          <w:szCs w:val="18"/>
        </w:rPr>
      </w:pPr>
      <w:r w:rsidRPr="00CC2114">
        <w:rPr>
          <w:sz w:val="20"/>
          <w:szCs w:val="18"/>
        </w:rPr>
        <w:t xml:space="preserve">Data Source: Bureau of Infectious Disease and Laboratory Sciences, data are </w:t>
      </w:r>
      <w:r w:rsidR="009F7C6D" w:rsidRPr="00CC2114">
        <w:rPr>
          <w:sz w:val="20"/>
          <w:szCs w:val="18"/>
        </w:rPr>
        <w:t>current as of 7/22/2024</w:t>
      </w:r>
      <w:r w:rsidRPr="00CC2114">
        <w:rPr>
          <w:sz w:val="20"/>
          <w:szCs w:val="18"/>
        </w:rPr>
        <w:t xml:space="preserve"> and subject to change</w:t>
      </w:r>
      <w:r w:rsidR="00B1580A" w:rsidRPr="00CC2114">
        <w:rPr>
          <w:sz w:val="20"/>
          <w:szCs w:val="18"/>
        </w:rPr>
        <w:t>.</w:t>
      </w:r>
    </w:p>
    <w:p w14:paraId="6944638E" w14:textId="5DD23E8F" w:rsidR="00CC2114" w:rsidRPr="00CC2114" w:rsidRDefault="005D49B5" w:rsidP="00F84E3A">
      <w:pPr>
        <w:numPr>
          <w:ilvl w:val="0"/>
          <w:numId w:val="50"/>
        </w:numPr>
        <w:spacing w:after="120"/>
      </w:pPr>
      <w:r w:rsidRPr="00CC2114">
        <w:t>In 202</w:t>
      </w:r>
      <w:r w:rsidR="00CC2114" w:rsidRPr="00CC2114">
        <w:t>3</w:t>
      </w:r>
      <w:r w:rsidRPr="00CC2114">
        <w:t>,</w:t>
      </w:r>
      <w:r w:rsidRPr="00CC2114">
        <w:rPr>
          <w:rStyle w:val="FootnoteReference"/>
        </w:rPr>
        <w:t xml:space="preserve"> </w:t>
      </w:r>
      <w:r w:rsidRPr="00CC2114">
        <w:rPr>
          <w:rStyle w:val="FootnoteReference"/>
        </w:rPr>
        <w:footnoteReference w:id="149"/>
      </w:r>
      <w:r w:rsidRPr="00CC2114">
        <w:t xml:space="preserve"> </w:t>
      </w:r>
      <w:r w:rsidR="00CC2114" w:rsidRPr="00CC2114">
        <w:t xml:space="preserve">a larger proportion of </w:t>
      </w:r>
      <w:r w:rsidR="007C71EF">
        <w:t xml:space="preserve">confirmed and probable </w:t>
      </w:r>
      <w:r w:rsidR="00CC2114" w:rsidRPr="00CC2114">
        <w:t xml:space="preserve">infectious syphilis cases among individuals aged 60 years or older (97%) than aged less than 60 years (80%) was male. </w:t>
      </w:r>
    </w:p>
    <w:p w14:paraId="7FAC2CF4" w14:textId="7E45EB2C" w:rsidR="00CC2114" w:rsidRPr="00CC2114" w:rsidRDefault="00CC2114" w:rsidP="00F84E3A">
      <w:pPr>
        <w:numPr>
          <w:ilvl w:val="0"/>
          <w:numId w:val="50"/>
        </w:numPr>
        <w:spacing w:after="120"/>
      </w:pPr>
      <w:r w:rsidRPr="00CC2114">
        <w:t xml:space="preserve">A much larger proportion of </w:t>
      </w:r>
      <w:r w:rsidR="007C71EF">
        <w:t xml:space="preserve">confirmed and probable </w:t>
      </w:r>
      <w:r w:rsidRPr="00CC2114">
        <w:t>infectious syphilis cases among individuals aged 60 years or older (68%) than aged less than 60 years (33%) was White non-Hispanic.</w:t>
      </w:r>
    </w:p>
    <w:p w14:paraId="40B348EB" w14:textId="71A23434" w:rsidR="005D49B5" w:rsidRPr="00AC2781" w:rsidRDefault="00CC2114" w:rsidP="00B55FE7">
      <w:pPr>
        <w:numPr>
          <w:ilvl w:val="0"/>
          <w:numId w:val="50"/>
        </w:numPr>
        <w:spacing w:after="120"/>
      </w:pPr>
      <w:r w:rsidRPr="00CC2114">
        <w:t xml:space="preserve">A slightly larger proportion of </w:t>
      </w:r>
      <w:r w:rsidR="007C71EF">
        <w:t xml:space="preserve">confirmed and probable </w:t>
      </w:r>
      <w:r w:rsidRPr="00CC2114">
        <w:t>infectious syphilis cases among individuals aged 60 years or older (65%) and aged less than 60 years (58%) reported male-to-male sex.</w:t>
      </w:r>
      <w:r w:rsidR="005D49B5" w:rsidRPr="00AC2781">
        <w:rPr>
          <w:bCs/>
        </w:rPr>
        <w:br w:type="page"/>
      </w:r>
    </w:p>
    <w:p w14:paraId="3FAFE98C" w14:textId="77777777" w:rsidR="005D49B5" w:rsidRPr="00CC2114" w:rsidRDefault="005D49B5" w:rsidP="00103607">
      <w:pPr>
        <w:pStyle w:val="Heading2"/>
      </w:pPr>
      <w:bookmarkStart w:id="70" w:name="_Toc396090084"/>
      <w:r>
        <w:lastRenderedPageBreak/>
        <w:t>OLDER INDIVIDUALS LIVING WITH HIV INFECTION</w:t>
      </w:r>
      <w:bookmarkEnd w:id="70"/>
    </w:p>
    <w:p w14:paraId="11C02D85" w14:textId="47BB4C3F" w:rsidR="005D49B5" w:rsidRPr="00CC2114" w:rsidRDefault="005D49B5" w:rsidP="005D49B5">
      <w:r w:rsidRPr="00CC2114">
        <w:rPr>
          <w:b/>
          <w:bCs/>
        </w:rPr>
        <w:t xml:space="preserve">Figure 55. </w:t>
      </w:r>
      <w:r w:rsidRPr="00CC2114">
        <w:t>Persons living with HIV infection by expanded age category, Massachusetts 202</w:t>
      </w:r>
      <w:r w:rsidR="00CC2114" w:rsidRPr="00CC2114">
        <w:t>3</w:t>
      </w:r>
      <w:r w:rsidRPr="00CC2114">
        <w:t xml:space="preserve"> (N=2</w:t>
      </w:r>
      <w:r w:rsidR="00CC2114" w:rsidRPr="00CC2114">
        <w:t>4,119</w:t>
      </w:r>
      <w:r w:rsidRPr="00CC2114">
        <w:t xml:space="preserve">)  </w:t>
      </w:r>
    </w:p>
    <w:p w14:paraId="3220E44E" w14:textId="6BE46C3F" w:rsidR="005D49B5" w:rsidRPr="00CC2114" w:rsidRDefault="00FD3C90" w:rsidP="005D49B5">
      <w:r>
        <w:rPr>
          <w:noProof/>
        </w:rPr>
        <w:drawing>
          <wp:inline distT="0" distB="0" distL="0" distR="0" wp14:anchorId="4360A797" wp14:editId="070D81FF">
            <wp:extent cx="6078220" cy="3755390"/>
            <wp:effectExtent l="0" t="0" r="0" b="0"/>
            <wp:docPr id="1708241477" name="Picture 30" descr="The figure is a bar chart displaying the percentage distribution of persons living with HIV infection by age categ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41477" name="Picture 30" descr="The figure is a bar chart displaying the percentage distribution of persons living with HIV infection by age category.&#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8220" cy="3755390"/>
                    </a:xfrm>
                    <a:prstGeom prst="rect">
                      <a:avLst/>
                    </a:prstGeom>
                    <a:noFill/>
                  </pic:spPr>
                </pic:pic>
              </a:graphicData>
            </a:graphic>
          </wp:inline>
        </w:drawing>
      </w:r>
    </w:p>
    <w:p w14:paraId="5675C378" w14:textId="2791CE61" w:rsidR="005D49B5" w:rsidRPr="00867BF4" w:rsidRDefault="005D49B5" w:rsidP="005D49B5"/>
    <w:p w14:paraId="0661623C" w14:textId="5C2455D7" w:rsidR="005D49B5" w:rsidRPr="00867BF4" w:rsidRDefault="005D49B5" w:rsidP="005D49B5">
      <w:pPr>
        <w:rPr>
          <w:sz w:val="22"/>
          <w:szCs w:val="20"/>
        </w:rPr>
      </w:pPr>
      <w:r w:rsidRPr="00867BF4">
        <w:rPr>
          <w:sz w:val="22"/>
          <w:szCs w:val="20"/>
        </w:rPr>
        <w:t xml:space="preserve">Data Source: Bureau of Infectious Disease and Laboratory Sciences, data are </w:t>
      </w:r>
      <w:r w:rsidR="004822C5" w:rsidRPr="00867BF4">
        <w:rPr>
          <w:sz w:val="22"/>
          <w:szCs w:val="20"/>
        </w:rPr>
        <w:t>current as of 7/1/2024</w:t>
      </w:r>
      <w:r w:rsidRPr="00867BF4">
        <w:rPr>
          <w:sz w:val="22"/>
          <w:szCs w:val="20"/>
        </w:rPr>
        <w:t xml:space="preserve"> and subject to </w:t>
      </w:r>
      <w:r w:rsidR="00301485" w:rsidRPr="00867BF4">
        <w:rPr>
          <w:sz w:val="22"/>
          <w:szCs w:val="20"/>
        </w:rPr>
        <w:t>change.</w:t>
      </w:r>
    </w:p>
    <w:p w14:paraId="2253B67E" w14:textId="77777777" w:rsidR="005D49B5" w:rsidRPr="00867BF4" w:rsidRDefault="005D49B5" w:rsidP="005D49B5"/>
    <w:p w14:paraId="6CC6C915" w14:textId="357167B4" w:rsidR="005D49B5" w:rsidRPr="00867BF4" w:rsidRDefault="005D49B5" w:rsidP="00F84E3A">
      <w:pPr>
        <w:numPr>
          <w:ilvl w:val="0"/>
          <w:numId w:val="51"/>
        </w:numPr>
      </w:pPr>
      <w:r w:rsidRPr="00867BF4">
        <w:t>In 202</w:t>
      </w:r>
      <w:r w:rsidR="00867BF4" w:rsidRPr="00867BF4">
        <w:t>3</w:t>
      </w:r>
      <w:r w:rsidRPr="00867BF4">
        <w:t>,</w:t>
      </w:r>
      <w:r w:rsidRPr="00867BF4">
        <w:rPr>
          <w:rStyle w:val="FootnoteReference"/>
        </w:rPr>
        <w:t xml:space="preserve"> </w:t>
      </w:r>
      <w:r w:rsidRPr="00867BF4">
        <w:rPr>
          <w:rStyle w:val="FootnoteReference"/>
        </w:rPr>
        <w:footnoteReference w:id="150"/>
      </w:r>
      <w:r w:rsidRPr="00867BF4">
        <w:rPr>
          <w:vertAlign w:val="superscript"/>
        </w:rPr>
        <w:t xml:space="preserve"> </w:t>
      </w:r>
      <w:r w:rsidR="00867BF4" w:rsidRPr="00867BF4">
        <w:t>20% (N=4,891) of PLWH were aged 65 years or older, the age of eligibility for Medicare for individuals without a disability</w:t>
      </w:r>
      <w:r w:rsidRPr="00867BF4">
        <w:t xml:space="preserve">. </w:t>
      </w:r>
    </w:p>
    <w:p w14:paraId="53DEB5AE" w14:textId="32E35662" w:rsidR="005D49B5" w:rsidRPr="00867BF4" w:rsidRDefault="005D49B5" w:rsidP="00B55FE7">
      <w:pPr>
        <w:pStyle w:val="Heading1"/>
        <w:rPr>
          <w:bCs/>
          <w:color w:val="auto"/>
        </w:rPr>
      </w:pPr>
      <w:r w:rsidRPr="00867BF4">
        <w:rPr>
          <w:bCs/>
          <w:color w:val="auto"/>
        </w:rPr>
        <w:br w:type="page"/>
      </w:r>
    </w:p>
    <w:p w14:paraId="04CDDB87" w14:textId="77777777" w:rsidR="005D49B5" w:rsidRPr="00867BF4" w:rsidRDefault="005D49B5" w:rsidP="00E77D96">
      <w:pPr>
        <w:rPr>
          <w:rFonts w:asciiTheme="majorHAnsi" w:hAnsiTheme="majorHAnsi" w:cstheme="majorHAnsi"/>
          <w:b/>
          <w:bCs/>
          <w:color w:val="2F5496" w:themeColor="accent1" w:themeShade="BF"/>
          <w:sz w:val="32"/>
          <w:szCs w:val="32"/>
        </w:rPr>
      </w:pPr>
      <w:r w:rsidRPr="00867BF4">
        <w:rPr>
          <w:rFonts w:asciiTheme="majorHAnsi" w:hAnsiTheme="majorHAnsi" w:cstheme="majorHAnsi"/>
          <w:b/>
          <w:bCs/>
          <w:color w:val="2F5496" w:themeColor="accent1" w:themeShade="BF"/>
          <w:sz w:val="32"/>
          <w:szCs w:val="32"/>
        </w:rPr>
        <w:lastRenderedPageBreak/>
        <w:t>OLDER INDIVIDUALS LIVING WITH HIV INFECTION</w:t>
      </w:r>
    </w:p>
    <w:p w14:paraId="6D93A3BC" w14:textId="1EF3369D" w:rsidR="00E77D96" w:rsidRPr="00867BF4" w:rsidRDefault="00E77D96" w:rsidP="00E77D96">
      <w:pPr>
        <w:rPr>
          <w:rFonts w:asciiTheme="majorHAnsi" w:hAnsiTheme="majorHAnsi" w:cstheme="majorHAnsi"/>
          <w:b/>
          <w:bCs/>
          <w:sz w:val="32"/>
          <w:szCs w:val="32"/>
        </w:rPr>
      </w:pPr>
    </w:p>
    <w:p w14:paraId="17612D95" w14:textId="14D5F331" w:rsidR="00B31EE7" w:rsidRPr="00867BF4" w:rsidRDefault="00B31EE7" w:rsidP="00B31EE7">
      <w:r w:rsidRPr="00867BF4">
        <w:rPr>
          <w:b/>
          <w:bCs/>
        </w:rPr>
        <w:t xml:space="preserve">Figure 56. </w:t>
      </w:r>
      <w:r w:rsidRPr="00867BF4">
        <w:t>Number of years since HIV infection diagnosis among individuals aged 60 years and older living with HIV infection, Massachusetts 202</w:t>
      </w:r>
      <w:r w:rsidR="00867BF4" w:rsidRPr="00867BF4">
        <w:t>3</w:t>
      </w:r>
      <w:r w:rsidRPr="00867BF4">
        <w:t xml:space="preserve"> (N=</w:t>
      </w:r>
      <w:r w:rsidR="00867BF4" w:rsidRPr="00867BF4">
        <w:t>8,726</w:t>
      </w:r>
      <w:r w:rsidRPr="00867BF4">
        <w:t>)</w:t>
      </w:r>
    </w:p>
    <w:p w14:paraId="002DF84F" w14:textId="1645DB5D" w:rsidR="005D49B5" w:rsidRPr="00867BF4" w:rsidRDefault="006652FF" w:rsidP="00B31EE7">
      <w:r>
        <w:rPr>
          <w:noProof/>
        </w:rPr>
        <w:drawing>
          <wp:inline distT="0" distB="0" distL="0" distR="0" wp14:anchorId="5630AF26" wp14:editId="0127BCC9">
            <wp:extent cx="6078220" cy="3761740"/>
            <wp:effectExtent l="0" t="0" r="0" b="0"/>
            <wp:docPr id="560850017" name="Picture 31" descr="The figure is a bar chart displaying the percentage distribution of persons living with HIV infection aged 60+years by number of years since HIV infection diagno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0017" name="Picture 31" descr="The figure is a bar chart displaying the percentage distribution of persons living with HIV infection aged 60+years by number of years since HIV infection diagnosis.&#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8220" cy="3761740"/>
                    </a:xfrm>
                    <a:prstGeom prst="rect">
                      <a:avLst/>
                    </a:prstGeom>
                    <a:noFill/>
                  </pic:spPr>
                </pic:pic>
              </a:graphicData>
            </a:graphic>
          </wp:inline>
        </w:drawing>
      </w:r>
    </w:p>
    <w:p w14:paraId="346A015B" w14:textId="0EB5C251" w:rsidR="005D49B5" w:rsidRPr="00867BF4" w:rsidRDefault="005D49B5" w:rsidP="00B31EE7"/>
    <w:p w14:paraId="632BA67D" w14:textId="410AA356" w:rsidR="00B31EE7" w:rsidRPr="00867BF4" w:rsidRDefault="00B31EE7" w:rsidP="00B31EE7">
      <w:pPr>
        <w:rPr>
          <w:sz w:val="20"/>
          <w:szCs w:val="18"/>
        </w:rPr>
      </w:pPr>
      <w:r w:rsidRPr="00867BF4">
        <w:rPr>
          <w:sz w:val="20"/>
          <w:szCs w:val="18"/>
        </w:rPr>
        <w:t xml:space="preserve">Data Source: Bureau of Infectious Disease and Laboratory Sciences, data are </w:t>
      </w:r>
      <w:r w:rsidR="004822C5" w:rsidRPr="00867BF4">
        <w:rPr>
          <w:sz w:val="20"/>
          <w:szCs w:val="18"/>
        </w:rPr>
        <w:t>current as of 7/1/2024</w:t>
      </w:r>
      <w:r w:rsidRPr="00867BF4">
        <w:rPr>
          <w:sz w:val="20"/>
          <w:szCs w:val="18"/>
        </w:rPr>
        <w:t xml:space="preserve"> and subject to </w:t>
      </w:r>
      <w:r w:rsidR="00301485" w:rsidRPr="00867BF4">
        <w:rPr>
          <w:sz w:val="20"/>
          <w:szCs w:val="18"/>
        </w:rPr>
        <w:t>change.</w:t>
      </w:r>
    </w:p>
    <w:p w14:paraId="0C25531C" w14:textId="77777777" w:rsidR="005D49B5" w:rsidRPr="00C36DEF" w:rsidRDefault="005D49B5" w:rsidP="00B31EE7"/>
    <w:p w14:paraId="22C94F85" w14:textId="747743B9" w:rsidR="00B31EE7" w:rsidRPr="00C36DEF" w:rsidRDefault="00B31EE7" w:rsidP="00F84E3A">
      <w:pPr>
        <w:numPr>
          <w:ilvl w:val="0"/>
          <w:numId w:val="52"/>
        </w:numPr>
      </w:pPr>
      <w:r w:rsidRPr="00C36DEF">
        <w:t>In 202</w:t>
      </w:r>
      <w:r w:rsidR="00C36DEF" w:rsidRPr="00C36DEF">
        <w:t>3</w:t>
      </w:r>
      <w:r w:rsidRPr="00C36DEF">
        <w:t>,</w:t>
      </w:r>
      <w:r w:rsidRPr="00C36DEF">
        <w:rPr>
          <w:rStyle w:val="FootnoteReference"/>
        </w:rPr>
        <w:t xml:space="preserve"> </w:t>
      </w:r>
      <w:r w:rsidRPr="00C36DEF">
        <w:rPr>
          <w:rStyle w:val="FootnoteReference"/>
        </w:rPr>
        <w:footnoteReference w:id="151"/>
      </w:r>
      <w:r w:rsidR="005D49B5" w:rsidRPr="00C36DEF">
        <w:rPr>
          <w:vertAlign w:val="superscript"/>
        </w:rPr>
        <w:t xml:space="preserve"> </w:t>
      </w:r>
      <w:r w:rsidRPr="00C36DEF">
        <w:t xml:space="preserve"> </w:t>
      </w:r>
      <w:r w:rsidR="00C36DEF" w:rsidRPr="00C36DEF">
        <w:t>the majority (68%) of PLWH aged 60 years and older were diagnosed with HIV infection at least 20 years ago. The average number of years since HIV infection diagnosis among PLWH aged 60 years and older was 22.8 years.</w:t>
      </w:r>
    </w:p>
    <w:p w14:paraId="6C3B244D" w14:textId="77777777" w:rsidR="00B31EE7" w:rsidRPr="00C36DEF" w:rsidRDefault="00B31EE7" w:rsidP="00B31EE7"/>
    <w:p w14:paraId="7142F7F5" w14:textId="61C2E057" w:rsidR="005D49B5" w:rsidRPr="00C36DEF" w:rsidRDefault="005D49B5" w:rsidP="00B55FE7">
      <w:pPr>
        <w:pStyle w:val="Heading1"/>
        <w:rPr>
          <w:bCs/>
          <w:color w:val="auto"/>
        </w:rPr>
      </w:pPr>
      <w:r w:rsidRPr="00C36DEF">
        <w:rPr>
          <w:bCs/>
          <w:color w:val="auto"/>
        </w:rPr>
        <w:br w:type="page"/>
      </w:r>
    </w:p>
    <w:p w14:paraId="3FCBDA6D" w14:textId="77777777" w:rsidR="005A7F2D" w:rsidRPr="00C36DEF" w:rsidRDefault="005A7F2D" w:rsidP="00E77D96">
      <w:pPr>
        <w:rPr>
          <w:rFonts w:asciiTheme="majorHAnsi" w:hAnsiTheme="majorHAnsi" w:cstheme="majorHAnsi"/>
          <w:b/>
          <w:bCs/>
          <w:color w:val="2F5496" w:themeColor="accent1" w:themeShade="BF"/>
          <w:sz w:val="32"/>
          <w:szCs w:val="32"/>
        </w:rPr>
      </w:pPr>
      <w:r w:rsidRPr="00C36DEF">
        <w:rPr>
          <w:rFonts w:asciiTheme="majorHAnsi" w:hAnsiTheme="majorHAnsi" w:cstheme="majorHAnsi"/>
          <w:b/>
          <w:bCs/>
          <w:color w:val="2F5496" w:themeColor="accent1" w:themeShade="BF"/>
          <w:sz w:val="32"/>
          <w:szCs w:val="32"/>
        </w:rPr>
        <w:lastRenderedPageBreak/>
        <w:t>OLDER INDIVIDUALS LIVING WITH HIV INFECTION</w:t>
      </w:r>
    </w:p>
    <w:p w14:paraId="12309980" w14:textId="77777777" w:rsidR="00E77D96" w:rsidRPr="00C36DEF" w:rsidRDefault="00E77D96" w:rsidP="00E77D96">
      <w:pPr>
        <w:rPr>
          <w:rFonts w:asciiTheme="majorHAnsi" w:hAnsiTheme="majorHAnsi" w:cstheme="majorHAnsi"/>
          <w:b/>
          <w:bCs/>
          <w:sz w:val="32"/>
          <w:szCs w:val="32"/>
        </w:rPr>
      </w:pPr>
    </w:p>
    <w:p w14:paraId="5B060B9C" w14:textId="4BF45F33" w:rsidR="005A7F2D" w:rsidRPr="00C36DEF" w:rsidRDefault="005A7F2D" w:rsidP="005A7F2D">
      <w:r w:rsidRPr="00C36DEF">
        <w:rPr>
          <w:b/>
          <w:bCs/>
        </w:rPr>
        <w:t xml:space="preserve">Figure 57. </w:t>
      </w:r>
      <w:r w:rsidRPr="00C36DEF">
        <w:t>People aged 60 years and older living with HIV infection compared to people aged under 60 years by selected characteristics, Massachusetts 202</w:t>
      </w:r>
      <w:r w:rsidR="00C36DEF" w:rsidRPr="00C36DEF">
        <w:t>3</w:t>
      </w:r>
    </w:p>
    <w:p w14:paraId="04F44B69" w14:textId="03839833" w:rsidR="005A7F2D" w:rsidRPr="00234D05" w:rsidRDefault="00C36DEF" w:rsidP="005A7F2D">
      <w:pPr>
        <w:rPr>
          <w:color w:val="FF0000"/>
        </w:rPr>
      </w:pPr>
      <w:r>
        <w:rPr>
          <w:noProof/>
          <w:color w:val="FF0000"/>
          <w:shd w:val="clear" w:color="auto" w:fill="E6E6E6"/>
        </w:rPr>
        <w:drawing>
          <wp:inline distT="0" distB="0" distL="0" distR="0" wp14:anchorId="71AFDF1B" wp14:editId="2961744F">
            <wp:extent cx="6078220" cy="6383020"/>
            <wp:effectExtent l="0" t="0" r="0" b="0"/>
            <wp:docPr id="555473271" name="Picture 555473271" descr="The figure is a butterfly graph comparing the percentage distribution of people under 60 years to people aged 60+ years and living with HIV infection by sex assigned at birth, gender, place of birth,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3271" name="Picture 10" descr="The figure is a butterfly graph comparing the percentage distribution of people under 60 years to people aged 60+ years and living with HIV infection by sex assigned at birth, gender, place of birth, race/ethnicity, and exposure mode.&#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78220" cy="6383020"/>
                    </a:xfrm>
                    <a:prstGeom prst="rect">
                      <a:avLst/>
                    </a:prstGeom>
                    <a:noFill/>
                  </pic:spPr>
                </pic:pic>
              </a:graphicData>
            </a:graphic>
          </wp:inline>
        </w:drawing>
      </w:r>
    </w:p>
    <w:p w14:paraId="28042FE0" w14:textId="77777777" w:rsidR="00FF53C8" w:rsidRPr="00C36DEF" w:rsidRDefault="00FF53C8" w:rsidP="005A7F2D"/>
    <w:p w14:paraId="443725DC" w14:textId="4EC3D451" w:rsidR="001C0C2C" w:rsidRPr="00C36DEF" w:rsidRDefault="003E6885" w:rsidP="00FF53C8">
      <w:pPr>
        <w:spacing w:after="120"/>
        <w:rPr>
          <w:sz w:val="20"/>
          <w:szCs w:val="18"/>
        </w:rPr>
      </w:pPr>
      <w:r w:rsidRPr="00C36DEF">
        <w:rPr>
          <w:sz w:val="20"/>
          <w:szCs w:val="18"/>
        </w:rPr>
        <w:t xml:space="preserve">Data Source: Bureau of Infectious Disease and Laboratory Sciences, data are </w:t>
      </w:r>
      <w:r w:rsidR="004822C5" w:rsidRPr="00C36DEF">
        <w:rPr>
          <w:sz w:val="20"/>
          <w:szCs w:val="18"/>
        </w:rPr>
        <w:t>current as of 7/1/2024</w:t>
      </w:r>
      <w:r w:rsidRPr="00C36DEF">
        <w:rPr>
          <w:sz w:val="20"/>
          <w:szCs w:val="18"/>
        </w:rPr>
        <w:t xml:space="preserve"> and subject to change</w:t>
      </w:r>
      <w:r w:rsidR="00B1580A" w:rsidRPr="00C36DEF">
        <w:rPr>
          <w:sz w:val="20"/>
          <w:szCs w:val="18"/>
        </w:rPr>
        <w:t>.</w:t>
      </w:r>
    </w:p>
    <w:p w14:paraId="745C0173" w14:textId="12B43E45" w:rsidR="003E6885" w:rsidRPr="00C36DEF" w:rsidRDefault="00FF53C8" w:rsidP="00FF53C8">
      <w:pPr>
        <w:spacing w:after="120"/>
        <w:rPr>
          <w:sz w:val="20"/>
          <w:szCs w:val="18"/>
        </w:rPr>
      </w:pPr>
      <w:r w:rsidRPr="00C36DEF">
        <w:rPr>
          <w:sz w:val="20"/>
          <w:szCs w:val="18"/>
        </w:rPr>
        <w:br w:type="page"/>
      </w:r>
    </w:p>
    <w:p w14:paraId="6FE9F9DE" w14:textId="61D8C613" w:rsidR="00C36DEF" w:rsidRPr="00C36DEF" w:rsidRDefault="003E6885" w:rsidP="00F84E3A">
      <w:pPr>
        <w:numPr>
          <w:ilvl w:val="0"/>
          <w:numId w:val="53"/>
        </w:numPr>
        <w:spacing w:after="120"/>
      </w:pPr>
      <w:r w:rsidRPr="00C36DEF">
        <w:lastRenderedPageBreak/>
        <w:t>In 202</w:t>
      </w:r>
      <w:r w:rsidR="00C36DEF" w:rsidRPr="00C36DEF">
        <w:t>3</w:t>
      </w:r>
      <w:r w:rsidRPr="00C36DEF">
        <w:t>,</w:t>
      </w:r>
      <w:r w:rsidRPr="00C36DEF">
        <w:rPr>
          <w:rStyle w:val="FootnoteReference"/>
        </w:rPr>
        <w:t xml:space="preserve"> </w:t>
      </w:r>
      <w:r w:rsidRPr="00C36DEF">
        <w:rPr>
          <w:rStyle w:val="FootnoteReference"/>
        </w:rPr>
        <w:footnoteReference w:id="152"/>
      </w:r>
      <w:r w:rsidR="005D49B5" w:rsidRPr="00C36DEF">
        <w:rPr>
          <w:vertAlign w:val="superscript"/>
        </w:rPr>
        <w:t xml:space="preserve"> </w:t>
      </w:r>
      <w:r w:rsidRPr="00C36DEF">
        <w:t xml:space="preserve"> </w:t>
      </w:r>
      <w:r w:rsidR="00C36DEF" w:rsidRPr="00C36DEF">
        <w:t xml:space="preserve">the distributions of people living with HIV infection by place of birth, race/ethnicity, and exposure mode varied by age:  </w:t>
      </w:r>
    </w:p>
    <w:p w14:paraId="5F0D135B" w14:textId="73F37299" w:rsidR="005A7F2D" w:rsidRPr="00C36DEF" w:rsidRDefault="00C36DEF" w:rsidP="00F84E3A">
      <w:pPr>
        <w:numPr>
          <w:ilvl w:val="1"/>
          <w:numId w:val="53"/>
        </w:numPr>
        <w:spacing w:after="120"/>
      </w:pPr>
      <w:r w:rsidRPr="00C36DEF">
        <w:t>A larger proportion of individuals aged 60+ years (64%) than &lt;60 years (55%) was born in the US.</w:t>
      </w:r>
    </w:p>
    <w:p w14:paraId="5F9A3C97" w14:textId="77777777" w:rsidR="00C36DEF" w:rsidRPr="00C36DEF" w:rsidRDefault="00C36DEF" w:rsidP="00F84E3A">
      <w:pPr>
        <w:numPr>
          <w:ilvl w:val="1"/>
          <w:numId w:val="53"/>
        </w:numPr>
        <w:spacing w:after="120"/>
      </w:pPr>
      <w:r w:rsidRPr="00C36DEF">
        <w:t xml:space="preserve">A larger proportion of individuals aged 60+ years (45%) than &lt;60 years (33%) was White (non-Hispanic), and a smaller proportion was Hispanic/Latinx (22% vs. 32%). </w:t>
      </w:r>
    </w:p>
    <w:p w14:paraId="3B13492B" w14:textId="77777777" w:rsidR="00C36DEF" w:rsidRPr="00C36DEF" w:rsidRDefault="00C36DEF" w:rsidP="00F84E3A">
      <w:pPr>
        <w:numPr>
          <w:ilvl w:val="1"/>
          <w:numId w:val="53"/>
        </w:numPr>
        <w:spacing w:after="120"/>
      </w:pPr>
      <w:r w:rsidRPr="00C36DEF">
        <w:t>A larger proportion of individuals aged 60+ years (20%) than &lt;60 years (11%) had injection drug use exposure mode and a smaller proportion had MSM exposure mode (35% vs. 43%). However, MSM was still the most frequently reported exposure mode for both age groups.</w:t>
      </w:r>
    </w:p>
    <w:p w14:paraId="3B2D25E4" w14:textId="6DEAC811" w:rsidR="00FF53C8" w:rsidRPr="00C36DEF" w:rsidRDefault="00C36DEF" w:rsidP="00F84E3A">
      <w:pPr>
        <w:numPr>
          <w:ilvl w:val="1"/>
          <w:numId w:val="53"/>
        </w:numPr>
        <w:spacing w:after="120"/>
      </w:pPr>
      <w:r w:rsidRPr="00C36DEF">
        <w:t>The distributions of people living with HIV infection by sex assigned at birth and current gender identity were similar for both age groups in 2023</w:t>
      </w:r>
      <w:r w:rsidR="00FF53C8" w:rsidRPr="00C36DEF">
        <w:t xml:space="preserve">. </w:t>
      </w:r>
    </w:p>
    <w:p w14:paraId="01A55E7C" w14:textId="77777777" w:rsidR="003E6885" w:rsidRPr="00C36DEF" w:rsidRDefault="003E6885" w:rsidP="00FF53C8">
      <w:r w:rsidRPr="00C36DEF">
        <w:br w:type="page"/>
      </w:r>
    </w:p>
    <w:p w14:paraId="4E54E184" w14:textId="77777777" w:rsidR="00D63020" w:rsidRPr="00C36DEF" w:rsidRDefault="00D63020" w:rsidP="00103607">
      <w:pPr>
        <w:pStyle w:val="Heading2"/>
      </w:pPr>
      <w:bookmarkStart w:id="71" w:name="_Toc481356332"/>
      <w:r>
        <w:lastRenderedPageBreak/>
        <w:t>OLDER INDIVIDUALS RECENTLY DIAGNOSED WITH HIV INFECTION</w:t>
      </w:r>
      <w:bookmarkEnd w:id="71"/>
    </w:p>
    <w:p w14:paraId="214F0ED7" w14:textId="4F60E781" w:rsidR="00D63020" w:rsidRPr="00C36DEF" w:rsidRDefault="00D63020" w:rsidP="00D63020">
      <w:r w:rsidRPr="00C36DEF">
        <w:rPr>
          <w:b/>
          <w:bCs/>
        </w:rPr>
        <w:t xml:space="preserve">Figure 58. </w:t>
      </w:r>
      <w:r w:rsidRPr="00C36DEF">
        <w:t xml:space="preserve">People aged 60 years and older diagnosed with HIV infection compared to people aged under 60 years by selected characteristics, Massachusetts </w:t>
      </w:r>
      <w:r w:rsidR="004822C5" w:rsidRPr="00C36DEF">
        <w:t>2021–2023</w:t>
      </w:r>
    </w:p>
    <w:p w14:paraId="57A4C3CE" w14:textId="539D17C0" w:rsidR="00D63020" w:rsidRPr="00234D05" w:rsidRDefault="00C36DEF" w:rsidP="00D63020">
      <w:pPr>
        <w:rPr>
          <w:color w:val="FF0000"/>
        </w:rPr>
      </w:pPr>
      <w:r>
        <w:rPr>
          <w:noProof/>
          <w:color w:val="FF0000"/>
          <w:shd w:val="clear" w:color="auto" w:fill="E6E6E6"/>
        </w:rPr>
        <w:drawing>
          <wp:inline distT="0" distB="0" distL="0" distR="0" wp14:anchorId="67D1E5C7" wp14:editId="4406B12E">
            <wp:extent cx="6078220" cy="6383020"/>
            <wp:effectExtent l="0" t="0" r="0" b="0"/>
            <wp:docPr id="105055023" name="Picture 105055023" descr="The figure is a butterfly graph comparing the percentage distribution of people under 60 years to people aged 60+ years and recently diagnosed with HIV infection by sex assigned at birth, gender, place of birth, race/ethnicity, and exposure m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023" name="Picture 11" descr="The figure is a butterfly graph comparing the percentage distribution of people under 60 years to people aged 60+ years and recently diagnosed with HIV infection by sex assigned at birth, gender, place of birth, race/ethnicity, and exposure mode.&#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78220" cy="6383020"/>
                    </a:xfrm>
                    <a:prstGeom prst="rect">
                      <a:avLst/>
                    </a:prstGeom>
                    <a:noFill/>
                  </pic:spPr>
                </pic:pic>
              </a:graphicData>
            </a:graphic>
          </wp:inline>
        </w:drawing>
      </w:r>
    </w:p>
    <w:p w14:paraId="6A75BCF4" w14:textId="77777777" w:rsidR="00D63020" w:rsidRPr="00C36DEF" w:rsidRDefault="00D63020" w:rsidP="00D63020"/>
    <w:p w14:paraId="7007803A" w14:textId="411252F6" w:rsidR="00D63020" w:rsidRPr="00C36DEF" w:rsidRDefault="00D63020" w:rsidP="00D63020">
      <w:pPr>
        <w:rPr>
          <w:sz w:val="20"/>
          <w:szCs w:val="18"/>
        </w:rPr>
      </w:pPr>
      <w:r w:rsidRPr="00C36DEF">
        <w:rPr>
          <w:sz w:val="20"/>
          <w:szCs w:val="18"/>
        </w:rPr>
        <w:t xml:space="preserve">Data Source: Bureau of Infectious Disease and Laboratory Sciences, data are </w:t>
      </w:r>
      <w:r w:rsidR="004822C5" w:rsidRPr="00C36DEF">
        <w:rPr>
          <w:sz w:val="20"/>
          <w:szCs w:val="18"/>
        </w:rPr>
        <w:t>current as of 7/1/2024</w:t>
      </w:r>
      <w:r w:rsidRPr="00C36DEF">
        <w:rPr>
          <w:sz w:val="20"/>
          <w:szCs w:val="18"/>
        </w:rPr>
        <w:t xml:space="preserve"> and subject to </w:t>
      </w:r>
      <w:r w:rsidR="00301485" w:rsidRPr="00C36DEF">
        <w:rPr>
          <w:sz w:val="20"/>
          <w:szCs w:val="18"/>
        </w:rPr>
        <w:t>change.</w:t>
      </w:r>
    </w:p>
    <w:p w14:paraId="1D440239" w14:textId="3AA86808" w:rsidR="00D63020" w:rsidRPr="00C36DEF" w:rsidRDefault="00D63020" w:rsidP="00D63020">
      <w:r w:rsidRPr="00C36DEF">
        <w:br w:type="page"/>
      </w:r>
    </w:p>
    <w:p w14:paraId="39F09AC4" w14:textId="77777777" w:rsidR="00D63020" w:rsidRPr="00C36DEF" w:rsidRDefault="00D63020" w:rsidP="00D63020">
      <w:pPr>
        <w:spacing w:after="120"/>
      </w:pPr>
      <w:r w:rsidRPr="00C36DEF">
        <w:rPr>
          <w:i/>
          <w:iCs/>
        </w:rPr>
        <w:lastRenderedPageBreak/>
        <w:t>When reviewing the data presentations on people diagnosed with HIV infection at age 60+ years, please note that the ascertainment of accurate initial diagnosis date/age is often more difficult for individuals born outside the United States than those born in the United States or Puerto Rico. This is due to limited access to clinical documentation and/or less access to testing in the patient’s country of origin.  Differences between younger (&lt;60) and older (60+) individuals diagnosed with HIV infection displayed in this report may be an artefact of this data quality discrepancy rather than actual age at diagnosis.</w:t>
      </w:r>
    </w:p>
    <w:p w14:paraId="5E6E311C" w14:textId="1B23167E" w:rsidR="00D63020" w:rsidRPr="00C36DEF" w:rsidRDefault="00D63020" w:rsidP="533627D5">
      <w:pPr>
        <w:pStyle w:val="ListParagraph"/>
        <w:numPr>
          <w:ilvl w:val="0"/>
          <w:numId w:val="54"/>
        </w:numPr>
        <w:spacing w:after="120"/>
      </w:pPr>
      <w:r w:rsidRPr="00C36DEF">
        <w:t>During 202</w:t>
      </w:r>
      <w:r w:rsidR="00C36DEF" w:rsidRPr="00C36DEF">
        <w:t>1</w:t>
      </w:r>
      <w:r w:rsidRPr="00C36DEF">
        <w:t xml:space="preserve"> to 202</w:t>
      </w:r>
      <w:r w:rsidR="00C36DEF" w:rsidRPr="00C36DEF">
        <w:t>3</w:t>
      </w:r>
      <w:r w:rsidRPr="00C36DEF">
        <w:t>,</w:t>
      </w:r>
      <w:r w:rsidR="00957EE9" w:rsidRPr="00C36DEF">
        <w:rPr>
          <w:rStyle w:val="FootnoteReference"/>
        </w:rPr>
        <w:t xml:space="preserve"> </w:t>
      </w:r>
      <w:r w:rsidR="00957EE9" w:rsidRPr="00C36DEF">
        <w:rPr>
          <w:rStyle w:val="FootnoteReference"/>
        </w:rPr>
        <w:footnoteReference w:id="153"/>
      </w:r>
      <w:r w:rsidR="005D49B5" w:rsidRPr="00C36DEF">
        <w:rPr>
          <w:vertAlign w:val="superscript"/>
        </w:rPr>
        <w:t xml:space="preserve"> </w:t>
      </w:r>
      <w:r w:rsidR="00C36DEF" w:rsidRPr="00C36DEF">
        <w:t>the distributions of individuals diagnosed with HIV infection by sex assigned at birth, place of birth, race/ethnicity, and exposure mode varied by age</w:t>
      </w:r>
      <w:r w:rsidRPr="00C36DEF">
        <w:t xml:space="preserve">:  </w:t>
      </w:r>
    </w:p>
    <w:p w14:paraId="0B777949" w14:textId="77777777" w:rsidR="00C36DEF" w:rsidRPr="00C36DEF" w:rsidRDefault="00C36DEF" w:rsidP="00F84E3A">
      <w:pPr>
        <w:pStyle w:val="ListParagraph"/>
        <w:numPr>
          <w:ilvl w:val="1"/>
          <w:numId w:val="55"/>
        </w:numPr>
        <w:spacing w:after="120"/>
        <w:contextualSpacing w:val="0"/>
      </w:pPr>
      <w:r w:rsidRPr="00C36DEF">
        <w:t xml:space="preserve">A larger proportion of individuals aged 60+ years (47%) than &lt;60 years (26%) was assigned female at birth. </w:t>
      </w:r>
    </w:p>
    <w:p w14:paraId="0174AB22" w14:textId="77777777" w:rsidR="00C36DEF" w:rsidRPr="00C36DEF" w:rsidRDefault="00C36DEF" w:rsidP="00F84E3A">
      <w:pPr>
        <w:pStyle w:val="ListParagraph"/>
        <w:numPr>
          <w:ilvl w:val="1"/>
          <w:numId w:val="55"/>
        </w:numPr>
        <w:spacing w:after="120"/>
        <w:contextualSpacing w:val="0"/>
      </w:pPr>
      <w:r w:rsidRPr="00C36DEF">
        <w:t>A larger proportion of individuals aged 60+ years (48%) than &lt;60 years (34%) was Black (non-Hispanic).</w:t>
      </w:r>
    </w:p>
    <w:p w14:paraId="69ABBD5E" w14:textId="73D5E102" w:rsidR="00D63020" w:rsidRPr="00C36DEF" w:rsidRDefault="00C36DEF" w:rsidP="00F84E3A">
      <w:pPr>
        <w:pStyle w:val="ListParagraph"/>
        <w:numPr>
          <w:ilvl w:val="1"/>
          <w:numId w:val="55"/>
        </w:numPr>
        <w:spacing w:after="120"/>
        <w:contextualSpacing w:val="0"/>
      </w:pPr>
      <w:r w:rsidRPr="00C36DEF">
        <w:t>A larger proportion of individuals aged 60+ years (28%) than &lt;60 years (12%) had presumed heterosexual exposure mode and a smaller proportion had MSM exposure mode (22% vs. 40%).</w:t>
      </w:r>
    </w:p>
    <w:p w14:paraId="5B2DB464" w14:textId="77777777" w:rsidR="00D63020" w:rsidRPr="00C36DEF" w:rsidRDefault="00D63020" w:rsidP="00D63020"/>
    <w:p w14:paraId="3D6A8712" w14:textId="7D829926" w:rsidR="002C4A99" w:rsidRPr="00C36DEF" w:rsidRDefault="003E6885" w:rsidP="72E089C3">
      <w:pPr>
        <w:pStyle w:val="Heading1"/>
        <w:rPr>
          <w:color w:val="auto"/>
        </w:rPr>
      </w:pPr>
      <w:r w:rsidRPr="72E089C3">
        <w:rPr>
          <w:color w:val="auto"/>
        </w:rPr>
        <w:br w:type="page"/>
      </w:r>
    </w:p>
    <w:p w14:paraId="3C056771" w14:textId="36678BCA" w:rsidR="0017574F" w:rsidRPr="00DB764B" w:rsidRDefault="00B55FE7" w:rsidP="38A4F72D">
      <w:pPr>
        <w:pStyle w:val="Heading1"/>
      </w:pPr>
      <w:bookmarkStart w:id="72" w:name="_Toc517239717"/>
      <w:r>
        <w:lastRenderedPageBreak/>
        <w:t>STRENGTHS AND LIMITATIONS OF DATA</w:t>
      </w:r>
      <w:bookmarkEnd w:id="72"/>
    </w:p>
    <w:tbl>
      <w:tblPr>
        <w:tblStyle w:val="TableGrid"/>
        <w:tblW w:w="9920" w:type="dxa"/>
        <w:tblLook w:val="06A0" w:firstRow="1" w:lastRow="0" w:firstColumn="1" w:lastColumn="0" w:noHBand="1" w:noVBand="1"/>
      </w:tblPr>
      <w:tblGrid>
        <w:gridCol w:w="1457"/>
        <w:gridCol w:w="2809"/>
        <w:gridCol w:w="3135"/>
        <w:gridCol w:w="2519"/>
      </w:tblGrid>
      <w:tr w:rsidR="00234D05" w:rsidRPr="00234D05" w14:paraId="6ECA1F8B" w14:textId="77777777" w:rsidTr="00D93E10">
        <w:trPr>
          <w:trHeight w:val="334"/>
        </w:trPr>
        <w:tc>
          <w:tcPr>
            <w:tcW w:w="1457" w:type="dxa"/>
            <w:hideMark/>
          </w:tcPr>
          <w:p w14:paraId="6325AEEF" w14:textId="77777777" w:rsidR="00B55FE7" w:rsidRPr="00EB43F3" w:rsidRDefault="00B55FE7" w:rsidP="0016095F">
            <w:pPr>
              <w:ind w:left="360"/>
              <w:rPr>
                <w:sz w:val="20"/>
                <w:szCs w:val="20"/>
              </w:rPr>
            </w:pPr>
            <w:r w:rsidRPr="00EB43F3">
              <w:rPr>
                <w:b/>
                <w:bCs/>
                <w:sz w:val="20"/>
                <w:szCs w:val="20"/>
              </w:rPr>
              <w:t> </w:t>
            </w:r>
          </w:p>
        </w:tc>
        <w:tc>
          <w:tcPr>
            <w:tcW w:w="2809" w:type="dxa"/>
            <w:hideMark/>
          </w:tcPr>
          <w:p w14:paraId="37B4E6CF" w14:textId="77777777" w:rsidR="00B55FE7" w:rsidRPr="00EB43F3" w:rsidRDefault="00B55FE7" w:rsidP="0016095F">
            <w:pPr>
              <w:ind w:left="360"/>
              <w:rPr>
                <w:sz w:val="20"/>
                <w:szCs w:val="20"/>
              </w:rPr>
            </w:pPr>
            <w:r w:rsidRPr="00EB43F3">
              <w:rPr>
                <w:b/>
                <w:bCs/>
                <w:sz w:val="20"/>
                <w:szCs w:val="20"/>
              </w:rPr>
              <w:t> HIV/AIDS</w:t>
            </w:r>
          </w:p>
        </w:tc>
        <w:tc>
          <w:tcPr>
            <w:tcW w:w="3135" w:type="dxa"/>
            <w:hideMark/>
          </w:tcPr>
          <w:p w14:paraId="320760D3" w14:textId="5CE5C595" w:rsidR="00B55FE7" w:rsidRPr="00EB43F3" w:rsidRDefault="00B55FE7" w:rsidP="0016095F">
            <w:pPr>
              <w:ind w:left="360"/>
              <w:rPr>
                <w:sz w:val="20"/>
                <w:szCs w:val="20"/>
              </w:rPr>
            </w:pPr>
            <w:r w:rsidRPr="00EB43F3">
              <w:rPr>
                <w:b/>
                <w:bCs/>
                <w:sz w:val="20"/>
                <w:szCs w:val="20"/>
              </w:rPr>
              <w:t> ST</w:t>
            </w:r>
            <w:r w:rsidR="00822DA1">
              <w:rPr>
                <w:b/>
                <w:bCs/>
                <w:sz w:val="20"/>
                <w:szCs w:val="20"/>
              </w:rPr>
              <w:t>I</w:t>
            </w:r>
          </w:p>
        </w:tc>
        <w:tc>
          <w:tcPr>
            <w:tcW w:w="2519" w:type="dxa"/>
            <w:hideMark/>
          </w:tcPr>
          <w:p w14:paraId="601A5F62" w14:textId="77777777" w:rsidR="00B55FE7" w:rsidRPr="00EB43F3" w:rsidRDefault="00B55FE7" w:rsidP="0016095F">
            <w:pPr>
              <w:ind w:left="360"/>
              <w:rPr>
                <w:sz w:val="20"/>
                <w:szCs w:val="20"/>
              </w:rPr>
            </w:pPr>
            <w:r w:rsidRPr="00EB43F3">
              <w:rPr>
                <w:b/>
                <w:bCs/>
                <w:sz w:val="20"/>
                <w:szCs w:val="20"/>
              </w:rPr>
              <w:t> Viral Hepatitis</w:t>
            </w:r>
          </w:p>
        </w:tc>
      </w:tr>
      <w:tr w:rsidR="00234D05" w:rsidRPr="00234D05" w14:paraId="1F4D028E" w14:textId="77777777" w:rsidTr="00D93E10">
        <w:trPr>
          <w:trHeight w:val="2369"/>
        </w:trPr>
        <w:tc>
          <w:tcPr>
            <w:tcW w:w="0" w:type="auto"/>
            <w:hideMark/>
          </w:tcPr>
          <w:p w14:paraId="5B291BBE" w14:textId="77777777" w:rsidR="00B55FE7" w:rsidRPr="00EB43F3" w:rsidRDefault="00B55FE7" w:rsidP="0016095F">
            <w:pPr>
              <w:ind w:left="360"/>
              <w:rPr>
                <w:b/>
                <w:bCs/>
                <w:sz w:val="20"/>
                <w:szCs w:val="20"/>
              </w:rPr>
            </w:pPr>
            <w:r w:rsidRPr="00EB43F3">
              <w:rPr>
                <w:b/>
                <w:bCs/>
                <w:sz w:val="20"/>
                <w:szCs w:val="20"/>
              </w:rPr>
              <w:t>Description</w:t>
            </w:r>
          </w:p>
        </w:tc>
        <w:tc>
          <w:tcPr>
            <w:tcW w:w="2809" w:type="dxa"/>
            <w:hideMark/>
          </w:tcPr>
          <w:p w14:paraId="531A38CA" w14:textId="1775F500" w:rsidR="00B55FE7" w:rsidRPr="00EB43F3" w:rsidRDefault="00B55FE7" w:rsidP="00F84E3A">
            <w:pPr>
              <w:pStyle w:val="ListParagraph"/>
              <w:numPr>
                <w:ilvl w:val="0"/>
                <w:numId w:val="15"/>
              </w:numPr>
              <w:rPr>
                <w:sz w:val="20"/>
                <w:szCs w:val="20"/>
              </w:rPr>
            </w:pPr>
            <w:r w:rsidRPr="00EB43F3">
              <w:rPr>
                <w:sz w:val="20"/>
                <w:szCs w:val="20"/>
              </w:rPr>
              <w:t xml:space="preserve">Collected by </w:t>
            </w:r>
            <w:r w:rsidR="00D3661F" w:rsidRPr="00EB43F3">
              <w:rPr>
                <w:sz w:val="20"/>
                <w:szCs w:val="20"/>
              </w:rPr>
              <w:t>DPH</w:t>
            </w:r>
            <w:r w:rsidRPr="00EB43F3">
              <w:rPr>
                <w:sz w:val="20"/>
                <w:szCs w:val="20"/>
              </w:rPr>
              <w:t xml:space="preserve"> Bureau of Infectious Disease and Laboratory Sciences</w:t>
            </w:r>
          </w:p>
          <w:p w14:paraId="30018562" w14:textId="77777777" w:rsidR="00B55FE7" w:rsidRPr="00EB43F3" w:rsidRDefault="00B55FE7" w:rsidP="00F84E3A">
            <w:pPr>
              <w:pStyle w:val="ListParagraph"/>
              <w:numPr>
                <w:ilvl w:val="0"/>
                <w:numId w:val="15"/>
              </w:numPr>
              <w:rPr>
                <w:sz w:val="20"/>
                <w:szCs w:val="20"/>
              </w:rPr>
            </w:pPr>
            <w:r w:rsidRPr="00EB43F3">
              <w:rPr>
                <w:sz w:val="20"/>
                <w:szCs w:val="20"/>
              </w:rPr>
              <w:t>Reported statewide</w:t>
            </w:r>
          </w:p>
          <w:p w14:paraId="4566DEF0" w14:textId="6C894F24" w:rsidR="00B55FE7" w:rsidRPr="00EB43F3" w:rsidRDefault="00B55FE7" w:rsidP="00F84E3A">
            <w:pPr>
              <w:pStyle w:val="ListParagraph"/>
              <w:numPr>
                <w:ilvl w:val="0"/>
                <w:numId w:val="15"/>
              </w:numPr>
              <w:rPr>
                <w:sz w:val="20"/>
                <w:szCs w:val="20"/>
              </w:rPr>
            </w:pPr>
            <w:r w:rsidRPr="00EB43F3">
              <w:rPr>
                <w:sz w:val="20"/>
                <w:szCs w:val="20"/>
              </w:rPr>
              <w:t>All laboratories and healthcare providers are required by state law to report</w:t>
            </w:r>
            <w:r w:rsidR="005E1CF4">
              <w:rPr>
                <w:sz w:val="20"/>
                <w:szCs w:val="20"/>
              </w:rPr>
              <w:t>.</w:t>
            </w:r>
            <w:r w:rsidRPr="00EB43F3">
              <w:rPr>
                <w:sz w:val="20"/>
                <w:szCs w:val="20"/>
              </w:rPr>
              <w:t xml:space="preserve"> New HIV diagnoses include only individuals who were first diagnosed in Massachusetts.</w:t>
            </w:r>
          </w:p>
          <w:p w14:paraId="16836AF7" w14:textId="77777777" w:rsidR="00B55FE7" w:rsidRPr="00EB43F3" w:rsidRDefault="00B55FE7" w:rsidP="00F84E3A">
            <w:pPr>
              <w:pStyle w:val="ListParagraph"/>
              <w:numPr>
                <w:ilvl w:val="0"/>
                <w:numId w:val="15"/>
              </w:numPr>
              <w:rPr>
                <w:sz w:val="20"/>
                <w:szCs w:val="20"/>
              </w:rPr>
            </w:pPr>
            <w:r w:rsidRPr="00EB43F3">
              <w:rPr>
                <w:sz w:val="20"/>
                <w:szCs w:val="20"/>
              </w:rPr>
              <w:t>HIV prevalence data include all individuals who were reported as residing in Massachusetts regardless of where they were first diagnosed.</w:t>
            </w:r>
          </w:p>
        </w:tc>
        <w:tc>
          <w:tcPr>
            <w:tcW w:w="3135" w:type="dxa"/>
            <w:hideMark/>
          </w:tcPr>
          <w:p w14:paraId="4AAB4E09" w14:textId="20F71986" w:rsidR="00B55FE7" w:rsidRPr="00EB43F3" w:rsidRDefault="00B55FE7" w:rsidP="00F84E3A">
            <w:pPr>
              <w:pStyle w:val="ListParagraph"/>
              <w:numPr>
                <w:ilvl w:val="0"/>
                <w:numId w:val="15"/>
              </w:numPr>
              <w:rPr>
                <w:sz w:val="20"/>
                <w:szCs w:val="20"/>
              </w:rPr>
            </w:pPr>
            <w:r w:rsidRPr="00EB43F3">
              <w:rPr>
                <w:sz w:val="20"/>
                <w:szCs w:val="20"/>
              </w:rPr>
              <w:t xml:space="preserve">Collected by </w:t>
            </w:r>
            <w:r w:rsidR="00D3661F" w:rsidRPr="00EB43F3">
              <w:rPr>
                <w:sz w:val="20"/>
                <w:szCs w:val="20"/>
              </w:rPr>
              <w:t>DPH</w:t>
            </w:r>
            <w:r w:rsidRPr="00EB43F3">
              <w:rPr>
                <w:sz w:val="20"/>
                <w:szCs w:val="20"/>
              </w:rPr>
              <w:t xml:space="preserve"> Bureau of Infectious Disease and Laboratory Sciences</w:t>
            </w:r>
          </w:p>
          <w:p w14:paraId="28DD93FA" w14:textId="77777777" w:rsidR="00B55FE7" w:rsidRPr="00EB43F3" w:rsidRDefault="00B55FE7" w:rsidP="00F84E3A">
            <w:pPr>
              <w:pStyle w:val="ListParagraph"/>
              <w:numPr>
                <w:ilvl w:val="0"/>
                <w:numId w:val="15"/>
              </w:numPr>
              <w:rPr>
                <w:sz w:val="20"/>
                <w:szCs w:val="20"/>
              </w:rPr>
            </w:pPr>
            <w:r w:rsidRPr="00EB43F3">
              <w:rPr>
                <w:sz w:val="20"/>
                <w:szCs w:val="20"/>
              </w:rPr>
              <w:t>Reported statewide</w:t>
            </w:r>
          </w:p>
          <w:p w14:paraId="57829617" w14:textId="743D2E70" w:rsidR="00B55FE7" w:rsidRPr="00EB43F3" w:rsidRDefault="00B55FE7" w:rsidP="00F84E3A">
            <w:pPr>
              <w:pStyle w:val="ListParagraph"/>
              <w:numPr>
                <w:ilvl w:val="0"/>
                <w:numId w:val="15"/>
              </w:numPr>
              <w:rPr>
                <w:sz w:val="20"/>
                <w:szCs w:val="20"/>
              </w:rPr>
            </w:pPr>
            <w:r w:rsidRPr="00EB43F3">
              <w:rPr>
                <w:sz w:val="20"/>
                <w:szCs w:val="20"/>
              </w:rPr>
              <w:t>All laboratories and healthcare providers are required by state law to report</w:t>
            </w:r>
            <w:r w:rsidR="00746622" w:rsidRPr="00EB43F3">
              <w:rPr>
                <w:sz w:val="20"/>
                <w:szCs w:val="20"/>
              </w:rPr>
              <w:t>.</w:t>
            </w:r>
          </w:p>
          <w:p w14:paraId="47C4DA01" w14:textId="77777777" w:rsidR="00B55FE7" w:rsidRPr="00EB43F3" w:rsidRDefault="00B55FE7" w:rsidP="00F84E3A">
            <w:pPr>
              <w:pStyle w:val="ListParagraph"/>
              <w:numPr>
                <w:ilvl w:val="0"/>
                <w:numId w:val="15"/>
              </w:numPr>
              <w:rPr>
                <w:sz w:val="20"/>
                <w:szCs w:val="20"/>
              </w:rPr>
            </w:pPr>
            <w:r w:rsidRPr="00EB43F3">
              <w:rPr>
                <w:sz w:val="20"/>
                <w:szCs w:val="20"/>
              </w:rPr>
              <w:t>Includes individuals first reported as living in MA.</w:t>
            </w:r>
          </w:p>
        </w:tc>
        <w:tc>
          <w:tcPr>
            <w:tcW w:w="2519" w:type="dxa"/>
            <w:hideMark/>
          </w:tcPr>
          <w:p w14:paraId="65EC368C" w14:textId="4E226B2A" w:rsidR="00B55FE7" w:rsidRPr="00EB43F3" w:rsidRDefault="00B55FE7" w:rsidP="00F84E3A">
            <w:pPr>
              <w:pStyle w:val="ListParagraph"/>
              <w:numPr>
                <w:ilvl w:val="0"/>
                <w:numId w:val="15"/>
              </w:numPr>
              <w:rPr>
                <w:sz w:val="20"/>
                <w:szCs w:val="20"/>
              </w:rPr>
            </w:pPr>
            <w:r w:rsidRPr="00EB43F3">
              <w:rPr>
                <w:sz w:val="20"/>
                <w:szCs w:val="20"/>
              </w:rPr>
              <w:t xml:space="preserve">Collected by </w:t>
            </w:r>
            <w:r w:rsidR="00D3661F" w:rsidRPr="00EB43F3">
              <w:rPr>
                <w:sz w:val="20"/>
                <w:szCs w:val="20"/>
              </w:rPr>
              <w:t>DPH</w:t>
            </w:r>
            <w:r w:rsidRPr="00EB43F3">
              <w:rPr>
                <w:sz w:val="20"/>
                <w:szCs w:val="20"/>
              </w:rPr>
              <w:t xml:space="preserve"> Bureau of Infectious Disease and Laboratory Sciences</w:t>
            </w:r>
          </w:p>
          <w:p w14:paraId="31F57F10" w14:textId="77777777" w:rsidR="00B55FE7" w:rsidRPr="00EB43F3" w:rsidRDefault="00B55FE7" w:rsidP="00F84E3A">
            <w:pPr>
              <w:pStyle w:val="ListParagraph"/>
              <w:numPr>
                <w:ilvl w:val="0"/>
                <w:numId w:val="15"/>
              </w:numPr>
              <w:rPr>
                <w:sz w:val="20"/>
                <w:szCs w:val="20"/>
              </w:rPr>
            </w:pPr>
            <w:r w:rsidRPr="00EB43F3">
              <w:rPr>
                <w:sz w:val="20"/>
                <w:szCs w:val="20"/>
              </w:rPr>
              <w:t>Reported statewide</w:t>
            </w:r>
          </w:p>
          <w:p w14:paraId="3218595D" w14:textId="6A2B7260" w:rsidR="00B55FE7" w:rsidRPr="00EB43F3" w:rsidRDefault="00B55FE7" w:rsidP="00F84E3A">
            <w:pPr>
              <w:pStyle w:val="ListParagraph"/>
              <w:numPr>
                <w:ilvl w:val="0"/>
                <w:numId w:val="15"/>
              </w:numPr>
              <w:rPr>
                <w:sz w:val="20"/>
                <w:szCs w:val="20"/>
              </w:rPr>
            </w:pPr>
            <w:r w:rsidRPr="00EB43F3">
              <w:rPr>
                <w:sz w:val="20"/>
                <w:szCs w:val="20"/>
              </w:rPr>
              <w:t>All laboratories and healthcare providers are required by state law to report</w:t>
            </w:r>
            <w:r w:rsidR="00746622" w:rsidRPr="00EB43F3">
              <w:rPr>
                <w:sz w:val="20"/>
                <w:szCs w:val="20"/>
              </w:rPr>
              <w:t>.</w:t>
            </w:r>
          </w:p>
          <w:p w14:paraId="6B290260" w14:textId="77777777" w:rsidR="00B55FE7" w:rsidRPr="00EB43F3" w:rsidRDefault="00B55FE7" w:rsidP="00F84E3A">
            <w:pPr>
              <w:pStyle w:val="ListParagraph"/>
              <w:numPr>
                <w:ilvl w:val="0"/>
                <w:numId w:val="15"/>
              </w:numPr>
              <w:rPr>
                <w:sz w:val="20"/>
                <w:szCs w:val="20"/>
              </w:rPr>
            </w:pPr>
            <w:r w:rsidRPr="00EB43F3">
              <w:rPr>
                <w:sz w:val="20"/>
                <w:szCs w:val="20"/>
              </w:rPr>
              <w:t>Includes individuals first reported as living in MA.</w:t>
            </w:r>
          </w:p>
        </w:tc>
      </w:tr>
      <w:tr w:rsidR="00234D05" w:rsidRPr="00234D05" w14:paraId="5A8DFE24" w14:textId="77777777" w:rsidTr="00D93E10">
        <w:trPr>
          <w:trHeight w:val="2369"/>
        </w:trPr>
        <w:tc>
          <w:tcPr>
            <w:tcW w:w="1457" w:type="dxa"/>
            <w:hideMark/>
          </w:tcPr>
          <w:p w14:paraId="6867C7CB" w14:textId="77777777" w:rsidR="00B55FE7" w:rsidRPr="00EB43F3" w:rsidRDefault="00B55FE7" w:rsidP="0016095F">
            <w:pPr>
              <w:ind w:left="360"/>
              <w:rPr>
                <w:sz w:val="20"/>
                <w:szCs w:val="20"/>
              </w:rPr>
            </w:pPr>
            <w:r w:rsidRPr="00EB43F3">
              <w:rPr>
                <w:b/>
                <w:bCs/>
                <w:sz w:val="20"/>
                <w:szCs w:val="20"/>
              </w:rPr>
              <w:t>Strengths</w:t>
            </w:r>
          </w:p>
        </w:tc>
        <w:tc>
          <w:tcPr>
            <w:tcW w:w="2809" w:type="dxa"/>
            <w:hideMark/>
          </w:tcPr>
          <w:p w14:paraId="70689826" w14:textId="1AFF27D6" w:rsidR="00B55FE7" w:rsidRPr="00EB43F3" w:rsidRDefault="00B55FE7" w:rsidP="00F84E3A">
            <w:pPr>
              <w:pStyle w:val="ListParagraph"/>
              <w:numPr>
                <w:ilvl w:val="0"/>
                <w:numId w:val="15"/>
              </w:numPr>
              <w:rPr>
                <w:sz w:val="20"/>
                <w:szCs w:val="20"/>
              </w:rPr>
            </w:pPr>
            <w:r w:rsidRPr="00EB43F3">
              <w:rPr>
                <w:sz w:val="20"/>
                <w:szCs w:val="20"/>
              </w:rPr>
              <w:t>Completeness of race/ethnicity data is high.</w:t>
            </w:r>
          </w:p>
          <w:p w14:paraId="77A1EF19" w14:textId="77777777" w:rsidR="00B55FE7" w:rsidRPr="00EB43F3" w:rsidRDefault="00B55FE7" w:rsidP="00F84E3A">
            <w:pPr>
              <w:pStyle w:val="ListParagraph"/>
              <w:numPr>
                <w:ilvl w:val="0"/>
                <w:numId w:val="15"/>
              </w:numPr>
              <w:rPr>
                <w:sz w:val="20"/>
                <w:szCs w:val="20"/>
              </w:rPr>
            </w:pPr>
            <w:r w:rsidRPr="00EB43F3">
              <w:rPr>
                <w:sz w:val="20"/>
                <w:szCs w:val="20"/>
              </w:rPr>
              <w:t>All clinical laboratories in MA report electronically resulting in more complete and timely reporting of disease.</w:t>
            </w:r>
          </w:p>
          <w:p w14:paraId="1A5E97AF" w14:textId="77777777" w:rsidR="00B55FE7" w:rsidRPr="00EB43F3" w:rsidRDefault="00B55FE7" w:rsidP="00F84E3A">
            <w:pPr>
              <w:pStyle w:val="ListParagraph"/>
              <w:numPr>
                <w:ilvl w:val="0"/>
                <w:numId w:val="15"/>
              </w:numPr>
              <w:rPr>
                <w:sz w:val="20"/>
                <w:szCs w:val="20"/>
              </w:rPr>
            </w:pPr>
            <w:r w:rsidRPr="00EB43F3">
              <w:rPr>
                <w:sz w:val="20"/>
                <w:szCs w:val="20"/>
              </w:rPr>
              <w:t>Data are estimated to be 99% complete.</w:t>
            </w:r>
          </w:p>
        </w:tc>
        <w:tc>
          <w:tcPr>
            <w:tcW w:w="3135" w:type="dxa"/>
            <w:hideMark/>
          </w:tcPr>
          <w:p w14:paraId="39EDC2F5" w14:textId="77777777" w:rsidR="00B55FE7" w:rsidRPr="00EB43F3" w:rsidRDefault="00B55FE7" w:rsidP="00F84E3A">
            <w:pPr>
              <w:pStyle w:val="ListParagraph"/>
              <w:numPr>
                <w:ilvl w:val="0"/>
                <w:numId w:val="15"/>
              </w:numPr>
              <w:rPr>
                <w:sz w:val="20"/>
                <w:szCs w:val="20"/>
              </w:rPr>
            </w:pPr>
            <w:r w:rsidRPr="00EB43F3">
              <w:rPr>
                <w:sz w:val="20"/>
                <w:szCs w:val="20"/>
              </w:rPr>
              <w:t>All clinical laboratories in MA report electronically resulting in more complete and timely reporting of disease.</w:t>
            </w:r>
          </w:p>
          <w:p w14:paraId="715CF530" w14:textId="3BAE0D5E" w:rsidR="00B55FE7" w:rsidRPr="00EB43F3" w:rsidRDefault="00B55FE7" w:rsidP="00F84E3A">
            <w:pPr>
              <w:pStyle w:val="ListParagraph"/>
              <w:numPr>
                <w:ilvl w:val="0"/>
                <w:numId w:val="15"/>
              </w:numPr>
              <w:rPr>
                <w:sz w:val="20"/>
                <w:szCs w:val="20"/>
              </w:rPr>
            </w:pPr>
            <w:r w:rsidRPr="00EB43F3">
              <w:rPr>
                <w:sz w:val="20"/>
                <w:szCs w:val="20"/>
              </w:rPr>
              <w:t>Most infectious syphilis cases agree to interview, resulting in reasonably complete race/ethnicity and sex of sex partner data.</w:t>
            </w:r>
          </w:p>
        </w:tc>
        <w:tc>
          <w:tcPr>
            <w:tcW w:w="2519" w:type="dxa"/>
            <w:hideMark/>
          </w:tcPr>
          <w:p w14:paraId="16371785" w14:textId="77777777" w:rsidR="00B55FE7" w:rsidRPr="00EB43F3" w:rsidRDefault="00B55FE7" w:rsidP="00F84E3A">
            <w:pPr>
              <w:pStyle w:val="ListParagraph"/>
              <w:numPr>
                <w:ilvl w:val="0"/>
                <w:numId w:val="15"/>
              </w:numPr>
              <w:rPr>
                <w:sz w:val="20"/>
                <w:szCs w:val="20"/>
              </w:rPr>
            </w:pPr>
            <w:r w:rsidRPr="00EB43F3">
              <w:rPr>
                <w:sz w:val="20"/>
                <w:szCs w:val="20"/>
              </w:rPr>
              <w:t>All clinical laboratories in MA report electronically resulting in more complete and timely reporting of disease.</w:t>
            </w:r>
          </w:p>
        </w:tc>
      </w:tr>
      <w:tr w:rsidR="00EB43F3" w:rsidRPr="00EB43F3" w14:paraId="5CC01053" w14:textId="77777777" w:rsidTr="00D93E10">
        <w:trPr>
          <w:trHeight w:val="505"/>
        </w:trPr>
        <w:tc>
          <w:tcPr>
            <w:tcW w:w="1457" w:type="dxa"/>
            <w:hideMark/>
          </w:tcPr>
          <w:p w14:paraId="145B8718" w14:textId="77777777" w:rsidR="00B55FE7" w:rsidRPr="00EB43F3" w:rsidRDefault="00B55FE7" w:rsidP="0016095F">
            <w:pPr>
              <w:ind w:left="360"/>
              <w:rPr>
                <w:sz w:val="20"/>
                <w:szCs w:val="20"/>
              </w:rPr>
            </w:pPr>
            <w:r w:rsidRPr="00EB43F3">
              <w:rPr>
                <w:b/>
                <w:bCs/>
                <w:sz w:val="20"/>
                <w:szCs w:val="20"/>
              </w:rPr>
              <w:t>Limitations</w:t>
            </w:r>
          </w:p>
        </w:tc>
        <w:tc>
          <w:tcPr>
            <w:tcW w:w="2809" w:type="dxa"/>
            <w:hideMark/>
          </w:tcPr>
          <w:p w14:paraId="165A594C" w14:textId="060D7CFA" w:rsidR="00B55FE7" w:rsidRPr="00EB43F3" w:rsidRDefault="00B55FE7" w:rsidP="00F84E3A">
            <w:pPr>
              <w:pStyle w:val="ListParagraph"/>
              <w:numPr>
                <w:ilvl w:val="0"/>
                <w:numId w:val="15"/>
              </w:numPr>
              <w:rPr>
                <w:sz w:val="20"/>
                <w:szCs w:val="20"/>
              </w:rPr>
            </w:pPr>
            <w:r w:rsidRPr="00EB43F3">
              <w:rPr>
                <w:sz w:val="20"/>
                <w:szCs w:val="20"/>
              </w:rPr>
              <w:t>202</w:t>
            </w:r>
            <w:r w:rsidR="00EB43F3" w:rsidRPr="00EB43F3">
              <w:rPr>
                <w:sz w:val="20"/>
                <w:szCs w:val="20"/>
              </w:rPr>
              <w:t>3</w:t>
            </w:r>
            <w:r w:rsidRPr="00EB43F3">
              <w:rPr>
                <w:sz w:val="20"/>
                <w:szCs w:val="20"/>
              </w:rPr>
              <w:t xml:space="preserve"> HIV prevalence data </w:t>
            </w:r>
            <w:r w:rsidR="005F47D4" w:rsidRPr="00EB43F3">
              <w:rPr>
                <w:sz w:val="20"/>
                <w:szCs w:val="20"/>
              </w:rPr>
              <w:t xml:space="preserve">as of </w:t>
            </w:r>
            <w:r w:rsidR="001F75D4" w:rsidRPr="00EB43F3">
              <w:rPr>
                <w:sz w:val="20"/>
                <w:szCs w:val="20"/>
              </w:rPr>
              <w:t>7/1/202</w:t>
            </w:r>
            <w:r w:rsidR="00EB43F3" w:rsidRPr="00EB43F3">
              <w:rPr>
                <w:sz w:val="20"/>
                <w:szCs w:val="20"/>
              </w:rPr>
              <w:t>4</w:t>
            </w:r>
            <w:r w:rsidR="005F47D4" w:rsidRPr="00EB43F3">
              <w:rPr>
                <w:sz w:val="20"/>
                <w:szCs w:val="20"/>
              </w:rPr>
              <w:t xml:space="preserve"> </w:t>
            </w:r>
            <w:r w:rsidRPr="00EB43F3">
              <w:rPr>
                <w:sz w:val="20"/>
                <w:szCs w:val="20"/>
              </w:rPr>
              <w:t>are preliminary.</w:t>
            </w:r>
          </w:p>
        </w:tc>
        <w:tc>
          <w:tcPr>
            <w:tcW w:w="3135" w:type="dxa"/>
            <w:hideMark/>
          </w:tcPr>
          <w:p w14:paraId="23206738" w14:textId="698EBF64" w:rsidR="00B55FE7" w:rsidRPr="00EB43F3" w:rsidRDefault="00B55FE7" w:rsidP="00F84E3A">
            <w:pPr>
              <w:pStyle w:val="ListParagraph"/>
              <w:numPr>
                <w:ilvl w:val="0"/>
                <w:numId w:val="15"/>
              </w:numPr>
              <w:rPr>
                <w:sz w:val="20"/>
                <w:szCs w:val="20"/>
              </w:rPr>
            </w:pPr>
            <w:r w:rsidRPr="00EB43F3">
              <w:rPr>
                <w:sz w:val="20"/>
                <w:szCs w:val="20"/>
              </w:rPr>
              <w:t xml:space="preserve">Race/ethnicity data are incomplete for gonorrhea </w:t>
            </w:r>
            <w:r w:rsidR="00EB43F3" w:rsidRPr="00EB43F3">
              <w:rPr>
                <w:sz w:val="20"/>
                <w:szCs w:val="20"/>
              </w:rPr>
              <w:t>and</w:t>
            </w:r>
            <w:r w:rsidR="00857A5D">
              <w:rPr>
                <w:sz w:val="20"/>
                <w:szCs w:val="20"/>
              </w:rPr>
              <w:t xml:space="preserve"> chlamydia</w:t>
            </w:r>
            <w:r w:rsidRPr="00EB43F3">
              <w:rPr>
                <w:sz w:val="20"/>
                <w:szCs w:val="20"/>
              </w:rPr>
              <w:t>.</w:t>
            </w:r>
          </w:p>
          <w:p w14:paraId="2D248212" w14:textId="77777777" w:rsidR="00B55FE7" w:rsidRPr="00EB43F3" w:rsidRDefault="00B55FE7" w:rsidP="00F84E3A">
            <w:pPr>
              <w:pStyle w:val="ListParagraph"/>
              <w:numPr>
                <w:ilvl w:val="0"/>
                <w:numId w:val="15"/>
              </w:numPr>
              <w:rPr>
                <w:sz w:val="20"/>
                <w:szCs w:val="20"/>
              </w:rPr>
            </w:pPr>
            <w:r w:rsidRPr="00EB43F3">
              <w:rPr>
                <w:sz w:val="20"/>
                <w:szCs w:val="20"/>
              </w:rPr>
              <w:t>Sex of sex partner is not routinely collected for gonorrhea and chlamydia cases.</w:t>
            </w:r>
          </w:p>
          <w:p w14:paraId="6C9EC540" w14:textId="2500DD8C" w:rsidR="00B55FE7" w:rsidRPr="00EB43F3" w:rsidRDefault="00B55FE7" w:rsidP="00F84E3A">
            <w:pPr>
              <w:pStyle w:val="ListParagraph"/>
              <w:numPr>
                <w:ilvl w:val="0"/>
                <w:numId w:val="15"/>
              </w:numPr>
              <w:rPr>
                <w:sz w:val="20"/>
                <w:szCs w:val="20"/>
              </w:rPr>
            </w:pPr>
            <w:r w:rsidRPr="00EB43F3">
              <w:rPr>
                <w:sz w:val="20"/>
                <w:szCs w:val="20"/>
              </w:rPr>
              <w:t xml:space="preserve">Bias is introduced for some </w:t>
            </w:r>
            <w:r w:rsidR="00285320">
              <w:rPr>
                <w:sz w:val="20"/>
                <w:szCs w:val="20"/>
              </w:rPr>
              <w:t>STI</w:t>
            </w:r>
            <w:r w:rsidRPr="00EB43F3">
              <w:rPr>
                <w:sz w:val="20"/>
                <w:szCs w:val="20"/>
              </w:rPr>
              <w:t>s, such as chlamydia infection, where screening of asymptomatic persons occurs more frequently among women than among men.</w:t>
            </w:r>
          </w:p>
        </w:tc>
        <w:tc>
          <w:tcPr>
            <w:tcW w:w="2519" w:type="dxa"/>
            <w:hideMark/>
          </w:tcPr>
          <w:p w14:paraId="22022ADA" w14:textId="53425142" w:rsidR="00B55FE7" w:rsidRPr="00EB43F3" w:rsidRDefault="00B55FE7" w:rsidP="00F84E3A">
            <w:pPr>
              <w:pStyle w:val="ListParagraph"/>
              <w:numPr>
                <w:ilvl w:val="0"/>
                <w:numId w:val="15"/>
              </w:numPr>
              <w:rPr>
                <w:sz w:val="20"/>
                <w:szCs w:val="20"/>
              </w:rPr>
            </w:pPr>
            <w:r w:rsidRPr="00EB43F3">
              <w:rPr>
                <w:sz w:val="20"/>
                <w:szCs w:val="20"/>
              </w:rPr>
              <w:t>Race/ethnicity data are incomplete.</w:t>
            </w:r>
          </w:p>
          <w:p w14:paraId="4832B7C0" w14:textId="77777777" w:rsidR="00B55FE7" w:rsidRPr="00EB43F3" w:rsidRDefault="00B55FE7" w:rsidP="00F84E3A">
            <w:pPr>
              <w:pStyle w:val="ListParagraph"/>
              <w:numPr>
                <w:ilvl w:val="0"/>
                <w:numId w:val="15"/>
              </w:numPr>
              <w:rPr>
                <w:sz w:val="20"/>
                <w:szCs w:val="20"/>
              </w:rPr>
            </w:pPr>
            <w:r w:rsidRPr="00EB43F3">
              <w:rPr>
                <w:sz w:val="20"/>
                <w:szCs w:val="20"/>
              </w:rPr>
              <w:t>Risk history data are not collected on chronic HBV cases.</w:t>
            </w:r>
          </w:p>
        </w:tc>
      </w:tr>
    </w:tbl>
    <w:p w14:paraId="58B80495" w14:textId="5E652AF1" w:rsidR="00EA2C5A" w:rsidRPr="00EB43F3" w:rsidRDefault="00EA2C5A" w:rsidP="00B55FE7">
      <w:r w:rsidRPr="00EB43F3">
        <w:br w:type="page"/>
      </w:r>
    </w:p>
    <w:p w14:paraId="65165674" w14:textId="1D594123" w:rsidR="00EA2C5A" w:rsidRPr="00EB43F3" w:rsidRDefault="00EA2C5A" w:rsidP="00EA2C5A">
      <w:pPr>
        <w:rPr>
          <w:b/>
          <w:bCs/>
          <w:sz w:val="20"/>
          <w:szCs w:val="20"/>
        </w:rPr>
      </w:pPr>
      <w:r w:rsidRPr="00EB43F3">
        <w:rPr>
          <w:b/>
          <w:bCs/>
          <w:sz w:val="20"/>
          <w:szCs w:val="20"/>
        </w:rPr>
        <w:lastRenderedPageBreak/>
        <w:t>Massachusetts Youth Risk Behavior Survey</w:t>
      </w:r>
    </w:p>
    <w:p w14:paraId="04248D9F" w14:textId="77777777" w:rsidR="00EA2C5A" w:rsidRPr="00EB43F3" w:rsidRDefault="00EA2C5A" w:rsidP="00EA2C5A"/>
    <w:tbl>
      <w:tblPr>
        <w:tblStyle w:val="TableGrid"/>
        <w:tblW w:w="9920" w:type="dxa"/>
        <w:tblLook w:val="06A0" w:firstRow="1" w:lastRow="0" w:firstColumn="1" w:lastColumn="0" w:noHBand="1" w:noVBand="1"/>
      </w:tblPr>
      <w:tblGrid>
        <w:gridCol w:w="1655"/>
        <w:gridCol w:w="8265"/>
      </w:tblGrid>
      <w:tr w:rsidR="00EB43F3" w:rsidRPr="00EB43F3" w14:paraId="42C90022" w14:textId="77777777" w:rsidTr="00C44482">
        <w:trPr>
          <w:trHeight w:val="1375"/>
        </w:trPr>
        <w:tc>
          <w:tcPr>
            <w:tcW w:w="1655" w:type="dxa"/>
            <w:hideMark/>
          </w:tcPr>
          <w:p w14:paraId="24FF8FC9" w14:textId="77777777" w:rsidR="00EA2C5A" w:rsidRPr="00EB43F3" w:rsidRDefault="00EA2C5A" w:rsidP="0016095F">
            <w:pPr>
              <w:ind w:left="360"/>
              <w:rPr>
                <w:sz w:val="20"/>
                <w:szCs w:val="20"/>
              </w:rPr>
            </w:pPr>
            <w:r w:rsidRPr="00EB43F3">
              <w:rPr>
                <w:b/>
                <w:bCs/>
                <w:sz w:val="20"/>
                <w:szCs w:val="20"/>
              </w:rPr>
              <w:t>Description</w:t>
            </w:r>
          </w:p>
        </w:tc>
        <w:tc>
          <w:tcPr>
            <w:tcW w:w="8265" w:type="dxa"/>
            <w:hideMark/>
          </w:tcPr>
          <w:p w14:paraId="7B3BDE38" w14:textId="77777777" w:rsidR="00EA2C5A" w:rsidRPr="00EB43F3" w:rsidRDefault="00EA2C5A" w:rsidP="0016095F">
            <w:pPr>
              <w:ind w:left="360"/>
              <w:rPr>
                <w:sz w:val="20"/>
                <w:szCs w:val="20"/>
              </w:rPr>
            </w:pPr>
            <w:r w:rsidRPr="00EB43F3">
              <w:rPr>
                <w:sz w:val="20"/>
                <w:szCs w:val="20"/>
              </w:rPr>
              <w:t xml:space="preserve">The Massachusetts Youth Risk Behavior Survey (MYRBS) is conducted every two years through a collaborative effort between the Massachusetts Department of Elementary and Secondary Education (ESE) and Department of Public Health (DPH) to monitor health indicators, behaviors, and risk factors contributing to the leading causes of morbidity, mortality, and social and academic problems among adolescents. For more information see </w:t>
            </w:r>
            <w:hyperlink r:id="rId84" w:history="1">
              <w:r w:rsidRPr="00EB43F3">
                <w:rPr>
                  <w:rStyle w:val="Hyperlink"/>
                  <w:color w:val="auto"/>
                  <w:sz w:val="20"/>
                  <w:szCs w:val="20"/>
                </w:rPr>
                <w:t>https://www.mass.gov/lists/massachusetts-youth-health-survey-myhs</w:t>
              </w:r>
            </w:hyperlink>
            <w:r w:rsidRPr="00EB43F3">
              <w:rPr>
                <w:sz w:val="20"/>
                <w:szCs w:val="20"/>
              </w:rPr>
              <w:t xml:space="preserve"> </w:t>
            </w:r>
          </w:p>
        </w:tc>
      </w:tr>
      <w:tr w:rsidR="00EB43F3" w:rsidRPr="00EB43F3" w14:paraId="2B4C4427" w14:textId="77777777" w:rsidTr="00C44482">
        <w:trPr>
          <w:trHeight w:val="538"/>
        </w:trPr>
        <w:tc>
          <w:tcPr>
            <w:tcW w:w="1655" w:type="dxa"/>
            <w:hideMark/>
          </w:tcPr>
          <w:p w14:paraId="3416E082" w14:textId="77777777" w:rsidR="00EA2C5A" w:rsidRPr="00EB43F3" w:rsidRDefault="00EA2C5A" w:rsidP="0016095F">
            <w:pPr>
              <w:ind w:left="360"/>
              <w:rPr>
                <w:sz w:val="20"/>
                <w:szCs w:val="20"/>
              </w:rPr>
            </w:pPr>
            <w:r w:rsidRPr="00EB43F3">
              <w:rPr>
                <w:b/>
                <w:bCs/>
                <w:sz w:val="20"/>
                <w:szCs w:val="20"/>
              </w:rPr>
              <w:t>Strengths</w:t>
            </w:r>
          </w:p>
        </w:tc>
        <w:tc>
          <w:tcPr>
            <w:tcW w:w="8265" w:type="dxa"/>
            <w:hideMark/>
          </w:tcPr>
          <w:p w14:paraId="6CAFB1FE" w14:textId="77777777" w:rsidR="00EA2C5A" w:rsidRPr="00EB43F3" w:rsidRDefault="00EA2C5A" w:rsidP="0016095F">
            <w:pPr>
              <w:ind w:left="360"/>
              <w:rPr>
                <w:sz w:val="20"/>
                <w:szCs w:val="20"/>
              </w:rPr>
            </w:pPr>
            <w:r w:rsidRPr="00EB43F3">
              <w:rPr>
                <w:sz w:val="20"/>
                <w:szCs w:val="20"/>
              </w:rPr>
              <w:t xml:space="preserve">A two-stage sampling method is used to produce representative samples of students in grades 9 – 12. Response rates are high. </w:t>
            </w:r>
          </w:p>
        </w:tc>
      </w:tr>
      <w:tr w:rsidR="00EB43F3" w:rsidRPr="00EB43F3" w14:paraId="2EC4E457" w14:textId="77777777" w:rsidTr="00C44482">
        <w:trPr>
          <w:trHeight w:val="667"/>
        </w:trPr>
        <w:tc>
          <w:tcPr>
            <w:tcW w:w="1655" w:type="dxa"/>
            <w:hideMark/>
          </w:tcPr>
          <w:p w14:paraId="27DF4EC8" w14:textId="77777777" w:rsidR="00EA2C5A" w:rsidRPr="00EB43F3" w:rsidRDefault="00EA2C5A" w:rsidP="0016095F">
            <w:pPr>
              <w:ind w:left="360"/>
              <w:rPr>
                <w:sz w:val="20"/>
                <w:szCs w:val="20"/>
              </w:rPr>
            </w:pPr>
            <w:r w:rsidRPr="00EB43F3">
              <w:rPr>
                <w:b/>
                <w:bCs/>
                <w:sz w:val="20"/>
                <w:szCs w:val="20"/>
              </w:rPr>
              <w:t>Limitations</w:t>
            </w:r>
          </w:p>
        </w:tc>
        <w:tc>
          <w:tcPr>
            <w:tcW w:w="8265" w:type="dxa"/>
            <w:hideMark/>
          </w:tcPr>
          <w:p w14:paraId="3CDE147D" w14:textId="77777777" w:rsidR="00EA2C5A" w:rsidRPr="00EB43F3" w:rsidRDefault="00EA2C5A" w:rsidP="0016095F">
            <w:pPr>
              <w:ind w:left="360"/>
              <w:rPr>
                <w:sz w:val="20"/>
                <w:szCs w:val="20"/>
              </w:rPr>
            </w:pPr>
            <w:r w:rsidRPr="00EB43F3">
              <w:rPr>
                <w:sz w:val="20"/>
                <w:szCs w:val="20"/>
              </w:rPr>
              <w:t>All data collected for the MYRBS and the MYHS are based on self-report from students. Self-reported data may be subject to error for several reasons, including inaccurate recall of events.</w:t>
            </w:r>
          </w:p>
        </w:tc>
      </w:tr>
    </w:tbl>
    <w:p w14:paraId="5278AAC8" w14:textId="77777777" w:rsidR="00EA2C5A" w:rsidRPr="00EB43F3" w:rsidRDefault="00EA2C5A" w:rsidP="00EA2C5A">
      <w:pPr>
        <w:ind w:left="360"/>
      </w:pPr>
      <w:r w:rsidRPr="00EB43F3">
        <w:br w:type="page"/>
      </w:r>
    </w:p>
    <w:p w14:paraId="6A2D40A8" w14:textId="0E365F6C" w:rsidR="00B55FE7" w:rsidRPr="00EB43F3" w:rsidRDefault="00ED2D42" w:rsidP="38A4F72D">
      <w:pPr>
        <w:pStyle w:val="Heading1"/>
        <w:rPr>
          <w:color w:val="auto"/>
        </w:rPr>
      </w:pPr>
      <w:bookmarkStart w:id="73" w:name="_INTERPRETING_HIV,_STD,"/>
      <w:bookmarkStart w:id="74" w:name="_Toc46813291"/>
      <w:bookmarkEnd w:id="73"/>
      <w:r>
        <w:lastRenderedPageBreak/>
        <w:t xml:space="preserve">INTERPRETING HIV, </w:t>
      </w:r>
      <w:r w:rsidR="00285320">
        <w:t>STI</w:t>
      </w:r>
      <w:r>
        <w:t>, AND VIRAL HEPATITIS DATA</w:t>
      </w:r>
      <w:bookmarkEnd w:id="74"/>
    </w:p>
    <w:p w14:paraId="510FEEE0" w14:textId="0FFB6D13" w:rsidR="00ED2D42" w:rsidRPr="00967359" w:rsidRDefault="00EB43F3" w:rsidP="003218BE">
      <w:pPr>
        <w:spacing w:after="120"/>
      </w:pPr>
      <w:r w:rsidRPr="00EB43F3">
        <w:t xml:space="preserve">Hepatitis A and hepatitis B surveillance data are current as of July 17, 2024, </w:t>
      </w:r>
      <w:r w:rsidR="008203AA">
        <w:t>hepatitis C (HCV)</w:t>
      </w:r>
      <w:r w:rsidRPr="00EB43F3">
        <w:t xml:space="preserve"> data are as of July 31, 2024, HIV data are as of July 1, 2024, and </w:t>
      </w:r>
      <w:r w:rsidR="00285320">
        <w:t>STI</w:t>
      </w:r>
      <w:r w:rsidRPr="00EB43F3">
        <w:t xml:space="preserve"> data are as of July 22, 2024. All data are subject to change</w:t>
      </w:r>
      <w:r w:rsidR="00ED2D42" w:rsidRPr="00967359">
        <w:t>.</w:t>
      </w:r>
    </w:p>
    <w:p w14:paraId="3C1D97B5" w14:textId="184B1AC4" w:rsidR="749B9372" w:rsidRPr="003B0BB0" w:rsidRDefault="749B9372" w:rsidP="79266510">
      <w:pPr>
        <w:spacing w:after="120"/>
        <w:rPr>
          <w:b/>
          <w:u w:val="single"/>
        </w:rPr>
      </w:pPr>
      <w:r w:rsidRPr="003B0BB0">
        <w:rPr>
          <w:b/>
          <w:u w:val="single"/>
        </w:rPr>
        <w:t xml:space="preserve">I. </w:t>
      </w:r>
      <w:r w:rsidR="2EAECA9D" w:rsidRPr="003B0BB0">
        <w:rPr>
          <w:b/>
          <w:bCs/>
          <w:u w:val="single"/>
        </w:rPr>
        <w:t xml:space="preserve">Impact of </w:t>
      </w:r>
      <w:r w:rsidR="2EAECA9D" w:rsidRPr="003B0BB0">
        <w:rPr>
          <w:b/>
          <w:u w:val="single"/>
        </w:rPr>
        <w:t xml:space="preserve">COVID-19 </w:t>
      </w:r>
    </w:p>
    <w:p w14:paraId="0F401042" w14:textId="3B77198A" w:rsidR="1AE25F83" w:rsidRDefault="749B9372" w:rsidP="79266510">
      <w:pPr>
        <w:spacing w:after="120"/>
      </w:pPr>
      <w:r>
        <w:t xml:space="preserve">The coronavirus disease 2019 (COVID-19) pandemic </w:t>
      </w:r>
      <w:r w:rsidR="053F0CA0">
        <w:t xml:space="preserve">has </w:t>
      </w:r>
      <w:r>
        <w:t xml:space="preserve">had a large impact on the screening, treatment, and surveillance of other infectious diseases in 2020 and 2021. Nationally, the Centers for Disease Control and Prevention (CDC) observed a sharp decline in reported </w:t>
      </w:r>
      <w:r w:rsidR="00285320">
        <w:t>STI</w:t>
      </w:r>
      <w:r>
        <w:t xml:space="preserve"> cases from March-April 2020, compared to March-April 2019.</w:t>
      </w:r>
      <w:r w:rsidR="1AE25F83" w:rsidRPr="79266510">
        <w:rPr>
          <w:rStyle w:val="FootnoteReference"/>
        </w:rPr>
        <w:footnoteReference w:id="154"/>
      </w:r>
      <w:r>
        <w:t xml:space="preserve"> Three factors were cited as likely contributing to the initial decrease in reported cases: </w:t>
      </w:r>
    </w:p>
    <w:p w14:paraId="2E4301CF" w14:textId="5468ACD6" w:rsidR="749B9372" w:rsidRDefault="749B9372" w:rsidP="79266510">
      <w:pPr>
        <w:numPr>
          <w:ilvl w:val="0"/>
          <w:numId w:val="2"/>
        </w:numPr>
      </w:pPr>
      <w:r>
        <w:t>Reduced screening – many health care clinics limited in-person visits to symptomatic cases or closed down.</w:t>
      </w:r>
    </w:p>
    <w:p w14:paraId="18D51918" w14:textId="0FFE52A1" w:rsidR="749B9372" w:rsidRDefault="749B9372" w:rsidP="79266510">
      <w:pPr>
        <w:numPr>
          <w:ilvl w:val="0"/>
          <w:numId w:val="2"/>
        </w:numPr>
      </w:pPr>
      <w:r>
        <w:t xml:space="preserve">Limited resources – many state and local health department </w:t>
      </w:r>
      <w:r w:rsidR="00285320">
        <w:t>STI</w:t>
      </w:r>
      <w:r>
        <w:t xml:space="preserve"> staff were redirected from routine </w:t>
      </w:r>
      <w:r w:rsidR="00285320">
        <w:t>STI</w:t>
      </w:r>
      <w:r>
        <w:t xml:space="preserve"> responsibilities to COVID-19 activities, which affected </w:t>
      </w:r>
      <w:r w:rsidR="00285320">
        <w:t>STI</w:t>
      </w:r>
      <w:r>
        <w:t xml:space="preserve"> tracking capacity and reporting.</w:t>
      </w:r>
    </w:p>
    <w:p w14:paraId="630C2732" w14:textId="709541F3" w:rsidR="749B9372" w:rsidRDefault="749B9372" w:rsidP="79266510">
      <w:pPr>
        <w:numPr>
          <w:ilvl w:val="0"/>
          <w:numId w:val="2"/>
        </w:numPr>
        <w:spacing w:after="120"/>
      </w:pPr>
      <w:r>
        <w:t xml:space="preserve">Social distancing measures – intended to reduce COVID-19 spread, they may have influenced sexual behaviors and reduced </w:t>
      </w:r>
      <w:r w:rsidR="00285320">
        <w:t>STI</w:t>
      </w:r>
      <w:r>
        <w:t xml:space="preserve"> transmission.</w:t>
      </w:r>
      <w:r w:rsidRPr="79266510">
        <w:rPr>
          <w:vertAlign w:val="superscript"/>
        </w:rPr>
        <w:t xml:space="preserve"> </w:t>
      </w:r>
    </w:p>
    <w:p w14:paraId="57E4AB8A" w14:textId="6347361B" w:rsidR="749B9372" w:rsidRDefault="749B9372" w:rsidP="79266510">
      <w:pPr>
        <w:spacing w:after="120"/>
      </w:pPr>
      <w:r>
        <w:t xml:space="preserve">After the initial decrease in 2020, an increase across </w:t>
      </w:r>
      <w:r w:rsidR="00285320">
        <w:t>STI</w:t>
      </w:r>
      <w:r>
        <w:t>s was observed nationally</w:t>
      </w:r>
      <w:r w:rsidRPr="79266510">
        <w:rPr>
          <w:rStyle w:val="FootnoteReference"/>
        </w:rPr>
        <w:footnoteReference w:id="155"/>
      </w:r>
      <w:r>
        <w:t xml:space="preserve"> and in the Commonwealth in 2021 and 2022. Possible factors contributing to an increase in reported cases include:</w:t>
      </w:r>
    </w:p>
    <w:p w14:paraId="673FB00D" w14:textId="04139F16" w:rsidR="749B9372" w:rsidRDefault="749B9372" w:rsidP="79266510">
      <w:pPr>
        <w:numPr>
          <w:ilvl w:val="0"/>
          <w:numId w:val="2"/>
        </w:numPr>
      </w:pPr>
      <w:r>
        <w:t>Increased service utilization after health care clinics re-opened.</w:t>
      </w:r>
    </w:p>
    <w:p w14:paraId="1D613ABB" w14:textId="5B0F6DD5" w:rsidR="749B9372" w:rsidRDefault="749B9372" w:rsidP="79266510">
      <w:pPr>
        <w:numPr>
          <w:ilvl w:val="0"/>
          <w:numId w:val="2"/>
        </w:numPr>
      </w:pPr>
      <w:r>
        <w:t xml:space="preserve">Continued direction of services to patients most likely to be infected, increasing the number of cases identified. </w:t>
      </w:r>
    </w:p>
    <w:p w14:paraId="407C4155" w14:textId="459D7FFB" w:rsidR="749B9372" w:rsidRDefault="749B9372" w:rsidP="79266510">
      <w:pPr>
        <w:numPr>
          <w:ilvl w:val="0"/>
          <w:numId w:val="2"/>
        </w:numPr>
        <w:spacing w:after="120"/>
        <w:rPr>
          <w:b/>
          <w:bCs/>
        </w:rPr>
      </w:pPr>
      <w:r>
        <w:t xml:space="preserve">Higher disease transmission - due to reduced access to care, those with an </w:t>
      </w:r>
      <w:r w:rsidR="00285320">
        <w:t>STI</w:t>
      </w:r>
      <w:r>
        <w:t xml:space="preserve"> may have had their infections longer, providing more opportunities to transmit infection to their sexual partners. Additionally, following the initial shelter-in-place orders, sexual behaviors may have changed, including frequency of new sexual partners, leading to spread in sexual networks.</w:t>
      </w:r>
      <w:r w:rsidRPr="79266510">
        <w:rPr>
          <w:rStyle w:val="FootnoteReference"/>
        </w:rPr>
        <w:footnoteReference w:id="156"/>
      </w:r>
    </w:p>
    <w:p w14:paraId="7C9E2DCC" w14:textId="6C5C2190" w:rsidR="749B9372" w:rsidRDefault="749B9372" w:rsidP="79266510">
      <w:pPr>
        <w:spacing w:after="120"/>
      </w:pPr>
      <w:r>
        <w:t xml:space="preserve"> The full effects of the COVID-19 pandemic on case detection and reporting and efforts to control the spread of infectious disease in the Commonwealth have yet to be determined. As such, please interpret infectious disease data from 2020 to 2023 with caution.</w:t>
      </w:r>
    </w:p>
    <w:p w14:paraId="79294103" w14:textId="244A0D80" w:rsidR="79266510" w:rsidRPr="003B0BB0" w:rsidRDefault="136C4A48" w:rsidP="79266510">
      <w:pPr>
        <w:spacing w:after="120"/>
        <w:rPr>
          <w:rFonts w:eastAsiaTheme="minorEastAsia"/>
          <w:b/>
          <w:szCs w:val="24"/>
          <w:u w:val="single"/>
        </w:rPr>
      </w:pPr>
      <w:r w:rsidRPr="003B0BB0">
        <w:rPr>
          <w:rFonts w:eastAsiaTheme="minorEastAsia"/>
          <w:b/>
          <w:bCs/>
          <w:szCs w:val="24"/>
          <w:u w:val="single"/>
        </w:rPr>
        <w:t>II</w:t>
      </w:r>
      <w:r w:rsidRPr="003B0BB0">
        <w:rPr>
          <w:rFonts w:eastAsiaTheme="minorEastAsia"/>
          <w:b/>
          <w:szCs w:val="24"/>
          <w:u w:val="single"/>
        </w:rPr>
        <w:t>. Gender</w:t>
      </w:r>
    </w:p>
    <w:p w14:paraId="481022F7" w14:textId="2E1A400A" w:rsidR="001B177F" w:rsidRDefault="136C4A48" w:rsidP="001B177F">
      <w:pPr>
        <w:spacing w:after="120"/>
        <w:rPr>
          <w:rFonts w:eastAsiaTheme="minorEastAsia"/>
          <w:szCs w:val="24"/>
        </w:rPr>
      </w:pPr>
      <w:r w:rsidRPr="003B0BB0">
        <w:rPr>
          <w:rFonts w:eastAsiaTheme="minorEastAsia"/>
          <w:color w:val="333333"/>
          <w:szCs w:val="24"/>
        </w:rPr>
        <w:t xml:space="preserve">Gender is a multi-dimensional construct that includes identity (e.g., man, woman, genderqueer, nonbinary) and expression (e.g., masculine, feminine, neither masculine nor feminine, or both masculine and feminine, or something else through appearance and behavior). </w:t>
      </w:r>
      <w:r w:rsidRPr="003B0BB0">
        <w:rPr>
          <w:rFonts w:eastAsiaTheme="minorEastAsia"/>
          <w:szCs w:val="24"/>
        </w:rPr>
        <w:t xml:space="preserve"> </w:t>
      </w:r>
      <w:r w:rsidR="001B177F">
        <w:rPr>
          <w:rFonts w:eastAsiaTheme="minorEastAsia"/>
          <w:szCs w:val="24"/>
        </w:rPr>
        <w:br w:type="page"/>
      </w:r>
    </w:p>
    <w:p w14:paraId="07A525C1" w14:textId="74002DBF" w:rsidR="136C4A48" w:rsidRPr="003B0BB0" w:rsidRDefault="136C4A48" w:rsidP="2490D1B0">
      <w:pPr>
        <w:spacing w:after="120"/>
        <w:rPr>
          <w:rFonts w:eastAsiaTheme="minorEastAsia"/>
          <w:b/>
          <w:szCs w:val="24"/>
          <w:u w:val="single"/>
        </w:rPr>
      </w:pPr>
      <w:r w:rsidRPr="003B0BB0">
        <w:rPr>
          <w:rFonts w:eastAsiaTheme="minorEastAsia"/>
          <w:b/>
          <w:szCs w:val="24"/>
          <w:u w:val="single"/>
        </w:rPr>
        <w:lastRenderedPageBreak/>
        <w:t>III. Individuals of Transgender Experience and Nonbinary Individuals</w:t>
      </w:r>
    </w:p>
    <w:p w14:paraId="5ED63211" w14:textId="518E4398" w:rsidR="733F20F3" w:rsidRPr="003B0BB0" w:rsidRDefault="319A327F" w:rsidP="733F20F3">
      <w:pPr>
        <w:spacing w:after="120"/>
      </w:pPr>
      <w:r>
        <w:t>Please note reported numbers among individuals of transgender experience and individuals who are nonbinary are likely to be underestimates. Gender may be under or misreported due to the effects of stigma and discrimination, lack of experience and/or training among medical professionals in treating the unique needs of transgender and nonbinary patients, as well as the absence of appropriate collection of gender options in medical records (e.g., individuals who are genderqueer, pangender, gender fluid, androgynous, etc.)</w:t>
      </w:r>
      <w:r w:rsidR="00A75DC0">
        <w:t>.</w:t>
      </w:r>
    </w:p>
    <w:p w14:paraId="6B4BFA50" w14:textId="6C29CBE5" w:rsidR="00ED2D42" w:rsidRPr="00B04B9A" w:rsidRDefault="42335DC6" w:rsidP="003218BE">
      <w:pPr>
        <w:spacing w:after="120"/>
      </w:pPr>
      <w:r w:rsidRPr="4A203125">
        <w:rPr>
          <w:b/>
          <w:bCs/>
          <w:u w:val="single"/>
        </w:rPr>
        <w:t>I</w:t>
      </w:r>
      <w:r w:rsidR="7E624836" w:rsidRPr="4A203125">
        <w:rPr>
          <w:b/>
          <w:bCs/>
          <w:u w:val="single"/>
        </w:rPr>
        <w:t>V</w:t>
      </w:r>
      <w:r w:rsidR="00ED2D42" w:rsidRPr="00B04B9A">
        <w:rPr>
          <w:b/>
          <w:bCs/>
          <w:u w:val="single"/>
        </w:rPr>
        <w:t>. HIV Primary Exposure Mode Definitions</w:t>
      </w:r>
    </w:p>
    <w:p w14:paraId="5CCEC154" w14:textId="77777777" w:rsidR="00ED2D42" w:rsidRPr="00B04B9A" w:rsidRDefault="00ED2D42" w:rsidP="003218BE">
      <w:pPr>
        <w:spacing w:after="120"/>
      </w:pPr>
      <w:r w:rsidRPr="00B04B9A">
        <w:t>The HIV primary exposure mode indicates the most probable exposure associated with HIV infection. Assignment of primary exposure mode is done in accordance with Centers for Disease Control and Prevention (CDC) guidelines when multiple exposure modes are reported. Although the reported primary exposure mode is the most likely mode of transmission, there is always the possibility that it is not the actual mode of transmission. Following is a description of the exposure mode categories:</w:t>
      </w:r>
    </w:p>
    <w:p w14:paraId="02DB8D82" w14:textId="77777777" w:rsidR="00ED2D42" w:rsidRPr="00B04B9A" w:rsidRDefault="00ED2D42" w:rsidP="00F84E3A">
      <w:pPr>
        <w:numPr>
          <w:ilvl w:val="0"/>
          <w:numId w:val="16"/>
        </w:numPr>
        <w:spacing w:after="120"/>
      </w:pPr>
      <w:r w:rsidRPr="00B04B9A">
        <w:rPr>
          <w:b/>
          <w:bCs/>
        </w:rPr>
        <w:t xml:space="preserve">MSM (Male-to-Male Sex): </w:t>
      </w:r>
      <w:r w:rsidRPr="00B04B9A">
        <w:t>Includes all individuals assigned male at birth who report any sexual contact with other individuals that identify as male. Please note that in accordance with CDC guidelines, this category is defined by an individual’s assigned sex at birth and not an individual’s current gender identity.</w:t>
      </w:r>
    </w:p>
    <w:p w14:paraId="3BD06D79" w14:textId="77777777" w:rsidR="00ED2D42" w:rsidRPr="00B04B9A" w:rsidRDefault="00ED2D42" w:rsidP="00F84E3A">
      <w:pPr>
        <w:numPr>
          <w:ilvl w:val="1"/>
          <w:numId w:val="16"/>
        </w:numPr>
        <w:spacing w:after="120"/>
      </w:pPr>
      <w:r w:rsidRPr="00B04B9A">
        <w:rPr>
          <w:b/>
          <w:bCs/>
        </w:rPr>
        <w:t>Sex with Men:</w:t>
      </w:r>
      <w:r w:rsidRPr="00B04B9A">
        <w:t xml:space="preserve"> This exposure mode category is used by the Bureau of Infectious Disease and Laboratory Sciences (BIDLS) to categorize sexual risk in transgender women reporting sex with men only. For the purposes of official reporting in the MA HIV Surveillance System and to CDC, exposure mode for transgender women is based on sex assigned at birth, and therefore would be reported as male-to-male sex.</w:t>
      </w:r>
    </w:p>
    <w:p w14:paraId="46048C1B" w14:textId="77777777" w:rsidR="00ED2D42" w:rsidRPr="00B04B9A" w:rsidRDefault="00ED2D42" w:rsidP="00F84E3A">
      <w:pPr>
        <w:numPr>
          <w:ilvl w:val="0"/>
          <w:numId w:val="16"/>
        </w:numPr>
        <w:spacing w:after="120"/>
      </w:pPr>
      <w:r w:rsidRPr="00B04B9A">
        <w:rPr>
          <w:b/>
          <w:bCs/>
        </w:rPr>
        <w:t xml:space="preserve">IDU (Injection Drug Use): </w:t>
      </w:r>
      <w:r w:rsidRPr="00B04B9A">
        <w:t xml:space="preserve">Cases among persons who report injection drug use. </w:t>
      </w:r>
    </w:p>
    <w:p w14:paraId="377FCDC9" w14:textId="77777777" w:rsidR="00ED2D42" w:rsidRPr="00B04B9A" w:rsidRDefault="00ED2D42" w:rsidP="00F84E3A">
      <w:pPr>
        <w:numPr>
          <w:ilvl w:val="0"/>
          <w:numId w:val="16"/>
        </w:numPr>
        <w:spacing w:after="120"/>
      </w:pPr>
      <w:r w:rsidRPr="00B04B9A">
        <w:rPr>
          <w:b/>
          <w:bCs/>
        </w:rPr>
        <w:t xml:space="preserve">MSM/IDU: </w:t>
      </w:r>
      <w:r w:rsidRPr="00B04B9A">
        <w:t>Includes all individuals assigned male at birth who report both injection drug use and any sexual contact with other individuals that identify as male.</w:t>
      </w:r>
    </w:p>
    <w:p w14:paraId="3D067A07" w14:textId="77777777" w:rsidR="00ED2D42" w:rsidRPr="00B04B9A" w:rsidRDefault="2A65CC0D" w:rsidP="00F84E3A">
      <w:pPr>
        <w:numPr>
          <w:ilvl w:val="1"/>
          <w:numId w:val="16"/>
        </w:numPr>
        <w:spacing w:after="120"/>
      </w:pPr>
      <w:r w:rsidRPr="388E5C6E">
        <w:rPr>
          <w:b/>
          <w:bCs/>
        </w:rPr>
        <w:t xml:space="preserve">Sex with Men/IDU: </w:t>
      </w:r>
      <w:r>
        <w:t>This exposure mode category is used by BIDLS to categorize sexual risk in transgender women reporting both sex with men and injection drug use. For the purposes of official reporting in the MA HIV Surveillance System and to CDC, exposure mode for transgender women is based on sex assigned at birth, and therefore would be reported as MSM/IDU.</w:t>
      </w:r>
    </w:p>
    <w:p w14:paraId="3C84287F" w14:textId="77777777" w:rsidR="00ED2D42" w:rsidRPr="00B04B9A" w:rsidRDefault="00ED2D42" w:rsidP="00F84E3A">
      <w:pPr>
        <w:numPr>
          <w:ilvl w:val="0"/>
          <w:numId w:val="16"/>
        </w:numPr>
        <w:spacing w:after="120"/>
      </w:pPr>
      <w:r w:rsidRPr="00B04B9A">
        <w:rPr>
          <w:b/>
          <w:bCs/>
        </w:rPr>
        <w:t xml:space="preserve">Heterosexual Sex: </w:t>
      </w:r>
      <w:r w:rsidRPr="00B04B9A">
        <w:t>Cases among persons who report heterosexual sex with a person diagnosed with, or at increased risk for, HIV infection (e.g., a PWID). The sub-categories for this mode of transmission are listed below.</w:t>
      </w:r>
    </w:p>
    <w:p w14:paraId="351274B1" w14:textId="77777777" w:rsidR="00ED2D42" w:rsidRPr="00B04B9A" w:rsidRDefault="2A65CC0D" w:rsidP="00F84E3A">
      <w:pPr>
        <w:numPr>
          <w:ilvl w:val="1"/>
          <w:numId w:val="16"/>
        </w:numPr>
      </w:pPr>
      <w:r>
        <w:t xml:space="preserve">Heterosexual Sex w/ a person who injects drugs </w:t>
      </w:r>
    </w:p>
    <w:p w14:paraId="20137B00" w14:textId="77777777" w:rsidR="00ED2D42" w:rsidRPr="00B04B9A" w:rsidRDefault="2A65CC0D" w:rsidP="00F84E3A">
      <w:pPr>
        <w:numPr>
          <w:ilvl w:val="1"/>
          <w:numId w:val="16"/>
        </w:numPr>
      </w:pPr>
      <w:r>
        <w:t xml:space="preserve">Heterosexual Sex w/ a person diagnosed w/ HIV infection or AIDS </w:t>
      </w:r>
    </w:p>
    <w:p w14:paraId="26627A88" w14:textId="77777777" w:rsidR="00ED2D42" w:rsidRPr="00B04B9A" w:rsidRDefault="2A65CC0D" w:rsidP="00F84E3A">
      <w:pPr>
        <w:numPr>
          <w:ilvl w:val="1"/>
          <w:numId w:val="16"/>
        </w:numPr>
      </w:pPr>
      <w:r>
        <w:t xml:space="preserve">Heterosexual Sex w/ a bisexual male </w:t>
      </w:r>
    </w:p>
    <w:p w14:paraId="2B036A7B" w14:textId="77777777" w:rsidR="00ED2D42" w:rsidRPr="00B04B9A" w:rsidRDefault="2A65CC0D" w:rsidP="00F84E3A">
      <w:pPr>
        <w:numPr>
          <w:ilvl w:val="1"/>
          <w:numId w:val="16"/>
        </w:numPr>
        <w:spacing w:after="120"/>
      </w:pPr>
      <w:r>
        <w:t xml:space="preserve">Other Heterosexual Sex: Includes all other sub-categories of heterosexual risk, such as heterosexual contact with a person infected through a blood transfusion. </w:t>
      </w:r>
    </w:p>
    <w:p w14:paraId="3D18B791" w14:textId="77777777" w:rsidR="00ED2D42" w:rsidRPr="00B04B9A" w:rsidRDefault="00ED2D42" w:rsidP="00F84E3A">
      <w:pPr>
        <w:numPr>
          <w:ilvl w:val="0"/>
          <w:numId w:val="16"/>
        </w:numPr>
        <w:spacing w:after="120"/>
      </w:pPr>
      <w:r w:rsidRPr="00B04B9A">
        <w:rPr>
          <w:b/>
          <w:bCs/>
        </w:rPr>
        <w:t xml:space="preserve">Other: </w:t>
      </w:r>
      <w:r w:rsidRPr="00B04B9A">
        <w:t>Cases among persons with other known exposure modes, including receipt of clotting factor, receipt of transfusion or transplant, and person-to-child transmission through pregnancy, childbirth, or breastfeeding (perinatal transmission).</w:t>
      </w:r>
    </w:p>
    <w:p w14:paraId="5238518F" w14:textId="5E125591" w:rsidR="00ED2D42" w:rsidRPr="00B04B9A" w:rsidRDefault="00ED2D42" w:rsidP="00F84E3A">
      <w:pPr>
        <w:numPr>
          <w:ilvl w:val="0"/>
          <w:numId w:val="16"/>
        </w:numPr>
        <w:spacing w:after="120"/>
      </w:pPr>
      <w:r w:rsidRPr="00B04B9A">
        <w:rPr>
          <w:b/>
          <w:bCs/>
        </w:rPr>
        <w:lastRenderedPageBreak/>
        <w:t xml:space="preserve">Presumed Heterosexual: </w:t>
      </w:r>
      <w:r w:rsidRPr="00B04B9A">
        <w:t xml:space="preserve">The presumed heterosexual risk category is used by BIDLS exclusively for individuals assigned female at birth to identify HIV exposure mode when sex with individuals that identify as male was the only reported risk factor, there was no evidence of current or past injection drug use (IDU), and behavioral risk and HIV status information about sexual partners that identify as male was unknown. The rationale for the application of the presumed heterosexual risk category to individuals assigned female at birth only has been addressed in the </w:t>
      </w:r>
      <w:r w:rsidR="00D3661F">
        <w:t>DPH</w:t>
      </w:r>
      <w:r w:rsidRPr="00B04B9A">
        <w:t xml:space="preserve"> Office of HIV report “Intersecting Risks: HIV Infection among Heterosexual Women and Men in Massachusetts” (2010).</w:t>
      </w:r>
    </w:p>
    <w:p w14:paraId="559DCD5D" w14:textId="77777777" w:rsidR="00ED2D42" w:rsidRPr="00B04B9A" w:rsidRDefault="00ED2D42" w:rsidP="00F84E3A">
      <w:pPr>
        <w:numPr>
          <w:ilvl w:val="0"/>
          <w:numId w:val="16"/>
        </w:numPr>
        <w:spacing w:after="120"/>
      </w:pPr>
      <w:r w:rsidRPr="00B04B9A">
        <w:rPr>
          <w:b/>
          <w:bCs/>
        </w:rPr>
        <w:t>NIR (No Identified Risk):</w:t>
      </w:r>
      <w:r w:rsidRPr="00B04B9A">
        <w:t xml:space="preserve"> Cases among persons with no reported history of exposure to HIV through any of the listed exposure categories. Follow-up is conducted to determine exposure for those cases that are initially reported without an exposure mode identified. Includes cases among individuals assigned male at birth who were previously categorized in Massachusetts as Presumed Heterosexual.</w:t>
      </w:r>
    </w:p>
    <w:p w14:paraId="21DC50A3" w14:textId="6C339546" w:rsidR="00ED2D42" w:rsidRPr="00B04B9A" w:rsidRDefault="3EBC671D" w:rsidP="003218BE">
      <w:pPr>
        <w:spacing w:after="120"/>
      </w:pPr>
      <w:r w:rsidRPr="1C5A8E96">
        <w:rPr>
          <w:b/>
          <w:bCs/>
          <w:u w:val="single"/>
        </w:rPr>
        <w:t>V</w:t>
      </w:r>
      <w:r w:rsidR="00ED2D42" w:rsidRPr="00B04B9A">
        <w:rPr>
          <w:b/>
          <w:bCs/>
          <w:u w:val="single"/>
        </w:rPr>
        <w:t>.  References to Newly Diagnosed HIV Infections</w:t>
      </w:r>
    </w:p>
    <w:p w14:paraId="1C0E4D9E" w14:textId="598391AC" w:rsidR="00ED2D42" w:rsidRPr="00B04B9A" w:rsidRDefault="2A50A794" w:rsidP="003218BE">
      <w:pPr>
        <w:spacing w:after="120"/>
      </w:pPr>
      <w:r>
        <w:t>Due to the extensive follow</w:t>
      </w:r>
      <w:r w:rsidR="00C40C14">
        <w:t>-</w:t>
      </w:r>
      <w:r>
        <w:t xml:space="preserve">up required to verify accurate date of diagnosis, all HIV data reflect HIV infections diagnosed through </w:t>
      </w:r>
      <w:r w:rsidR="07D73799">
        <w:t>202</w:t>
      </w:r>
      <w:r w:rsidR="00652B88">
        <w:t>3</w:t>
      </w:r>
      <w:r>
        <w:t xml:space="preserve">.  Newly diagnosed HIV infections/cases include all persons diagnosed with HIV from </w:t>
      </w:r>
      <w:r w:rsidR="692F33AE">
        <w:t>20</w:t>
      </w:r>
      <w:r w:rsidR="00A8743D">
        <w:t>2</w:t>
      </w:r>
      <w:r w:rsidR="00652B88">
        <w:t>1</w:t>
      </w:r>
      <w:r w:rsidR="692F33AE">
        <w:t>-202</w:t>
      </w:r>
      <w:r w:rsidR="00652B88">
        <w:t>3</w:t>
      </w:r>
      <w:r>
        <w:t>, including those who were concurrently or subsequently diagnosed with AIDS. All HIV data are presented by the year of diagnosis, not the year of report.</w:t>
      </w:r>
    </w:p>
    <w:p w14:paraId="215A6A8A" w14:textId="10EB83EE" w:rsidR="543BB7E3" w:rsidRPr="00C40C14" w:rsidRDefault="543BB7E3" w:rsidP="6CD43B22">
      <w:pPr>
        <w:spacing w:after="120"/>
        <w:rPr>
          <w:b/>
          <w:bCs/>
          <w:u w:val="single"/>
        </w:rPr>
      </w:pPr>
      <w:r w:rsidRPr="00C40C14">
        <w:rPr>
          <w:b/>
          <w:bCs/>
          <w:u w:val="single"/>
        </w:rPr>
        <w:t>VI. Deaths among People Reported with HIV</w:t>
      </w:r>
    </w:p>
    <w:p w14:paraId="6F2F7A17" w14:textId="10D12B59" w:rsidR="543BB7E3" w:rsidRDefault="543BB7E3" w:rsidP="6CD43B22">
      <w:pPr>
        <w:spacing w:after="120"/>
      </w:pPr>
      <w:r>
        <w:t xml:space="preserve">The all-cause death data presented in this report include all deaths among people diagnosed and reported with HIV in Massachusetts to present a full description of trends in mortality among this population. This includes deaths from non-HIV related causes such as drug overdoses, suicides, motor vehicle accidents, and other causes. Therefore, the total number of annual deaths reported here will vary from the number of HIV-related deaths reported in Massachusetts Deaths by the Massachusetts Department of Public Health, Office of Population Health (available at </w:t>
      </w:r>
      <w:hyperlink r:id="rId85" w:history="1">
        <w:r w:rsidRPr="6CD43B22">
          <w:rPr>
            <w:rStyle w:val="Hyperlink"/>
          </w:rPr>
          <w:t>https://www.mass.gov/lists/death-data</w:t>
        </w:r>
      </w:hyperlink>
      <w:r>
        <w:t xml:space="preserve"> ). Data on deaths occurring in Massachusetts are from matches with the Massachusetts Registry of Vital Records and Statistics and from provider reports and are considered complete through 2023. Data on deaths occurring outside of Massachusetts are from matches with the Social Security Death Master File and were completed only partially for 2023 based on availability of data.</w:t>
      </w:r>
    </w:p>
    <w:p w14:paraId="6BC4560D" w14:textId="2A19CE1F" w:rsidR="00ED2D42" w:rsidRPr="00B04B9A" w:rsidRDefault="5A890A4D" w:rsidP="003218BE">
      <w:pPr>
        <w:spacing w:after="120"/>
      </w:pPr>
      <w:r w:rsidRPr="6CD43B22">
        <w:rPr>
          <w:b/>
          <w:bCs/>
          <w:u w:val="single"/>
        </w:rPr>
        <w:t>V</w:t>
      </w:r>
      <w:r w:rsidR="399B1EA3" w:rsidRPr="6CD43B22">
        <w:rPr>
          <w:b/>
          <w:bCs/>
          <w:u w:val="single"/>
        </w:rPr>
        <w:t>I</w:t>
      </w:r>
      <w:r w:rsidR="0630D13A" w:rsidRPr="6CD43B22">
        <w:rPr>
          <w:b/>
          <w:bCs/>
          <w:u w:val="single"/>
        </w:rPr>
        <w:t>I</w:t>
      </w:r>
      <w:r w:rsidR="399B1EA3" w:rsidRPr="6CD43B22">
        <w:rPr>
          <w:b/>
          <w:bCs/>
          <w:u w:val="single"/>
        </w:rPr>
        <w:t>.</w:t>
      </w:r>
      <w:r w:rsidR="00ED2D42" w:rsidRPr="6CD43B22">
        <w:rPr>
          <w:b/>
          <w:bCs/>
          <w:u w:val="single"/>
        </w:rPr>
        <w:t xml:space="preserve"> </w:t>
      </w:r>
      <w:r w:rsidRPr="6CD43B22">
        <w:rPr>
          <w:b/>
          <w:bCs/>
          <w:u w:val="single"/>
        </w:rPr>
        <w:t>Race/Ethnicity</w:t>
      </w:r>
      <w:r w:rsidR="00ED2D42" w:rsidRPr="6CD43B22">
        <w:rPr>
          <w:b/>
          <w:bCs/>
          <w:u w:val="single"/>
        </w:rPr>
        <w:t xml:space="preserve"> of </w:t>
      </w:r>
      <w:r w:rsidR="00285320">
        <w:rPr>
          <w:b/>
          <w:bCs/>
          <w:u w:val="single"/>
        </w:rPr>
        <w:t>STI</w:t>
      </w:r>
      <w:r w:rsidR="00ED2D42" w:rsidRPr="6CD43B22">
        <w:rPr>
          <w:b/>
          <w:bCs/>
          <w:u w:val="single"/>
        </w:rPr>
        <w:t xml:space="preserve"> and HIV Cases</w:t>
      </w:r>
    </w:p>
    <w:p w14:paraId="66261EA4" w14:textId="0693BEF2" w:rsidR="00ED2D42" w:rsidRPr="00B04B9A" w:rsidRDefault="00ED2D42" w:rsidP="003218BE">
      <w:pPr>
        <w:spacing w:after="120"/>
      </w:pPr>
      <w:r>
        <w:t>Race/ethnicity</w:t>
      </w:r>
      <w:r w:rsidR="512BBB29">
        <w:t xml:space="preserve"> </w:t>
      </w:r>
      <w:r w:rsidRPr="00B04B9A">
        <w:t xml:space="preserve">references to </w:t>
      </w:r>
      <w:r w:rsidR="007E2523">
        <w:t>White</w:t>
      </w:r>
      <w:r w:rsidRPr="00B04B9A">
        <w:t xml:space="preserve"> residents and </w:t>
      </w:r>
      <w:r w:rsidR="007E2523">
        <w:t>Black</w:t>
      </w:r>
      <w:r w:rsidRPr="00B04B9A">
        <w:t xml:space="preserve"> residents represent persons who are </w:t>
      </w:r>
      <w:r w:rsidR="007E2523">
        <w:t>White</w:t>
      </w:r>
      <w:r w:rsidRPr="00B04B9A">
        <w:t xml:space="preserve"> (non-Hispanic) and </w:t>
      </w:r>
      <w:r w:rsidR="007E2523">
        <w:t>Black</w:t>
      </w:r>
      <w:r w:rsidRPr="00B04B9A">
        <w:t xml:space="preserve"> (non-Hispanic), respectively.  All references to Hispanic/</w:t>
      </w:r>
      <w:r w:rsidR="0C157A0F">
        <w:t>Latin</w:t>
      </w:r>
      <w:r w:rsidR="07F41B33">
        <w:t>x</w:t>
      </w:r>
      <w:r w:rsidRPr="00B04B9A">
        <w:t xml:space="preserve"> for race/ethnicity represent persons of Hispanic/Latin</w:t>
      </w:r>
      <w:r w:rsidR="00145223">
        <w:t>x</w:t>
      </w:r>
      <w:r w:rsidRPr="00B04B9A">
        <w:t xml:space="preserve"> heritage regardless of race. </w:t>
      </w:r>
    </w:p>
    <w:p w14:paraId="5F726566" w14:textId="53EF9706" w:rsidR="00ED2D42" w:rsidRPr="00B04B9A" w:rsidRDefault="42335DC6" w:rsidP="003218BE">
      <w:pPr>
        <w:spacing w:after="120"/>
      </w:pPr>
      <w:r w:rsidRPr="6CD43B22">
        <w:rPr>
          <w:b/>
          <w:bCs/>
          <w:u w:val="single"/>
        </w:rPr>
        <w:t>V</w:t>
      </w:r>
      <w:r w:rsidR="4E433AF7" w:rsidRPr="6CD43B22">
        <w:rPr>
          <w:b/>
          <w:bCs/>
          <w:u w:val="single"/>
        </w:rPr>
        <w:t>II</w:t>
      </w:r>
      <w:r w:rsidR="60751AA1" w:rsidRPr="6CD43B22">
        <w:rPr>
          <w:b/>
          <w:bCs/>
          <w:u w:val="single"/>
        </w:rPr>
        <w:t>I</w:t>
      </w:r>
      <w:r w:rsidRPr="6CD43B22">
        <w:rPr>
          <w:b/>
          <w:bCs/>
          <w:u w:val="single"/>
        </w:rPr>
        <w:t>.</w:t>
      </w:r>
      <w:r w:rsidR="00ED2D42" w:rsidRPr="6CD43B22">
        <w:rPr>
          <w:b/>
          <w:bCs/>
          <w:u w:val="single"/>
        </w:rPr>
        <w:t xml:space="preserve"> </w:t>
      </w:r>
      <w:r w:rsidR="00285320">
        <w:rPr>
          <w:b/>
          <w:bCs/>
          <w:u w:val="single"/>
        </w:rPr>
        <w:t>STI</w:t>
      </w:r>
      <w:r w:rsidR="00ED2D42" w:rsidRPr="6CD43B22">
        <w:rPr>
          <w:b/>
          <w:bCs/>
          <w:u w:val="single"/>
        </w:rPr>
        <w:t xml:space="preserve"> Case Reports and Analyses</w:t>
      </w:r>
    </w:p>
    <w:p w14:paraId="42A8E281" w14:textId="45FE5F70" w:rsidR="00ED2D42" w:rsidRPr="00B04B9A" w:rsidRDefault="00ED2D42" w:rsidP="003218BE">
      <w:pPr>
        <w:spacing w:after="120"/>
      </w:pPr>
      <w:r w:rsidRPr="00B04B9A">
        <w:t xml:space="preserve">All information on </w:t>
      </w:r>
      <w:r w:rsidR="00285320">
        <w:t>STI</w:t>
      </w:r>
      <w:r w:rsidRPr="00B04B9A">
        <w:t xml:space="preserve"> cases reflects year of report. As of 1/1/2020, BIDLS calculates rates per 100,000 population using denominators estimated by the University of Massachusetts Donahue Institute using a modified Hamilton-Perry model. 20</w:t>
      </w:r>
      <w:r w:rsidR="00A8743D">
        <w:t>20</w:t>
      </w:r>
      <w:r w:rsidRPr="00B04B9A">
        <w:t xml:space="preserve"> population estimates were used for single-year rates; for pooled year rates (i.e., 20</w:t>
      </w:r>
      <w:r w:rsidR="00A8743D">
        <w:t>2</w:t>
      </w:r>
      <w:r w:rsidR="00652B88">
        <w:t>1</w:t>
      </w:r>
      <w:r w:rsidRPr="00B04B9A">
        <w:t>-20</w:t>
      </w:r>
      <w:r w:rsidR="00A8743D">
        <w:t>2</w:t>
      </w:r>
      <w:r w:rsidR="00652B88">
        <w:t>3</w:t>
      </w:r>
      <w:r w:rsidRPr="00B04B9A">
        <w:t>), the 20</w:t>
      </w:r>
      <w:r w:rsidR="00A8743D">
        <w:t>20</w:t>
      </w:r>
      <w:r w:rsidRPr="00B04B9A">
        <w:t xml:space="preserve"> population estimates were multiplied by three. For more information, see: Strate S, et al. Small Area Population Estimates for 2011 through 2020, report published Oct 2016, and </w:t>
      </w:r>
      <w:hyperlink r:id="rId86">
        <w:r w:rsidR="1AD85258" w:rsidRPr="533627D5">
          <w:rPr>
            <w:rStyle w:val="Hyperlink"/>
            <w:color w:val="3333FF"/>
          </w:rPr>
          <w:t>http://www.donahue.umassp.edu/business-groups/economic-public-policy-research/massachusetts-population-estimates-program</w:t>
        </w:r>
      </w:hyperlink>
      <w:r w:rsidR="1AD85258" w:rsidRPr="533627D5">
        <w:rPr>
          <w:color w:val="3333FF"/>
        </w:rPr>
        <w:t>.</w:t>
      </w:r>
      <w:r w:rsidRPr="00B04B9A">
        <w:rPr>
          <w:color w:val="3333FF"/>
        </w:rPr>
        <w:t xml:space="preserve"> </w:t>
      </w:r>
      <w:r w:rsidRPr="00B04B9A">
        <w:t xml:space="preserve">When the proportion of </w:t>
      </w:r>
      <w:r w:rsidR="00285320">
        <w:t>STI</w:t>
      </w:r>
      <w:r w:rsidRPr="00B04B9A">
        <w:t xml:space="preserve"> cases with </w:t>
      </w:r>
      <w:r w:rsidRPr="00B04B9A">
        <w:lastRenderedPageBreak/>
        <w:t xml:space="preserve">unknown values is greater than or equal to 30%, incidence trends are not presented by that variable. For instance, race/ethnicity is unknown for </w:t>
      </w:r>
      <w:r w:rsidR="00490168">
        <w:t>4</w:t>
      </w:r>
      <w:r w:rsidR="00652B88">
        <w:t>2</w:t>
      </w:r>
      <w:r w:rsidRPr="00B04B9A">
        <w:t xml:space="preserve">% of confirmed chlamydia cases and </w:t>
      </w:r>
      <w:r w:rsidR="00490168">
        <w:t>3</w:t>
      </w:r>
      <w:r w:rsidR="00652B88">
        <w:t>1</w:t>
      </w:r>
      <w:r w:rsidRPr="00B04B9A">
        <w:t xml:space="preserve">% of confirmed gonorrhea cases reported </w:t>
      </w:r>
      <w:r w:rsidR="00490168">
        <w:t>in</w:t>
      </w:r>
      <w:r w:rsidRPr="00B04B9A">
        <w:t xml:space="preserve"> 202</w:t>
      </w:r>
      <w:r w:rsidR="00652B88">
        <w:t>3</w:t>
      </w:r>
      <w:r w:rsidRPr="00B04B9A">
        <w:t>. Therefore, the number of confirmed chlamydia and gonorrhea cases by race/ethnicity are not presented in this report.</w:t>
      </w:r>
    </w:p>
    <w:p w14:paraId="640650A5" w14:textId="6E241F6C" w:rsidR="00ED2D42" w:rsidRPr="00B04B9A" w:rsidRDefault="7E489395" w:rsidP="003218BE">
      <w:pPr>
        <w:spacing w:after="120"/>
      </w:pPr>
      <w:r w:rsidRPr="6CD43B22">
        <w:rPr>
          <w:b/>
          <w:bCs/>
          <w:u w:val="single"/>
        </w:rPr>
        <w:t>IX</w:t>
      </w:r>
      <w:r w:rsidR="42335DC6" w:rsidRPr="6CD43B22">
        <w:rPr>
          <w:b/>
          <w:bCs/>
          <w:u w:val="single"/>
        </w:rPr>
        <w:t>.</w:t>
      </w:r>
      <w:r w:rsidR="00ED2D42" w:rsidRPr="6CD43B22">
        <w:rPr>
          <w:b/>
          <w:bCs/>
          <w:u w:val="single"/>
        </w:rPr>
        <w:t xml:space="preserve"> Cell </w:t>
      </w:r>
      <w:r w:rsidR="003840D2">
        <w:rPr>
          <w:b/>
          <w:bCs/>
          <w:u w:val="single"/>
        </w:rPr>
        <w:t>S</w:t>
      </w:r>
      <w:r w:rsidR="00ED2D42" w:rsidRPr="6CD43B22">
        <w:rPr>
          <w:b/>
          <w:bCs/>
          <w:u w:val="single"/>
        </w:rPr>
        <w:t xml:space="preserve">uppression </w:t>
      </w:r>
      <w:r w:rsidR="003840D2">
        <w:rPr>
          <w:b/>
          <w:bCs/>
          <w:u w:val="single"/>
        </w:rPr>
        <w:t>M</w:t>
      </w:r>
      <w:r w:rsidR="00ED2D42" w:rsidRPr="6CD43B22">
        <w:rPr>
          <w:b/>
          <w:bCs/>
          <w:u w:val="single"/>
        </w:rPr>
        <w:t>ethodology:</w:t>
      </w:r>
    </w:p>
    <w:p w14:paraId="6150A55A" w14:textId="73908A01" w:rsidR="00ED2D42" w:rsidRPr="00B04B9A" w:rsidRDefault="009D0F7C" w:rsidP="003218BE">
      <w:pPr>
        <w:spacing w:after="120"/>
      </w:pPr>
      <w:r w:rsidRPr="009D0F7C">
        <w:t>Values one through four are suppressed for denominator populations less than 50,000 or for unknown population sizes. Additional values of zero and greater than or equal to five may be suppressed to prevent back calculation</w:t>
      </w:r>
      <w:r>
        <w:t xml:space="preserve">. </w:t>
      </w:r>
      <w:r w:rsidR="00ED2D42" w:rsidRPr="00B04B9A">
        <w:t xml:space="preserve">Values less than five are not suppressed for compound categories (categories containing two or more subcategories, such as other/undetermined) because the exact population value of each subcategory cannot be determined. </w:t>
      </w:r>
    </w:p>
    <w:p w14:paraId="445F9427" w14:textId="00AC1990" w:rsidR="00ED2D42" w:rsidRPr="00991A6F" w:rsidRDefault="00ED2D42" w:rsidP="00ED2D42">
      <w:pPr>
        <w:rPr>
          <w:color w:val="FF0000"/>
        </w:rPr>
      </w:pPr>
      <w:r w:rsidRPr="00991A6F">
        <w:rPr>
          <w:color w:val="FF0000"/>
        </w:rPr>
        <w:br w:type="page"/>
      </w:r>
    </w:p>
    <w:p w14:paraId="655D6CF9" w14:textId="7A00BDEA" w:rsidR="00ED2D42" w:rsidRPr="00B04B9A" w:rsidRDefault="00ED2D42" w:rsidP="38A4F72D">
      <w:pPr>
        <w:pStyle w:val="Heading1"/>
      </w:pPr>
      <w:bookmarkStart w:id="75" w:name="_HIV,_STD,_AND"/>
      <w:bookmarkStart w:id="76" w:name="_Toc984065080"/>
      <w:bookmarkEnd w:id="75"/>
      <w:r>
        <w:lastRenderedPageBreak/>
        <w:t xml:space="preserve">HIV, </w:t>
      </w:r>
      <w:r w:rsidR="00285320">
        <w:t>STI</w:t>
      </w:r>
      <w:r>
        <w:t>, AND VIRAL HEPATITIS CASE CLASSIFICATIONS</w:t>
      </w:r>
      <w:bookmarkEnd w:id="76"/>
    </w:p>
    <w:p w14:paraId="3A671666" w14:textId="77777777" w:rsidR="00ED2D42" w:rsidRPr="00B04B9A" w:rsidRDefault="00ED2D42" w:rsidP="003218BE">
      <w:pPr>
        <w:spacing w:after="120"/>
        <w:rPr>
          <w:color w:val="2F5496" w:themeColor="accent1" w:themeShade="BF"/>
        </w:rPr>
      </w:pPr>
      <w:r w:rsidRPr="00B04B9A">
        <w:rPr>
          <w:i/>
          <w:iCs/>
          <w:color w:val="2F5496" w:themeColor="accent1" w:themeShade="BF"/>
        </w:rPr>
        <w:t>In the time period of the data in this report</w:t>
      </w:r>
    </w:p>
    <w:p w14:paraId="3E9B5EEC" w14:textId="77777777" w:rsidR="00ED2D42" w:rsidRPr="00B04B9A" w:rsidRDefault="00ED2D42" w:rsidP="003218BE">
      <w:pPr>
        <w:pStyle w:val="Heading2"/>
      </w:pPr>
      <w:bookmarkStart w:id="77" w:name="_Toc1126550700"/>
      <w:r>
        <w:t>HIV infection</w:t>
      </w:r>
      <w:bookmarkEnd w:id="77"/>
    </w:p>
    <w:p w14:paraId="69955E18" w14:textId="77777777" w:rsidR="00ED2D42" w:rsidRPr="00B04B9A" w:rsidRDefault="00ED2D42" w:rsidP="003218BE">
      <w:pPr>
        <w:spacing w:after="120"/>
      </w:pPr>
      <w:r w:rsidRPr="00B04B9A">
        <w:t>Clinical description: HIV (human immunodeficiency virus) is a retrovirus with two serologically and geographically distinct species: HIV-1 and HIV-2. It is spread via person-to-person transmission through: sexual contact, the use of HIV-contaminated needles and syringes, vertical transmission from mother to infant, or the transfusion of contaminated blood or its components. HIV attacks the body’s immune system, making the individual more likely to acquire infections or develop infection-related cancers. These opportunistic infections or cancers take advantage of the “opportunity” of a weakened immune system and may be one signal that the person has an AIDS diagnosis (acquired immunodeficiency syndrome), the advanced stage of HIV infection.</w:t>
      </w:r>
    </w:p>
    <w:p w14:paraId="2247C12C" w14:textId="77777777" w:rsidR="00ED2D42" w:rsidRPr="00B04B9A" w:rsidRDefault="00ED2D42" w:rsidP="003218BE">
      <w:pPr>
        <w:spacing w:after="120"/>
      </w:pPr>
      <w:r w:rsidRPr="00B04B9A">
        <w:rPr>
          <w:b/>
          <w:bCs/>
          <w:i/>
          <w:iCs/>
        </w:rPr>
        <w:t>Case Classification</w:t>
      </w:r>
    </w:p>
    <w:p w14:paraId="35CA7187" w14:textId="77777777" w:rsidR="00ED2D42" w:rsidRPr="00B04B9A" w:rsidRDefault="00ED2D42" w:rsidP="003218BE">
      <w:pPr>
        <w:spacing w:after="120"/>
      </w:pPr>
      <w:r w:rsidRPr="00B04B9A">
        <w:t>Confirmed: Positive HIV-1, Positive HIV-2, or Positive (Undifferentiated) HIV result from a differentiating immunoassay, Western Blot, IFA, or culture;</w:t>
      </w:r>
      <w:r w:rsidRPr="00B04B9A">
        <w:rPr>
          <w:b/>
          <w:bCs/>
        </w:rPr>
        <w:t xml:space="preserve"> </w:t>
      </w:r>
      <w:r w:rsidRPr="00B04B9A">
        <w:t>Positive/Detected Qualitative HIV NAT (DNA or RNA); Quantitative HIV NAT (detectable viral load assay) or physician verified diagnosis.</w:t>
      </w:r>
    </w:p>
    <w:p w14:paraId="327218E4" w14:textId="008F9161" w:rsidR="00ED2D42" w:rsidRPr="00B04B9A" w:rsidRDefault="00ED2D42" w:rsidP="004A0D89">
      <w:pPr>
        <w:pStyle w:val="Heading2"/>
      </w:pPr>
      <w:bookmarkStart w:id="78" w:name="_Toc2112587443"/>
      <w:r>
        <w:t xml:space="preserve">Sexually transmitted </w:t>
      </w:r>
      <w:r w:rsidR="009843A9">
        <w:t>infections</w:t>
      </w:r>
      <w:r>
        <w:t xml:space="preserve"> (ST</w:t>
      </w:r>
      <w:r w:rsidR="009843A9">
        <w:t>I</w:t>
      </w:r>
      <w:r>
        <w:t>)</w:t>
      </w:r>
      <w:bookmarkEnd w:id="78"/>
    </w:p>
    <w:p w14:paraId="5E31BC4A" w14:textId="0FDC9168" w:rsidR="00ED2D42" w:rsidRPr="00B04B9A" w:rsidRDefault="00ED2D42" w:rsidP="003218BE">
      <w:pPr>
        <w:spacing w:after="120"/>
        <w:rPr>
          <w:color w:val="2F5496" w:themeColor="accent1" w:themeShade="BF"/>
        </w:rPr>
      </w:pPr>
      <w:r w:rsidRPr="00B04B9A">
        <w:rPr>
          <w:b/>
          <w:bCs/>
          <w:i/>
          <w:iCs/>
          <w:color w:val="2F5496" w:themeColor="accent1" w:themeShade="BF"/>
        </w:rPr>
        <w:t>Chlamydia trachomatis</w:t>
      </w:r>
      <w:r w:rsidRPr="00B04B9A">
        <w:rPr>
          <w:b/>
          <w:bCs/>
          <w:color w:val="2F5496" w:themeColor="accent1" w:themeShade="BF"/>
        </w:rPr>
        <w:t xml:space="preserve"> Infection (</w:t>
      </w:r>
      <w:r w:rsidR="00EE5CC7">
        <w:rPr>
          <w:b/>
          <w:bCs/>
          <w:color w:val="2F5496" w:themeColor="accent1" w:themeShade="BF"/>
        </w:rPr>
        <w:t>20</w:t>
      </w:r>
      <w:r w:rsidRPr="00B04B9A">
        <w:rPr>
          <w:b/>
          <w:bCs/>
          <w:color w:val="2F5496" w:themeColor="accent1" w:themeShade="BF"/>
        </w:rPr>
        <w:t>10)</w:t>
      </w:r>
    </w:p>
    <w:p w14:paraId="35115E71" w14:textId="77777777" w:rsidR="00ED2D42" w:rsidRPr="00B04B9A" w:rsidRDefault="00ED2D42" w:rsidP="003218BE">
      <w:pPr>
        <w:spacing w:after="120"/>
      </w:pPr>
      <w:r w:rsidRPr="00B04B9A">
        <w:rPr>
          <w:b/>
          <w:bCs/>
          <w:i/>
          <w:iCs/>
        </w:rPr>
        <w:t>Clinical description</w:t>
      </w:r>
    </w:p>
    <w:p w14:paraId="7660DCAE" w14:textId="77777777" w:rsidR="00ED2D42" w:rsidRPr="00B04B9A" w:rsidRDefault="00ED2D42" w:rsidP="003218BE">
      <w:pPr>
        <w:spacing w:after="120"/>
      </w:pPr>
      <w:r w:rsidRPr="00B04B9A">
        <w:t>Infection with </w:t>
      </w:r>
      <w:r w:rsidRPr="00B04B9A">
        <w:rPr>
          <w:i/>
          <w:iCs/>
        </w:rPr>
        <w:t>Chlamydia trachomatis</w:t>
      </w:r>
      <w:r w:rsidRPr="00B04B9A">
        <w:t> may result in urethritis, epididymitis, cervicitis, acute salpingitis, or other syndromes when sexually transmitted; however, the infection is often asymptomatic in women. Perinatal infections may result in inclusion conjunctivitis and pneumonia in newborns. Other syndromes caused by </w:t>
      </w:r>
      <w:r w:rsidRPr="00B04B9A">
        <w:rPr>
          <w:i/>
          <w:iCs/>
        </w:rPr>
        <w:t>C. trachomatis</w:t>
      </w:r>
      <w:r w:rsidRPr="00B04B9A">
        <w:t> include lymphogranuloma venereum (see Lymphogranuloma Venereum) and trachoma.</w:t>
      </w:r>
    </w:p>
    <w:p w14:paraId="7CFEF1EC" w14:textId="77777777" w:rsidR="00ED2D42" w:rsidRPr="00B04B9A" w:rsidRDefault="00ED2D42" w:rsidP="003218BE">
      <w:pPr>
        <w:spacing w:after="120"/>
      </w:pPr>
      <w:r w:rsidRPr="00B04B9A">
        <w:rPr>
          <w:b/>
          <w:bCs/>
          <w:i/>
          <w:iCs/>
        </w:rPr>
        <w:t>Laboratory criteria for diagnosis</w:t>
      </w:r>
    </w:p>
    <w:p w14:paraId="5B93EE88" w14:textId="77777777" w:rsidR="00ED2D42" w:rsidRPr="00B04B9A" w:rsidRDefault="00ED2D42" w:rsidP="003218BE">
      <w:pPr>
        <w:spacing w:after="120"/>
      </w:pPr>
      <w:r w:rsidRPr="00B04B9A">
        <w:t>Isolation of </w:t>
      </w:r>
      <w:r w:rsidRPr="00B04B9A">
        <w:rPr>
          <w:i/>
          <w:iCs/>
        </w:rPr>
        <w:t>C. trachomatis</w:t>
      </w:r>
      <w:r w:rsidRPr="00B04B9A">
        <w:t> by culture or</w:t>
      </w:r>
    </w:p>
    <w:p w14:paraId="5532C4BA" w14:textId="77777777" w:rsidR="00ED2D42" w:rsidRPr="00B04B9A" w:rsidRDefault="00ED2D42" w:rsidP="003218BE">
      <w:pPr>
        <w:spacing w:after="120"/>
      </w:pPr>
      <w:r w:rsidRPr="00B04B9A">
        <w:t>Demonstration of </w:t>
      </w:r>
      <w:r w:rsidRPr="00B04B9A">
        <w:rPr>
          <w:i/>
          <w:iCs/>
        </w:rPr>
        <w:t>C. trachomatis</w:t>
      </w:r>
      <w:r w:rsidRPr="00B04B9A">
        <w:t> in a clinical specimen by detection of antigen or nucleic acid</w:t>
      </w:r>
    </w:p>
    <w:p w14:paraId="17B1EDF0" w14:textId="77777777" w:rsidR="00ED2D42" w:rsidRPr="00B04B9A" w:rsidRDefault="00ED2D42" w:rsidP="003218BE">
      <w:pPr>
        <w:spacing w:after="120"/>
      </w:pPr>
      <w:r w:rsidRPr="00B04B9A">
        <w:rPr>
          <w:b/>
          <w:bCs/>
          <w:i/>
          <w:iCs/>
        </w:rPr>
        <w:t>Case classification</w:t>
      </w:r>
    </w:p>
    <w:p w14:paraId="2001C5EA" w14:textId="77777777" w:rsidR="00ED2D42" w:rsidRPr="00B04B9A" w:rsidRDefault="00ED2D42" w:rsidP="003218BE">
      <w:pPr>
        <w:spacing w:after="120"/>
      </w:pPr>
      <w:r w:rsidRPr="00B04B9A">
        <w:rPr>
          <w:i/>
          <w:iCs/>
        </w:rPr>
        <w:t>Confirmed:</w:t>
      </w:r>
      <w:r w:rsidRPr="00B04B9A">
        <w:t> a case that is laboratory confirmed.</w:t>
      </w:r>
    </w:p>
    <w:p w14:paraId="39BFE271" w14:textId="576478F6" w:rsidR="00CD15F3" w:rsidRPr="00CD15F3" w:rsidRDefault="00CD15F3" w:rsidP="00CD15F3">
      <w:pPr>
        <w:spacing w:after="120"/>
        <w:rPr>
          <w:b/>
          <w:bCs/>
          <w:color w:val="2F5496" w:themeColor="accent1" w:themeShade="BF"/>
        </w:rPr>
      </w:pPr>
      <w:r w:rsidRPr="00CD15F3">
        <w:rPr>
          <w:b/>
          <w:bCs/>
          <w:i/>
          <w:iCs/>
          <w:color w:val="2F5496" w:themeColor="accent1" w:themeShade="BF"/>
        </w:rPr>
        <w:t>Chlamydia trachomatis</w:t>
      </w:r>
      <w:r w:rsidRPr="00CD15F3">
        <w:rPr>
          <w:b/>
          <w:bCs/>
          <w:color w:val="2F5496" w:themeColor="accent1" w:themeShade="BF"/>
        </w:rPr>
        <w:t xml:space="preserve"> Infection (2022)</w:t>
      </w:r>
    </w:p>
    <w:p w14:paraId="115ED2B5" w14:textId="77777777" w:rsidR="00CD15F3" w:rsidRPr="00CD15F3" w:rsidRDefault="00CD15F3" w:rsidP="00CD15F3">
      <w:pPr>
        <w:spacing w:after="120"/>
        <w:rPr>
          <w:b/>
          <w:bCs/>
        </w:rPr>
      </w:pPr>
      <w:r w:rsidRPr="00CD15F3">
        <w:rPr>
          <w:b/>
          <w:bCs/>
          <w:i/>
          <w:iCs/>
        </w:rPr>
        <w:t>Clinical Description</w:t>
      </w:r>
    </w:p>
    <w:p w14:paraId="7DC6326E" w14:textId="77777777" w:rsidR="00CD15F3" w:rsidRPr="00CD15F3" w:rsidRDefault="00CD15F3" w:rsidP="00CD15F3">
      <w:pPr>
        <w:spacing w:after="120"/>
      </w:pPr>
      <w:r w:rsidRPr="00CD15F3">
        <w:t xml:space="preserve">Chlamydia is a sexually transmitted infection that has a variable clinical course based on the serotype causing infection. Serovars D-K of C. trachomatis are the typical cause of chlamydial infections in the United States, and infection with C. trachomatis can result in urethritis, epididymitis, cervicitis, acute salpingitis, or other syndromes when sexually transmitted; however, the infection is often asymptomatic. Perinatal infections may result in inclusion conjunctivitis and pneumonia in newborns. Other syndromes caused by </w:t>
      </w:r>
      <w:r w:rsidRPr="00CD15F3">
        <w:rPr>
          <w:i/>
          <w:iCs/>
        </w:rPr>
        <w:t xml:space="preserve">C. trachomatis </w:t>
      </w:r>
      <w:r w:rsidRPr="00CD15F3">
        <w:t>include LGV and trachoma.</w:t>
      </w:r>
    </w:p>
    <w:p w14:paraId="3789AD82" w14:textId="77777777" w:rsidR="00CD15F3" w:rsidRPr="00CD15F3" w:rsidRDefault="00CD15F3" w:rsidP="00CD15F3">
      <w:pPr>
        <w:spacing w:after="120"/>
      </w:pPr>
      <w:r w:rsidRPr="00CD15F3">
        <w:lastRenderedPageBreak/>
        <w:t>LGV is a specific type of chlamydial infection, caused by the serovars L1, L2, and L3 of C. trachomatis. Symptomatic LGV can be divided into three stages. The primary stage can include a small ulcer or lesion at the site of inoculation (genital, rectal, or oral/oropharyngeal sites). The secondary stage can include a syndrome featuring cervical, inguinal, and/or femoral lymphadenopathy that may rupture or an anorectal syndrome featuring proctocolitis (including mucoid or hemorrhagic rectal discharge, anal pain, constipation, fever, and/or tenesmus). Late stage LGV typically involves sequelae, such as genital elephantiasis, lymph node scarring, chronic colorectal fistulas and strictures, perirectal abscesses, and/or anal fissures. LGV may also be asymptomatic.</w:t>
      </w:r>
    </w:p>
    <w:p w14:paraId="37D21E55" w14:textId="77777777" w:rsidR="00CD15F3" w:rsidRPr="00CD15F3" w:rsidRDefault="00CD15F3" w:rsidP="00CD15F3">
      <w:pPr>
        <w:spacing w:after="120"/>
        <w:rPr>
          <w:b/>
          <w:bCs/>
        </w:rPr>
      </w:pPr>
      <w:r w:rsidRPr="00CD15F3">
        <w:rPr>
          <w:b/>
          <w:bCs/>
          <w:i/>
          <w:iCs/>
        </w:rPr>
        <w:t>Laboratory Criteria</w:t>
      </w:r>
    </w:p>
    <w:p w14:paraId="12E26F02" w14:textId="77777777" w:rsidR="00CD15F3" w:rsidRPr="00CD15F3" w:rsidRDefault="00CD15F3" w:rsidP="00CD15F3">
      <w:pPr>
        <w:spacing w:after="120"/>
      </w:pPr>
      <w:r w:rsidRPr="00CD15F3">
        <w:t xml:space="preserve">Demonstration of </w:t>
      </w:r>
      <w:r w:rsidRPr="00CD15F3">
        <w:rPr>
          <w:i/>
          <w:iCs/>
        </w:rPr>
        <w:t xml:space="preserve">C. trachomatis </w:t>
      </w:r>
      <w:r w:rsidRPr="00CD15F3">
        <w:t>in a clinical specimen by detection of antigen or nucleic acid, OR</w:t>
      </w:r>
    </w:p>
    <w:p w14:paraId="13C9682F" w14:textId="77777777" w:rsidR="00CD15F3" w:rsidRPr="00CD15F3" w:rsidRDefault="00CD15F3" w:rsidP="00CD15F3">
      <w:pPr>
        <w:spacing w:after="120"/>
      </w:pPr>
      <w:r w:rsidRPr="00CD15F3">
        <w:t>Detection of LGV-specific antigen or nucleic acid in a clinical specimen, OR</w:t>
      </w:r>
    </w:p>
    <w:p w14:paraId="30AE9F5A" w14:textId="77777777" w:rsidR="00CD15F3" w:rsidRPr="00CD15F3" w:rsidRDefault="00CD15F3" w:rsidP="00CD15F3">
      <w:pPr>
        <w:spacing w:after="120"/>
      </w:pPr>
      <w:r w:rsidRPr="00CD15F3">
        <w:t xml:space="preserve">Isolation of </w:t>
      </w:r>
      <w:r w:rsidRPr="00CD15F3">
        <w:rPr>
          <w:i/>
          <w:iCs/>
        </w:rPr>
        <w:t xml:space="preserve">C. trachomatis </w:t>
      </w:r>
      <w:r w:rsidRPr="00CD15F3">
        <w:t>by culture</w:t>
      </w:r>
    </w:p>
    <w:p w14:paraId="36241617" w14:textId="77777777" w:rsidR="00CD15F3" w:rsidRPr="00CD15F3" w:rsidRDefault="00CD15F3" w:rsidP="00CD15F3">
      <w:pPr>
        <w:spacing w:after="120"/>
        <w:rPr>
          <w:b/>
          <w:bCs/>
        </w:rPr>
      </w:pPr>
      <w:r w:rsidRPr="00CD15F3">
        <w:rPr>
          <w:b/>
          <w:bCs/>
          <w:i/>
          <w:iCs/>
        </w:rPr>
        <w:t>Criteria to Distinguish a New Case from an Existing Case</w:t>
      </w:r>
    </w:p>
    <w:p w14:paraId="21703464" w14:textId="77777777" w:rsidR="00CD15F3" w:rsidRPr="00CD15F3" w:rsidRDefault="00CD15F3" w:rsidP="00CD15F3">
      <w:pPr>
        <w:spacing w:after="120"/>
      </w:pPr>
      <w:r w:rsidRPr="00CD15F3">
        <w:t xml:space="preserve">For surveillance purposes, a new case of </w:t>
      </w:r>
      <w:r w:rsidRPr="00CD15F3">
        <w:rPr>
          <w:i/>
          <w:iCs/>
        </w:rPr>
        <w:t xml:space="preserve">C. trachomatis </w:t>
      </w:r>
      <w:r w:rsidRPr="00CD15F3">
        <w:t>infection (caused by either non-LGV or LGV serotypes) meets the following criteria:</w:t>
      </w:r>
    </w:p>
    <w:p w14:paraId="6896B778" w14:textId="77777777" w:rsidR="00CD15F3" w:rsidRPr="00CD15F3" w:rsidRDefault="00CD15F3" w:rsidP="00CD15F3">
      <w:pPr>
        <w:spacing w:after="120"/>
      </w:pPr>
      <w:r w:rsidRPr="00CD15F3">
        <w:t xml:space="preserve">There is no evidence of a prior </w:t>
      </w:r>
      <w:r w:rsidRPr="00CD15F3">
        <w:rPr>
          <w:i/>
          <w:iCs/>
        </w:rPr>
        <w:t xml:space="preserve">C. trachomatis </w:t>
      </w:r>
      <w:r w:rsidRPr="00CD15F3">
        <w:t>infection that has been reported as a case;</w:t>
      </w:r>
    </w:p>
    <w:p w14:paraId="790959F2" w14:textId="77777777" w:rsidR="00CD15F3" w:rsidRPr="00CD15F3" w:rsidRDefault="00CD15F3" w:rsidP="00CD15F3">
      <w:pPr>
        <w:spacing w:after="120"/>
        <w:rPr>
          <w:b/>
          <w:bCs/>
        </w:rPr>
      </w:pPr>
      <w:r w:rsidRPr="00CD15F3">
        <w:rPr>
          <w:b/>
          <w:bCs/>
        </w:rPr>
        <w:t xml:space="preserve"> OR</w:t>
      </w:r>
    </w:p>
    <w:p w14:paraId="76CC9392" w14:textId="77777777" w:rsidR="00CD15F3" w:rsidRPr="00CD15F3" w:rsidRDefault="00CD15F3" w:rsidP="00CD15F3">
      <w:pPr>
        <w:spacing w:after="120"/>
      </w:pPr>
      <w:r w:rsidRPr="00CD15F3">
        <w:t xml:space="preserve">There is evidence of a prior </w:t>
      </w:r>
      <w:r w:rsidRPr="00CD15F3">
        <w:rPr>
          <w:i/>
          <w:iCs/>
        </w:rPr>
        <w:t xml:space="preserve">C. trachomatis </w:t>
      </w:r>
      <w:r w:rsidRPr="00CD15F3">
        <w:t>infection that has been reported as a case, but the prior infection’s specimen collection date or treatment date was &gt;30 days before the current infection’s specimen collection date;</w:t>
      </w:r>
    </w:p>
    <w:p w14:paraId="21462F38" w14:textId="77777777" w:rsidR="00CD15F3" w:rsidRPr="00CD15F3" w:rsidRDefault="00CD15F3" w:rsidP="00CD15F3">
      <w:pPr>
        <w:spacing w:after="120"/>
        <w:rPr>
          <w:b/>
          <w:bCs/>
        </w:rPr>
      </w:pPr>
      <w:r w:rsidRPr="00CD15F3">
        <w:rPr>
          <w:b/>
          <w:bCs/>
        </w:rPr>
        <w:t>OR</w:t>
      </w:r>
    </w:p>
    <w:p w14:paraId="1C8E2F78" w14:textId="77777777" w:rsidR="00CD15F3" w:rsidRPr="00CD15F3" w:rsidRDefault="00CD15F3" w:rsidP="00CD15F3">
      <w:pPr>
        <w:spacing w:after="120"/>
      </w:pPr>
      <w:r w:rsidRPr="00CD15F3">
        <w:t xml:space="preserve">There is evidence of a prior </w:t>
      </w:r>
      <w:r w:rsidRPr="00CD15F3">
        <w:rPr>
          <w:i/>
          <w:iCs/>
        </w:rPr>
        <w:t xml:space="preserve">C. trachomatis </w:t>
      </w:r>
      <w:r w:rsidRPr="00CD15F3">
        <w:t>infection that has been reported as a case with a specimen collection date or treatment date ≤30 days from the current infection’s specimen collection date, but there is evidence of re-infection.</w:t>
      </w:r>
    </w:p>
    <w:p w14:paraId="15BFC3F2" w14:textId="77777777" w:rsidR="00CD15F3" w:rsidRPr="00CD15F3" w:rsidRDefault="00CD15F3" w:rsidP="00CD15F3">
      <w:pPr>
        <w:spacing w:after="120"/>
        <w:rPr>
          <w:b/>
          <w:bCs/>
        </w:rPr>
      </w:pPr>
      <w:r w:rsidRPr="00CD15F3">
        <w:rPr>
          <w:b/>
          <w:bCs/>
          <w:i/>
          <w:iCs/>
        </w:rPr>
        <w:t>Case Classification</w:t>
      </w:r>
    </w:p>
    <w:p w14:paraId="78CCDAFA" w14:textId="77777777" w:rsidR="00CD15F3" w:rsidRPr="00CD15F3" w:rsidRDefault="00CD15F3" w:rsidP="00CD15F3">
      <w:pPr>
        <w:spacing w:after="120"/>
        <w:rPr>
          <w:b/>
          <w:bCs/>
        </w:rPr>
      </w:pPr>
      <w:r w:rsidRPr="00CD15F3">
        <w:rPr>
          <w:b/>
          <w:bCs/>
        </w:rPr>
        <w:t>Confirmed</w:t>
      </w:r>
    </w:p>
    <w:p w14:paraId="65F98E45" w14:textId="77777777" w:rsidR="00CD15F3" w:rsidRPr="00CD15F3" w:rsidRDefault="00CD15F3" w:rsidP="00CD15F3">
      <w:pPr>
        <w:spacing w:after="120"/>
      </w:pPr>
      <w:r w:rsidRPr="00CD15F3">
        <w:t>A case that meets laboratory evidence.</w:t>
      </w:r>
    </w:p>
    <w:p w14:paraId="31D3EB2C" w14:textId="77777777" w:rsidR="00CD15F3" w:rsidRPr="00CD15F3" w:rsidRDefault="00CD15F3" w:rsidP="00CD15F3">
      <w:pPr>
        <w:spacing w:after="120"/>
        <w:rPr>
          <w:b/>
          <w:bCs/>
        </w:rPr>
      </w:pPr>
      <w:r w:rsidRPr="00CD15F3">
        <w:rPr>
          <w:b/>
          <w:bCs/>
        </w:rPr>
        <w:t>Case Classification Comments</w:t>
      </w:r>
    </w:p>
    <w:p w14:paraId="29F1C55C" w14:textId="77777777" w:rsidR="00CD15F3" w:rsidRPr="00CD15F3" w:rsidRDefault="00CD15F3" w:rsidP="00CD15F3">
      <w:pPr>
        <w:spacing w:after="120"/>
      </w:pPr>
      <w:r w:rsidRPr="00CD15F3">
        <w:t xml:space="preserve">The following provides guidance for health departments to use for the classification and notification of cases of </w:t>
      </w:r>
      <w:r w:rsidRPr="00CD15F3">
        <w:rPr>
          <w:i/>
          <w:iCs/>
        </w:rPr>
        <w:t xml:space="preserve">C. trachomatis </w:t>
      </w:r>
      <w:r w:rsidRPr="00CD15F3">
        <w:t xml:space="preserve">infection caused by serovars L1, L2, and L3 (also known as lymphogranuloma venereum, or LGV). Cases should be reported to the Centers for Disease Control and Prevention (CDC) through voluntary notification as </w:t>
      </w:r>
      <w:r w:rsidRPr="00CD15F3">
        <w:rPr>
          <w:i/>
          <w:iCs/>
        </w:rPr>
        <w:t xml:space="preserve">C. trachomatis </w:t>
      </w:r>
      <w:r w:rsidRPr="00CD15F3">
        <w:t>infection and should be marked as LGV in the CDC case report data, as defined below.</w:t>
      </w:r>
    </w:p>
    <w:p w14:paraId="3B2D341D" w14:textId="77777777" w:rsidR="00CD15F3" w:rsidRPr="00CD15F3" w:rsidRDefault="00CD15F3" w:rsidP="00CD15F3">
      <w:pPr>
        <w:spacing w:after="120"/>
      </w:pPr>
      <w:r w:rsidRPr="00CD15F3">
        <w:t xml:space="preserve">Classification of </w:t>
      </w:r>
      <w:r w:rsidRPr="00CD15F3">
        <w:rPr>
          <w:i/>
          <w:iCs/>
        </w:rPr>
        <w:t xml:space="preserve">C. trachomatis </w:t>
      </w:r>
      <w:r w:rsidRPr="00CD15F3">
        <w:t>infection cases to identify LGV.</w:t>
      </w:r>
    </w:p>
    <w:p w14:paraId="50350045" w14:textId="77777777" w:rsidR="00CD15F3" w:rsidRPr="00CD15F3" w:rsidRDefault="00CD15F3" w:rsidP="00CD15F3">
      <w:pPr>
        <w:spacing w:after="120"/>
      </w:pPr>
      <w:r w:rsidRPr="00CD15F3">
        <w:t>Verified: a person with detection of LGV-specific antigen or nucleic acid in a clinical specimen. This includes asymptomatic cases.</w:t>
      </w:r>
    </w:p>
    <w:p w14:paraId="1C5838B3" w14:textId="77777777" w:rsidR="00CD15F3" w:rsidRPr="00CD15F3" w:rsidRDefault="00CD15F3" w:rsidP="00CD15F3">
      <w:pPr>
        <w:spacing w:after="120"/>
      </w:pPr>
      <w:r w:rsidRPr="00CD15F3">
        <w:t xml:space="preserve">Likely: a person with demonstration of </w:t>
      </w:r>
      <w:r w:rsidRPr="00CD15F3">
        <w:rPr>
          <w:i/>
          <w:iCs/>
        </w:rPr>
        <w:t xml:space="preserve">C. trachomatis </w:t>
      </w:r>
      <w:r w:rsidRPr="00CD15F3">
        <w:t xml:space="preserve">in a clinical specimen by detection of antigen or nucleic acid OR isolation of </w:t>
      </w:r>
      <w:r w:rsidRPr="00CD15F3">
        <w:rPr>
          <w:i/>
          <w:iCs/>
        </w:rPr>
        <w:t xml:space="preserve">C. trachomatis </w:t>
      </w:r>
      <w:r w:rsidRPr="00CD15F3">
        <w:t xml:space="preserve">by culture; AND who demonstrates clinical symptoms or </w:t>
      </w:r>
      <w:r w:rsidRPr="00CD15F3">
        <w:lastRenderedPageBreak/>
        <w:t>signs consistent with LGV; AND has no negative test for LGV-specific antigen or nucleic acid in a clinical specimen.</w:t>
      </w:r>
    </w:p>
    <w:p w14:paraId="7F125E8C" w14:textId="4F21F79F" w:rsidR="00ED2D42" w:rsidRPr="00B04B9A" w:rsidRDefault="00ED2D42" w:rsidP="003218BE">
      <w:pPr>
        <w:spacing w:after="120"/>
        <w:rPr>
          <w:color w:val="2F5496" w:themeColor="accent1" w:themeShade="BF"/>
        </w:rPr>
      </w:pPr>
      <w:r w:rsidRPr="00B04B9A">
        <w:rPr>
          <w:b/>
          <w:bCs/>
          <w:color w:val="2F5496" w:themeColor="accent1" w:themeShade="BF"/>
        </w:rPr>
        <w:t>Gonorrhea (</w:t>
      </w:r>
      <w:r w:rsidR="00EE5CC7">
        <w:rPr>
          <w:b/>
          <w:bCs/>
          <w:color w:val="2F5496" w:themeColor="accent1" w:themeShade="BF"/>
        </w:rPr>
        <w:t>20</w:t>
      </w:r>
      <w:r w:rsidRPr="00B04B9A">
        <w:rPr>
          <w:b/>
          <w:bCs/>
          <w:color w:val="2F5496" w:themeColor="accent1" w:themeShade="BF"/>
        </w:rPr>
        <w:t>14)</w:t>
      </w:r>
    </w:p>
    <w:p w14:paraId="7EC21811" w14:textId="77777777" w:rsidR="00ED2D42" w:rsidRPr="00B04B9A" w:rsidRDefault="00ED2D42" w:rsidP="003218BE">
      <w:pPr>
        <w:spacing w:after="120"/>
      </w:pPr>
      <w:r w:rsidRPr="00B04B9A">
        <w:rPr>
          <w:b/>
          <w:bCs/>
          <w:i/>
          <w:iCs/>
        </w:rPr>
        <w:t>Clinical description</w:t>
      </w:r>
    </w:p>
    <w:p w14:paraId="553A0FAE" w14:textId="16AE8C26" w:rsidR="00ED2D42" w:rsidRPr="00B04B9A" w:rsidRDefault="00ED2D42" w:rsidP="003218BE">
      <w:pPr>
        <w:spacing w:after="120"/>
      </w:pPr>
      <w:r w:rsidRPr="00B04B9A">
        <w:t>A sexually transmitted infection commonly manifested by urethritis, cervicitis, proctitis, salpingitis, or pharyngitis. Infection may be asymptomatic.</w:t>
      </w:r>
    </w:p>
    <w:p w14:paraId="04CFB7D9" w14:textId="77777777" w:rsidR="005D1FD3" w:rsidRPr="00B04B9A" w:rsidRDefault="005D1FD3" w:rsidP="003218BE">
      <w:pPr>
        <w:spacing w:after="120"/>
      </w:pPr>
      <w:r w:rsidRPr="00B04B9A">
        <w:rPr>
          <w:b/>
          <w:bCs/>
          <w:i/>
          <w:iCs/>
        </w:rPr>
        <w:t>Laboratory criteria for diagnosis</w:t>
      </w:r>
    </w:p>
    <w:p w14:paraId="2FCCAB84" w14:textId="77777777" w:rsidR="005D1FD3" w:rsidRPr="00B04B9A" w:rsidRDefault="005D1FD3" w:rsidP="003218BE">
      <w:pPr>
        <w:spacing w:after="120"/>
      </w:pPr>
      <w:r w:rsidRPr="00B04B9A">
        <w:t>Observation of gram-negative intracellular diplococci in a urethral smear obtained from a male or an endocervical smear obtained from a female, or</w:t>
      </w:r>
    </w:p>
    <w:p w14:paraId="59DCBCD2" w14:textId="77777777" w:rsidR="005D1FD3" w:rsidRPr="00B04B9A" w:rsidRDefault="005D1FD3" w:rsidP="003218BE">
      <w:pPr>
        <w:spacing w:after="120"/>
      </w:pPr>
      <w:r w:rsidRPr="00B04B9A">
        <w:t>Isolation of typical gram-negative, oxidase-positive diplococci by culture (presumptive </w:t>
      </w:r>
      <w:r w:rsidRPr="00B04B9A">
        <w:rPr>
          <w:i/>
          <w:iCs/>
        </w:rPr>
        <w:t>Neisseria gonorrhoeae</w:t>
      </w:r>
      <w:r w:rsidRPr="00B04B9A">
        <w:t>) from a clinical specimen, or</w:t>
      </w:r>
    </w:p>
    <w:p w14:paraId="0444A447" w14:textId="77777777" w:rsidR="005D1FD3" w:rsidRPr="00B04B9A" w:rsidRDefault="005D1FD3" w:rsidP="003218BE">
      <w:pPr>
        <w:spacing w:after="120"/>
      </w:pPr>
      <w:r w:rsidRPr="00B04B9A">
        <w:t>Demonstration of </w:t>
      </w:r>
      <w:r w:rsidRPr="00B04B9A">
        <w:rPr>
          <w:i/>
          <w:iCs/>
        </w:rPr>
        <w:t>N. gonorrhoeae</w:t>
      </w:r>
      <w:r w:rsidRPr="00B04B9A">
        <w:t> in a clinical specimen by detection of antigen or nucleic acid</w:t>
      </w:r>
    </w:p>
    <w:p w14:paraId="585EDF0E" w14:textId="77777777" w:rsidR="005D1FD3" w:rsidRPr="00B04B9A" w:rsidRDefault="005D1FD3" w:rsidP="003218BE">
      <w:pPr>
        <w:spacing w:after="120"/>
      </w:pPr>
      <w:r w:rsidRPr="00B04B9A">
        <w:rPr>
          <w:b/>
          <w:bCs/>
          <w:i/>
          <w:iCs/>
        </w:rPr>
        <w:t>Case classification</w:t>
      </w:r>
    </w:p>
    <w:p w14:paraId="4A9FFCD1" w14:textId="77777777" w:rsidR="005D1FD3" w:rsidRPr="00B04B9A" w:rsidRDefault="005D1FD3" w:rsidP="003218BE">
      <w:pPr>
        <w:spacing w:after="120"/>
      </w:pPr>
      <w:r w:rsidRPr="00B04B9A">
        <w:rPr>
          <w:i/>
          <w:iCs/>
        </w:rPr>
        <w:t>Probable:</w:t>
      </w:r>
      <w:r w:rsidRPr="00B04B9A">
        <w:t> demonstration of gram-negative intracellular diplococci in a urethral smear obtained from a male or an endocervical smear obtained from a female.</w:t>
      </w:r>
    </w:p>
    <w:p w14:paraId="76B2CADE" w14:textId="77777777" w:rsidR="005D1FD3" w:rsidRPr="00B04B9A" w:rsidRDefault="005D1FD3" w:rsidP="009F76C4">
      <w:pPr>
        <w:spacing w:after="120"/>
      </w:pPr>
      <w:r w:rsidRPr="00B04B9A">
        <w:rPr>
          <w:i/>
          <w:iCs/>
        </w:rPr>
        <w:t>Confirmed:</w:t>
      </w:r>
      <w:r w:rsidRPr="00B04B9A">
        <w:t> a person with laboratory isolation of typical gram-negative, oxidase-positive diplococci by culture (presumptive </w:t>
      </w:r>
      <w:r w:rsidRPr="00B04B9A">
        <w:rPr>
          <w:i/>
          <w:iCs/>
        </w:rPr>
        <w:t>N. gonorrhoeae</w:t>
      </w:r>
      <w:r w:rsidRPr="00B04B9A">
        <w:t>) from a clinical specimen, or demonstration of </w:t>
      </w:r>
      <w:r w:rsidRPr="00B04B9A">
        <w:rPr>
          <w:i/>
          <w:iCs/>
        </w:rPr>
        <w:t xml:space="preserve">N. gonorrhoeae </w:t>
      </w:r>
      <w:r w:rsidRPr="00B04B9A">
        <w:t>in a clinical specimen by detection of antigen or detection of nucleic acid via nucleic acid amplification (e.g., polymerase chain reaction [PCR]) or hybridization with a nucleic acid probe.</w:t>
      </w:r>
    </w:p>
    <w:p w14:paraId="441DAAE6" w14:textId="77777777" w:rsidR="005D1FD3" w:rsidRPr="00B04B9A" w:rsidRDefault="005D1FD3" w:rsidP="009F76C4">
      <w:pPr>
        <w:spacing w:after="120"/>
        <w:rPr>
          <w:color w:val="2F5496" w:themeColor="accent1" w:themeShade="BF"/>
        </w:rPr>
      </w:pPr>
      <w:r w:rsidRPr="00B04B9A">
        <w:rPr>
          <w:b/>
          <w:bCs/>
          <w:color w:val="2F5496" w:themeColor="accent1" w:themeShade="BF"/>
        </w:rPr>
        <w:t>Syphilis</w:t>
      </w:r>
    </w:p>
    <w:p w14:paraId="413203F5" w14:textId="77777777" w:rsidR="005D1FD3" w:rsidRPr="00B04B9A" w:rsidRDefault="005D1FD3" w:rsidP="009F76C4">
      <w:pPr>
        <w:spacing w:after="120"/>
      </w:pPr>
      <w:r w:rsidRPr="00B04B9A">
        <w:t>Syphilis is a complex sexually transmitted disease that has a highly variable clinical course. Adherence to the following surveillance case definitions will facilitate understanding the epidemiology of this disease across the US.</w:t>
      </w:r>
    </w:p>
    <w:p w14:paraId="36CEB601" w14:textId="77777777" w:rsidR="005D1FD3" w:rsidRPr="00B04B9A" w:rsidRDefault="005D1FD3" w:rsidP="009F76C4">
      <w:pPr>
        <w:spacing w:after="120"/>
        <w:rPr>
          <w:color w:val="2F5496" w:themeColor="accent1" w:themeShade="BF"/>
        </w:rPr>
      </w:pPr>
      <w:r w:rsidRPr="00B04B9A">
        <w:rPr>
          <w:b/>
          <w:bCs/>
          <w:color w:val="2F5496" w:themeColor="accent1" w:themeShade="BF"/>
        </w:rPr>
        <w:t>Syphilis, primary (2014)</w:t>
      </w:r>
    </w:p>
    <w:p w14:paraId="332922B3" w14:textId="77777777" w:rsidR="005D1FD3" w:rsidRPr="00B04B9A" w:rsidRDefault="005D1FD3" w:rsidP="009F76C4">
      <w:pPr>
        <w:spacing w:after="120"/>
      </w:pPr>
      <w:r w:rsidRPr="00B04B9A">
        <w:rPr>
          <w:b/>
          <w:bCs/>
          <w:i/>
          <w:iCs/>
        </w:rPr>
        <w:t>Clinical description</w:t>
      </w:r>
    </w:p>
    <w:p w14:paraId="4C24FACD" w14:textId="77777777" w:rsidR="005D1FD3" w:rsidRPr="00B04B9A" w:rsidRDefault="005D1FD3" w:rsidP="009F76C4">
      <w:pPr>
        <w:spacing w:after="120"/>
      </w:pPr>
      <w:r w:rsidRPr="00B04B9A">
        <w:t>A stage of infection with </w:t>
      </w:r>
      <w:r w:rsidRPr="00B04B9A">
        <w:rPr>
          <w:i/>
          <w:iCs/>
        </w:rPr>
        <w:t>Treponema pallidum</w:t>
      </w:r>
      <w:r w:rsidRPr="00B04B9A">
        <w:t> characterized by one or more ulcerative lesions (e.g. chancre), which might differ considerably in clinical appearance.</w:t>
      </w:r>
    </w:p>
    <w:p w14:paraId="41B67924" w14:textId="77777777" w:rsidR="005D1FD3" w:rsidRPr="00B04B9A" w:rsidRDefault="005D1FD3" w:rsidP="009F76C4">
      <w:pPr>
        <w:spacing w:after="120"/>
      </w:pPr>
      <w:r w:rsidRPr="00B04B9A">
        <w:rPr>
          <w:b/>
          <w:bCs/>
          <w:i/>
          <w:iCs/>
        </w:rPr>
        <w:t>Laboratory criteria for diagnosis</w:t>
      </w:r>
    </w:p>
    <w:p w14:paraId="10523EC9" w14:textId="77777777" w:rsidR="005D1FD3" w:rsidRPr="00B04B9A" w:rsidRDefault="005D1FD3" w:rsidP="009F76C4">
      <w:pPr>
        <w:spacing w:after="120"/>
      </w:pPr>
      <w:r w:rsidRPr="00B04B9A">
        <w:t>Demonstration of </w:t>
      </w:r>
      <w:r w:rsidRPr="00B04B9A">
        <w:rPr>
          <w:i/>
          <w:iCs/>
        </w:rPr>
        <w:t>T. pallidum</w:t>
      </w:r>
      <w:r w:rsidRPr="00B04B9A">
        <w:t> in clinical specimens by darkfield microscopy, or by PCR or equivalent direct molecular methods.</w:t>
      </w:r>
    </w:p>
    <w:p w14:paraId="3E3F5D4B" w14:textId="77777777" w:rsidR="005D1FD3" w:rsidRPr="00B04B9A" w:rsidRDefault="005D1FD3" w:rsidP="009F76C4">
      <w:pPr>
        <w:spacing w:after="120"/>
      </w:pPr>
      <w:r w:rsidRPr="00B04B9A">
        <w:rPr>
          <w:b/>
          <w:bCs/>
          <w:i/>
          <w:iCs/>
        </w:rPr>
        <w:t>Case classification</w:t>
      </w:r>
    </w:p>
    <w:p w14:paraId="1FEAC989" w14:textId="77777777" w:rsidR="005D1FD3" w:rsidRPr="00B04B9A" w:rsidRDefault="005D1FD3" w:rsidP="009F76C4">
      <w:pPr>
        <w:spacing w:after="120"/>
      </w:pPr>
      <w:r w:rsidRPr="00B04B9A">
        <w:rPr>
          <w:i/>
          <w:iCs/>
        </w:rPr>
        <w:t>Probable:</w:t>
      </w:r>
      <w:r w:rsidRPr="00B04B9A">
        <w:t> a case that meets the clinical description of primary syphilis with a reactive serologic test (nontreponemal: Venereal Disease Research Laboratory [VDRL], rapid plasma reagin [RPR], or equivalent serologic methods; treponemal: fluorescent treponemal antibody absorbed [FTA-ABS], </w:t>
      </w:r>
      <w:r w:rsidRPr="00B04B9A">
        <w:rPr>
          <w:i/>
          <w:iCs/>
        </w:rPr>
        <w:t>T. pallidum</w:t>
      </w:r>
      <w:r w:rsidRPr="00B04B9A">
        <w:t> particle agglutination [TP-PA], enzyme immunoassay [EIA], chemiluminescence immunoassay [CIA], or equivalent serologic methods). These treponemal tests supersede older testing technologies, including microhemagglutination assay for antibody to </w:t>
      </w:r>
      <w:r w:rsidRPr="00B04B9A">
        <w:rPr>
          <w:i/>
          <w:iCs/>
        </w:rPr>
        <w:t>T. pallidum</w:t>
      </w:r>
      <w:r w:rsidRPr="00B04B9A">
        <w:t> [MHA-TP].</w:t>
      </w:r>
    </w:p>
    <w:p w14:paraId="0D424498" w14:textId="77777777" w:rsidR="005D1FD3" w:rsidRPr="00B04B9A" w:rsidRDefault="005D1FD3" w:rsidP="009F76C4">
      <w:pPr>
        <w:spacing w:after="120"/>
      </w:pPr>
      <w:r w:rsidRPr="00B04B9A">
        <w:rPr>
          <w:i/>
          <w:iCs/>
        </w:rPr>
        <w:lastRenderedPageBreak/>
        <w:t>Confirmed:</w:t>
      </w:r>
      <w:r w:rsidRPr="00B04B9A">
        <w:t> a case that meets the clinical description of primary syphilis that is laboratory confirmed.</w:t>
      </w:r>
    </w:p>
    <w:p w14:paraId="6BCF52ED" w14:textId="77777777" w:rsidR="005D1FD3" w:rsidRPr="00B04B9A" w:rsidRDefault="005D1FD3" w:rsidP="009F76C4">
      <w:pPr>
        <w:spacing w:after="120"/>
        <w:rPr>
          <w:color w:val="2F5496" w:themeColor="accent1" w:themeShade="BF"/>
        </w:rPr>
      </w:pPr>
      <w:r w:rsidRPr="00B04B9A">
        <w:rPr>
          <w:b/>
          <w:bCs/>
          <w:color w:val="2F5496" w:themeColor="accent1" w:themeShade="BF"/>
        </w:rPr>
        <w:t>Syphilis, primary (2018)</w:t>
      </w:r>
    </w:p>
    <w:p w14:paraId="0BAD4370" w14:textId="77777777" w:rsidR="005D1FD3" w:rsidRPr="00B04B9A" w:rsidRDefault="005D1FD3" w:rsidP="009F76C4">
      <w:pPr>
        <w:spacing w:after="120"/>
      </w:pPr>
      <w:r w:rsidRPr="00B04B9A">
        <w:rPr>
          <w:b/>
          <w:bCs/>
          <w:i/>
          <w:iCs/>
        </w:rPr>
        <w:t>Clinical description</w:t>
      </w:r>
    </w:p>
    <w:p w14:paraId="1100E48D" w14:textId="77777777" w:rsidR="005D1FD3" w:rsidRPr="00B04B9A" w:rsidRDefault="005D1FD3" w:rsidP="009F76C4">
      <w:pPr>
        <w:spacing w:after="120"/>
      </w:pPr>
      <w:r w:rsidRPr="00B04B9A">
        <w:t>A stage of infection with </w:t>
      </w:r>
      <w:r w:rsidRPr="00B04B9A">
        <w:rPr>
          <w:i/>
          <w:iCs/>
        </w:rPr>
        <w:t>Treponema pallidum</w:t>
      </w:r>
      <w:r w:rsidRPr="00B04B9A">
        <w:t> characterized by one or more ulcerative lesions (e.g. chancre), which might differ considerably in clinical appearance.</w:t>
      </w:r>
    </w:p>
    <w:p w14:paraId="6A4CA5EC" w14:textId="77777777" w:rsidR="005D1FD3" w:rsidRPr="00B04B9A" w:rsidRDefault="005D1FD3" w:rsidP="009F76C4">
      <w:pPr>
        <w:spacing w:after="120"/>
      </w:pPr>
      <w:r w:rsidRPr="00B04B9A">
        <w:rPr>
          <w:b/>
          <w:bCs/>
          <w:i/>
          <w:iCs/>
        </w:rPr>
        <w:t>Laboratory criteria for diagnosis</w:t>
      </w:r>
    </w:p>
    <w:p w14:paraId="1986517D" w14:textId="77777777" w:rsidR="005D1FD3" w:rsidRPr="00B04B9A" w:rsidRDefault="005D1FD3" w:rsidP="009F76C4">
      <w:pPr>
        <w:spacing w:after="120"/>
      </w:pPr>
      <w:r w:rsidRPr="00B04B9A">
        <w:t>Confirmatory:</w:t>
      </w:r>
    </w:p>
    <w:p w14:paraId="50F0DA76" w14:textId="77777777" w:rsidR="005D1FD3" w:rsidRPr="00B04B9A" w:rsidRDefault="005D1FD3" w:rsidP="00F84E3A">
      <w:pPr>
        <w:numPr>
          <w:ilvl w:val="0"/>
          <w:numId w:val="17"/>
        </w:numPr>
        <w:spacing w:after="120"/>
      </w:pPr>
      <w:r w:rsidRPr="00B04B9A">
        <w:t>Demonstration of </w:t>
      </w:r>
      <w:r w:rsidRPr="00B04B9A">
        <w:rPr>
          <w:i/>
          <w:iCs/>
        </w:rPr>
        <w:t>T. pallidum</w:t>
      </w:r>
      <w:r w:rsidRPr="00B04B9A">
        <w:t> by darkfield microscopy in a clinical specimen that was not obtained from the oropharynx and is not potentially contaminated by stool, </w:t>
      </w:r>
      <w:r w:rsidRPr="00B04B9A">
        <w:rPr>
          <w:b/>
          <w:bCs/>
        </w:rPr>
        <w:t>OR</w:t>
      </w:r>
    </w:p>
    <w:p w14:paraId="42F9C798" w14:textId="77777777" w:rsidR="005D1FD3" w:rsidRPr="00B04B9A" w:rsidRDefault="005D1FD3" w:rsidP="00F84E3A">
      <w:pPr>
        <w:numPr>
          <w:ilvl w:val="0"/>
          <w:numId w:val="17"/>
        </w:numPr>
        <w:spacing w:after="120"/>
      </w:pPr>
      <w:r w:rsidRPr="00B04B9A">
        <w:t>Demonstration of </w:t>
      </w:r>
      <w:r w:rsidRPr="00B04B9A">
        <w:rPr>
          <w:i/>
          <w:iCs/>
        </w:rPr>
        <w:t>T. pallidum</w:t>
      </w:r>
      <w:r w:rsidRPr="00B04B9A">
        <w:t> by polymerase chain reaction (PCR) or equivalent direct molecular methods in any clinical specimen.</w:t>
      </w:r>
    </w:p>
    <w:p w14:paraId="036AED30" w14:textId="77777777" w:rsidR="005D1FD3" w:rsidRPr="00B04B9A" w:rsidRDefault="005D1FD3" w:rsidP="009F76C4">
      <w:pPr>
        <w:spacing w:after="120"/>
      </w:pPr>
      <w:r w:rsidRPr="00B04B9A">
        <w:t>Supportive:</w:t>
      </w:r>
    </w:p>
    <w:p w14:paraId="3819EB2F" w14:textId="762AB3E4" w:rsidR="005D1FD3" w:rsidRPr="00B04B9A" w:rsidRDefault="005D1FD3" w:rsidP="00F84E3A">
      <w:pPr>
        <w:numPr>
          <w:ilvl w:val="0"/>
          <w:numId w:val="18"/>
        </w:numPr>
        <w:spacing w:after="120"/>
      </w:pPr>
      <w:r w:rsidRPr="00B04B9A">
        <w:t>A reactive nontreponemal serologic test VDRL</w:t>
      </w:r>
      <w:r w:rsidR="00C44482" w:rsidRPr="00B04B9A">
        <w:t xml:space="preserve">, </w:t>
      </w:r>
      <w:r w:rsidRPr="00B04B9A">
        <w:t>RPR, or equivalent serologic methods), </w:t>
      </w:r>
      <w:r w:rsidRPr="00B04B9A">
        <w:rPr>
          <w:b/>
          <w:bCs/>
        </w:rPr>
        <w:t>OR</w:t>
      </w:r>
    </w:p>
    <w:p w14:paraId="55602C03" w14:textId="69B1E707" w:rsidR="005D1FD3" w:rsidRPr="00B04B9A" w:rsidRDefault="005D1FD3" w:rsidP="00F84E3A">
      <w:pPr>
        <w:numPr>
          <w:ilvl w:val="0"/>
          <w:numId w:val="18"/>
        </w:numPr>
        <w:spacing w:after="120"/>
      </w:pPr>
      <w:r w:rsidRPr="00B04B9A">
        <w:t>A reactive treponemal serologic test (TP-PA</w:t>
      </w:r>
      <w:r w:rsidR="00C44482" w:rsidRPr="00B04B9A">
        <w:t xml:space="preserve">, </w:t>
      </w:r>
      <w:r w:rsidRPr="00B04B9A">
        <w:t>EIA</w:t>
      </w:r>
      <w:r w:rsidR="00C44482" w:rsidRPr="00B04B9A">
        <w:t xml:space="preserve">, </w:t>
      </w:r>
      <w:r w:rsidRPr="00B04B9A">
        <w:t>CIA], or equivalent serologic methods).*</w:t>
      </w:r>
    </w:p>
    <w:p w14:paraId="658542EF" w14:textId="627F525E" w:rsidR="005D1FD3" w:rsidRPr="00B04B9A" w:rsidRDefault="005D1FD3" w:rsidP="009F76C4">
      <w:pPr>
        <w:spacing w:after="120"/>
      </w:pPr>
      <w:r w:rsidRPr="00B04B9A">
        <w:t>* These treponemal tests supersede older testing technologies, including MHA-TP.</w:t>
      </w:r>
    </w:p>
    <w:p w14:paraId="4465AE7B" w14:textId="77777777" w:rsidR="005D1FD3" w:rsidRPr="00B04B9A" w:rsidRDefault="005D1FD3" w:rsidP="009F76C4">
      <w:pPr>
        <w:spacing w:after="120"/>
      </w:pPr>
      <w:r w:rsidRPr="00B04B9A">
        <w:rPr>
          <w:b/>
          <w:bCs/>
          <w:i/>
          <w:iCs/>
        </w:rPr>
        <w:t>Case classification</w:t>
      </w:r>
    </w:p>
    <w:p w14:paraId="0BE36E7E" w14:textId="77777777" w:rsidR="005D1FD3" w:rsidRPr="00B04B9A" w:rsidRDefault="005D1FD3" w:rsidP="009F76C4">
      <w:pPr>
        <w:spacing w:after="120"/>
      </w:pPr>
      <w:r w:rsidRPr="00B04B9A">
        <w:rPr>
          <w:i/>
          <w:iCs/>
        </w:rPr>
        <w:t>Probable:</w:t>
      </w:r>
      <w:r w:rsidRPr="00B04B9A">
        <w:rPr>
          <w:b/>
          <w:bCs/>
        </w:rPr>
        <w:t xml:space="preserve"> </w:t>
      </w:r>
      <w:r w:rsidRPr="00B04B9A">
        <w:t>A case that meets the clinical description of primary syphilis and the supportive laboratory criteria.</w:t>
      </w:r>
    </w:p>
    <w:p w14:paraId="2F128807" w14:textId="77777777" w:rsidR="005D1FD3" w:rsidRPr="00B04B9A" w:rsidRDefault="005D1FD3" w:rsidP="009F76C4">
      <w:pPr>
        <w:spacing w:after="120"/>
      </w:pPr>
      <w:r w:rsidRPr="00B04B9A">
        <w:rPr>
          <w:i/>
          <w:iCs/>
        </w:rPr>
        <w:t xml:space="preserve">Confirmed: </w:t>
      </w:r>
      <w:r w:rsidRPr="00B04B9A">
        <w:t>A case that meets the clinical description of primary syphilis and the confirmatory laboratory criteria.</w:t>
      </w:r>
    </w:p>
    <w:p w14:paraId="74F94D7B" w14:textId="77777777" w:rsidR="005D1FD3" w:rsidRPr="00B04B9A" w:rsidRDefault="005D1FD3" w:rsidP="009F76C4">
      <w:pPr>
        <w:spacing w:after="120"/>
        <w:rPr>
          <w:color w:val="2F5496" w:themeColor="accent1" w:themeShade="BF"/>
        </w:rPr>
      </w:pPr>
      <w:r w:rsidRPr="00B04B9A">
        <w:rPr>
          <w:b/>
          <w:bCs/>
          <w:color w:val="2F5496" w:themeColor="accent1" w:themeShade="BF"/>
        </w:rPr>
        <w:t>Syphilis, secondary (2014)</w:t>
      </w:r>
    </w:p>
    <w:p w14:paraId="1B1E58D4" w14:textId="77777777" w:rsidR="005D1FD3" w:rsidRPr="00B04B9A" w:rsidRDefault="005D1FD3" w:rsidP="009F76C4">
      <w:pPr>
        <w:spacing w:after="120"/>
      </w:pPr>
      <w:r w:rsidRPr="00B04B9A">
        <w:rPr>
          <w:b/>
          <w:bCs/>
          <w:i/>
          <w:iCs/>
        </w:rPr>
        <w:t>Clinical description</w:t>
      </w:r>
    </w:p>
    <w:p w14:paraId="76427B47" w14:textId="77777777" w:rsidR="005D1FD3" w:rsidRPr="00B04B9A" w:rsidRDefault="005D1FD3" w:rsidP="009F76C4">
      <w:pPr>
        <w:spacing w:after="120"/>
      </w:pPr>
      <w:r w:rsidRPr="00B04B9A">
        <w:t>A stage of infection caused by </w:t>
      </w:r>
      <w:r w:rsidRPr="00B04B9A">
        <w:rPr>
          <w:i/>
          <w:iCs/>
        </w:rPr>
        <w:t>T. pallidum</w:t>
      </w:r>
      <w:r w:rsidRPr="00B04B9A">
        <w:t> characterized by localized or diffuse mucocutaneous lesions (e.g., rash – such as non-pruritic macular, maculopapular, popular, or pustular lesions), often with generalized lymphadenopathy. Other symptoms can include mucous patches, condyloma lata, and alopecia. The primary ulcerative lesion may still be present. Because of the wide array of symptoms possibly indicating secondary syphilis, serologic tests for syphilis and a thorough sexual history and physical examination are crucial to determining if a case should be classified as secondary syphilis.</w:t>
      </w:r>
    </w:p>
    <w:p w14:paraId="6F8050D2" w14:textId="77777777" w:rsidR="005D1FD3" w:rsidRPr="00B04B9A" w:rsidRDefault="005D1FD3" w:rsidP="009F76C4">
      <w:pPr>
        <w:spacing w:after="120"/>
      </w:pPr>
      <w:r w:rsidRPr="00B04B9A">
        <w:rPr>
          <w:b/>
          <w:bCs/>
          <w:i/>
          <w:iCs/>
        </w:rPr>
        <w:t>Laboratory criteria for diagnosis</w:t>
      </w:r>
    </w:p>
    <w:p w14:paraId="28A97636" w14:textId="77777777" w:rsidR="005D1FD3" w:rsidRPr="00B04B9A" w:rsidRDefault="005D1FD3" w:rsidP="009F76C4">
      <w:pPr>
        <w:spacing w:after="120"/>
      </w:pPr>
      <w:r w:rsidRPr="00B04B9A">
        <w:t>Demonstration of </w:t>
      </w:r>
      <w:r w:rsidRPr="00B04B9A">
        <w:rPr>
          <w:i/>
          <w:iCs/>
        </w:rPr>
        <w:t>T. pallidum</w:t>
      </w:r>
      <w:r w:rsidRPr="00B04B9A">
        <w:t> in clinical specimens by darkfield microscopy, or by PCR or equivalent direct molecular methods.</w:t>
      </w:r>
    </w:p>
    <w:p w14:paraId="1584641C" w14:textId="77777777" w:rsidR="005D1FD3" w:rsidRPr="00B04B9A" w:rsidRDefault="005D1FD3" w:rsidP="009F76C4">
      <w:pPr>
        <w:spacing w:after="120"/>
      </w:pPr>
      <w:r w:rsidRPr="00B04B9A">
        <w:rPr>
          <w:b/>
          <w:bCs/>
          <w:i/>
          <w:iCs/>
        </w:rPr>
        <w:t>Case classification</w:t>
      </w:r>
    </w:p>
    <w:p w14:paraId="13014EC8" w14:textId="77777777" w:rsidR="005D1FD3" w:rsidRPr="00B04B9A" w:rsidRDefault="005D1FD3" w:rsidP="009F76C4">
      <w:pPr>
        <w:spacing w:after="120"/>
      </w:pPr>
      <w:r w:rsidRPr="00B04B9A">
        <w:rPr>
          <w:i/>
          <w:iCs/>
        </w:rPr>
        <w:t>Probable:</w:t>
      </w:r>
      <w:r w:rsidRPr="00B04B9A">
        <w:t> a case that meets the clinical description of secondary syphilis with a nontreponemal (VDRL, RPR, or equivalent serologic methods) titer ≥4 and a reactive treponemal test (FTA-ABS, TP-PA, EIA, CIA, or equivalent serologic methods).</w:t>
      </w:r>
    </w:p>
    <w:p w14:paraId="34380282" w14:textId="77777777" w:rsidR="005D1FD3" w:rsidRPr="00B04B9A" w:rsidRDefault="005D1FD3" w:rsidP="009F76C4">
      <w:pPr>
        <w:spacing w:after="120"/>
      </w:pPr>
      <w:r w:rsidRPr="00B04B9A">
        <w:rPr>
          <w:i/>
          <w:iCs/>
        </w:rPr>
        <w:lastRenderedPageBreak/>
        <w:t>Confirmed:</w:t>
      </w:r>
      <w:r w:rsidRPr="00B04B9A">
        <w:t> a case that meets the clinical description of secondary syphilis (with at least one sign or symptom) that is laboratory confirmed.</w:t>
      </w:r>
    </w:p>
    <w:p w14:paraId="63C50360" w14:textId="77777777" w:rsidR="005D1FD3" w:rsidRPr="00B04B9A" w:rsidRDefault="005D1FD3" w:rsidP="009F76C4">
      <w:pPr>
        <w:spacing w:after="120"/>
        <w:rPr>
          <w:color w:val="2F5496" w:themeColor="accent1" w:themeShade="BF"/>
        </w:rPr>
      </w:pPr>
      <w:r w:rsidRPr="00B04B9A">
        <w:rPr>
          <w:b/>
          <w:bCs/>
          <w:color w:val="2F5496" w:themeColor="accent1" w:themeShade="BF"/>
        </w:rPr>
        <w:t>Syphilis, secondary (2018)</w:t>
      </w:r>
    </w:p>
    <w:p w14:paraId="181F6506" w14:textId="77777777" w:rsidR="005D1FD3" w:rsidRPr="00B04B9A" w:rsidRDefault="005D1FD3" w:rsidP="009F76C4">
      <w:pPr>
        <w:spacing w:after="120"/>
      </w:pPr>
      <w:r w:rsidRPr="00B04B9A">
        <w:rPr>
          <w:b/>
          <w:bCs/>
          <w:i/>
          <w:iCs/>
        </w:rPr>
        <w:t>Clinical description</w:t>
      </w:r>
    </w:p>
    <w:p w14:paraId="07736748" w14:textId="77777777" w:rsidR="005D1FD3" w:rsidRPr="00B04B9A" w:rsidRDefault="005D1FD3" w:rsidP="009F76C4">
      <w:pPr>
        <w:spacing w:after="120"/>
      </w:pPr>
      <w:r w:rsidRPr="00B04B9A">
        <w:t>A stage of infection caused by </w:t>
      </w:r>
      <w:r w:rsidRPr="00B04B9A">
        <w:rPr>
          <w:i/>
          <w:iCs/>
        </w:rPr>
        <w:t>T. pallidum</w:t>
      </w:r>
      <w:r w:rsidRPr="00B04B9A">
        <w:t> characterized by localized or diffuse mucocutaneous lesions (e.g., rash – such as non-pruritic macular, maculopapular, papular, or pustular lesions), often with generalized lymphadenopathy. Other signs can include mucous patches, condyloma lata, and alopecia. The primary ulcerative lesion may still be present.*</w:t>
      </w:r>
    </w:p>
    <w:p w14:paraId="714DEF4C" w14:textId="77777777" w:rsidR="005D1FD3" w:rsidRPr="00B04B9A" w:rsidRDefault="005D1FD3" w:rsidP="009F76C4">
      <w:pPr>
        <w:spacing w:after="120"/>
      </w:pPr>
      <w:r w:rsidRPr="00B04B9A">
        <w:t>*Because of the wide array of symptoms and signs possibly indicating secondary syphilis, serologic tests for syphilis and a physical examination are crucial to determining if a case should be classified as secondary syphilis.</w:t>
      </w:r>
    </w:p>
    <w:p w14:paraId="55E23503" w14:textId="77777777" w:rsidR="005D1FD3" w:rsidRPr="00B04B9A" w:rsidRDefault="005D1FD3" w:rsidP="009F76C4">
      <w:pPr>
        <w:spacing w:after="120"/>
      </w:pPr>
      <w:r w:rsidRPr="00B04B9A">
        <w:rPr>
          <w:b/>
          <w:bCs/>
          <w:i/>
          <w:iCs/>
        </w:rPr>
        <w:t>Laboratory criteria for diagnosis</w:t>
      </w:r>
    </w:p>
    <w:p w14:paraId="62189E69" w14:textId="77777777" w:rsidR="005D1FD3" w:rsidRPr="00B04B9A" w:rsidRDefault="005D1FD3" w:rsidP="009F76C4">
      <w:pPr>
        <w:spacing w:after="120"/>
      </w:pPr>
      <w:r w:rsidRPr="00B04B9A">
        <w:t>Confirmatory:</w:t>
      </w:r>
    </w:p>
    <w:p w14:paraId="658218AE" w14:textId="77777777" w:rsidR="005D1FD3" w:rsidRPr="00B04B9A" w:rsidRDefault="005D1FD3" w:rsidP="00F84E3A">
      <w:pPr>
        <w:numPr>
          <w:ilvl w:val="0"/>
          <w:numId w:val="19"/>
        </w:numPr>
        <w:spacing w:after="120"/>
      </w:pPr>
      <w:r w:rsidRPr="00B04B9A">
        <w:t>Demonstration of </w:t>
      </w:r>
      <w:r w:rsidRPr="00B04B9A">
        <w:rPr>
          <w:i/>
          <w:iCs/>
        </w:rPr>
        <w:t>T. pallidum</w:t>
      </w:r>
      <w:r w:rsidRPr="00B04B9A">
        <w:t> by darkfield microscopy in a clinical specimen that was not obtained from the oropharynx and is not potentially contaminated by stool, </w:t>
      </w:r>
      <w:r w:rsidRPr="00B04B9A">
        <w:rPr>
          <w:b/>
          <w:bCs/>
        </w:rPr>
        <w:t>OR</w:t>
      </w:r>
    </w:p>
    <w:p w14:paraId="4AF9B2B0" w14:textId="77777777" w:rsidR="005D1FD3" w:rsidRPr="00B04B9A" w:rsidRDefault="005D1FD3" w:rsidP="00F84E3A">
      <w:pPr>
        <w:numPr>
          <w:ilvl w:val="0"/>
          <w:numId w:val="19"/>
        </w:numPr>
        <w:spacing w:after="120"/>
      </w:pPr>
      <w:r w:rsidRPr="00B04B9A">
        <w:t>Demonstration of </w:t>
      </w:r>
      <w:r w:rsidRPr="00B04B9A">
        <w:rPr>
          <w:i/>
          <w:iCs/>
        </w:rPr>
        <w:t>T. pallidum</w:t>
      </w:r>
      <w:r w:rsidRPr="00B04B9A">
        <w:t> by polymerase chain reaction (PCR) or equivalent direct molecular methods in any clinical specimen.</w:t>
      </w:r>
    </w:p>
    <w:p w14:paraId="6848DDDB" w14:textId="77777777" w:rsidR="005D1FD3" w:rsidRPr="00B04B9A" w:rsidRDefault="005D1FD3" w:rsidP="009F76C4">
      <w:pPr>
        <w:spacing w:after="120"/>
      </w:pPr>
      <w:r w:rsidRPr="00B04B9A">
        <w:t>Supportive:</w:t>
      </w:r>
    </w:p>
    <w:p w14:paraId="4E74052E" w14:textId="4C54B518" w:rsidR="005D1FD3" w:rsidRPr="00B04B9A" w:rsidRDefault="005D1FD3" w:rsidP="00F84E3A">
      <w:pPr>
        <w:numPr>
          <w:ilvl w:val="0"/>
          <w:numId w:val="20"/>
        </w:numPr>
        <w:spacing w:after="120"/>
      </w:pPr>
      <w:r w:rsidRPr="00B04B9A">
        <w:t>A reactive nontreponemal serologic test VDRL</w:t>
      </w:r>
      <w:r w:rsidR="00C44482" w:rsidRPr="00B04B9A">
        <w:t xml:space="preserve">, </w:t>
      </w:r>
      <w:r w:rsidRPr="00B04B9A">
        <w:t>RPR, or equivalent serologic methods), </w:t>
      </w:r>
      <w:r w:rsidRPr="00B04B9A">
        <w:rPr>
          <w:b/>
          <w:bCs/>
        </w:rPr>
        <w:t>AND</w:t>
      </w:r>
    </w:p>
    <w:p w14:paraId="53F7A1C2" w14:textId="090E487B" w:rsidR="005D1FD3" w:rsidRPr="00B04B9A" w:rsidRDefault="005D1FD3" w:rsidP="00F84E3A">
      <w:pPr>
        <w:numPr>
          <w:ilvl w:val="0"/>
          <w:numId w:val="20"/>
        </w:numPr>
        <w:spacing w:after="120"/>
      </w:pPr>
      <w:r w:rsidRPr="00B04B9A">
        <w:t>A reactive treponemal serologic test (TP-PA</w:t>
      </w:r>
      <w:r w:rsidR="00AC0D52" w:rsidRPr="00B04B9A">
        <w:t xml:space="preserve">, </w:t>
      </w:r>
      <w:r w:rsidRPr="00B04B9A">
        <w:t>EIA], CIA, or equivalent serologic methods).</w:t>
      </w:r>
    </w:p>
    <w:p w14:paraId="5E056678" w14:textId="77777777" w:rsidR="005D1FD3" w:rsidRPr="00B04B9A" w:rsidRDefault="005D1FD3" w:rsidP="009F76C4">
      <w:pPr>
        <w:spacing w:after="120"/>
      </w:pPr>
      <w:r w:rsidRPr="00B04B9A">
        <w:rPr>
          <w:b/>
          <w:bCs/>
          <w:i/>
          <w:iCs/>
        </w:rPr>
        <w:t>Case classification</w:t>
      </w:r>
    </w:p>
    <w:p w14:paraId="1038DF04" w14:textId="77777777" w:rsidR="005D1FD3" w:rsidRPr="00B04B9A" w:rsidRDefault="005D1FD3" w:rsidP="009F76C4">
      <w:pPr>
        <w:spacing w:after="120"/>
      </w:pPr>
      <w:r w:rsidRPr="00B04B9A">
        <w:rPr>
          <w:i/>
          <w:iCs/>
        </w:rPr>
        <w:t>Probable:</w:t>
      </w:r>
      <w:r w:rsidRPr="00B04B9A">
        <w:t> A case that meets the clinical description of secondary syphilis and the supportive laboratory criteria.</w:t>
      </w:r>
    </w:p>
    <w:p w14:paraId="70D052A0" w14:textId="77777777" w:rsidR="005D1FD3" w:rsidRPr="00B04B9A" w:rsidRDefault="005D1FD3" w:rsidP="009F76C4">
      <w:pPr>
        <w:spacing w:after="120"/>
      </w:pPr>
      <w:r w:rsidRPr="00B04B9A">
        <w:rPr>
          <w:i/>
          <w:iCs/>
        </w:rPr>
        <w:t>Confirmed:</w:t>
      </w:r>
      <w:r w:rsidRPr="00B04B9A">
        <w:t> A case that meets the clinical description of secondary syphilis and the confirmatory laboratory criteria.</w:t>
      </w:r>
    </w:p>
    <w:p w14:paraId="321F609F" w14:textId="77777777" w:rsidR="005D1FD3" w:rsidRPr="00B04B9A" w:rsidRDefault="005D1FD3" w:rsidP="009F76C4">
      <w:pPr>
        <w:spacing w:after="120"/>
        <w:rPr>
          <w:color w:val="2F5496" w:themeColor="accent1" w:themeShade="BF"/>
        </w:rPr>
      </w:pPr>
      <w:r w:rsidRPr="00B04B9A">
        <w:rPr>
          <w:b/>
          <w:bCs/>
          <w:color w:val="2F5496" w:themeColor="accent1" w:themeShade="BF"/>
        </w:rPr>
        <w:t>Syphilis, early latent (2014)</w:t>
      </w:r>
    </w:p>
    <w:p w14:paraId="78CA911F" w14:textId="77777777" w:rsidR="005D1FD3" w:rsidRPr="00B04B9A" w:rsidRDefault="005D1FD3" w:rsidP="009F76C4">
      <w:pPr>
        <w:spacing w:after="120"/>
      </w:pPr>
      <w:r w:rsidRPr="00B04B9A">
        <w:rPr>
          <w:b/>
          <w:bCs/>
          <w:i/>
          <w:iCs/>
        </w:rPr>
        <w:t>Clinical description</w:t>
      </w:r>
    </w:p>
    <w:p w14:paraId="0E2E388B" w14:textId="77777777" w:rsidR="005D1FD3" w:rsidRPr="00B04B9A" w:rsidRDefault="005D1FD3" w:rsidP="009F76C4">
      <w:pPr>
        <w:spacing w:after="120"/>
      </w:pPr>
      <w:r w:rsidRPr="00B04B9A">
        <w:t>A subcategory of latent syphilis (a stage of infection caused by </w:t>
      </w:r>
      <w:r w:rsidRPr="00B04B9A">
        <w:rPr>
          <w:i/>
          <w:iCs/>
        </w:rPr>
        <w:t>T. pallidum</w:t>
      </w:r>
      <w:r w:rsidRPr="00B04B9A">
        <w:t> in which organisms persist in the body of the infected person without causing symptoms or signs) when initial infection has occurred within the previous 12 months.</w:t>
      </w:r>
    </w:p>
    <w:p w14:paraId="1E3BDDBA" w14:textId="77777777" w:rsidR="005D1FD3" w:rsidRPr="00B04B9A" w:rsidRDefault="005D1FD3" w:rsidP="009F76C4">
      <w:pPr>
        <w:spacing w:after="120"/>
      </w:pPr>
      <w:r w:rsidRPr="00B04B9A">
        <w:rPr>
          <w:b/>
          <w:bCs/>
          <w:i/>
          <w:iCs/>
        </w:rPr>
        <w:t>Case classification</w:t>
      </w:r>
    </w:p>
    <w:p w14:paraId="79B5E901" w14:textId="77777777" w:rsidR="005D1FD3" w:rsidRPr="00B04B9A" w:rsidRDefault="005D1FD3" w:rsidP="009F76C4">
      <w:pPr>
        <w:spacing w:after="120"/>
      </w:pPr>
      <w:r w:rsidRPr="00B04B9A">
        <w:rPr>
          <w:i/>
          <w:iCs/>
        </w:rPr>
        <w:t>Probable</w:t>
      </w:r>
      <w:r w:rsidRPr="00B04B9A">
        <w:t>: A person with no clinical signs or symptoms of syphilis who has one of the following:</w:t>
      </w:r>
    </w:p>
    <w:p w14:paraId="52B8D3A8" w14:textId="77777777" w:rsidR="005D1FD3" w:rsidRPr="00B04B9A" w:rsidRDefault="005D1FD3" w:rsidP="00F84E3A">
      <w:pPr>
        <w:numPr>
          <w:ilvl w:val="0"/>
          <w:numId w:val="21"/>
        </w:numPr>
        <w:spacing w:after="120"/>
      </w:pPr>
      <w:r w:rsidRPr="00B04B9A">
        <w:t>No past diagnosis of syphilis, and a reactive nontreponemal test (e.g., VDRL, RPR, or equivalent serologic methods), and a reactive treponemal test (e.g., FTA-ABS, TP-PA, EIA, CIA, or equivalent serologic methods), or</w:t>
      </w:r>
    </w:p>
    <w:p w14:paraId="179CBD75" w14:textId="77777777" w:rsidR="005D1FD3" w:rsidRPr="00B04B9A" w:rsidRDefault="005D1FD3" w:rsidP="00F84E3A">
      <w:pPr>
        <w:numPr>
          <w:ilvl w:val="0"/>
          <w:numId w:val="21"/>
        </w:numPr>
        <w:spacing w:after="120"/>
      </w:pPr>
      <w:r w:rsidRPr="00B04B9A">
        <w:t>A current nontreponemal test titer demonstrating fourfold or greater increase from the last nontreponemal test titer</w:t>
      </w:r>
    </w:p>
    <w:p w14:paraId="731CFAC8" w14:textId="77777777" w:rsidR="005D1FD3" w:rsidRPr="00B04B9A" w:rsidRDefault="005D1FD3" w:rsidP="009F76C4">
      <w:pPr>
        <w:spacing w:after="120"/>
      </w:pPr>
      <w:r w:rsidRPr="00B04B9A">
        <w:lastRenderedPageBreak/>
        <w:t>AND evidence of having acquired the infection within the previous 12 months based on one or more of the following criteria:</w:t>
      </w:r>
    </w:p>
    <w:p w14:paraId="39CDBD39" w14:textId="77777777" w:rsidR="005D1FD3" w:rsidRPr="00B04B9A" w:rsidRDefault="005D1FD3" w:rsidP="00F84E3A">
      <w:pPr>
        <w:numPr>
          <w:ilvl w:val="0"/>
          <w:numId w:val="22"/>
        </w:numPr>
        <w:spacing w:after="120"/>
      </w:pPr>
      <w:r w:rsidRPr="00B04B9A">
        <w:t>Documented seroconversion or fourfold or greater increase in titer of a nontreponemal test during the previous 12 months</w:t>
      </w:r>
    </w:p>
    <w:p w14:paraId="24E10335" w14:textId="77777777" w:rsidR="005D1FD3" w:rsidRPr="00B04B9A" w:rsidRDefault="005D1FD3" w:rsidP="00F84E3A">
      <w:pPr>
        <w:numPr>
          <w:ilvl w:val="0"/>
          <w:numId w:val="22"/>
        </w:numPr>
        <w:spacing w:after="120"/>
      </w:pPr>
      <w:r w:rsidRPr="00B04B9A">
        <w:t>Documented seroconversion of a treponemal test during the previous 12 months</w:t>
      </w:r>
    </w:p>
    <w:p w14:paraId="6744D760" w14:textId="77777777" w:rsidR="005D1FD3" w:rsidRPr="00B04B9A" w:rsidRDefault="005D1FD3" w:rsidP="00F84E3A">
      <w:pPr>
        <w:numPr>
          <w:ilvl w:val="0"/>
          <w:numId w:val="22"/>
        </w:numPr>
        <w:spacing w:after="120"/>
      </w:pPr>
      <w:r w:rsidRPr="00B04B9A">
        <w:t>A history of symptoms consistent with primary or secondary syphilis during the previous 12 months</w:t>
      </w:r>
    </w:p>
    <w:p w14:paraId="570776E2" w14:textId="77777777" w:rsidR="005D1FD3" w:rsidRPr="00B04B9A" w:rsidRDefault="005D1FD3" w:rsidP="00F84E3A">
      <w:pPr>
        <w:numPr>
          <w:ilvl w:val="0"/>
          <w:numId w:val="22"/>
        </w:numPr>
        <w:spacing w:after="120"/>
      </w:pPr>
      <w:r w:rsidRPr="00B04B9A">
        <w:t>A history of sexual exposure to a partner within the previous 12 months who had primary, secondary, or early latent syphilis (documented independently as duration &lt;12 months)</w:t>
      </w:r>
    </w:p>
    <w:p w14:paraId="5468A35A" w14:textId="77777777" w:rsidR="005D1FD3" w:rsidRPr="00B04B9A" w:rsidRDefault="005D1FD3" w:rsidP="00F84E3A">
      <w:pPr>
        <w:numPr>
          <w:ilvl w:val="0"/>
          <w:numId w:val="22"/>
        </w:numPr>
        <w:spacing w:after="120"/>
      </w:pPr>
      <w:r w:rsidRPr="00B04B9A">
        <w:t>Only sexual contact was within the last 12 months (sexual debut).</w:t>
      </w:r>
    </w:p>
    <w:p w14:paraId="4D4F9913" w14:textId="77777777" w:rsidR="005D1FD3" w:rsidRPr="00B04B9A" w:rsidRDefault="005D1FD3" w:rsidP="009F76C4">
      <w:pPr>
        <w:spacing w:after="120"/>
      </w:pPr>
      <w:r w:rsidRPr="00B04B9A">
        <w:t>There is no confirmed case classification for early latent syphilis.</w:t>
      </w:r>
    </w:p>
    <w:p w14:paraId="01B03E88" w14:textId="77777777" w:rsidR="005D1FD3" w:rsidRPr="00B04B9A" w:rsidRDefault="005D1FD3" w:rsidP="009F76C4">
      <w:pPr>
        <w:spacing w:after="120"/>
        <w:rPr>
          <w:color w:val="2F5496" w:themeColor="accent1" w:themeShade="BF"/>
        </w:rPr>
      </w:pPr>
      <w:r w:rsidRPr="00B04B9A">
        <w:rPr>
          <w:b/>
          <w:bCs/>
          <w:color w:val="2F5496" w:themeColor="accent1" w:themeShade="BF"/>
        </w:rPr>
        <w:t>Syphilis, early non-primary non-secondary (2018)</w:t>
      </w:r>
    </w:p>
    <w:p w14:paraId="615B859A" w14:textId="77777777" w:rsidR="005D1FD3" w:rsidRPr="00B04B9A" w:rsidRDefault="005D1FD3" w:rsidP="009F76C4">
      <w:pPr>
        <w:spacing w:after="120"/>
      </w:pPr>
      <w:r w:rsidRPr="00B04B9A">
        <w:rPr>
          <w:b/>
          <w:bCs/>
          <w:i/>
          <w:iCs/>
        </w:rPr>
        <w:t>Clinical description</w:t>
      </w:r>
    </w:p>
    <w:p w14:paraId="0F214682" w14:textId="77777777" w:rsidR="005D1FD3" w:rsidRPr="00B04B9A" w:rsidRDefault="005D1FD3" w:rsidP="009F76C4">
      <w:pPr>
        <w:spacing w:after="120"/>
      </w:pPr>
      <w:r w:rsidRPr="00B04B9A">
        <w:t>A stage of infection caused by </w:t>
      </w:r>
      <w:r w:rsidRPr="00B04B9A">
        <w:rPr>
          <w:i/>
          <w:iCs/>
        </w:rPr>
        <w:t>T. pallidum</w:t>
      </w:r>
      <w:r w:rsidRPr="00B04B9A">
        <w:t> in which initial infection has occurred within the previous 12 months, but there are no signs or symptoms of primary or secondary syphilis.</w:t>
      </w:r>
    </w:p>
    <w:p w14:paraId="0A9AA061" w14:textId="77777777" w:rsidR="005D1FD3" w:rsidRPr="00B04B9A" w:rsidRDefault="005D1FD3" w:rsidP="009F76C4">
      <w:pPr>
        <w:spacing w:after="120"/>
      </w:pPr>
      <w:r w:rsidRPr="00B04B9A">
        <w:rPr>
          <w:b/>
          <w:bCs/>
          <w:i/>
          <w:iCs/>
        </w:rPr>
        <w:t>Laboratory criteria for diagnosis</w:t>
      </w:r>
    </w:p>
    <w:p w14:paraId="690750B9" w14:textId="77777777" w:rsidR="005D1FD3" w:rsidRPr="00B04B9A" w:rsidRDefault="005D1FD3" w:rsidP="009F76C4">
      <w:pPr>
        <w:spacing w:after="120"/>
      </w:pPr>
      <w:r w:rsidRPr="00B04B9A">
        <w:t>Supportive:</w:t>
      </w:r>
    </w:p>
    <w:p w14:paraId="58B0BED8" w14:textId="77777777" w:rsidR="005D1FD3" w:rsidRPr="00B04B9A" w:rsidRDefault="005D1FD3" w:rsidP="00F84E3A">
      <w:pPr>
        <w:numPr>
          <w:ilvl w:val="0"/>
          <w:numId w:val="23"/>
        </w:numPr>
        <w:spacing w:after="120"/>
      </w:pPr>
      <w:r w:rsidRPr="00B04B9A">
        <w:t>A current nontreponemal test titer demonstrating fourfold or greater increase from the last nontreponemal test titer, unless there is evidence that this increase was not sustained for &gt;2 weeks.</w:t>
      </w:r>
    </w:p>
    <w:p w14:paraId="7F3C6B2D" w14:textId="77777777" w:rsidR="005D1FD3" w:rsidRPr="00B04B9A" w:rsidRDefault="005D1FD3" w:rsidP="009F76C4">
      <w:pPr>
        <w:spacing w:after="120"/>
      </w:pPr>
      <w:r w:rsidRPr="00B04B9A">
        <w:rPr>
          <w:b/>
          <w:bCs/>
          <w:i/>
          <w:iCs/>
        </w:rPr>
        <w:t>Case classification</w:t>
      </w:r>
    </w:p>
    <w:p w14:paraId="4BE88892" w14:textId="77777777" w:rsidR="005D1FD3" w:rsidRPr="00B04B9A" w:rsidRDefault="005D1FD3" w:rsidP="009F76C4">
      <w:pPr>
        <w:spacing w:after="120"/>
      </w:pPr>
      <w:r w:rsidRPr="00B04B9A">
        <w:rPr>
          <w:b/>
          <w:bCs/>
        </w:rPr>
        <w:t>Probable</w:t>
      </w:r>
    </w:p>
    <w:p w14:paraId="32CC202F" w14:textId="77777777" w:rsidR="005D1FD3" w:rsidRPr="00B04B9A" w:rsidRDefault="005D1FD3" w:rsidP="00F84E3A">
      <w:pPr>
        <w:numPr>
          <w:ilvl w:val="0"/>
          <w:numId w:val="24"/>
        </w:numPr>
        <w:spacing w:after="120"/>
      </w:pPr>
      <w:r w:rsidRPr="00B04B9A">
        <w:t>A person with no clinical signs or symptoms of primary or secondary syphilis who has one of the following:</w:t>
      </w:r>
    </w:p>
    <w:p w14:paraId="5BFB6811" w14:textId="77777777" w:rsidR="005D1FD3" w:rsidRPr="00B04B9A" w:rsidRDefault="005D1FD3" w:rsidP="00F84E3A">
      <w:pPr>
        <w:numPr>
          <w:ilvl w:val="0"/>
          <w:numId w:val="24"/>
        </w:numPr>
        <w:spacing w:after="120"/>
      </w:pPr>
      <w:r w:rsidRPr="00B04B9A">
        <w:t>No prior history of syphilis, </w:t>
      </w:r>
      <w:r w:rsidRPr="00B04B9A">
        <w:rPr>
          <w:b/>
          <w:bCs/>
        </w:rPr>
        <w:t>AND</w:t>
      </w:r>
      <w:r w:rsidRPr="00B04B9A">
        <w:t> a current reactive nontreponemal test (e.g., VDRL, RPR, or equivalent serologic methods), </w:t>
      </w:r>
      <w:r w:rsidRPr="00B04B9A">
        <w:rPr>
          <w:b/>
          <w:bCs/>
        </w:rPr>
        <w:t>AND</w:t>
      </w:r>
      <w:r w:rsidRPr="00B04B9A">
        <w:t> a current reactive treponemal test (e.g., TP-PA, EIA, CIA, or equivalent serologic methods), </w:t>
      </w:r>
      <w:r w:rsidRPr="00B04B9A">
        <w:rPr>
          <w:b/>
          <w:bCs/>
        </w:rPr>
        <w:t>OR</w:t>
      </w:r>
    </w:p>
    <w:p w14:paraId="56D42878" w14:textId="77777777" w:rsidR="005D1FD3" w:rsidRPr="00B04B9A" w:rsidRDefault="005D1FD3" w:rsidP="00F84E3A">
      <w:pPr>
        <w:numPr>
          <w:ilvl w:val="0"/>
          <w:numId w:val="24"/>
        </w:numPr>
        <w:spacing w:after="120"/>
      </w:pPr>
      <w:r w:rsidRPr="00B04B9A">
        <w:t>A prior history of syphilis and meets the supportive laboratory criteria.</w:t>
      </w:r>
    </w:p>
    <w:p w14:paraId="24216AB2" w14:textId="77777777" w:rsidR="005D1FD3" w:rsidRPr="00B04B9A" w:rsidRDefault="005D1FD3" w:rsidP="009F76C4">
      <w:pPr>
        <w:spacing w:after="120"/>
      </w:pPr>
      <w:r w:rsidRPr="00B04B9A">
        <w:rPr>
          <w:b/>
          <w:bCs/>
        </w:rPr>
        <w:t>AND</w:t>
      </w:r>
      <w:r w:rsidRPr="00B04B9A">
        <w:t> evidence of having acquired the infection within the previous 12 months based on one or more of the following criteria:</w:t>
      </w:r>
    </w:p>
    <w:p w14:paraId="3107061B" w14:textId="77777777" w:rsidR="005D1FD3" w:rsidRPr="00B04B9A" w:rsidRDefault="005D1FD3" w:rsidP="00F84E3A">
      <w:pPr>
        <w:numPr>
          <w:ilvl w:val="0"/>
          <w:numId w:val="25"/>
        </w:numPr>
        <w:spacing w:after="120"/>
      </w:pPr>
      <w:r w:rsidRPr="00B04B9A">
        <w:t>Documented seroconversion or fourfold or greater increase in titer of a nontreponemal test during the previous 12 months, unless there is evidence that this increase was not sustained for &gt;2 weeks</w:t>
      </w:r>
    </w:p>
    <w:p w14:paraId="758212AC" w14:textId="77777777" w:rsidR="005D1FD3" w:rsidRPr="00B04B9A" w:rsidRDefault="005D1FD3" w:rsidP="00F84E3A">
      <w:pPr>
        <w:numPr>
          <w:ilvl w:val="0"/>
          <w:numId w:val="25"/>
        </w:numPr>
        <w:spacing w:after="120"/>
      </w:pPr>
      <w:r w:rsidRPr="00B04B9A">
        <w:t>Documented seroconversion of a treponemal test during the previous 12 months</w:t>
      </w:r>
    </w:p>
    <w:p w14:paraId="1A133AA9" w14:textId="77777777" w:rsidR="005D1FD3" w:rsidRPr="00B04B9A" w:rsidRDefault="005D1FD3" w:rsidP="00F84E3A">
      <w:pPr>
        <w:numPr>
          <w:ilvl w:val="0"/>
          <w:numId w:val="25"/>
        </w:numPr>
        <w:spacing w:after="120"/>
      </w:pPr>
      <w:r w:rsidRPr="00B04B9A">
        <w:t>A history of symptoms consistent with primary or secondary syphilis during the previous 12 months</w:t>
      </w:r>
    </w:p>
    <w:p w14:paraId="6EBE27B4" w14:textId="77777777" w:rsidR="005D1FD3" w:rsidRPr="00B04B9A" w:rsidRDefault="005D1FD3" w:rsidP="00F84E3A">
      <w:pPr>
        <w:numPr>
          <w:ilvl w:val="0"/>
          <w:numId w:val="25"/>
        </w:numPr>
        <w:spacing w:after="120"/>
      </w:pPr>
      <w:r w:rsidRPr="00B04B9A">
        <w:lastRenderedPageBreak/>
        <w:t>Meets epidemiologic criteria</w:t>
      </w:r>
    </w:p>
    <w:p w14:paraId="10061B15" w14:textId="77777777" w:rsidR="005D1FD3" w:rsidRPr="00B04B9A" w:rsidRDefault="005D1FD3" w:rsidP="009F76C4">
      <w:pPr>
        <w:spacing w:after="120"/>
      </w:pPr>
      <w:r w:rsidRPr="00B04B9A">
        <w:rPr>
          <w:b/>
          <w:bCs/>
        </w:rPr>
        <w:t>Epidemiological Criteria:</w:t>
      </w:r>
    </w:p>
    <w:p w14:paraId="55499D50" w14:textId="77777777" w:rsidR="005D1FD3" w:rsidRPr="00B04B9A" w:rsidRDefault="005D1FD3" w:rsidP="00F84E3A">
      <w:pPr>
        <w:numPr>
          <w:ilvl w:val="0"/>
          <w:numId w:val="26"/>
        </w:numPr>
        <w:spacing w:after="120"/>
      </w:pPr>
      <w:r w:rsidRPr="00B04B9A">
        <w:t>A history of sexual exposure to a partner within the previous 12 months who had primary, secondary, or early non-primary non-secondary syphilis (documented independently as duration &lt;12 months).</w:t>
      </w:r>
    </w:p>
    <w:p w14:paraId="0424F81B" w14:textId="77777777" w:rsidR="005D1FD3" w:rsidRPr="00B04B9A" w:rsidRDefault="005D1FD3" w:rsidP="00F84E3A">
      <w:pPr>
        <w:numPr>
          <w:ilvl w:val="0"/>
          <w:numId w:val="26"/>
        </w:numPr>
        <w:spacing w:after="120"/>
      </w:pPr>
      <w:r w:rsidRPr="00B04B9A">
        <w:t>Only sexual contact (sexual debut) was within the previous 12 months.</w:t>
      </w:r>
    </w:p>
    <w:p w14:paraId="194EE8D2" w14:textId="77777777" w:rsidR="005D1FD3" w:rsidRPr="00B04B9A" w:rsidRDefault="005D1FD3" w:rsidP="009F76C4">
      <w:pPr>
        <w:spacing w:after="120"/>
        <w:rPr>
          <w:color w:val="2F5496" w:themeColor="accent1" w:themeShade="BF"/>
        </w:rPr>
      </w:pPr>
      <w:r w:rsidRPr="00B04B9A">
        <w:rPr>
          <w:b/>
          <w:bCs/>
          <w:color w:val="2F5496" w:themeColor="accent1" w:themeShade="BF"/>
        </w:rPr>
        <w:t>Syphilis, late latent (2014)</w:t>
      </w:r>
    </w:p>
    <w:p w14:paraId="03467EEF" w14:textId="77777777" w:rsidR="005D1FD3" w:rsidRPr="00B04B9A" w:rsidRDefault="005D1FD3" w:rsidP="009F76C4">
      <w:pPr>
        <w:spacing w:after="120"/>
      </w:pPr>
      <w:r w:rsidRPr="00B04B9A">
        <w:rPr>
          <w:b/>
          <w:bCs/>
          <w:i/>
          <w:iCs/>
        </w:rPr>
        <w:t>Clinical description</w:t>
      </w:r>
    </w:p>
    <w:p w14:paraId="4280449B" w14:textId="77777777" w:rsidR="005D1FD3" w:rsidRPr="00B04B9A" w:rsidRDefault="005D1FD3" w:rsidP="009F76C4">
      <w:pPr>
        <w:spacing w:after="120"/>
      </w:pPr>
      <w:r w:rsidRPr="00B04B9A">
        <w:t>A subcategory of latent syphilis (a stage of infection caused by </w:t>
      </w:r>
      <w:r w:rsidRPr="00B04B9A">
        <w:rPr>
          <w:i/>
          <w:iCs/>
        </w:rPr>
        <w:t>T. pallidum</w:t>
      </w:r>
      <w:r w:rsidRPr="00B04B9A">
        <w:t> in which organisms persist in the body of the infected person without causing symptoms or signs) when initial infection has occurred &gt;12 months previously.</w:t>
      </w:r>
    </w:p>
    <w:p w14:paraId="4DD4C77A" w14:textId="77777777" w:rsidR="005D1FD3" w:rsidRPr="00B04B9A" w:rsidRDefault="005D1FD3" w:rsidP="009F76C4">
      <w:pPr>
        <w:spacing w:after="120"/>
      </w:pPr>
      <w:r w:rsidRPr="00B04B9A">
        <w:rPr>
          <w:b/>
          <w:bCs/>
          <w:i/>
          <w:iCs/>
        </w:rPr>
        <w:t>Case classification</w:t>
      </w:r>
    </w:p>
    <w:p w14:paraId="76F563A4" w14:textId="77777777" w:rsidR="005D1FD3" w:rsidRPr="00B04B9A" w:rsidRDefault="005D1FD3" w:rsidP="009F76C4">
      <w:pPr>
        <w:spacing w:after="120"/>
      </w:pPr>
      <w:r w:rsidRPr="00B04B9A">
        <w:rPr>
          <w:i/>
          <w:iCs/>
        </w:rPr>
        <w:t>Probable:</w:t>
      </w:r>
      <w:r w:rsidRPr="00B04B9A">
        <w:t> a person with no clinical signs or symptoms of syphilis who has one of the following:</w:t>
      </w:r>
    </w:p>
    <w:p w14:paraId="3EFC7FFE" w14:textId="77777777" w:rsidR="005D1FD3" w:rsidRPr="00B04B9A" w:rsidRDefault="005D1FD3" w:rsidP="00F84E3A">
      <w:pPr>
        <w:numPr>
          <w:ilvl w:val="0"/>
          <w:numId w:val="27"/>
        </w:numPr>
        <w:spacing w:after="120"/>
      </w:pPr>
      <w:r w:rsidRPr="00B04B9A">
        <w:t>No past diagnosis of syphilis, and a reactive nontreponemal test (e.g., VDRL, RPR, or equivalent serologic methods), and a reactive treponemal test (e.g., FTA-ABS, TP-PA, EIA, CIA, or equivalent serologic methods), or</w:t>
      </w:r>
    </w:p>
    <w:p w14:paraId="77C6FF06" w14:textId="77777777" w:rsidR="005D1FD3" w:rsidRPr="00B04B9A" w:rsidRDefault="005D1FD3" w:rsidP="00F84E3A">
      <w:pPr>
        <w:numPr>
          <w:ilvl w:val="0"/>
          <w:numId w:val="27"/>
        </w:numPr>
        <w:spacing w:after="120"/>
      </w:pPr>
      <w:r w:rsidRPr="00B04B9A">
        <w:t>A past history of syphilis therapy and a current nontreponemal test titer demonstrating fourfold or greater increase from the last nontreponemal test titer.</w:t>
      </w:r>
    </w:p>
    <w:p w14:paraId="28327B86" w14:textId="77777777" w:rsidR="005D1FD3" w:rsidRPr="00B04B9A" w:rsidRDefault="005D1FD3" w:rsidP="009F76C4">
      <w:pPr>
        <w:spacing w:after="120"/>
      </w:pPr>
      <w:r w:rsidRPr="00B04B9A">
        <w:t>AND who has no evidence of having acquired the disease within the preceding 12 months (see Syphilis, early latent).</w:t>
      </w:r>
    </w:p>
    <w:p w14:paraId="33B97E5A" w14:textId="77777777" w:rsidR="005D1FD3" w:rsidRPr="00B04B9A" w:rsidRDefault="005D1FD3" w:rsidP="009F76C4">
      <w:pPr>
        <w:spacing w:after="120"/>
      </w:pPr>
      <w:r w:rsidRPr="00B04B9A">
        <w:t>There is no confirmed case classification for late latent syphilis.</w:t>
      </w:r>
    </w:p>
    <w:p w14:paraId="0E27EF2A" w14:textId="77777777" w:rsidR="005D1FD3" w:rsidRPr="00B04B9A" w:rsidRDefault="005D1FD3" w:rsidP="009F76C4">
      <w:pPr>
        <w:spacing w:after="120"/>
        <w:rPr>
          <w:color w:val="2F5496" w:themeColor="accent1" w:themeShade="BF"/>
        </w:rPr>
      </w:pPr>
      <w:r w:rsidRPr="00B04B9A">
        <w:rPr>
          <w:b/>
          <w:bCs/>
          <w:color w:val="2F5496" w:themeColor="accent1" w:themeShade="BF"/>
        </w:rPr>
        <w:t>Syphilis, unknown duration or late (2018)</w:t>
      </w:r>
    </w:p>
    <w:p w14:paraId="2D0ECBAA" w14:textId="77777777" w:rsidR="005D1FD3" w:rsidRPr="00B04B9A" w:rsidRDefault="005D1FD3" w:rsidP="009F76C4">
      <w:pPr>
        <w:spacing w:after="120"/>
      </w:pPr>
      <w:r w:rsidRPr="00B04B9A">
        <w:rPr>
          <w:b/>
          <w:bCs/>
          <w:i/>
          <w:iCs/>
        </w:rPr>
        <w:t>Clinical description</w:t>
      </w:r>
    </w:p>
    <w:p w14:paraId="2BA81572" w14:textId="77777777" w:rsidR="005D1FD3" w:rsidRPr="00B04B9A" w:rsidRDefault="005D1FD3" w:rsidP="009F76C4">
      <w:pPr>
        <w:spacing w:after="120"/>
      </w:pPr>
      <w:r w:rsidRPr="00B04B9A">
        <w:t>A stage of infection caused by </w:t>
      </w:r>
      <w:r w:rsidRPr="00B04B9A">
        <w:rPr>
          <w:i/>
          <w:iCs/>
        </w:rPr>
        <w:t>T. pallidum</w:t>
      </w:r>
      <w:r w:rsidRPr="00B04B9A">
        <w:t> in which initial infection has occurred &gt;12 months previously or in which there is insufficient evidence to conclude that infection was acquired during the previous 12 months.</w:t>
      </w:r>
    </w:p>
    <w:p w14:paraId="6A4B8456" w14:textId="77777777" w:rsidR="005D1FD3" w:rsidRPr="00B04B9A" w:rsidRDefault="005D1FD3" w:rsidP="009F76C4">
      <w:pPr>
        <w:spacing w:after="120"/>
      </w:pPr>
      <w:r w:rsidRPr="00B04B9A">
        <w:rPr>
          <w:b/>
          <w:bCs/>
          <w:i/>
          <w:iCs/>
        </w:rPr>
        <w:t>Case classification</w:t>
      </w:r>
    </w:p>
    <w:p w14:paraId="6E20D3D8" w14:textId="77777777" w:rsidR="005D1FD3" w:rsidRPr="00B04B9A" w:rsidRDefault="005D1FD3" w:rsidP="009F76C4">
      <w:pPr>
        <w:spacing w:after="120"/>
      </w:pPr>
      <w:r w:rsidRPr="00B04B9A">
        <w:rPr>
          <w:b/>
          <w:bCs/>
          <w:i/>
          <w:iCs/>
        </w:rPr>
        <w:t>Probable</w:t>
      </w:r>
    </w:p>
    <w:p w14:paraId="7C6C084A" w14:textId="77777777" w:rsidR="005D1FD3" w:rsidRPr="00B04B9A" w:rsidRDefault="005D1FD3" w:rsidP="009F76C4">
      <w:pPr>
        <w:spacing w:after="120"/>
      </w:pPr>
      <w:r w:rsidRPr="00B04B9A">
        <w:t>A person with no clinical signs or symptoms of primary or secondary syphilis who meets one of the following sets of criteria:</w:t>
      </w:r>
    </w:p>
    <w:p w14:paraId="578704C7" w14:textId="77777777" w:rsidR="005D1FD3" w:rsidRPr="00B04B9A" w:rsidRDefault="005D1FD3" w:rsidP="00F84E3A">
      <w:pPr>
        <w:numPr>
          <w:ilvl w:val="0"/>
          <w:numId w:val="28"/>
        </w:numPr>
        <w:spacing w:after="120"/>
      </w:pPr>
      <w:r w:rsidRPr="00B04B9A">
        <w:t>No prior history of syphilis, and a current reactive nontreponemal test (e.g., VDRL, RPR, or equivalent serologic methods), and a current reactive treponemal test (e.g., TP-PA, EIA, CIA, or equivalent serologic methods), </w:t>
      </w:r>
      <w:r w:rsidRPr="00B04B9A">
        <w:rPr>
          <w:b/>
          <w:bCs/>
        </w:rPr>
        <w:t>OR</w:t>
      </w:r>
    </w:p>
    <w:p w14:paraId="71CF36E8" w14:textId="77777777" w:rsidR="005D1FD3" w:rsidRPr="00B04B9A" w:rsidRDefault="005D1FD3" w:rsidP="00F84E3A">
      <w:pPr>
        <w:numPr>
          <w:ilvl w:val="0"/>
          <w:numId w:val="28"/>
        </w:numPr>
        <w:spacing w:after="120"/>
      </w:pPr>
      <w:r w:rsidRPr="00B04B9A">
        <w:t>A prior history of syphilis, and a current nontreponemal test titer demonstrating fourfold or greater increase from the last nontreponemal test titer, unless there is evidence that this increase was not sustained for &gt;2 weeks, </w:t>
      </w:r>
      <w:r w:rsidRPr="00B04B9A">
        <w:rPr>
          <w:b/>
          <w:bCs/>
        </w:rPr>
        <w:t>OR</w:t>
      </w:r>
    </w:p>
    <w:p w14:paraId="357A62B6" w14:textId="77777777" w:rsidR="005D1FD3" w:rsidRPr="00B04B9A" w:rsidRDefault="005D1FD3" w:rsidP="00F84E3A">
      <w:pPr>
        <w:numPr>
          <w:ilvl w:val="0"/>
          <w:numId w:val="28"/>
        </w:numPr>
        <w:spacing w:after="120"/>
      </w:pPr>
      <w:r w:rsidRPr="00B04B9A">
        <w:lastRenderedPageBreak/>
        <w:t>Clinical signs or symptoms and laboratory results that meet the likely or verified criteria for neurologic, ocular, otic, or late clinical manifestations syphilis (see below)</w:t>
      </w:r>
    </w:p>
    <w:p w14:paraId="3329A07B" w14:textId="77777777" w:rsidR="005D1FD3" w:rsidRPr="00B04B9A" w:rsidRDefault="005D1FD3" w:rsidP="009F76C4">
      <w:pPr>
        <w:spacing w:after="120"/>
      </w:pPr>
      <w:r w:rsidRPr="00B04B9A">
        <w:rPr>
          <w:b/>
          <w:bCs/>
        </w:rPr>
        <w:t>AND</w:t>
      </w:r>
      <w:r w:rsidRPr="00B04B9A">
        <w:t> who has no evidence of having acquired the disease within the preceding 12 months (see Syphilis, early non-primary non-secondary)</w:t>
      </w:r>
    </w:p>
    <w:p w14:paraId="5EFE69A5" w14:textId="16BD6C6B" w:rsidR="005D1FD3" w:rsidRPr="00B04B9A" w:rsidRDefault="005D1FD3" w:rsidP="009F76C4">
      <w:pPr>
        <w:spacing w:after="120"/>
      </w:pPr>
      <w:r w:rsidRPr="00B04B9A">
        <w:rPr>
          <w:b/>
          <w:bCs/>
          <w:i/>
          <w:iCs/>
        </w:rPr>
        <w:t>Comments</w:t>
      </w:r>
    </w:p>
    <w:p w14:paraId="6127CC69" w14:textId="6C78C36E" w:rsidR="005D1FD3" w:rsidRPr="00B04B9A" w:rsidRDefault="005D1FD3" w:rsidP="009F76C4">
      <w:pPr>
        <w:spacing w:after="120"/>
      </w:pPr>
      <w:r w:rsidRPr="00B04B9A">
        <w:t xml:space="preserve">Although cases of syphilis of unknown duration are grouped together with late syphilis for the purposes of surveillance, the conservative clinical and public health responses to these cases will differ when there is uncertainty about the duration of infection. When faced with uncertainty, clinicians should act conservatively and treat unknown duration syphilis as if it were late infection, with three doses of benzathine penicillin. In contrast, the most conservative approach for </w:t>
      </w:r>
      <w:r w:rsidR="00285320">
        <w:t>STI</w:t>
      </w:r>
      <w:r w:rsidRPr="00B04B9A">
        <w:t xml:space="preserve"> control programs would be to manage cases of syphilis of unknown duration as early non-primary non-secondary infections and search for partners who may have been recently infected. Because this would not be feasible for most </w:t>
      </w:r>
      <w:r w:rsidR="00285320">
        <w:t>STI</w:t>
      </w:r>
      <w:r w:rsidRPr="00B04B9A">
        <w:t xml:space="preserve"> control programs, programs should consider prioritizing cases of syphilis of unknown duration with higher nontreponemal titers (e.g., 1:32 or higher) for investigation and partner services. Although nontreponemal titers cannot reliably distinguish between early infection (&lt;12 months duration) and late infection (&gt;12 months duration), nontreponemal titers usually are higher early in the course of syphilis infection.</w:t>
      </w:r>
    </w:p>
    <w:p w14:paraId="4ED9C072" w14:textId="77777777" w:rsidR="005D1FD3" w:rsidRPr="00B04B9A" w:rsidRDefault="005D1FD3" w:rsidP="009F76C4">
      <w:pPr>
        <w:spacing w:after="120"/>
        <w:rPr>
          <w:color w:val="2F5496" w:themeColor="accent1" w:themeShade="BF"/>
        </w:rPr>
      </w:pPr>
      <w:r w:rsidRPr="00B04B9A">
        <w:rPr>
          <w:b/>
          <w:bCs/>
          <w:color w:val="2F5496" w:themeColor="accent1" w:themeShade="BF"/>
        </w:rPr>
        <w:t>Syphilis, Congenital (2015)</w:t>
      </w:r>
    </w:p>
    <w:p w14:paraId="12B8A943" w14:textId="77777777" w:rsidR="005D1FD3" w:rsidRPr="00B04B9A" w:rsidRDefault="005D1FD3" w:rsidP="009F76C4">
      <w:pPr>
        <w:spacing w:after="120"/>
      </w:pPr>
      <w:r w:rsidRPr="00B04B9A">
        <w:rPr>
          <w:b/>
          <w:bCs/>
          <w:i/>
          <w:iCs/>
        </w:rPr>
        <w:t>Clinical description</w:t>
      </w:r>
    </w:p>
    <w:p w14:paraId="51422CA1" w14:textId="77777777" w:rsidR="005D1FD3" w:rsidRPr="00B04B9A" w:rsidRDefault="005D1FD3" w:rsidP="009F76C4">
      <w:pPr>
        <w:spacing w:after="120"/>
      </w:pPr>
      <w:r w:rsidRPr="00B04B9A">
        <w:t>A condition caused by infection in utero with </w:t>
      </w:r>
      <w:r w:rsidRPr="00B04B9A">
        <w:rPr>
          <w:i/>
          <w:iCs/>
        </w:rPr>
        <w:t>T. pallidum</w:t>
      </w:r>
      <w:r w:rsidRPr="00B04B9A">
        <w:t xml:space="preserve">. A wide spectrum of severity exists, from inapparent infection to severe cases that are clinically apparent at birth. An infant or child (aged less than 2 years) may have signs such as hepatosplenomegaly, rash, condyloma lata, snuffles, jaundice (nonviral hepatitis), </w:t>
      </w:r>
    </w:p>
    <w:p w14:paraId="6D6A1434" w14:textId="77777777" w:rsidR="005D1FD3" w:rsidRPr="00B04B9A" w:rsidRDefault="005D1FD3" w:rsidP="009F76C4">
      <w:pPr>
        <w:spacing w:after="120"/>
      </w:pPr>
      <w:r w:rsidRPr="00B04B9A">
        <w:t>pseudoparalysis, anemia, or edema (nephrotic syndrome and/or malnutrition). An older child may have stigmata (e.g., interstitial keratitis, nerve deafness, anterior bowing of shins, frontal bossing, mulberry molars, Hutchinson teeth, saddle nose, rhagades, or Clutton joints).</w:t>
      </w:r>
    </w:p>
    <w:p w14:paraId="1996105F" w14:textId="77777777" w:rsidR="005D1FD3" w:rsidRPr="00B04B9A" w:rsidRDefault="005D1FD3" w:rsidP="009F76C4">
      <w:pPr>
        <w:spacing w:after="120"/>
      </w:pPr>
      <w:r w:rsidRPr="00B04B9A">
        <w:rPr>
          <w:b/>
          <w:bCs/>
          <w:i/>
          <w:iCs/>
        </w:rPr>
        <w:t>Laboratory criteria for diagnosis</w:t>
      </w:r>
    </w:p>
    <w:p w14:paraId="2CFEBB32" w14:textId="77777777" w:rsidR="005D1FD3" w:rsidRPr="00B04B9A" w:rsidRDefault="005D1FD3" w:rsidP="00F84E3A">
      <w:pPr>
        <w:numPr>
          <w:ilvl w:val="0"/>
          <w:numId w:val="29"/>
        </w:numPr>
        <w:spacing w:after="120"/>
      </w:pPr>
      <w:r w:rsidRPr="00B04B9A">
        <w:t>Demonstration of </w:t>
      </w:r>
      <w:r w:rsidRPr="00B04B9A">
        <w:rPr>
          <w:i/>
          <w:iCs/>
        </w:rPr>
        <w:t>T. pallidum</w:t>
      </w:r>
      <w:r w:rsidRPr="00B04B9A">
        <w:t> by darkfield microscopy of lesions, body fluids, or neonatal nasal discharge, or</w:t>
      </w:r>
    </w:p>
    <w:p w14:paraId="436026DC" w14:textId="77777777" w:rsidR="005D1FD3" w:rsidRPr="00B04B9A" w:rsidRDefault="005D1FD3" w:rsidP="00F84E3A">
      <w:pPr>
        <w:numPr>
          <w:ilvl w:val="0"/>
          <w:numId w:val="29"/>
        </w:numPr>
        <w:spacing w:after="120"/>
      </w:pPr>
      <w:r w:rsidRPr="00B04B9A">
        <w:t>PCR or other equivalent direct molecular methods of lesions, placenta, umbilical cord, or autopsy material, or</w:t>
      </w:r>
    </w:p>
    <w:p w14:paraId="5ABF9A84" w14:textId="77777777" w:rsidR="005D1FD3" w:rsidRPr="00B04B9A" w:rsidRDefault="005D1FD3" w:rsidP="00F84E3A">
      <w:pPr>
        <w:numPr>
          <w:ilvl w:val="0"/>
          <w:numId w:val="29"/>
        </w:numPr>
        <w:spacing w:after="120"/>
      </w:pPr>
      <w:r w:rsidRPr="00B04B9A">
        <w:t>Immunohistochemistry (IHC), or special stains (e.g., silver staining) of specimens from lesions, neonatal nasal discharge, placenta, umbilical cord, or autopsy material.</w:t>
      </w:r>
    </w:p>
    <w:p w14:paraId="03979692" w14:textId="77777777" w:rsidR="005D1FD3" w:rsidRPr="00B04B9A" w:rsidRDefault="005D1FD3" w:rsidP="009F76C4">
      <w:pPr>
        <w:spacing w:after="120"/>
      </w:pPr>
      <w:r w:rsidRPr="00B04B9A">
        <w:rPr>
          <w:b/>
          <w:bCs/>
          <w:i/>
          <w:iCs/>
        </w:rPr>
        <w:t>Case classification</w:t>
      </w:r>
    </w:p>
    <w:p w14:paraId="6977FFA1" w14:textId="77777777" w:rsidR="005D1FD3" w:rsidRPr="00B04B9A" w:rsidRDefault="005D1FD3" w:rsidP="009F76C4">
      <w:pPr>
        <w:spacing w:after="120"/>
      </w:pPr>
      <w:r w:rsidRPr="00B04B9A">
        <w:rPr>
          <w:i/>
          <w:iCs/>
        </w:rPr>
        <w:t>Probable:</w:t>
      </w:r>
      <w:r w:rsidRPr="00B04B9A">
        <w:t> a condition affecting an infant whose mother had untreated or inadequately treated* syphilis at delivery, regardless of signs in the infant, or an infant or child who has a reactive non-treponemal test for syphilis (VDRL, RPR, or equivalent serologic methods) AND any one of the following:</w:t>
      </w:r>
    </w:p>
    <w:p w14:paraId="3B96C437" w14:textId="77777777" w:rsidR="005D1FD3" w:rsidRPr="00B04B9A" w:rsidRDefault="005D1FD3" w:rsidP="00F84E3A">
      <w:pPr>
        <w:numPr>
          <w:ilvl w:val="0"/>
          <w:numId w:val="30"/>
        </w:numPr>
        <w:spacing w:after="120"/>
      </w:pPr>
      <w:r w:rsidRPr="00B04B9A">
        <w:t>Any evidence of congenital syphilis on physical examination (see Clinical description)</w:t>
      </w:r>
    </w:p>
    <w:p w14:paraId="21F24E12" w14:textId="77777777" w:rsidR="005D1FD3" w:rsidRPr="00B04B9A" w:rsidRDefault="005D1FD3" w:rsidP="00F84E3A">
      <w:pPr>
        <w:numPr>
          <w:ilvl w:val="0"/>
          <w:numId w:val="30"/>
        </w:numPr>
        <w:spacing w:after="120"/>
      </w:pPr>
      <w:r w:rsidRPr="00B04B9A">
        <w:lastRenderedPageBreak/>
        <w:t>Any evidence of congenital syphilis on radiographs of long bones</w:t>
      </w:r>
    </w:p>
    <w:p w14:paraId="67A9C514" w14:textId="3FD0E336" w:rsidR="005D1FD3" w:rsidRPr="00B04B9A" w:rsidRDefault="005D1FD3" w:rsidP="00F84E3A">
      <w:pPr>
        <w:numPr>
          <w:ilvl w:val="0"/>
          <w:numId w:val="30"/>
        </w:numPr>
        <w:spacing w:after="120"/>
      </w:pPr>
      <w:r w:rsidRPr="00B04B9A">
        <w:t xml:space="preserve">A reactive </w:t>
      </w:r>
      <w:r w:rsidR="00AC0D52" w:rsidRPr="00B04B9A">
        <w:t>cerebrospinal fluid (CSF)</w:t>
      </w:r>
      <w:r w:rsidRPr="00B04B9A">
        <w:t xml:space="preserve"> VDRL test</w:t>
      </w:r>
    </w:p>
    <w:p w14:paraId="76FA8779" w14:textId="77777777" w:rsidR="005D1FD3" w:rsidRPr="00B04B9A" w:rsidRDefault="005D1FD3" w:rsidP="00F84E3A">
      <w:pPr>
        <w:numPr>
          <w:ilvl w:val="0"/>
          <w:numId w:val="30"/>
        </w:numPr>
        <w:spacing w:after="120"/>
      </w:pPr>
      <w:r w:rsidRPr="00B04B9A">
        <w:t>In a nontraumatic lumbar puncture, an elevated CSF leukocyte (white blood cell [WBC]) count or protein (without other cause):</w:t>
      </w:r>
    </w:p>
    <w:p w14:paraId="042C2CCA" w14:textId="77777777" w:rsidR="005D1FD3" w:rsidRPr="00B04B9A" w:rsidRDefault="005D1FD3" w:rsidP="009F76C4">
      <w:pPr>
        <w:spacing w:after="120"/>
      </w:pPr>
      <w:r w:rsidRPr="00B04B9A">
        <w:t>* Adequate treatment is defined as completion of a penicillin-based regimen, in accordance with CDC treatment guidelines, appropriate for stage of infection, initiated 30 or more days before delivery.</w:t>
      </w:r>
    </w:p>
    <w:p w14:paraId="2DBEF05D" w14:textId="77777777" w:rsidR="005D1FD3" w:rsidRPr="00B04B9A" w:rsidRDefault="005D1FD3" w:rsidP="009F76C4">
      <w:pPr>
        <w:spacing w:after="120"/>
      </w:pPr>
      <w:r w:rsidRPr="00B04B9A">
        <w:t>Suggested parameters for abnormal CSF WBC and protein values:</w:t>
      </w:r>
    </w:p>
    <w:p w14:paraId="1117F55B" w14:textId="77777777" w:rsidR="005D1FD3" w:rsidRPr="00B04B9A" w:rsidRDefault="005D1FD3" w:rsidP="00F84E3A">
      <w:pPr>
        <w:numPr>
          <w:ilvl w:val="0"/>
          <w:numId w:val="31"/>
        </w:numPr>
        <w:spacing w:after="120"/>
      </w:pPr>
      <w:r w:rsidRPr="00B04B9A">
        <w:t>During the first 30 days of life, a CSF WBC count of &gt;15 WBC/mm3 or a CSF protein &gt;120 mg/dL.</w:t>
      </w:r>
    </w:p>
    <w:p w14:paraId="5F2C682B" w14:textId="77777777" w:rsidR="005D1FD3" w:rsidRPr="00B04B9A" w:rsidRDefault="005D1FD3" w:rsidP="00F84E3A">
      <w:pPr>
        <w:numPr>
          <w:ilvl w:val="0"/>
          <w:numId w:val="31"/>
        </w:numPr>
        <w:spacing w:after="120"/>
      </w:pPr>
      <w:r w:rsidRPr="00B04B9A">
        <w:t>After the first 30 days of life, a CSF WBC count of &gt;5 WBC mm3 or a CSF protein &gt;40 mg/dL, regardless of CSF serology.</w:t>
      </w:r>
    </w:p>
    <w:p w14:paraId="45A517BB" w14:textId="77777777" w:rsidR="005D1FD3" w:rsidRPr="00B04B9A" w:rsidRDefault="005D1FD3" w:rsidP="00F84E3A">
      <w:pPr>
        <w:numPr>
          <w:ilvl w:val="0"/>
          <w:numId w:val="31"/>
        </w:numPr>
        <w:spacing w:after="120"/>
      </w:pPr>
      <w:r w:rsidRPr="00B04B9A">
        <w:t>The treating clinician should be consulted to interpret the CSF values for the specific patient.</w:t>
      </w:r>
    </w:p>
    <w:p w14:paraId="698C402A" w14:textId="77777777" w:rsidR="005D1FD3" w:rsidRPr="00B04B9A" w:rsidRDefault="005D1FD3" w:rsidP="009F76C4">
      <w:pPr>
        <w:spacing w:after="120"/>
      </w:pPr>
      <w:r w:rsidRPr="00B04B9A">
        <w:rPr>
          <w:i/>
          <w:iCs/>
        </w:rPr>
        <w:t>Confirmed:</w:t>
      </w:r>
      <w:r w:rsidRPr="00B04B9A">
        <w:t> a case that is laboratory confirmed.</w:t>
      </w:r>
    </w:p>
    <w:p w14:paraId="4486864A" w14:textId="77777777" w:rsidR="005D1FD3" w:rsidRPr="00B04B9A" w:rsidRDefault="005D1FD3" w:rsidP="009F76C4">
      <w:pPr>
        <w:spacing w:after="120"/>
        <w:rPr>
          <w:color w:val="2F5496" w:themeColor="accent1" w:themeShade="BF"/>
        </w:rPr>
      </w:pPr>
      <w:r w:rsidRPr="00B04B9A">
        <w:rPr>
          <w:b/>
          <w:bCs/>
          <w:color w:val="2F5496" w:themeColor="accent1" w:themeShade="BF"/>
        </w:rPr>
        <w:t>Syphilis, Congenital (2018)</w:t>
      </w:r>
    </w:p>
    <w:p w14:paraId="77DAA876" w14:textId="77777777" w:rsidR="005D1FD3" w:rsidRPr="00B04B9A" w:rsidRDefault="005D1FD3" w:rsidP="009F76C4">
      <w:pPr>
        <w:spacing w:after="120"/>
      </w:pPr>
      <w:r w:rsidRPr="00B04B9A">
        <w:rPr>
          <w:b/>
          <w:bCs/>
        </w:rPr>
        <w:t>Clinical Description</w:t>
      </w:r>
    </w:p>
    <w:p w14:paraId="1A7DA012" w14:textId="77777777" w:rsidR="005D1FD3" w:rsidRPr="00B04B9A" w:rsidRDefault="005D1FD3" w:rsidP="009F76C4">
      <w:pPr>
        <w:spacing w:after="120"/>
      </w:pPr>
      <w:r w:rsidRPr="00B04B9A">
        <w:t>A condition caused by infection in utero with </w:t>
      </w:r>
      <w:r w:rsidRPr="00B04B9A">
        <w:rPr>
          <w:i/>
          <w:iCs/>
        </w:rPr>
        <w:t>Treponema pallidum</w:t>
      </w:r>
      <w:r w:rsidRPr="00B04B9A">
        <w:t>. A wide spectrum of severity exists, from inapparent infection to severe cases that are clinically apparent at birth. An infant or child (aged less than 2 years) may have signs such as hepatosplenomegaly, rash, condyloma lata, snuffles, jaundice (nonviral hepatitis), pseudoparalysis, anemia, or edema (nephrotic syndrome and/or malnutrition). An older child may have stigmata (e.g., interstitial keratitis, nerve deafness, anterior bowing of shins, frontal bossing, mulberry molars, Hutchinson teeth, saddle nose, rhagades, or Clutton joints).</w:t>
      </w:r>
    </w:p>
    <w:p w14:paraId="7A5D3D5B" w14:textId="77777777" w:rsidR="005D1FD3" w:rsidRPr="00B04B9A" w:rsidRDefault="005D1FD3" w:rsidP="009F76C4">
      <w:pPr>
        <w:spacing w:after="120"/>
      </w:pPr>
      <w:r w:rsidRPr="00B04B9A">
        <w:rPr>
          <w:b/>
          <w:bCs/>
          <w:i/>
          <w:iCs/>
        </w:rPr>
        <w:t>Laboratory Criteria for Diagnosis</w:t>
      </w:r>
    </w:p>
    <w:p w14:paraId="6607BD7F" w14:textId="77777777" w:rsidR="005D1FD3" w:rsidRPr="00B04B9A" w:rsidRDefault="005D1FD3" w:rsidP="009F76C4">
      <w:pPr>
        <w:spacing w:after="120"/>
      </w:pPr>
      <w:r w:rsidRPr="00B04B9A">
        <w:t>Demonstration of </w:t>
      </w:r>
      <w:r w:rsidRPr="00B04B9A">
        <w:rPr>
          <w:i/>
          <w:iCs/>
        </w:rPr>
        <w:t>Treponema pallidum</w:t>
      </w:r>
      <w:r w:rsidRPr="00B04B9A">
        <w:t> by:</w:t>
      </w:r>
    </w:p>
    <w:p w14:paraId="51FDB1A3" w14:textId="77777777" w:rsidR="005D1FD3" w:rsidRPr="00B04B9A" w:rsidRDefault="005D1FD3" w:rsidP="00F84E3A">
      <w:pPr>
        <w:numPr>
          <w:ilvl w:val="0"/>
          <w:numId w:val="32"/>
        </w:numPr>
        <w:spacing w:after="120"/>
      </w:pPr>
      <w:r w:rsidRPr="00B04B9A">
        <w:t>Darkfield microscopy of lesions, body fluids, or neonatal nasal discharge, </w:t>
      </w:r>
      <w:r w:rsidRPr="00B04B9A">
        <w:rPr>
          <w:b/>
          <w:bCs/>
        </w:rPr>
        <w:t>OR</w:t>
      </w:r>
    </w:p>
    <w:p w14:paraId="0C94A7C3" w14:textId="599BF975" w:rsidR="005D1FD3" w:rsidRPr="00B04B9A" w:rsidRDefault="005D1FD3" w:rsidP="00F84E3A">
      <w:pPr>
        <w:numPr>
          <w:ilvl w:val="0"/>
          <w:numId w:val="32"/>
        </w:numPr>
        <w:spacing w:after="120"/>
      </w:pPr>
      <w:r w:rsidRPr="00B04B9A">
        <w:t>PCR or other equivalent direct molecular methods of lesions, neonatal nasal discharge, placenta, umbilical cord, or autopsy material, </w:t>
      </w:r>
      <w:r w:rsidRPr="00B04B9A">
        <w:rPr>
          <w:b/>
          <w:bCs/>
        </w:rPr>
        <w:t>OR</w:t>
      </w:r>
    </w:p>
    <w:p w14:paraId="3DF4ACBF" w14:textId="437C1FCD" w:rsidR="005D1FD3" w:rsidRPr="00B04B9A" w:rsidRDefault="005D1FD3" w:rsidP="00F84E3A">
      <w:pPr>
        <w:numPr>
          <w:ilvl w:val="0"/>
          <w:numId w:val="32"/>
        </w:numPr>
        <w:spacing w:after="120"/>
      </w:pPr>
      <w:r w:rsidRPr="00B04B9A">
        <w:t>IHC, or special stains (e.g., silver staining) of specimens from lesions, placenta, umbilical cord, or autopsy material.</w:t>
      </w:r>
    </w:p>
    <w:p w14:paraId="6E93EB1C" w14:textId="77777777" w:rsidR="005D1FD3" w:rsidRPr="00B04B9A" w:rsidRDefault="005D1FD3" w:rsidP="009F76C4">
      <w:pPr>
        <w:spacing w:after="120"/>
      </w:pPr>
      <w:r w:rsidRPr="00B04B9A">
        <w:rPr>
          <w:b/>
          <w:bCs/>
          <w:i/>
          <w:iCs/>
        </w:rPr>
        <w:t>Case Classification</w:t>
      </w:r>
    </w:p>
    <w:p w14:paraId="3BAF7534" w14:textId="77777777" w:rsidR="005D1FD3" w:rsidRPr="00B04B9A" w:rsidRDefault="005D1FD3" w:rsidP="009F76C4">
      <w:pPr>
        <w:spacing w:after="120"/>
      </w:pPr>
      <w:r w:rsidRPr="00B04B9A">
        <w:rPr>
          <w:b/>
          <w:bCs/>
        </w:rPr>
        <w:t>Probable</w:t>
      </w:r>
    </w:p>
    <w:p w14:paraId="5530123F" w14:textId="00A59FC3" w:rsidR="005D1FD3" w:rsidRPr="00B04B9A" w:rsidRDefault="005D1FD3" w:rsidP="009F76C4">
      <w:pPr>
        <w:spacing w:after="120"/>
      </w:pPr>
      <w:r w:rsidRPr="00B04B9A">
        <w:t>A condition affecting an infant whose mother had untreated or inadequately treated* syphilis at delivery, regardless of signs in the infant, </w:t>
      </w:r>
      <w:r w:rsidRPr="00B04B9A">
        <w:rPr>
          <w:b/>
          <w:bCs/>
        </w:rPr>
        <w:t>OR</w:t>
      </w:r>
      <w:r w:rsidRPr="00B04B9A">
        <w:t> an infant or child who has a reactive non-treponemal test for syphilis (VDRL</w:t>
      </w:r>
      <w:r w:rsidR="00F37E7B" w:rsidRPr="00B04B9A">
        <w:t xml:space="preserve">, </w:t>
      </w:r>
      <w:r w:rsidRPr="00B04B9A">
        <w:t>RPR, </w:t>
      </w:r>
      <w:r w:rsidRPr="00B04B9A">
        <w:rPr>
          <w:b/>
          <w:bCs/>
        </w:rPr>
        <w:t>OR</w:t>
      </w:r>
      <w:r w:rsidRPr="00B04B9A">
        <w:t> equivalent serologic methods) </w:t>
      </w:r>
      <w:r w:rsidRPr="00B04B9A">
        <w:rPr>
          <w:b/>
          <w:bCs/>
        </w:rPr>
        <w:t>AND</w:t>
      </w:r>
      <w:r w:rsidRPr="00B04B9A">
        <w:t> any one of the following:</w:t>
      </w:r>
    </w:p>
    <w:p w14:paraId="3038EA3B" w14:textId="77777777" w:rsidR="005D1FD3" w:rsidRPr="00B04B9A" w:rsidRDefault="005D1FD3" w:rsidP="00F84E3A">
      <w:pPr>
        <w:numPr>
          <w:ilvl w:val="0"/>
          <w:numId w:val="33"/>
        </w:numPr>
        <w:spacing w:after="120"/>
      </w:pPr>
      <w:r w:rsidRPr="00B04B9A">
        <w:t>Any evidence of congenital syphilis on physical examination (see Clinical description)</w:t>
      </w:r>
    </w:p>
    <w:p w14:paraId="127EB021" w14:textId="77777777" w:rsidR="005D1FD3" w:rsidRPr="00B04B9A" w:rsidRDefault="005D1FD3" w:rsidP="00F84E3A">
      <w:pPr>
        <w:numPr>
          <w:ilvl w:val="0"/>
          <w:numId w:val="33"/>
        </w:numPr>
        <w:spacing w:after="120"/>
      </w:pPr>
      <w:r w:rsidRPr="00B04B9A">
        <w:t>Any evidence of congenital syphilis on radiographs of long bones</w:t>
      </w:r>
    </w:p>
    <w:p w14:paraId="21379B89" w14:textId="531A99C3" w:rsidR="005D1FD3" w:rsidRPr="00B04B9A" w:rsidRDefault="005D1FD3" w:rsidP="00F84E3A">
      <w:pPr>
        <w:numPr>
          <w:ilvl w:val="0"/>
          <w:numId w:val="33"/>
        </w:numPr>
        <w:spacing w:after="120"/>
      </w:pPr>
      <w:r w:rsidRPr="00B04B9A">
        <w:t>A reactive CSF venereal disease research laboratory test (VDRL) test</w:t>
      </w:r>
    </w:p>
    <w:p w14:paraId="6D569D6D" w14:textId="77777777" w:rsidR="005D1FD3" w:rsidRPr="00B04B9A" w:rsidRDefault="005D1FD3" w:rsidP="00F84E3A">
      <w:pPr>
        <w:numPr>
          <w:ilvl w:val="0"/>
          <w:numId w:val="33"/>
        </w:numPr>
        <w:spacing w:after="120"/>
      </w:pPr>
      <w:r w:rsidRPr="00B04B9A">
        <w:lastRenderedPageBreak/>
        <w:t>In a non-traumatic lumbar puncture, an elevated CSF leukocyte (white blood cell, WBC) count or protein (without other cause):</w:t>
      </w:r>
    </w:p>
    <w:p w14:paraId="2EE24374" w14:textId="77777777" w:rsidR="005D1FD3" w:rsidRPr="00B04B9A" w:rsidRDefault="005D1FD3" w:rsidP="00F84E3A">
      <w:pPr>
        <w:numPr>
          <w:ilvl w:val="0"/>
          <w:numId w:val="34"/>
        </w:numPr>
        <w:spacing w:after="120"/>
      </w:pPr>
      <w:r w:rsidRPr="00B04B9A">
        <w:t>Suggested parameters for abnormal CSF WBC and protein values:</w:t>
      </w:r>
    </w:p>
    <w:p w14:paraId="39427F80" w14:textId="77777777" w:rsidR="005D1FD3" w:rsidRPr="00B04B9A" w:rsidRDefault="005D1FD3" w:rsidP="00F84E3A">
      <w:pPr>
        <w:numPr>
          <w:ilvl w:val="0"/>
          <w:numId w:val="35"/>
        </w:numPr>
        <w:spacing w:after="120"/>
      </w:pPr>
      <w:r w:rsidRPr="00B04B9A">
        <w:t>During the first 30 days of life, a CSF WBC count of &gt;15 WBC/mm3 or a CSF protein &gt;120 mg/dl is abnormal.</w:t>
      </w:r>
    </w:p>
    <w:p w14:paraId="47221A7B" w14:textId="77777777" w:rsidR="005D1FD3" w:rsidRPr="00B04B9A" w:rsidRDefault="005D1FD3" w:rsidP="00F84E3A">
      <w:pPr>
        <w:numPr>
          <w:ilvl w:val="0"/>
          <w:numId w:val="35"/>
        </w:numPr>
        <w:spacing w:after="120"/>
      </w:pPr>
      <w:r w:rsidRPr="00B04B9A">
        <w:t>After the first 30 days of life, a CSF WBC count of &gt;5 WBC/mm3 or a CSF protein &gt;40 mg/dl, regardless of CSF serology.</w:t>
      </w:r>
      <w:r w:rsidRPr="00B04B9A">
        <w:br/>
      </w:r>
      <w:r w:rsidRPr="00B04B9A">
        <w:br/>
        <w:t>The treating clinician should be consulted to interpret the CSF values for the specific patient.</w:t>
      </w:r>
    </w:p>
    <w:p w14:paraId="025EB761" w14:textId="77777777" w:rsidR="005D1FD3" w:rsidRPr="00B04B9A" w:rsidRDefault="005D1FD3" w:rsidP="009F76C4">
      <w:pPr>
        <w:spacing w:after="120"/>
      </w:pPr>
      <w:r w:rsidRPr="00B04B9A">
        <w:t>*Adequate treatment is defined as completion of a penicillin-based regimen, in accordance with CDC treatment guidelines, appropriate for stage of infection, initiated 30 or more days before delivery.</w:t>
      </w:r>
    </w:p>
    <w:p w14:paraId="06ADBDC9" w14:textId="77777777" w:rsidR="005D1FD3" w:rsidRPr="00B04B9A" w:rsidRDefault="005D1FD3" w:rsidP="009F76C4">
      <w:pPr>
        <w:spacing w:after="120"/>
      </w:pPr>
      <w:r w:rsidRPr="00B04B9A">
        <w:rPr>
          <w:b/>
          <w:bCs/>
        </w:rPr>
        <w:t>Confirmed</w:t>
      </w:r>
    </w:p>
    <w:p w14:paraId="52568EAE" w14:textId="77777777" w:rsidR="005D1FD3" w:rsidRPr="00B04B9A" w:rsidRDefault="005D1FD3" w:rsidP="009F76C4">
      <w:pPr>
        <w:spacing w:after="120"/>
      </w:pPr>
      <w:r w:rsidRPr="00B04B9A">
        <w:t>A case that is laboratory confirmed.</w:t>
      </w:r>
    </w:p>
    <w:p w14:paraId="6AC1415C" w14:textId="77777777" w:rsidR="005D1FD3" w:rsidRPr="00B04B9A" w:rsidRDefault="005D1FD3" w:rsidP="009F76C4">
      <w:pPr>
        <w:spacing w:after="120"/>
      </w:pPr>
      <w:r w:rsidRPr="00B04B9A">
        <w:rPr>
          <w:b/>
          <w:bCs/>
        </w:rPr>
        <w:t>Comments</w:t>
      </w:r>
    </w:p>
    <w:p w14:paraId="12F54642" w14:textId="77777777" w:rsidR="005D1FD3" w:rsidRPr="00B04B9A" w:rsidRDefault="005D1FD3" w:rsidP="009F76C4">
      <w:pPr>
        <w:spacing w:after="120"/>
      </w:pPr>
      <w:r w:rsidRPr="00B04B9A">
        <w:t>Congenital and acquired syphilis may be difficult to distinguish when a child is seropositive after infancy. Signs of congenital syphilis may not be obvious, and stigmata may not yet have developed. Abnormal values for CSF VDRL, WBC count, and protein may be found in either congenital or acquired syphilis. Findings on radiographs of long bones may help because radiographic changes in the metaphysis and epiphysis are considered classic signs of congenitally acquired syphilis. While maternal antibodies can complicate interpretation of serologic tests in an infant, reactive tests past 18 months of age are considered to reflect the status of the child. The decision may ultimately be based on maternal history and clinical judgment. In a young child, the possibility of sexual abuse should be considered as a cause of acquired rather than congenital syphilis, depending on the clinical picture. For reporting purposes, congenital syphilis includes cases of congenitally acquired syphilis among infants and children as well as syphilitic stillbirths.</w:t>
      </w:r>
    </w:p>
    <w:p w14:paraId="669511AA" w14:textId="77777777" w:rsidR="005D1FD3" w:rsidRPr="00B04B9A" w:rsidRDefault="005D1FD3" w:rsidP="00347A64">
      <w:pPr>
        <w:pStyle w:val="Heading2"/>
      </w:pPr>
      <w:bookmarkStart w:id="79" w:name="_Toc226119778"/>
      <w:r>
        <w:t>Viral Hepatitis</w:t>
      </w:r>
      <w:bookmarkEnd w:id="79"/>
    </w:p>
    <w:p w14:paraId="7FD38FBB" w14:textId="6EBB28CB" w:rsidR="005D1FD3" w:rsidRPr="00B04B9A" w:rsidRDefault="005D1FD3" w:rsidP="009F76C4">
      <w:pPr>
        <w:spacing w:after="120"/>
      </w:pPr>
      <w:r w:rsidRPr="00B04B9A">
        <w:t xml:space="preserve">Hepatitis is inflammation of the liver. It can impair vital liver functions such as processing nutrients, filtering the blood and fighting infection. Viral hepatitis is inflammation of the liver caused by infection with a virus. In Massachusetts, the most common types of viral hepatitis are hepatitis A, hepatitis B and </w:t>
      </w:r>
      <w:r w:rsidR="008203AA">
        <w:t>hepatitis C (HCV)</w:t>
      </w:r>
      <w:r w:rsidRPr="00B04B9A">
        <w:t xml:space="preserve">. Non-viral hepatitis can also result from heavy alcohol use, toxins, some medications, and certain medical conditions. </w:t>
      </w:r>
    </w:p>
    <w:p w14:paraId="723DE521" w14:textId="77777777" w:rsidR="005D1FD3" w:rsidRPr="00B04B9A" w:rsidRDefault="005D1FD3" w:rsidP="009F76C4">
      <w:pPr>
        <w:spacing w:after="120"/>
        <w:rPr>
          <w:color w:val="2F5496" w:themeColor="accent1" w:themeShade="BF"/>
        </w:rPr>
      </w:pPr>
      <w:r w:rsidRPr="00B04B9A">
        <w:rPr>
          <w:b/>
          <w:bCs/>
          <w:color w:val="2F5496" w:themeColor="accent1" w:themeShade="BF"/>
        </w:rPr>
        <w:t>Hepatitis A, Acute (2019)</w:t>
      </w:r>
    </w:p>
    <w:p w14:paraId="4B8C07EB" w14:textId="77777777" w:rsidR="005D1FD3" w:rsidRPr="00B04B9A" w:rsidRDefault="005D1FD3" w:rsidP="009F76C4">
      <w:pPr>
        <w:spacing w:after="120"/>
      </w:pPr>
      <w:r w:rsidRPr="00B04B9A">
        <w:rPr>
          <w:i/>
          <w:iCs/>
        </w:rPr>
        <w:t xml:space="preserve">Clinical Criteria - </w:t>
      </w:r>
      <w:r w:rsidRPr="00B04B9A">
        <w:t>An acute illness with a discrete onset of any sign or symptom consistent with acute viral hepatitis (e.g., fever, headache, malaise, anorexia, nausea, vomiting, diarrhea, abdominal pain, or dark urine)</w:t>
      </w:r>
    </w:p>
    <w:p w14:paraId="56188F9F" w14:textId="77777777" w:rsidR="005D1FD3" w:rsidRPr="00B04B9A" w:rsidRDefault="005D1FD3" w:rsidP="009F76C4">
      <w:pPr>
        <w:spacing w:after="120"/>
      </w:pPr>
      <w:r w:rsidRPr="00B04B9A">
        <w:rPr>
          <w:b/>
          <w:bCs/>
        </w:rPr>
        <w:t>AND</w:t>
      </w:r>
    </w:p>
    <w:p w14:paraId="074AAB05" w14:textId="77777777" w:rsidR="005D1FD3" w:rsidRPr="00B04B9A" w:rsidRDefault="005D1FD3" w:rsidP="009F76C4">
      <w:pPr>
        <w:spacing w:after="120"/>
      </w:pPr>
      <w:r w:rsidRPr="00B04B9A">
        <w:t>a) jaundice or elevated total bilirubin levels ≥ 3.0 mg/dL, </w:t>
      </w:r>
      <w:r w:rsidRPr="00B04B9A">
        <w:rPr>
          <w:b/>
          <w:bCs/>
        </w:rPr>
        <w:t>OR</w:t>
      </w:r>
      <w:r w:rsidRPr="00B04B9A">
        <w:br/>
        <w:t>b) elevated serum alanine aminotransferase (ALT) levels &gt;200 IU/L,</w:t>
      </w:r>
    </w:p>
    <w:p w14:paraId="568F93A4" w14:textId="77777777" w:rsidR="005D1FD3" w:rsidRPr="00B04B9A" w:rsidRDefault="005D1FD3" w:rsidP="009F76C4">
      <w:pPr>
        <w:spacing w:after="120"/>
      </w:pPr>
      <w:r w:rsidRPr="00B04B9A">
        <w:rPr>
          <w:b/>
          <w:bCs/>
        </w:rPr>
        <w:t>AND</w:t>
      </w:r>
    </w:p>
    <w:p w14:paraId="5D1FD697" w14:textId="77777777" w:rsidR="005D1FD3" w:rsidRPr="00B04B9A" w:rsidRDefault="005D1FD3" w:rsidP="009F76C4">
      <w:pPr>
        <w:spacing w:after="120"/>
      </w:pPr>
      <w:r w:rsidRPr="00B04B9A">
        <w:lastRenderedPageBreak/>
        <w:t>c) the absence of a more likely diagnosis</w:t>
      </w:r>
    </w:p>
    <w:p w14:paraId="29783ACB" w14:textId="77777777" w:rsidR="005D1FD3" w:rsidRPr="00B04B9A" w:rsidRDefault="005D1FD3" w:rsidP="009F76C4">
      <w:pPr>
        <w:spacing w:after="120"/>
      </w:pPr>
      <w:r w:rsidRPr="00B04B9A">
        <w:rPr>
          <w:i/>
          <w:iCs/>
        </w:rPr>
        <w:t>Laboratory Criteria for Diagnosis</w:t>
      </w:r>
    </w:p>
    <w:p w14:paraId="047452B8" w14:textId="77777777" w:rsidR="005D1FD3" w:rsidRPr="00B04B9A" w:rsidRDefault="005D1FD3" w:rsidP="009F76C4">
      <w:pPr>
        <w:spacing w:after="120"/>
      </w:pPr>
      <w:r w:rsidRPr="00B04B9A">
        <w:rPr>
          <w:i/>
          <w:iCs/>
        </w:rPr>
        <w:t>Confirmatory laboratory evidence:</w:t>
      </w:r>
    </w:p>
    <w:p w14:paraId="7D960F91" w14:textId="77777777" w:rsidR="005D1FD3" w:rsidRPr="00B04B9A" w:rsidRDefault="005D1FD3" w:rsidP="00F84E3A">
      <w:pPr>
        <w:numPr>
          <w:ilvl w:val="0"/>
          <w:numId w:val="36"/>
        </w:numPr>
        <w:tabs>
          <w:tab w:val="left" w:pos="720"/>
        </w:tabs>
        <w:spacing w:after="120"/>
      </w:pPr>
      <w:r w:rsidRPr="00B04B9A">
        <w:t>Immunoglobulin M (IgM) antibody to hepatitis A virus (anti-HAV) positive,</w:t>
      </w:r>
    </w:p>
    <w:p w14:paraId="00E02CC2" w14:textId="77777777" w:rsidR="005D1FD3" w:rsidRPr="00B04B9A" w:rsidRDefault="005D1FD3" w:rsidP="009F76C4">
      <w:pPr>
        <w:spacing w:after="120"/>
      </w:pPr>
      <w:r w:rsidRPr="00B04B9A">
        <w:rPr>
          <w:b/>
          <w:bCs/>
        </w:rPr>
        <w:t>OR</w:t>
      </w:r>
    </w:p>
    <w:p w14:paraId="3321C45A" w14:textId="77777777" w:rsidR="005D1FD3" w:rsidRPr="00B04B9A" w:rsidRDefault="005D1FD3" w:rsidP="00F84E3A">
      <w:pPr>
        <w:numPr>
          <w:ilvl w:val="0"/>
          <w:numId w:val="37"/>
        </w:numPr>
        <w:tabs>
          <w:tab w:val="left" w:pos="720"/>
        </w:tabs>
        <w:spacing w:after="120"/>
      </w:pPr>
      <w:r w:rsidRPr="00B04B9A">
        <w:t>Nucleic acid amplification test (NAAT; such as Polymerase Chain Reaction [PCR] or genotyping) for hepatitis A virus RNA positive</w:t>
      </w:r>
    </w:p>
    <w:p w14:paraId="31767B2D" w14:textId="77777777" w:rsidR="005D1FD3" w:rsidRPr="00B04B9A" w:rsidRDefault="005D1FD3" w:rsidP="009F76C4">
      <w:pPr>
        <w:spacing w:after="120"/>
      </w:pPr>
      <w:r w:rsidRPr="00B04B9A">
        <w:rPr>
          <w:i/>
          <w:iCs/>
        </w:rPr>
        <w:t>Epidemiologic Linkage</w:t>
      </w:r>
    </w:p>
    <w:p w14:paraId="29604175" w14:textId="77777777" w:rsidR="005D1FD3" w:rsidRPr="00B04B9A" w:rsidRDefault="005D1FD3" w:rsidP="009F76C4">
      <w:pPr>
        <w:spacing w:after="120"/>
      </w:pPr>
      <w:r w:rsidRPr="00B04B9A">
        <w:t>Contact (e.g., household or sexual) with a laboratory-confirmed hepatitis A case 15-50 days prior to onset of symptoms.</w:t>
      </w:r>
    </w:p>
    <w:p w14:paraId="17165BA9" w14:textId="77777777" w:rsidR="005D1FD3" w:rsidRPr="00B04B9A" w:rsidRDefault="005D1FD3" w:rsidP="009F76C4">
      <w:pPr>
        <w:spacing w:after="120"/>
      </w:pPr>
      <w:r w:rsidRPr="00B04B9A">
        <w:rPr>
          <w:i/>
          <w:iCs/>
        </w:rPr>
        <w:t>Criteria to Distinguish a New Case from an Existing Case</w:t>
      </w:r>
    </w:p>
    <w:p w14:paraId="4FC7259B" w14:textId="77777777" w:rsidR="005D1FD3" w:rsidRPr="00B04B9A" w:rsidRDefault="005D1FD3" w:rsidP="009F76C4">
      <w:pPr>
        <w:spacing w:after="120"/>
      </w:pPr>
      <w:r w:rsidRPr="00B04B9A">
        <w:t>Hepatitis A is usually self-limiting and does not result in chronic infection. However, up to 10% of persons with hepatitis A may experience a relapse during the 6 months after acute illnesses. Cases of relapsing hepatitis A should not be enumerated as new cases. In addition, a case should not be counted as a hepatitis A case if there is an alternate, more likely diagnosis.</w:t>
      </w:r>
    </w:p>
    <w:p w14:paraId="25FA8287" w14:textId="77777777" w:rsidR="005D1FD3" w:rsidRPr="00B04B9A" w:rsidRDefault="005D1FD3" w:rsidP="009F76C4">
      <w:pPr>
        <w:spacing w:after="120"/>
      </w:pPr>
      <w:r w:rsidRPr="00B04B9A">
        <w:rPr>
          <w:i/>
          <w:iCs/>
        </w:rPr>
        <w:t>Case Classification</w:t>
      </w:r>
    </w:p>
    <w:p w14:paraId="166E3901" w14:textId="77777777" w:rsidR="005D1FD3" w:rsidRPr="00B04B9A" w:rsidRDefault="005D1FD3" w:rsidP="009F76C4">
      <w:pPr>
        <w:spacing w:after="120"/>
      </w:pPr>
      <w:r w:rsidRPr="00B04B9A">
        <w:rPr>
          <w:i/>
          <w:iCs/>
        </w:rPr>
        <w:t>Confirmed:</w:t>
      </w:r>
    </w:p>
    <w:p w14:paraId="1D8DAB8A" w14:textId="77777777" w:rsidR="005D1FD3" w:rsidRPr="00B04B9A" w:rsidRDefault="005D1FD3" w:rsidP="00F84E3A">
      <w:pPr>
        <w:numPr>
          <w:ilvl w:val="0"/>
          <w:numId w:val="38"/>
        </w:numPr>
        <w:tabs>
          <w:tab w:val="left" w:pos="720"/>
        </w:tabs>
        <w:spacing w:after="120"/>
      </w:pPr>
      <w:r w:rsidRPr="00B04B9A">
        <w:t>A case that meets the clinical criteria and is IgM anti-HAV positive </w:t>
      </w:r>
      <w:r w:rsidRPr="00B04B9A">
        <w:rPr>
          <w:vertAlign w:val="superscript"/>
        </w:rPr>
        <w:t>§</w:t>
      </w:r>
      <w:r w:rsidRPr="00B04B9A">
        <w:t>, </w:t>
      </w:r>
      <w:r w:rsidRPr="00B04B9A">
        <w:rPr>
          <w:b/>
          <w:bCs/>
        </w:rPr>
        <w:t>OR</w:t>
      </w:r>
    </w:p>
    <w:p w14:paraId="5EFA8E3E" w14:textId="77777777" w:rsidR="005D1FD3" w:rsidRPr="00B04B9A" w:rsidRDefault="005D1FD3" w:rsidP="00F84E3A">
      <w:pPr>
        <w:numPr>
          <w:ilvl w:val="0"/>
          <w:numId w:val="38"/>
        </w:numPr>
        <w:tabs>
          <w:tab w:val="left" w:pos="720"/>
        </w:tabs>
        <w:spacing w:after="120"/>
      </w:pPr>
      <w:r w:rsidRPr="00B04B9A">
        <w:t>A case that has hepatitis A virus RNA detected by NAAT (such as PCR or genotyping), </w:t>
      </w:r>
      <w:r w:rsidRPr="00B04B9A">
        <w:rPr>
          <w:b/>
          <w:bCs/>
        </w:rPr>
        <w:t>OR</w:t>
      </w:r>
    </w:p>
    <w:p w14:paraId="4D2FDACE" w14:textId="77777777" w:rsidR="005D1FD3" w:rsidRPr="00B04B9A" w:rsidRDefault="005D1FD3" w:rsidP="00F84E3A">
      <w:pPr>
        <w:numPr>
          <w:ilvl w:val="0"/>
          <w:numId w:val="38"/>
        </w:numPr>
        <w:tabs>
          <w:tab w:val="left" w:pos="720"/>
        </w:tabs>
        <w:spacing w:after="120"/>
      </w:pPr>
      <w:r w:rsidRPr="00B04B9A">
        <w:t>A case that meets the clinical criteria and occurs in a person who had contact (e.g., household or sexual) with a laboratory-confirmed hepatitis A case 15-50 days prior to onset of symptoms.</w:t>
      </w:r>
    </w:p>
    <w:p w14:paraId="3FE9FB76" w14:textId="77777777" w:rsidR="005D1FD3" w:rsidRPr="00B04B9A" w:rsidRDefault="005D1FD3" w:rsidP="009F76C4">
      <w:pPr>
        <w:spacing w:after="120"/>
      </w:pPr>
      <w:r w:rsidRPr="00B04B9A">
        <w:t>§ And not otherwise ruled out by IgM anti-HAV or NAAT for hepatitis A virus testing performed in a public health laboratory.</w:t>
      </w:r>
    </w:p>
    <w:p w14:paraId="0E60A38E" w14:textId="71FB95F7" w:rsidR="005D1FD3" w:rsidRPr="00B04B9A" w:rsidRDefault="1D07E79C" w:rsidP="009F76C4">
      <w:pPr>
        <w:spacing w:after="120"/>
        <w:rPr>
          <w:color w:val="2F5496" w:themeColor="accent1" w:themeShade="BF"/>
        </w:rPr>
      </w:pPr>
      <w:r w:rsidRPr="23C0B236">
        <w:rPr>
          <w:b/>
          <w:bCs/>
          <w:color w:val="2F5496" w:themeColor="accent1" w:themeShade="BF"/>
        </w:rPr>
        <w:t>Hepatitis B, Chronic</w:t>
      </w:r>
      <w:r w:rsidR="005D1FD3" w:rsidRPr="23C0B236">
        <w:rPr>
          <w:b/>
          <w:bCs/>
          <w:color w:val="2F5496" w:themeColor="accent1" w:themeShade="BF"/>
        </w:rPr>
        <w:t xml:space="preserve"> (2012)</w:t>
      </w:r>
    </w:p>
    <w:p w14:paraId="2C6F2F37" w14:textId="77777777" w:rsidR="005D1FD3" w:rsidRPr="00B04B9A" w:rsidRDefault="005D1FD3" w:rsidP="009F76C4">
      <w:pPr>
        <w:spacing w:after="120"/>
      </w:pPr>
      <w:r w:rsidRPr="00B04B9A">
        <w:rPr>
          <w:i/>
          <w:iCs/>
        </w:rPr>
        <w:t>Confirmed:</w:t>
      </w:r>
    </w:p>
    <w:p w14:paraId="40732666" w14:textId="77777777" w:rsidR="005D1FD3" w:rsidRPr="00B04B9A" w:rsidRDefault="005D1FD3" w:rsidP="009F76C4">
      <w:pPr>
        <w:spacing w:after="120"/>
      </w:pPr>
      <w:r w:rsidRPr="00B04B9A">
        <w:t xml:space="preserve">IgM antibodies to hepatitis B core antigen (IgM anti-HBc) negative </w:t>
      </w:r>
    </w:p>
    <w:p w14:paraId="1C94F398" w14:textId="77777777" w:rsidR="005D1FD3" w:rsidRPr="00B04B9A" w:rsidRDefault="005D1FD3" w:rsidP="009F76C4">
      <w:pPr>
        <w:spacing w:after="120"/>
      </w:pPr>
      <w:r w:rsidRPr="00B04B9A">
        <w:rPr>
          <w:b/>
          <w:bCs/>
        </w:rPr>
        <w:t>AND</w:t>
      </w:r>
      <w:r w:rsidRPr="00B04B9A">
        <w:t xml:space="preserve"> </w:t>
      </w:r>
    </w:p>
    <w:p w14:paraId="1951CE36" w14:textId="77777777" w:rsidR="005D1FD3" w:rsidRPr="00B04B9A" w:rsidRDefault="005D1FD3" w:rsidP="009F76C4">
      <w:pPr>
        <w:spacing w:after="120"/>
      </w:pPr>
      <w:r w:rsidRPr="00B04B9A">
        <w:t xml:space="preserve">A positive result on one of the following tests: hepatitis B surface antigen (HBsAg), hepatitis B e antigen (HBeAg), or nucleic acid test for hepatitis B virus DNA (including qualitative, quantitative and genotype testing), </w:t>
      </w:r>
    </w:p>
    <w:p w14:paraId="7260A5BC" w14:textId="77777777" w:rsidR="005D1FD3" w:rsidRPr="00B04B9A" w:rsidRDefault="005D1FD3" w:rsidP="009F76C4">
      <w:pPr>
        <w:spacing w:after="120"/>
      </w:pPr>
      <w:r w:rsidRPr="00B04B9A">
        <w:rPr>
          <w:b/>
          <w:bCs/>
        </w:rPr>
        <w:t>OR</w:t>
      </w:r>
    </w:p>
    <w:p w14:paraId="00C31F60" w14:textId="77777777" w:rsidR="005D1FD3" w:rsidRPr="00B04B9A" w:rsidRDefault="005D1FD3" w:rsidP="009F76C4">
      <w:pPr>
        <w:spacing w:after="120"/>
      </w:pPr>
      <w:r w:rsidRPr="00B04B9A">
        <w:t>HBsAg positive or nucleic acid test for hepatitis B virus DNA (including qualitative, quantitative and genotype testing), or HBeAg positive two times at least 6 months apart (Any combination of these tests performed 6 months apart is acceptable.)</w:t>
      </w:r>
    </w:p>
    <w:p w14:paraId="589765F0" w14:textId="77777777" w:rsidR="005D1FD3" w:rsidRPr="00B04B9A" w:rsidRDefault="005D1FD3" w:rsidP="009F76C4">
      <w:pPr>
        <w:spacing w:after="120"/>
      </w:pPr>
      <w:r w:rsidRPr="00B04B9A">
        <w:rPr>
          <w:i/>
          <w:iCs/>
        </w:rPr>
        <w:t>Probable</w:t>
      </w:r>
      <w:r w:rsidRPr="00B04B9A">
        <w:t>:</w:t>
      </w:r>
    </w:p>
    <w:p w14:paraId="432E8DA4" w14:textId="77777777" w:rsidR="005D1FD3" w:rsidRPr="00B04B9A" w:rsidRDefault="005D1FD3" w:rsidP="009F76C4">
      <w:pPr>
        <w:spacing w:after="120"/>
      </w:pPr>
      <w:r w:rsidRPr="00B04B9A">
        <w:lastRenderedPageBreak/>
        <w:t>A case with a single HBsAg positive or HBV DNA positive (including qualitative, quantitative and genotype testing), or HBeAg positive lab result when no IgM anti-HBc results are available</w:t>
      </w:r>
    </w:p>
    <w:p w14:paraId="6BFCAFA2" w14:textId="59A58CF7" w:rsidR="005D1FD3" w:rsidRPr="00B04B9A" w:rsidRDefault="6711837A" w:rsidP="009F76C4">
      <w:pPr>
        <w:spacing w:after="120"/>
        <w:rPr>
          <w:color w:val="2F5496" w:themeColor="accent1" w:themeShade="BF"/>
        </w:rPr>
      </w:pPr>
      <w:r w:rsidRPr="23C0B236">
        <w:rPr>
          <w:b/>
          <w:bCs/>
          <w:color w:val="2F5496" w:themeColor="accent1" w:themeShade="BF"/>
        </w:rPr>
        <w:t xml:space="preserve">Hepatitis B, </w:t>
      </w:r>
      <w:r w:rsidR="005D1FD3" w:rsidRPr="23C0B236">
        <w:rPr>
          <w:b/>
          <w:bCs/>
          <w:color w:val="2F5496" w:themeColor="accent1" w:themeShade="BF"/>
        </w:rPr>
        <w:t>Acute (2012)</w:t>
      </w:r>
    </w:p>
    <w:p w14:paraId="57EAB8A2" w14:textId="77777777" w:rsidR="005D1FD3" w:rsidRPr="00B04B9A" w:rsidRDefault="005D1FD3" w:rsidP="009F76C4">
      <w:pPr>
        <w:spacing w:after="120"/>
      </w:pPr>
      <w:r w:rsidRPr="00B04B9A">
        <w:t>Clinical Presentation: An acute illness with a discrete onset of symptoms consistent with acute viral hepatitis (e.g., fever, headache, malaise, anorexia, nausea, vomiting, diarrhea, and abdominal pain) and either a) jaundice or b) elevated serum alanine aminotransferase levels &gt; 100 IU/L</w:t>
      </w:r>
    </w:p>
    <w:p w14:paraId="131AFC6A" w14:textId="77777777" w:rsidR="005D1FD3" w:rsidRPr="00B04B9A" w:rsidRDefault="005D1FD3" w:rsidP="009F76C4">
      <w:pPr>
        <w:spacing w:after="120"/>
      </w:pPr>
      <w:r w:rsidRPr="00B04B9A">
        <w:rPr>
          <w:i/>
          <w:iCs/>
        </w:rPr>
        <w:t>Confirmed:</w:t>
      </w:r>
    </w:p>
    <w:p w14:paraId="0D521FAA" w14:textId="77777777" w:rsidR="005D1FD3" w:rsidRPr="00B04B9A" w:rsidRDefault="005D1FD3" w:rsidP="009F76C4">
      <w:pPr>
        <w:spacing w:after="120"/>
      </w:pPr>
      <w:r w:rsidRPr="00B04B9A">
        <w:t>Clinically compatible case* not known to have chronic hepatitis B and</w:t>
      </w:r>
    </w:p>
    <w:p w14:paraId="2295763B" w14:textId="77777777" w:rsidR="005D1FD3" w:rsidRPr="00B04B9A" w:rsidRDefault="005D1FD3" w:rsidP="009F76C4">
      <w:pPr>
        <w:spacing w:after="120"/>
      </w:pPr>
      <w:r w:rsidRPr="00B04B9A">
        <w:t xml:space="preserve">HBsAg positive </w:t>
      </w:r>
    </w:p>
    <w:p w14:paraId="5AE5751F" w14:textId="77777777" w:rsidR="005D1FD3" w:rsidRPr="00B04B9A" w:rsidRDefault="005D1FD3" w:rsidP="009F76C4">
      <w:pPr>
        <w:spacing w:after="120"/>
      </w:pPr>
      <w:r w:rsidRPr="00B04B9A">
        <w:rPr>
          <w:b/>
          <w:bCs/>
        </w:rPr>
        <w:t>AND</w:t>
      </w:r>
    </w:p>
    <w:p w14:paraId="2FCB0F3D" w14:textId="77777777" w:rsidR="005D1FD3" w:rsidRPr="00B04B9A" w:rsidRDefault="005D1FD3" w:rsidP="009F76C4">
      <w:pPr>
        <w:spacing w:after="120"/>
      </w:pPr>
      <w:r w:rsidRPr="00B04B9A">
        <w:t xml:space="preserve">IgM antibody to hepatitis B core antigen (IgM anti– HBc) positive, if done * </w:t>
      </w:r>
    </w:p>
    <w:p w14:paraId="1C145CFF" w14:textId="77777777" w:rsidR="005D1FD3" w:rsidRPr="00B04B9A" w:rsidRDefault="005D1FD3" w:rsidP="009F76C4">
      <w:pPr>
        <w:spacing w:after="120"/>
      </w:pPr>
      <w:r w:rsidRPr="00B04B9A">
        <w:t>A documented negative hepatitis B surface antigen (HBsAg) laboratory test result within 6 months prior to a positive test (either HBsAg, Hepatitis B “e” antigen (HBeAg), or hepatitis B virus nucleic acid testing (HBV NAT) including genotype) result does NOT require an acute clinical presentation to meet the surveillance case definition.</w:t>
      </w:r>
    </w:p>
    <w:p w14:paraId="54406133" w14:textId="77777777" w:rsidR="005D1FD3" w:rsidRPr="00B04B9A" w:rsidRDefault="005D1FD3" w:rsidP="009F76C4">
      <w:pPr>
        <w:spacing w:after="120"/>
      </w:pPr>
      <w:r w:rsidRPr="00B04B9A">
        <w:rPr>
          <w:i/>
          <w:iCs/>
        </w:rPr>
        <w:t>Suspect:</w:t>
      </w:r>
    </w:p>
    <w:p w14:paraId="44DDD511" w14:textId="77777777" w:rsidR="005D1FD3" w:rsidRPr="00B04B9A" w:rsidRDefault="005D1FD3" w:rsidP="009F76C4">
      <w:pPr>
        <w:spacing w:after="120"/>
      </w:pPr>
      <w:r w:rsidRPr="00B04B9A">
        <w:t>Positive IgM antibody to hepatitis B core antigen (IgM anti-HBc) that does not meet the clinical definition</w:t>
      </w:r>
    </w:p>
    <w:p w14:paraId="0D43CA77" w14:textId="77777777" w:rsidR="005D1FD3" w:rsidRPr="00B04B9A" w:rsidRDefault="005D1FD3" w:rsidP="009F76C4">
      <w:pPr>
        <w:spacing w:after="120"/>
      </w:pPr>
      <w:r w:rsidRPr="00B04B9A">
        <w:t>Note that the year into which a case is categorized is based upon the case’s “Event Date”, which is assigned by the following case characteristics, in decreasing order of specificity, dependent on availability of information: symptom onset date, specimen collection date, diagnosis date, or case report date</w:t>
      </w:r>
    </w:p>
    <w:p w14:paraId="7CBAF02C" w14:textId="27CAF6E4" w:rsidR="005D1FD3" w:rsidRPr="00B04B9A" w:rsidRDefault="008203AA" w:rsidP="4F7CD6E5">
      <w:pPr>
        <w:spacing w:after="120"/>
        <w:rPr>
          <w:b/>
          <w:bCs/>
          <w:color w:val="2F5496" w:themeColor="accent1" w:themeShade="BF"/>
        </w:rPr>
      </w:pPr>
      <w:r>
        <w:rPr>
          <w:b/>
          <w:bCs/>
          <w:color w:val="2F5496" w:themeColor="accent1" w:themeShade="BF"/>
        </w:rPr>
        <w:t>HCV</w:t>
      </w:r>
      <w:r w:rsidR="005D1FD3" w:rsidRPr="00B04B9A">
        <w:rPr>
          <w:b/>
          <w:bCs/>
          <w:color w:val="2F5496" w:themeColor="accent1" w:themeShade="BF"/>
        </w:rPr>
        <w:t>, Acute (2012)</w:t>
      </w:r>
    </w:p>
    <w:p w14:paraId="2A9CC9FD" w14:textId="77777777" w:rsidR="005D1FD3" w:rsidRPr="00B04B9A" w:rsidRDefault="005D1FD3" w:rsidP="009F76C4">
      <w:pPr>
        <w:spacing w:after="120"/>
      </w:pPr>
      <w:r w:rsidRPr="00B04B9A">
        <w:rPr>
          <w:i/>
          <w:iCs/>
        </w:rPr>
        <w:t xml:space="preserve">Clinical description </w:t>
      </w:r>
      <w:r w:rsidRPr="00B04B9A">
        <w:t>– An acute illness with a discrete onset of any sign or symptom consistent with acute viral hepatitis (e.g. fever, headache, malaise, anorexia, nausea, vomiting, diarrhea, and abdominal pain), and either a) jaundice, or b) elevated ALT levels &gt;400 IU/L. A documented negative HCV antibody laboratory test result followed within 6 months by a positive test result does not require an acute clinical presentation to meet the surveillance case definition.</w:t>
      </w:r>
    </w:p>
    <w:p w14:paraId="5BFDA814" w14:textId="77777777" w:rsidR="005D1FD3" w:rsidRPr="00B04B9A" w:rsidRDefault="005D1FD3" w:rsidP="009F76C4">
      <w:pPr>
        <w:spacing w:after="120"/>
      </w:pPr>
      <w:r w:rsidRPr="00B04B9A">
        <w:rPr>
          <w:i/>
          <w:iCs/>
        </w:rPr>
        <w:t xml:space="preserve">Laboratory criteria for diagnosis </w:t>
      </w:r>
      <w:r w:rsidRPr="00B04B9A">
        <w:t>– One or more of the following three criteria (except in persons less than 18 months of age, for whom only the third criterion would meet the case classification criteria):</w:t>
      </w:r>
    </w:p>
    <w:p w14:paraId="2D25F7CF" w14:textId="77777777" w:rsidR="005D1FD3" w:rsidRPr="00B04B9A" w:rsidRDefault="005D1FD3" w:rsidP="00F84E3A">
      <w:pPr>
        <w:numPr>
          <w:ilvl w:val="0"/>
          <w:numId w:val="39"/>
        </w:numPr>
        <w:spacing w:after="120"/>
      </w:pPr>
      <w:r w:rsidRPr="00B04B9A">
        <w:t>Anti-HCV screening-test-positive with a signal to cut-off ratio predictive of a true positive as determined for the particular assay as defined by CDC, or</w:t>
      </w:r>
    </w:p>
    <w:p w14:paraId="24A0934C" w14:textId="77777777" w:rsidR="005D1FD3" w:rsidRPr="00B04B9A" w:rsidRDefault="005D1FD3" w:rsidP="00F84E3A">
      <w:pPr>
        <w:numPr>
          <w:ilvl w:val="0"/>
          <w:numId w:val="39"/>
        </w:numPr>
        <w:spacing w:after="120"/>
      </w:pPr>
      <w:r w:rsidRPr="00B04B9A">
        <w:t>HCV recombinant immunoblot assay positive, or</w:t>
      </w:r>
    </w:p>
    <w:p w14:paraId="3F3F8EF2" w14:textId="377F1B2D" w:rsidR="005D1FD3" w:rsidRPr="00B04B9A" w:rsidRDefault="00DB0813" w:rsidP="00F84E3A">
      <w:pPr>
        <w:numPr>
          <w:ilvl w:val="0"/>
          <w:numId w:val="39"/>
        </w:numPr>
        <w:spacing w:after="120"/>
      </w:pPr>
      <w:r w:rsidRPr="00B04B9A">
        <w:rPr>
          <w:rFonts w:ascii="Calibri" w:eastAsia="Calibri" w:hAnsi="Calibri" w:cs="Calibri"/>
          <w:szCs w:val="24"/>
        </w:rPr>
        <w:t>Nucleic acid test (NAT)</w:t>
      </w:r>
      <w:r w:rsidR="005D1FD3" w:rsidRPr="00B04B9A">
        <w:t xml:space="preserve"> for HCV RNA positive (including qualitative, quantitative, or genotype testing) and, if done meets the following two criteria:</w:t>
      </w:r>
    </w:p>
    <w:p w14:paraId="045BA692" w14:textId="77777777" w:rsidR="005D1FD3" w:rsidRPr="00B04B9A" w:rsidRDefault="005D1FD3" w:rsidP="00F84E3A">
      <w:pPr>
        <w:numPr>
          <w:ilvl w:val="0"/>
          <w:numId w:val="39"/>
        </w:numPr>
        <w:spacing w:after="120"/>
      </w:pPr>
      <w:r w:rsidRPr="00B04B9A">
        <w:t>Absence of IgM antibody to hepatitis A virus</w:t>
      </w:r>
    </w:p>
    <w:p w14:paraId="4B11DB8C" w14:textId="77777777" w:rsidR="005D1FD3" w:rsidRPr="00B04B9A" w:rsidRDefault="005D1FD3" w:rsidP="00F84E3A">
      <w:pPr>
        <w:numPr>
          <w:ilvl w:val="0"/>
          <w:numId w:val="39"/>
        </w:numPr>
        <w:spacing w:after="120"/>
      </w:pPr>
      <w:r w:rsidRPr="00B04B9A">
        <w:t>Absence of IgM antibody to hepatitis B core antigen</w:t>
      </w:r>
    </w:p>
    <w:p w14:paraId="07205FA8" w14:textId="6C37989C" w:rsidR="005D1FD3" w:rsidRPr="00B04B9A" w:rsidRDefault="005D1FD3" w:rsidP="009F76C4">
      <w:pPr>
        <w:spacing w:after="120"/>
      </w:pPr>
      <w:r w:rsidRPr="00B04B9A">
        <w:rPr>
          <w:i/>
          <w:iCs/>
        </w:rPr>
        <w:lastRenderedPageBreak/>
        <w:t xml:space="preserve">Confirmed </w:t>
      </w:r>
      <w:r w:rsidRPr="00B04B9A">
        <w:t xml:space="preserve">– A case that meets the clinical case definition, is laboratory confirmed, and is not known to have chronic </w:t>
      </w:r>
      <w:r w:rsidR="008203AA">
        <w:t>HCV</w:t>
      </w:r>
      <w:r w:rsidRPr="00B04B9A">
        <w:t>.</w:t>
      </w:r>
    </w:p>
    <w:p w14:paraId="000262B0" w14:textId="10BE85FE" w:rsidR="005D1FD3" w:rsidRPr="00B04B9A" w:rsidRDefault="008203AA" w:rsidP="009F76C4">
      <w:pPr>
        <w:spacing w:after="120"/>
        <w:rPr>
          <w:color w:val="2F5496" w:themeColor="accent1" w:themeShade="BF"/>
        </w:rPr>
      </w:pPr>
      <w:r>
        <w:rPr>
          <w:b/>
          <w:bCs/>
          <w:color w:val="2F5496" w:themeColor="accent1" w:themeShade="BF"/>
        </w:rPr>
        <w:t>HCV</w:t>
      </w:r>
      <w:r w:rsidR="005D1FD3" w:rsidRPr="00B04B9A">
        <w:rPr>
          <w:b/>
          <w:bCs/>
          <w:color w:val="2F5496" w:themeColor="accent1" w:themeShade="BF"/>
        </w:rPr>
        <w:t>, Past or Present (2012)</w:t>
      </w:r>
    </w:p>
    <w:p w14:paraId="7690A551" w14:textId="71DE3D77" w:rsidR="005D1FD3" w:rsidRPr="00B04B9A" w:rsidRDefault="005D1FD3" w:rsidP="009F76C4">
      <w:pPr>
        <w:spacing w:after="120"/>
      </w:pPr>
      <w:r w:rsidRPr="00B04B9A">
        <w:rPr>
          <w:i/>
          <w:iCs/>
        </w:rPr>
        <w:t xml:space="preserve">Laboratory criteria for diagnosis </w:t>
      </w:r>
      <w:r w:rsidRPr="00B04B9A">
        <w:t>– One or more of the following three criteria (except in persons less than 18 months of age, for whom only the third criterion would meet the case classification criteria):</w:t>
      </w:r>
    </w:p>
    <w:p w14:paraId="17D4224A" w14:textId="77777777" w:rsidR="005D1FD3" w:rsidRPr="00B04B9A" w:rsidRDefault="005D1FD3" w:rsidP="00F84E3A">
      <w:pPr>
        <w:numPr>
          <w:ilvl w:val="0"/>
          <w:numId w:val="40"/>
        </w:numPr>
        <w:spacing w:after="120"/>
      </w:pPr>
      <w:r w:rsidRPr="00B04B9A">
        <w:t>Anti-HCV screening-test-positive with a signal to cut-off ratio predictive of a true positive as determined for the particular assay as defined by CDC, or</w:t>
      </w:r>
    </w:p>
    <w:p w14:paraId="40341D04" w14:textId="77777777" w:rsidR="005D1FD3" w:rsidRPr="00B04B9A" w:rsidRDefault="005D1FD3" w:rsidP="00F84E3A">
      <w:pPr>
        <w:numPr>
          <w:ilvl w:val="0"/>
          <w:numId w:val="40"/>
        </w:numPr>
        <w:spacing w:after="120"/>
      </w:pPr>
      <w:r w:rsidRPr="00B04B9A">
        <w:t>HCV recombinant immunoblot assay positive, or</w:t>
      </w:r>
    </w:p>
    <w:p w14:paraId="2A49FBC5" w14:textId="77777777" w:rsidR="005D1FD3" w:rsidRPr="00B04B9A" w:rsidRDefault="005D1FD3" w:rsidP="00F84E3A">
      <w:pPr>
        <w:numPr>
          <w:ilvl w:val="0"/>
          <w:numId w:val="40"/>
        </w:numPr>
        <w:spacing w:after="120"/>
      </w:pPr>
      <w:r w:rsidRPr="00B04B9A">
        <w:t>NAT for HCV RNA positive (including qualitative, quantitative, or genotype testing)</w:t>
      </w:r>
    </w:p>
    <w:p w14:paraId="734C7BD2" w14:textId="447309F0" w:rsidR="005D1FD3" w:rsidRPr="00B04B9A" w:rsidRDefault="005D1FD3" w:rsidP="009F76C4">
      <w:pPr>
        <w:spacing w:after="120"/>
      </w:pPr>
      <w:r w:rsidRPr="00B04B9A">
        <w:rPr>
          <w:i/>
          <w:iCs/>
        </w:rPr>
        <w:t xml:space="preserve">Probable </w:t>
      </w:r>
      <w:r w:rsidRPr="00B04B9A">
        <w:t xml:space="preserve">– A case that does not meet the case definition for acute </w:t>
      </w:r>
      <w:r w:rsidR="008203AA">
        <w:t>HCV</w:t>
      </w:r>
      <w:r w:rsidRPr="00B04B9A">
        <w:t>, is anti-HCV positive (repeat reactive) by EIA, and has ALT values above the upper limit of normal, but the anti-HCV EIA result has not been verified by an additional more specific assay or the signal to cut-off ratio is unknown.</w:t>
      </w:r>
    </w:p>
    <w:p w14:paraId="58371D86" w14:textId="1E1A3877" w:rsidR="005D1FD3" w:rsidRPr="00B04B9A" w:rsidRDefault="005D1FD3" w:rsidP="009F76C4">
      <w:pPr>
        <w:spacing w:after="120"/>
      </w:pPr>
      <w:r w:rsidRPr="00B04B9A">
        <w:rPr>
          <w:i/>
          <w:iCs/>
        </w:rPr>
        <w:t xml:space="preserve">Confirmed </w:t>
      </w:r>
      <w:r w:rsidRPr="00B04B9A">
        <w:t xml:space="preserve">– A case that is laboratory confirmed and does not meet the case definition for acute </w:t>
      </w:r>
      <w:r w:rsidR="008203AA">
        <w:t>HCV</w:t>
      </w:r>
      <w:r w:rsidRPr="00B04B9A">
        <w:t>.</w:t>
      </w:r>
    </w:p>
    <w:p w14:paraId="55748FCB" w14:textId="1036C5B3" w:rsidR="005D1FD3" w:rsidRPr="00B04B9A" w:rsidRDefault="008203AA" w:rsidP="009F76C4">
      <w:pPr>
        <w:spacing w:after="120"/>
        <w:rPr>
          <w:color w:val="2F5496" w:themeColor="accent1" w:themeShade="BF"/>
        </w:rPr>
      </w:pPr>
      <w:r>
        <w:rPr>
          <w:b/>
          <w:bCs/>
          <w:color w:val="2F5496" w:themeColor="accent1" w:themeShade="BF"/>
        </w:rPr>
        <w:t>HCV</w:t>
      </w:r>
      <w:r w:rsidR="005D1FD3" w:rsidRPr="00B04B9A">
        <w:rPr>
          <w:b/>
          <w:bCs/>
          <w:color w:val="2F5496" w:themeColor="accent1" w:themeShade="BF"/>
        </w:rPr>
        <w:t>, Acute (2016)</w:t>
      </w:r>
    </w:p>
    <w:p w14:paraId="73BD5115" w14:textId="77777777" w:rsidR="005D1FD3" w:rsidRPr="00B04B9A" w:rsidRDefault="005D1FD3" w:rsidP="009F76C4">
      <w:pPr>
        <w:spacing w:after="120"/>
      </w:pPr>
      <w:r w:rsidRPr="00B04B9A">
        <w:rPr>
          <w:i/>
          <w:iCs/>
        </w:rPr>
        <w:t xml:space="preserve">Clinical criteria </w:t>
      </w:r>
      <w:r w:rsidRPr="00B04B9A">
        <w:t>– An illness with discrete onset of any sign or symptom consistent with viral hepatitis (e.g. fever, headache, malaise, anorexia, nausea, vomiting, diarrhea, and abdominal pain) and a) jaundice or b) a peak elevated serum ALT level &gt;200 IU/L during the period of acute illness.</w:t>
      </w:r>
    </w:p>
    <w:p w14:paraId="40DC99E0" w14:textId="77777777" w:rsidR="005D1FD3" w:rsidRPr="00B04B9A" w:rsidRDefault="005D1FD3" w:rsidP="009F76C4">
      <w:pPr>
        <w:spacing w:after="120"/>
      </w:pPr>
      <w:r w:rsidRPr="00B04B9A">
        <w:rPr>
          <w:i/>
          <w:iCs/>
        </w:rPr>
        <w:t>Laboratory criteria for diagnosis</w:t>
      </w:r>
    </w:p>
    <w:p w14:paraId="6A07FAF8" w14:textId="77777777" w:rsidR="005D1FD3" w:rsidRPr="00B04B9A" w:rsidRDefault="005D1FD3" w:rsidP="00F84E3A">
      <w:pPr>
        <w:numPr>
          <w:ilvl w:val="0"/>
          <w:numId w:val="41"/>
        </w:numPr>
        <w:spacing w:after="120"/>
      </w:pPr>
      <w:r w:rsidRPr="00B04B9A">
        <w:t>A positive test for antibodies to HCV</w:t>
      </w:r>
    </w:p>
    <w:p w14:paraId="4F33D8B4" w14:textId="77777777" w:rsidR="005D1FD3" w:rsidRPr="00B04B9A" w:rsidRDefault="005D1FD3" w:rsidP="00F84E3A">
      <w:pPr>
        <w:numPr>
          <w:ilvl w:val="0"/>
          <w:numId w:val="41"/>
        </w:numPr>
        <w:spacing w:after="120"/>
      </w:pPr>
      <w:r w:rsidRPr="00B04B9A">
        <w:t>HCV detection test: NAT for HCV RNA positive, including qualitative, quantitative, or genotype testing</w:t>
      </w:r>
    </w:p>
    <w:p w14:paraId="130D5EB7" w14:textId="77777777" w:rsidR="005D1FD3" w:rsidRPr="00B04B9A" w:rsidRDefault="005D1FD3" w:rsidP="00F84E3A">
      <w:pPr>
        <w:numPr>
          <w:ilvl w:val="0"/>
          <w:numId w:val="41"/>
        </w:numPr>
        <w:spacing w:after="120"/>
      </w:pPr>
      <w:r w:rsidRPr="00B04B9A">
        <w:t>A positive test indicating presence of HCV antigen when and if a test for HCV antigen is approved by FDA and available</w:t>
      </w:r>
    </w:p>
    <w:p w14:paraId="02F7467C" w14:textId="77777777" w:rsidR="005D1FD3" w:rsidRPr="00B04B9A" w:rsidRDefault="005D1FD3" w:rsidP="009F76C4">
      <w:pPr>
        <w:spacing w:after="120"/>
      </w:pPr>
      <w:r w:rsidRPr="00B04B9A">
        <w:rPr>
          <w:i/>
          <w:iCs/>
        </w:rPr>
        <w:t xml:space="preserve">Probable </w:t>
      </w:r>
      <w:r w:rsidRPr="00B04B9A">
        <w:t>– A case that meets clinical criteria and has a positive anti-HCV antibody test, but has no reports of a positive HCV NAT or positive HCV antigen tests and does not have test seroconversion within 12 months or has no report of test conversion.</w:t>
      </w:r>
    </w:p>
    <w:p w14:paraId="6357B8C5" w14:textId="77777777" w:rsidR="005D1FD3" w:rsidRPr="00B04B9A" w:rsidRDefault="005D1FD3" w:rsidP="009F76C4">
      <w:pPr>
        <w:spacing w:after="120"/>
      </w:pPr>
      <w:r w:rsidRPr="00B04B9A">
        <w:rPr>
          <w:i/>
          <w:iCs/>
        </w:rPr>
        <w:t xml:space="preserve">Confirmed </w:t>
      </w:r>
      <w:r w:rsidRPr="00B04B9A">
        <w:t>– A case that meets clinical criteria and has a positive HCV NAT or HCV antigen, or a documented negative HCV antibody, HCV antigen or NAT laboratory test result followed within 12 months by a positive result of any of these tests (test conversion).</w:t>
      </w:r>
    </w:p>
    <w:p w14:paraId="3758407A" w14:textId="7B810527" w:rsidR="005D1FD3" w:rsidRPr="00B04B9A" w:rsidRDefault="008203AA" w:rsidP="009F76C4">
      <w:pPr>
        <w:spacing w:after="120"/>
        <w:rPr>
          <w:color w:val="2F5496" w:themeColor="accent1" w:themeShade="BF"/>
        </w:rPr>
      </w:pPr>
      <w:r>
        <w:rPr>
          <w:b/>
          <w:bCs/>
          <w:color w:val="2F5496" w:themeColor="accent1" w:themeShade="BF"/>
        </w:rPr>
        <w:t>HCV</w:t>
      </w:r>
      <w:r w:rsidR="005D1FD3" w:rsidRPr="00B04B9A">
        <w:rPr>
          <w:b/>
          <w:bCs/>
          <w:color w:val="2F5496" w:themeColor="accent1" w:themeShade="BF"/>
        </w:rPr>
        <w:t>, Chronic (2016)</w:t>
      </w:r>
    </w:p>
    <w:p w14:paraId="4FAE49CF" w14:textId="77777777" w:rsidR="005D1FD3" w:rsidRPr="00B04B9A" w:rsidRDefault="005D1FD3" w:rsidP="009F76C4">
      <w:pPr>
        <w:spacing w:after="120"/>
      </w:pPr>
      <w:r w:rsidRPr="00B04B9A">
        <w:rPr>
          <w:i/>
          <w:iCs/>
        </w:rPr>
        <w:t>Laboratory criteria for diagnosis</w:t>
      </w:r>
    </w:p>
    <w:p w14:paraId="6C525A98" w14:textId="77777777" w:rsidR="005D1FD3" w:rsidRPr="00B04B9A" w:rsidRDefault="005D1FD3" w:rsidP="00F84E3A">
      <w:pPr>
        <w:numPr>
          <w:ilvl w:val="0"/>
          <w:numId w:val="42"/>
        </w:numPr>
        <w:spacing w:after="120"/>
      </w:pPr>
      <w:r w:rsidRPr="00B04B9A">
        <w:t xml:space="preserve">A positive test for antibodies to HCV </w:t>
      </w:r>
    </w:p>
    <w:p w14:paraId="2E6A759A" w14:textId="77777777" w:rsidR="005D1FD3" w:rsidRPr="00B04B9A" w:rsidRDefault="005D1FD3" w:rsidP="00F84E3A">
      <w:pPr>
        <w:numPr>
          <w:ilvl w:val="0"/>
          <w:numId w:val="42"/>
        </w:numPr>
        <w:spacing w:after="120"/>
      </w:pPr>
      <w:r w:rsidRPr="00B04B9A">
        <w:t>HCV detection test: NAT for HCV RNA positive, including qualitative, quantitative, or genotype testing</w:t>
      </w:r>
    </w:p>
    <w:p w14:paraId="452E5C80" w14:textId="77777777" w:rsidR="005D1FD3" w:rsidRPr="00B04B9A" w:rsidRDefault="005D1FD3" w:rsidP="00F84E3A">
      <w:pPr>
        <w:numPr>
          <w:ilvl w:val="0"/>
          <w:numId w:val="42"/>
        </w:numPr>
        <w:spacing w:after="120"/>
      </w:pPr>
      <w:r w:rsidRPr="00B04B9A">
        <w:t>A positive test indicating presence of HCV antigen when and if a test for HCV antigen is approved by FDA and available</w:t>
      </w:r>
    </w:p>
    <w:p w14:paraId="1E9F8640" w14:textId="77777777" w:rsidR="005D1FD3" w:rsidRPr="00B04B9A" w:rsidRDefault="005D1FD3" w:rsidP="009F76C4">
      <w:pPr>
        <w:spacing w:after="120"/>
      </w:pPr>
      <w:r w:rsidRPr="00B04B9A">
        <w:rPr>
          <w:i/>
          <w:iCs/>
        </w:rPr>
        <w:lastRenderedPageBreak/>
        <w:t xml:space="preserve">Probable </w:t>
      </w:r>
      <w:r w:rsidRPr="00B04B9A">
        <w:t>– A case that does not meet clinical criteria or has no report of clinical criteria, and does not have test conversion within 12 months or has no report of test conversion, and has a positive anti-HCV antibody test, but no report of a positive HCV NAT or positive HCV antigen test.</w:t>
      </w:r>
    </w:p>
    <w:p w14:paraId="68EE005E" w14:textId="77777777" w:rsidR="005D1FD3" w:rsidRPr="00B04B9A" w:rsidRDefault="341F7552" w:rsidP="009F76C4">
      <w:pPr>
        <w:spacing w:after="120"/>
      </w:pPr>
      <w:r w:rsidRPr="00B04B9A">
        <w:rPr>
          <w:i/>
          <w:iCs/>
        </w:rPr>
        <w:t xml:space="preserve">Confirmed </w:t>
      </w:r>
      <w:r w:rsidRPr="00B04B9A">
        <w:t>– A case that does not meet clinical criteria or has no report of clinical criteria, and does not have test conversion within 12 months or has no report of test conversion, and has a positive HCV NAT or HCV antigen test.</w:t>
      </w:r>
    </w:p>
    <w:p w14:paraId="340B56D8" w14:textId="30FBB385" w:rsidR="5FAF9228" w:rsidRPr="00B04B9A" w:rsidRDefault="008203AA" w:rsidP="76F421E0">
      <w:pPr>
        <w:spacing w:after="120"/>
        <w:rPr>
          <w:b/>
          <w:bCs/>
          <w:color w:val="2F5496" w:themeColor="accent1" w:themeShade="BF"/>
          <w:szCs w:val="24"/>
        </w:rPr>
      </w:pPr>
      <w:r>
        <w:rPr>
          <w:b/>
          <w:bCs/>
          <w:color w:val="2F5496" w:themeColor="accent1" w:themeShade="BF"/>
          <w:szCs w:val="24"/>
        </w:rPr>
        <w:t>HCV</w:t>
      </w:r>
      <w:r w:rsidR="5FAF9228" w:rsidRPr="00B04B9A">
        <w:rPr>
          <w:b/>
          <w:bCs/>
          <w:color w:val="2F5496" w:themeColor="accent1" w:themeShade="BF"/>
          <w:szCs w:val="24"/>
        </w:rPr>
        <w:t>, Acute (2020)</w:t>
      </w:r>
    </w:p>
    <w:p w14:paraId="4C9634EC" w14:textId="5A10A3A1" w:rsidR="5FAF9228" w:rsidRPr="00F345D5" w:rsidRDefault="5FAF9228" w:rsidP="00F345D5">
      <w:pPr>
        <w:rPr>
          <w:rFonts w:ascii="Calibri" w:eastAsia="Calibri" w:hAnsi="Calibri" w:cs="Calibri"/>
          <w:b/>
          <w:bCs/>
          <w:i/>
          <w:iCs/>
          <w:szCs w:val="24"/>
        </w:rPr>
      </w:pPr>
      <w:r w:rsidRPr="00F345D5">
        <w:rPr>
          <w:b/>
          <w:bCs/>
        </w:rPr>
        <w:t>Clinical Criteria</w:t>
      </w:r>
    </w:p>
    <w:p w14:paraId="0E22206B" w14:textId="51992307" w:rsidR="38A4F72D" w:rsidRDefault="38A4F72D" w:rsidP="38A4F72D">
      <w:pPr>
        <w:rPr>
          <w:rFonts w:ascii="Calibri" w:eastAsia="Calibri" w:hAnsi="Calibri" w:cs="Calibri"/>
        </w:rPr>
      </w:pPr>
    </w:p>
    <w:p w14:paraId="1DAF15DE" w14:textId="4862379E" w:rsidR="5FAF9228" w:rsidRPr="00B04B9A" w:rsidRDefault="5FAF9228" w:rsidP="76F421E0">
      <w:pPr>
        <w:rPr>
          <w:rFonts w:ascii="Calibri" w:eastAsia="Calibri" w:hAnsi="Calibri" w:cs="Calibri"/>
          <w:szCs w:val="24"/>
        </w:rPr>
      </w:pPr>
      <w:r w:rsidRPr="00B04B9A">
        <w:rPr>
          <w:rFonts w:ascii="Calibri" w:eastAsia="Calibri" w:hAnsi="Calibri" w:cs="Calibri"/>
          <w:szCs w:val="24"/>
        </w:rPr>
        <w:t xml:space="preserve">All </w:t>
      </w:r>
      <w:r w:rsidR="008203AA">
        <w:rPr>
          <w:rFonts w:ascii="Calibri" w:eastAsia="Calibri" w:hAnsi="Calibri" w:cs="Calibri"/>
          <w:szCs w:val="24"/>
        </w:rPr>
        <w:t>HCV</w:t>
      </w:r>
      <w:r w:rsidRPr="00B04B9A">
        <w:rPr>
          <w:rFonts w:ascii="Calibri" w:eastAsia="Calibri" w:hAnsi="Calibri" w:cs="Calibri"/>
          <w:szCs w:val="24"/>
        </w:rPr>
        <w:t xml:space="preserve"> virus cases in each classification category should be &gt; 36 months of age, unless known to have been exposed non-perinatally.</w:t>
      </w:r>
    </w:p>
    <w:p w14:paraId="4CB0B4E4" w14:textId="020ABE99" w:rsidR="5FAF9228" w:rsidRPr="00B04B9A" w:rsidRDefault="5FAF9228" w:rsidP="76F421E0">
      <w:pPr>
        <w:rPr>
          <w:rFonts w:ascii="Calibri" w:eastAsia="Calibri" w:hAnsi="Calibri" w:cs="Calibri"/>
          <w:szCs w:val="24"/>
        </w:rPr>
      </w:pPr>
      <w:r w:rsidRPr="00B04B9A">
        <w:rPr>
          <w:rFonts w:ascii="Calibri" w:eastAsia="Calibri" w:hAnsi="Calibri" w:cs="Calibri"/>
          <w:szCs w:val="24"/>
        </w:rPr>
        <w:t>One or more of the following:</w:t>
      </w:r>
    </w:p>
    <w:p w14:paraId="03F18083" w14:textId="0336F86D"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Jaundice, </w:t>
      </w:r>
      <w:r w:rsidRPr="00B04B9A">
        <w:rPr>
          <w:rFonts w:ascii="Calibri" w:eastAsia="Calibri" w:hAnsi="Calibri" w:cs="Calibri"/>
          <w:b/>
          <w:bCs/>
          <w:szCs w:val="24"/>
        </w:rPr>
        <w:t>OR</w:t>
      </w:r>
    </w:p>
    <w:p w14:paraId="36151DFA" w14:textId="1CF2A792"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Peak elevated total bilirubin levels ≥ 3.0 mg/dL, </w:t>
      </w:r>
      <w:r w:rsidRPr="00B04B9A">
        <w:rPr>
          <w:rFonts w:ascii="Calibri" w:eastAsia="Calibri" w:hAnsi="Calibri" w:cs="Calibri"/>
          <w:b/>
          <w:bCs/>
          <w:szCs w:val="24"/>
        </w:rPr>
        <w:t>OR</w:t>
      </w:r>
    </w:p>
    <w:p w14:paraId="3DE7BA8D" w14:textId="444D2B13"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Peak elevated serum </w:t>
      </w:r>
      <w:r w:rsidR="00DB0813" w:rsidRPr="00B04B9A">
        <w:rPr>
          <w:rFonts w:ascii="Calibri" w:eastAsia="Calibri" w:hAnsi="Calibri" w:cs="Calibri"/>
          <w:szCs w:val="24"/>
        </w:rPr>
        <w:t>ALT</w:t>
      </w:r>
      <w:r w:rsidRPr="00B04B9A">
        <w:rPr>
          <w:rFonts w:ascii="Calibri" w:eastAsia="Calibri" w:hAnsi="Calibri" w:cs="Calibri"/>
          <w:szCs w:val="24"/>
        </w:rPr>
        <w:t xml:space="preserve"> levels &gt;200 IU/L,</w:t>
      </w:r>
    </w:p>
    <w:p w14:paraId="52F710EF" w14:textId="1BB6B91E" w:rsidR="5FAF9228" w:rsidRPr="00B04B9A" w:rsidRDefault="40D5C5B5" w:rsidP="008F66D0">
      <w:pPr>
        <w:rPr>
          <w:rFonts w:ascii="Calibri" w:eastAsia="Calibri" w:hAnsi="Calibri" w:cs="Calibri"/>
          <w:b/>
          <w:bCs/>
          <w:szCs w:val="24"/>
        </w:rPr>
      </w:pPr>
      <w:r w:rsidRPr="00B04B9A">
        <w:rPr>
          <w:rFonts w:ascii="Calibri" w:eastAsia="Calibri" w:hAnsi="Calibri" w:cs="Calibri"/>
          <w:b/>
          <w:bCs/>
        </w:rPr>
        <w:t>AND</w:t>
      </w:r>
    </w:p>
    <w:p w14:paraId="6AD5CD6E" w14:textId="25E88BF1" w:rsidR="5FAF9228" w:rsidRPr="00B04B9A" w:rsidRDefault="5FAF9228" w:rsidP="76F421E0">
      <w:pPr>
        <w:rPr>
          <w:rFonts w:ascii="Calibri" w:eastAsia="Calibri" w:hAnsi="Calibri" w:cs="Calibri"/>
          <w:szCs w:val="24"/>
        </w:rPr>
      </w:pPr>
      <w:r w:rsidRPr="38A4F72D">
        <w:rPr>
          <w:rFonts w:ascii="Calibri" w:eastAsia="Calibri" w:hAnsi="Calibri" w:cs="Calibri"/>
        </w:rPr>
        <w:t xml:space="preserve">The absence of a more likely diagnosis (which may include evidence of acute liver disease due to other causes or advanced liver disease due to pre-existing chronic </w:t>
      </w:r>
      <w:r w:rsidR="008203AA">
        <w:rPr>
          <w:rFonts w:ascii="Calibri" w:eastAsia="Calibri" w:hAnsi="Calibri" w:cs="Calibri"/>
        </w:rPr>
        <w:t>HCV</w:t>
      </w:r>
      <w:r w:rsidRPr="38A4F72D">
        <w:rPr>
          <w:rFonts w:ascii="Calibri" w:eastAsia="Calibri" w:hAnsi="Calibri" w:cs="Calibri"/>
        </w:rPr>
        <w:t xml:space="preserve"> virus (HCV) infection or other causes, such as alcohol exposure, other viral hepatitis, hemochromatosis, etc.)</w:t>
      </w:r>
    </w:p>
    <w:p w14:paraId="07972F75" w14:textId="36628BDE" w:rsidR="38A4F72D" w:rsidRDefault="38A4F72D" w:rsidP="38A4F72D">
      <w:pPr>
        <w:pStyle w:val="Heading2"/>
        <w:rPr>
          <w:rFonts w:ascii="Calibri" w:eastAsia="Calibri" w:hAnsi="Calibri" w:cs="Calibri"/>
          <w:color w:val="auto"/>
          <w:sz w:val="24"/>
          <w:szCs w:val="24"/>
        </w:rPr>
      </w:pPr>
    </w:p>
    <w:p w14:paraId="0BB9EEA3" w14:textId="42F5B1BF" w:rsidR="5FAF9228" w:rsidRPr="00F345D5" w:rsidRDefault="5FAF9228" w:rsidP="00F345D5">
      <w:pPr>
        <w:rPr>
          <w:rFonts w:ascii="Calibri" w:eastAsia="Calibri" w:hAnsi="Calibri" w:cs="Calibri"/>
          <w:b/>
          <w:bCs/>
          <w:szCs w:val="24"/>
        </w:rPr>
      </w:pPr>
      <w:r w:rsidRPr="00F345D5">
        <w:rPr>
          <w:b/>
          <w:bCs/>
        </w:rPr>
        <w:t>Laboratory Criteria</w:t>
      </w:r>
    </w:p>
    <w:p w14:paraId="382EE95D" w14:textId="4E3FEE82" w:rsidR="38A4F72D" w:rsidRDefault="38A4F72D" w:rsidP="38A4F72D">
      <w:pPr>
        <w:rPr>
          <w:rFonts w:ascii="Calibri" w:eastAsia="Calibri" w:hAnsi="Calibri" w:cs="Calibri"/>
          <w:i/>
          <w:iCs/>
        </w:rPr>
      </w:pPr>
    </w:p>
    <w:p w14:paraId="1C2A8BF1" w14:textId="27221C4D" w:rsidR="5FAF9228" w:rsidRPr="00B04B9A" w:rsidRDefault="5FAF9228" w:rsidP="76F421E0">
      <w:pPr>
        <w:rPr>
          <w:rFonts w:ascii="Calibri" w:eastAsia="Calibri" w:hAnsi="Calibri" w:cs="Calibri"/>
          <w:i/>
          <w:iCs/>
          <w:szCs w:val="24"/>
        </w:rPr>
      </w:pPr>
      <w:r w:rsidRPr="00B04B9A">
        <w:rPr>
          <w:rFonts w:ascii="Calibri" w:eastAsia="Calibri" w:hAnsi="Calibri" w:cs="Calibri"/>
          <w:i/>
          <w:iCs/>
          <w:szCs w:val="24"/>
        </w:rPr>
        <w:t>Confirmatory laboratory evidence:</w:t>
      </w:r>
    </w:p>
    <w:p w14:paraId="2CD68FDC" w14:textId="43F4F1A5"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Positive </w:t>
      </w:r>
      <w:r w:rsidR="008203AA">
        <w:rPr>
          <w:rFonts w:ascii="Calibri" w:eastAsia="Calibri" w:hAnsi="Calibri" w:cs="Calibri"/>
          <w:szCs w:val="24"/>
        </w:rPr>
        <w:t>HCV</w:t>
      </w:r>
      <w:r w:rsidRPr="00B04B9A">
        <w:rPr>
          <w:rFonts w:ascii="Calibri" w:eastAsia="Calibri" w:hAnsi="Calibri" w:cs="Calibri"/>
          <w:szCs w:val="24"/>
        </w:rPr>
        <w:t xml:space="preserve"> virus detection test: </w:t>
      </w:r>
      <w:r w:rsidR="00DB0813" w:rsidRPr="00B04B9A">
        <w:rPr>
          <w:rFonts w:ascii="Calibri" w:eastAsia="Calibri" w:hAnsi="Calibri" w:cs="Calibri"/>
          <w:szCs w:val="24"/>
        </w:rPr>
        <w:t>NAT</w:t>
      </w:r>
      <w:r w:rsidRPr="00B04B9A">
        <w:rPr>
          <w:rFonts w:ascii="Calibri" w:eastAsia="Calibri" w:hAnsi="Calibri" w:cs="Calibri"/>
          <w:szCs w:val="24"/>
        </w:rPr>
        <w:t xml:space="preserve"> for HCV RNA positive (including qualitative, quantitative, or genotype testing), </w:t>
      </w:r>
      <w:r w:rsidRPr="00B04B9A">
        <w:rPr>
          <w:rFonts w:ascii="Calibri" w:eastAsia="Calibri" w:hAnsi="Calibri" w:cs="Calibri"/>
          <w:b/>
          <w:bCs/>
          <w:szCs w:val="24"/>
        </w:rPr>
        <w:t>OR</w:t>
      </w:r>
    </w:p>
    <w:p w14:paraId="20E536BC" w14:textId="08F60BF5"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A positive test indicating presence of </w:t>
      </w:r>
      <w:r w:rsidR="008203AA">
        <w:rPr>
          <w:rFonts w:ascii="Calibri" w:eastAsia="Calibri" w:hAnsi="Calibri" w:cs="Calibri"/>
          <w:szCs w:val="24"/>
        </w:rPr>
        <w:t>HCV</w:t>
      </w:r>
      <w:r w:rsidRPr="00B04B9A">
        <w:rPr>
          <w:rFonts w:ascii="Calibri" w:eastAsia="Calibri" w:hAnsi="Calibri" w:cs="Calibri"/>
          <w:szCs w:val="24"/>
        </w:rPr>
        <w:t xml:space="preserve"> viral antigen(s) (HCV antigen)</w:t>
      </w:r>
    </w:p>
    <w:p w14:paraId="78C192F4" w14:textId="488FC458" w:rsidR="5FAF9228" w:rsidRPr="00B04B9A" w:rsidRDefault="40D5C5B5" w:rsidP="008F66D0">
      <w:pPr>
        <w:rPr>
          <w:rFonts w:ascii="Calibri" w:eastAsia="Calibri" w:hAnsi="Calibri" w:cs="Calibri"/>
          <w:i/>
          <w:iCs/>
          <w:szCs w:val="24"/>
        </w:rPr>
      </w:pPr>
      <w:r w:rsidRPr="00B04B9A">
        <w:rPr>
          <w:rFonts w:ascii="Calibri" w:eastAsia="Calibri" w:hAnsi="Calibri" w:cs="Calibri"/>
          <w:i/>
          <w:iCs/>
        </w:rPr>
        <w:t>Presumptive laboratory evidence:</w:t>
      </w:r>
    </w:p>
    <w:p w14:paraId="1236705E" w14:textId="35A3AACA" w:rsidR="5FAF9228" w:rsidRPr="00B04B9A" w:rsidRDefault="5FAF9228" w:rsidP="008F66D0">
      <w:pPr>
        <w:pStyle w:val="ListParagraph"/>
        <w:numPr>
          <w:ilvl w:val="0"/>
          <w:numId w:val="1"/>
        </w:numPr>
        <w:rPr>
          <w:rFonts w:eastAsiaTheme="minorEastAsia"/>
          <w:szCs w:val="24"/>
        </w:rPr>
      </w:pPr>
      <w:r w:rsidRPr="38A4F72D">
        <w:rPr>
          <w:rFonts w:ascii="Calibri" w:eastAsia="Calibri" w:hAnsi="Calibri" w:cs="Calibri"/>
        </w:rPr>
        <w:t xml:space="preserve">A positive test for antibodies to </w:t>
      </w:r>
      <w:r w:rsidR="008203AA">
        <w:rPr>
          <w:rFonts w:ascii="Calibri" w:eastAsia="Calibri" w:hAnsi="Calibri" w:cs="Calibri"/>
        </w:rPr>
        <w:t>HCV</w:t>
      </w:r>
      <w:r w:rsidRPr="38A4F72D">
        <w:rPr>
          <w:rFonts w:ascii="Calibri" w:eastAsia="Calibri" w:hAnsi="Calibri" w:cs="Calibri"/>
        </w:rPr>
        <w:t xml:space="preserve"> virus (anti-HCV)</w:t>
      </w:r>
    </w:p>
    <w:p w14:paraId="70BE282B" w14:textId="0C408443" w:rsidR="38A4F72D" w:rsidRDefault="38A4F72D" w:rsidP="38A4F72D">
      <w:pPr>
        <w:pStyle w:val="Heading2"/>
        <w:rPr>
          <w:rFonts w:ascii="Calibri" w:eastAsia="Calibri" w:hAnsi="Calibri" w:cs="Calibri"/>
          <w:color w:val="auto"/>
          <w:sz w:val="24"/>
          <w:szCs w:val="24"/>
        </w:rPr>
      </w:pPr>
    </w:p>
    <w:p w14:paraId="1528F37D" w14:textId="16BCABCB" w:rsidR="5FAF9228" w:rsidRPr="00B04B9A" w:rsidRDefault="40D5C5B5" w:rsidP="00F345D5">
      <w:pPr>
        <w:rPr>
          <w:rFonts w:ascii="Calibri" w:eastAsia="Calibri" w:hAnsi="Calibri" w:cs="Calibri"/>
          <w:bCs/>
          <w:szCs w:val="24"/>
        </w:rPr>
      </w:pPr>
      <w:r w:rsidRPr="00F345D5">
        <w:rPr>
          <w:b/>
          <w:bCs/>
        </w:rPr>
        <w:t>Epidemiologic Linkage</w:t>
      </w:r>
    </w:p>
    <w:p w14:paraId="14B76D65" w14:textId="1BE10898" w:rsidR="38A4F72D" w:rsidRPr="00F345D5" w:rsidRDefault="38A4F72D" w:rsidP="38A4F72D">
      <w:pPr>
        <w:rPr>
          <w:b/>
          <w:bCs/>
        </w:rPr>
      </w:pPr>
    </w:p>
    <w:p w14:paraId="0BCBB61E" w14:textId="5364176E" w:rsidR="5FAF9228" w:rsidRPr="00B04B9A" w:rsidRDefault="5FAF9228" w:rsidP="76F421E0">
      <w:pPr>
        <w:rPr>
          <w:rFonts w:ascii="Calibri" w:eastAsia="Calibri" w:hAnsi="Calibri" w:cs="Calibri"/>
          <w:szCs w:val="24"/>
        </w:rPr>
      </w:pPr>
      <w:r w:rsidRPr="38A4F72D">
        <w:rPr>
          <w:rFonts w:ascii="Calibri" w:eastAsia="Calibri" w:hAnsi="Calibri" w:cs="Calibri"/>
        </w:rPr>
        <w:t>No epidemiologic linkage is required for case classification.</w:t>
      </w:r>
    </w:p>
    <w:p w14:paraId="608F1401" w14:textId="3BB72B56" w:rsidR="38A4F72D" w:rsidRDefault="38A4F72D" w:rsidP="38A4F72D">
      <w:pPr>
        <w:pStyle w:val="Heading2"/>
        <w:rPr>
          <w:rFonts w:ascii="Calibri" w:eastAsia="Calibri" w:hAnsi="Calibri" w:cs="Calibri"/>
          <w:color w:val="auto"/>
          <w:sz w:val="24"/>
          <w:szCs w:val="24"/>
        </w:rPr>
      </w:pPr>
    </w:p>
    <w:p w14:paraId="2F4A3773" w14:textId="4572BD7C" w:rsidR="5FAF9228" w:rsidRPr="00F345D5" w:rsidRDefault="5FAF9228" w:rsidP="00F345D5">
      <w:pPr>
        <w:rPr>
          <w:rFonts w:ascii="Calibri" w:eastAsia="Calibri" w:hAnsi="Calibri" w:cs="Calibri"/>
          <w:b/>
          <w:bCs/>
          <w:szCs w:val="24"/>
        </w:rPr>
      </w:pPr>
      <w:r w:rsidRPr="00F345D5">
        <w:rPr>
          <w:b/>
          <w:bCs/>
        </w:rPr>
        <w:t>Criteria to Distinguish a New Case from an Existing Case</w:t>
      </w:r>
    </w:p>
    <w:p w14:paraId="2CFB29A5" w14:textId="71071A82" w:rsidR="38A4F72D" w:rsidRDefault="38A4F72D" w:rsidP="38A4F72D">
      <w:pPr>
        <w:rPr>
          <w:rFonts w:ascii="Calibri" w:eastAsia="Calibri" w:hAnsi="Calibri" w:cs="Calibri"/>
        </w:rPr>
      </w:pPr>
    </w:p>
    <w:p w14:paraId="00C6BF43" w14:textId="257C3A7D" w:rsidR="5FAF9228" w:rsidRPr="00B04B9A" w:rsidRDefault="5FAF9228" w:rsidP="76F421E0">
      <w:pPr>
        <w:rPr>
          <w:rFonts w:ascii="Calibri" w:eastAsia="Calibri" w:hAnsi="Calibri" w:cs="Calibri"/>
          <w:szCs w:val="24"/>
        </w:rPr>
      </w:pPr>
      <w:r w:rsidRPr="00B04B9A">
        <w:rPr>
          <w:rFonts w:ascii="Calibri" w:eastAsia="Calibri" w:hAnsi="Calibri" w:cs="Calibri"/>
          <w:szCs w:val="24"/>
        </w:rPr>
        <w:t xml:space="preserve">A new acute case is an incident case that is over the age of 36 months and has not previously been reported meeting case criteria for chronic </w:t>
      </w:r>
      <w:r w:rsidR="008203AA">
        <w:rPr>
          <w:rFonts w:ascii="Calibri" w:eastAsia="Calibri" w:hAnsi="Calibri" w:cs="Calibri"/>
          <w:szCs w:val="24"/>
        </w:rPr>
        <w:t>HCV</w:t>
      </w:r>
      <w:r w:rsidRPr="00B04B9A">
        <w:rPr>
          <w:rFonts w:ascii="Calibri" w:eastAsia="Calibri" w:hAnsi="Calibri" w:cs="Calibri"/>
          <w:szCs w:val="24"/>
        </w:rPr>
        <w:t xml:space="preserve"> or for whom there is laboratory evidence of re-infection. Cases under the age of 36 months should be classified under the Perinatal HCV Position Statement (17-ID-08) unless the exposure mode is not perinatal (e.g., healthcare acquired).</w:t>
      </w:r>
    </w:p>
    <w:p w14:paraId="5D367058" w14:textId="74C04C5F" w:rsidR="5FAF9228" w:rsidRPr="00B04B9A" w:rsidRDefault="5FAF9228" w:rsidP="388E5C6E">
      <w:pPr>
        <w:rPr>
          <w:rFonts w:ascii="Calibri" w:eastAsia="Calibri" w:hAnsi="Calibri" w:cs="Calibri"/>
        </w:rPr>
      </w:pPr>
      <w:r w:rsidRPr="388E5C6E">
        <w:rPr>
          <w:rFonts w:ascii="Calibri" w:eastAsia="Calibri" w:hAnsi="Calibri" w:cs="Calibri"/>
        </w:rPr>
        <w:t>All jurisdictions are encouraged to track negative HCV viral detection tests to document both spontaneous clearance of infection or sustained viral response to HCV treatment. Cases that have evidence of having cleared the infection at time of initial report or are considered false positive should not be reported to CDC.</w:t>
      </w:r>
    </w:p>
    <w:p w14:paraId="10561A33" w14:textId="3EDED5C2" w:rsidR="388E5C6E" w:rsidRDefault="388E5C6E" w:rsidP="388E5C6E">
      <w:pPr>
        <w:rPr>
          <w:rFonts w:ascii="Calibri" w:eastAsia="Calibri" w:hAnsi="Calibri" w:cs="Calibri"/>
        </w:rPr>
      </w:pPr>
    </w:p>
    <w:p w14:paraId="63FE5BE8" w14:textId="7F2380E7" w:rsidR="5FAF9228" w:rsidRPr="00B04B9A" w:rsidRDefault="5FAF9228" w:rsidP="388E5C6E">
      <w:pPr>
        <w:rPr>
          <w:rFonts w:ascii="Calibri" w:eastAsia="Calibri" w:hAnsi="Calibri" w:cs="Calibri"/>
        </w:rPr>
      </w:pPr>
      <w:r w:rsidRPr="388E5C6E">
        <w:rPr>
          <w:rFonts w:ascii="Calibri" w:eastAsia="Calibri" w:hAnsi="Calibri" w:cs="Calibri"/>
        </w:rPr>
        <w:t>Acute cases determined via anti-HCV test conversion do not need to have a positive HCV viral detection test reported to be considered confirmed acute cases.</w:t>
      </w:r>
    </w:p>
    <w:p w14:paraId="5A90DAD4" w14:textId="6ED5AF18" w:rsidR="388E5C6E" w:rsidRDefault="388E5C6E" w:rsidP="388E5C6E">
      <w:pPr>
        <w:rPr>
          <w:rFonts w:ascii="Calibri" w:eastAsia="Calibri" w:hAnsi="Calibri" w:cs="Calibri"/>
        </w:rPr>
      </w:pPr>
    </w:p>
    <w:p w14:paraId="0DB38758" w14:textId="267DE559" w:rsidR="5FAF9228" w:rsidRPr="00B04B9A" w:rsidRDefault="5FAF9228" w:rsidP="76F421E0">
      <w:pPr>
        <w:rPr>
          <w:rFonts w:ascii="Calibri" w:eastAsia="Calibri" w:hAnsi="Calibri" w:cs="Calibri"/>
          <w:szCs w:val="24"/>
        </w:rPr>
      </w:pPr>
      <w:r w:rsidRPr="00B04B9A">
        <w:rPr>
          <w:rFonts w:ascii="Calibri" w:eastAsia="Calibri" w:hAnsi="Calibri" w:cs="Calibri"/>
          <w:szCs w:val="24"/>
        </w:rPr>
        <w:t>A new probable acute case may be reclassified as confirmed acute if a positive HCV viral detection test is reported in the same reporting year (e.g. prior to CDC closing reporting for the calendar year).</w:t>
      </w:r>
    </w:p>
    <w:p w14:paraId="6B264035" w14:textId="7B5BB1F9" w:rsidR="5FAF9228" w:rsidRPr="00B04B9A" w:rsidRDefault="5FAF9228" w:rsidP="388E5C6E">
      <w:pPr>
        <w:rPr>
          <w:rFonts w:ascii="Calibri" w:eastAsia="Calibri" w:hAnsi="Calibri" w:cs="Calibri"/>
        </w:rPr>
      </w:pPr>
      <w:r w:rsidRPr="388E5C6E">
        <w:rPr>
          <w:rFonts w:ascii="Calibri" w:eastAsia="Calibri" w:hAnsi="Calibri" w:cs="Calibri"/>
        </w:rPr>
        <w:t>Collection of risk history data is recommended for probable and confirmed acute HCV cases. Timing of risk history data to collect ranges from 2 weeks to 12 months prior to symptom onset or diagnosis. The time frame to employ depends on the method of classification (e.g. if a case meets clinical criteria and has a positive HCV detection test, a risk history time frame of 2 weeks to 6 months prior to onset should be used; for a case classified via anti-HCV test conversion or HCV RNA test conversion, 2 weeks to 12 months prior to onset should be considered).</w:t>
      </w:r>
    </w:p>
    <w:p w14:paraId="427AE8BA" w14:textId="1A89BFF6" w:rsidR="388E5C6E" w:rsidRDefault="388E5C6E" w:rsidP="388E5C6E">
      <w:pPr>
        <w:rPr>
          <w:rFonts w:ascii="Calibri" w:eastAsia="Calibri" w:hAnsi="Calibri" w:cs="Calibri"/>
        </w:rPr>
      </w:pPr>
    </w:p>
    <w:p w14:paraId="6F0EFE79" w14:textId="2BF17E02" w:rsidR="5FAF9228" w:rsidRPr="00B04B9A" w:rsidRDefault="5FAF9228" w:rsidP="76F421E0">
      <w:pPr>
        <w:rPr>
          <w:rFonts w:ascii="Calibri" w:eastAsia="Calibri" w:hAnsi="Calibri" w:cs="Calibri"/>
          <w:szCs w:val="24"/>
        </w:rPr>
      </w:pPr>
      <w:r w:rsidRPr="00B04B9A">
        <w:rPr>
          <w:rFonts w:ascii="Calibri" w:eastAsia="Calibri" w:hAnsi="Calibri" w:cs="Calibri"/>
          <w:szCs w:val="24"/>
        </w:rPr>
        <w:t>If evidence indicating resolution of infection is received after a confirmed acute case has been reported to CDC, the case report does not need to be modified as it was a confirmed case at the time of initial report. However, negative HCV viral detection test results received on confirmed acute case, subsequent to an initial positive result, should be appended to case reports, as feasible, and considered for the purpose of data analysis by each jurisdiction.</w:t>
      </w:r>
    </w:p>
    <w:p w14:paraId="087ECD77" w14:textId="499B33C0" w:rsidR="5FAF9228" w:rsidRPr="00B04B9A" w:rsidRDefault="5FAF9228" w:rsidP="388E5C6E">
      <w:pPr>
        <w:rPr>
          <w:rFonts w:ascii="Calibri" w:eastAsia="Calibri" w:hAnsi="Calibri" w:cs="Calibri"/>
        </w:rPr>
      </w:pPr>
      <w:r w:rsidRPr="388E5C6E">
        <w:rPr>
          <w:rFonts w:ascii="Calibri" w:eastAsia="Calibri" w:hAnsi="Calibri" w:cs="Calibri"/>
        </w:rPr>
        <w:t>For probable acute cases, the presence of a negative HCV viral detection test result, in the absence of criteria that would allow for confirmation, indicates that a case should not be classified as probable acute and should not be reported to CDC.</w:t>
      </w:r>
    </w:p>
    <w:p w14:paraId="17C1F7CB" w14:textId="26ECF674" w:rsidR="388E5C6E" w:rsidRDefault="388E5C6E" w:rsidP="388E5C6E">
      <w:pPr>
        <w:rPr>
          <w:rFonts w:ascii="Calibri" w:eastAsia="Calibri" w:hAnsi="Calibri" w:cs="Calibri"/>
        </w:rPr>
      </w:pPr>
    </w:p>
    <w:p w14:paraId="03E3C93B" w14:textId="184C7C64" w:rsidR="5FAF9228" w:rsidRPr="00B04B9A" w:rsidRDefault="5FAF9228" w:rsidP="76F421E0">
      <w:pPr>
        <w:rPr>
          <w:rFonts w:ascii="Calibri" w:eastAsia="Calibri" w:hAnsi="Calibri" w:cs="Calibri"/>
          <w:szCs w:val="24"/>
        </w:rPr>
      </w:pPr>
      <w:r w:rsidRPr="38A4F72D">
        <w:rPr>
          <w:rFonts w:ascii="Calibri" w:eastAsia="Calibri" w:hAnsi="Calibri" w:cs="Calibri"/>
        </w:rPr>
        <w:t>A confirmed acute case may be classified as a confirmed chronic case if a positive HCV viral detection test is reported one year or longer after acute case onset. A confirmed acute case may not be reported as a probable chronic case (i.e. HCV antibody positive, but with an unknown HCV viral detection test). For purposes of incidence and prevalence calculations, confirmed acute and chronic HCV cases should be counted.</w:t>
      </w:r>
    </w:p>
    <w:p w14:paraId="32A4D76A" w14:textId="48C6B0A0" w:rsidR="38A4F72D" w:rsidRDefault="38A4F72D" w:rsidP="38A4F72D">
      <w:pPr>
        <w:pStyle w:val="Heading2"/>
        <w:rPr>
          <w:rFonts w:ascii="Calibri" w:eastAsia="Calibri" w:hAnsi="Calibri" w:cs="Calibri"/>
          <w:color w:val="auto"/>
          <w:sz w:val="24"/>
          <w:szCs w:val="24"/>
        </w:rPr>
      </w:pPr>
    </w:p>
    <w:p w14:paraId="5EFDED35" w14:textId="04DFED5E" w:rsidR="5FAF9228" w:rsidRPr="00BF3DAC" w:rsidRDefault="5FAF9228" w:rsidP="00F345D5">
      <w:pPr>
        <w:rPr>
          <w:rFonts w:ascii="Calibri" w:eastAsia="Calibri" w:hAnsi="Calibri" w:cs="Calibri"/>
          <w:bCs/>
        </w:rPr>
      </w:pPr>
      <w:r w:rsidRPr="00F345D5">
        <w:rPr>
          <w:b/>
          <w:bCs/>
        </w:rPr>
        <w:t>Case Classification</w:t>
      </w:r>
    </w:p>
    <w:p w14:paraId="687335F2" w14:textId="4951C56B" w:rsidR="38A4F72D" w:rsidRDefault="38A4F72D" w:rsidP="38A4F72D">
      <w:pPr>
        <w:pStyle w:val="Heading3"/>
        <w:rPr>
          <w:rFonts w:ascii="Calibri" w:eastAsia="Calibri" w:hAnsi="Calibri" w:cs="Calibri"/>
          <w:b/>
          <w:bCs/>
          <w:color w:val="auto"/>
        </w:rPr>
      </w:pPr>
    </w:p>
    <w:p w14:paraId="68FA8864" w14:textId="57B70B1B" w:rsidR="5FAF9228" w:rsidRPr="00B04B9A" w:rsidRDefault="5FAF9228" w:rsidP="00F345D5">
      <w:pPr>
        <w:rPr>
          <w:rFonts w:ascii="Calibri" w:eastAsia="Calibri" w:hAnsi="Calibri" w:cs="Calibri"/>
          <w:b/>
          <w:bCs/>
        </w:rPr>
      </w:pPr>
      <w:r w:rsidRPr="00F345D5">
        <w:rPr>
          <w:b/>
          <w:bCs/>
        </w:rPr>
        <w:t>Probable</w:t>
      </w:r>
    </w:p>
    <w:p w14:paraId="1291D1FC" w14:textId="74EF62E7"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case that meets clinical criteria and has presumptive laboratory evidence,</w:t>
      </w:r>
      <w:r w:rsidRPr="00B04B9A">
        <w:br/>
      </w:r>
      <w:r w:rsidRPr="00B04B9A">
        <w:rPr>
          <w:rFonts w:ascii="Calibri" w:eastAsia="Calibri" w:hAnsi="Calibri" w:cs="Calibri"/>
          <w:szCs w:val="24"/>
        </w:rPr>
        <w:t>AND</w:t>
      </w:r>
    </w:p>
    <w:p w14:paraId="52E30DAD" w14:textId="0E17F5CF"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Does not have a </w:t>
      </w:r>
      <w:r w:rsidR="008203AA">
        <w:rPr>
          <w:rFonts w:ascii="Calibri" w:eastAsia="Calibri" w:hAnsi="Calibri" w:cs="Calibri"/>
          <w:szCs w:val="24"/>
        </w:rPr>
        <w:t>HCV</w:t>
      </w:r>
      <w:r w:rsidRPr="00B04B9A">
        <w:rPr>
          <w:rFonts w:ascii="Calibri" w:eastAsia="Calibri" w:hAnsi="Calibri" w:cs="Calibri"/>
          <w:szCs w:val="24"/>
        </w:rPr>
        <w:t xml:space="preserve"> virus detection test reported,</w:t>
      </w:r>
      <w:r w:rsidRPr="00B04B9A">
        <w:br/>
      </w:r>
      <w:r w:rsidRPr="00B04B9A">
        <w:rPr>
          <w:rFonts w:ascii="Calibri" w:eastAsia="Calibri" w:hAnsi="Calibri" w:cs="Calibri"/>
          <w:szCs w:val="24"/>
        </w:rPr>
        <w:t>AND</w:t>
      </w:r>
    </w:p>
    <w:p w14:paraId="6A7C88B9" w14:textId="147494DF"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Has no documentation of anti-HCV or HCV RNA test conversion within 12 months,</w:t>
      </w:r>
    </w:p>
    <w:p w14:paraId="19C1D0FA" w14:textId="174B53CC" w:rsidR="5FAF9228" w:rsidRPr="00B04B9A" w:rsidRDefault="40D5C5B5" w:rsidP="00F345D5">
      <w:pPr>
        <w:rPr>
          <w:rFonts w:ascii="Calibri" w:eastAsia="Calibri" w:hAnsi="Calibri" w:cs="Calibri"/>
          <w:b/>
          <w:bCs/>
        </w:rPr>
      </w:pPr>
      <w:r w:rsidRPr="00F345D5">
        <w:rPr>
          <w:b/>
          <w:bCs/>
        </w:rPr>
        <w:t>Confirmed</w:t>
      </w:r>
    </w:p>
    <w:p w14:paraId="35315CA1" w14:textId="143F8A70"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case that meets clinical criteria and has confirmatory laboratory evidence,</w:t>
      </w:r>
      <w:r w:rsidRPr="00B04B9A">
        <w:br/>
      </w:r>
      <w:r w:rsidRPr="00B04B9A">
        <w:rPr>
          <w:rFonts w:ascii="Calibri" w:eastAsia="Calibri" w:hAnsi="Calibri" w:cs="Calibri"/>
          <w:szCs w:val="24"/>
        </w:rPr>
        <w:t>OR</w:t>
      </w:r>
    </w:p>
    <w:p w14:paraId="512AA960" w14:textId="561A2CA9"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A documented negative HCV antibody followed within 12 months by a positive HCV antibody test (anti-HCV test conversion) in the absence of a more likely diagnosis,</w:t>
      </w:r>
      <w:r w:rsidRPr="00B04B9A">
        <w:br/>
      </w:r>
      <w:r w:rsidRPr="00B04B9A">
        <w:rPr>
          <w:rFonts w:ascii="Calibri" w:eastAsia="Calibri" w:hAnsi="Calibri" w:cs="Calibri"/>
          <w:szCs w:val="24"/>
        </w:rPr>
        <w:t>OR</w:t>
      </w:r>
    </w:p>
    <w:p w14:paraId="1518B1F5" w14:textId="7E4D51C4" w:rsidR="5FAF9228" w:rsidRPr="00B04B9A" w:rsidRDefault="5FAF9228" w:rsidP="008F66D0">
      <w:pPr>
        <w:pStyle w:val="ListParagraph"/>
        <w:numPr>
          <w:ilvl w:val="0"/>
          <w:numId w:val="1"/>
        </w:numPr>
        <w:rPr>
          <w:rFonts w:eastAsiaTheme="minorEastAsia"/>
          <w:szCs w:val="24"/>
        </w:rPr>
      </w:pPr>
      <w:r w:rsidRPr="00B04B9A">
        <w:rPr>
          <w:rFonts w:ascii="Calibri" w:eastAsia="Calibri" w:hAnsi="Calibri" w:cs="Calibri"/>
          <w:szCs w:val="24"/>
        </w:rPr>
        <w:t xml:space="preserve">A documented negative HCV antibody </w:t>
      </w:r>
      <w:r w:rsidRPr="00B04B9A">
        <w:rPr>
          <w:rFonts w:ascii="Calibri" w:eastAsia="Calibri" w:hAnsi="Calibri" w:cs="Calibri"/>
          <w:b/>
          <w:bCs/>
          <w:szCs w:val="24"/>
        </w:rPr>
        <w:t>OR</w:t>
      </w:r>
      <w:r w:rsidRPr="00B04B9A">
        <w:rPr>
          <w:rFonts w:ascii="Calibri" w:eastAsia="Calibri" w:hAnsi="Calibri" w:cs="Calibri"/>
          <w:szCs w:val="24"/>
        </w:rPr>
        <w:t xml:space="preserve"> negative </w:t>
      </w:r>
      <w:r w:rsidR="008203AA">
        <w:rPr>
          <w:rFonts w:ascii="Calibri" w:eastAsia="Calibri" w:hAnsi="Calibri" w:cs="Calibri"/>
          <w:szCs w:val="24"/>
        </w:rPr>
        <w:t>HCV</w:t>
      </w:r>
      <w:r w:rsidRPr="00B04B9A">
        <w:rPr>
          <w:rFonts w:ascii="Calibri" w:eastAsia="Calibri" w:hAnsi="Calibri" w:cs="Calibri"/>
          <w:szCs w:val="24"/>
        </w:rPr>
        <w:t xml:space="preserve"> virus detection test (in someone without a prior diagnosis of HCV infection) followed within 12 months by a positive </w:t>
      </w:r>
      <w:r w:rsidR="008203AA">
        <w:rPr>
          <w:rFonts w:ascii="Calibri" w:eastAsia="Calibri" w:hAnsi="Calibri" w:cs="Calibri"/>
          <w:szCs w:val="24"/>
        </w:rPr>
        <w:t>HCV</w:t>
      </w:r>
      <w:r w:rsidRPr="00B04B9A">
        <w:rPr>
          <w:rFonts w:ascii="Calibri" w:eastAsia="Calibri" w:hAnsi="Calibri" w:cs="Calibri"/>
          <w:szCs w:val="24"/>
        </w:rPr>
        <w:t xml:space="preserve"> virus detection test (HCV RNA test conversion) in the absence of a more likely diagnosis</w:t>
      </w:r>
      <w:r w:rsidR="24DB0B1E" w:rsidRPr="00B04B9A">
        <w:rPr>
          <w:rFonts w:ascii="Calibri" w:eastAsia="Calibri" w:hAnsi="Calibri" w:cs="Calibri"/>
          <w:szCs w:val="24"/>
        </w:rPr>
        <w:t>.</w:t>
      </w:r>
    </w:p>
    <w:p w14:paraId="2FE3704E" w14:textId="494535F6" w:rsidR="76F421E0" w:rsidRPr="00991A6F" w:rsidRDefault="76F421E0" w:rsidP="76F421E0">
      <w:pPr>
        <w:rPr>
          <w:rFonts w:ascii="Arial Narrow" w:eastAsia="Arial Narrow" w:hAnsi="Arial Narrow" w:cs="Arial Narrow"/>
          <w:b/>
          <w:bCs/>
          <w:color w:val="FF0000"/>
          <w:szCs w:val="24"/>
        </w:rPr>
      </w:pPr>
    </w:p>
    <w:p w14:paraId="14A7B945" w14:textId="66C3D782" w:rsidR="24DB0B1E" w:rsidRPr="00991A6F" w:rsidRDefault="008203AA" w:rsidP="76F421E0">
      <w:pPr>
        <w:rPr>
          <w:rFonts w:cstheme="minorHAnsi"/>
          <w:color w:val="FF0000"/>
        </w:rPr>
      </w:pPr>
      <w:r>
        <w:rPr>
          <w:rFonts w:eastAsia="Arial Narrow" w:cstheme="minorHAnsi"/>
          <w:b/>
          <w:bCs/>
          <w:color w:val="2F5496" w:themeColor="accent1" w:themeShade="BF"/>
          <w:szCs w:val="24"/>
        </w:rPr>
        <w:t>HCV</w:t>
      </w:r>
      <w:r w:rsidR="24DB0B1E" w:rsidRPr="00B04B9A">
        <w:rPr>
          <w:rFonts w:eastAsia="Arial Narrow" w:cstheme="minorHAnsi"/>
          <w:b/>
          <w:bCs/>
          <w:color w:val="2F5496" w:themeColor="accent1" w:themeShade="BF"/>
          <w:szCs w:val="24"/>
        </w:rPr>
        <w:t>, Chronic (2020)</w:t>
      </w:r>
    </w:p>
    <w:p w14:paraId="3B90848F" w14:textId="6E9BABE0" w:rsidR="24DB0B1E" w:rsidRPr="00B04B9A" w:rsidRDefault="24DB0B1E" w:rsidP="76F421E0">
      <w:pPr>
        <w:rPr>
          <w:rFonts w:ascii="Calibri" w:eastAsia="Calibri" w:hAnsi="Calibri" w:cs="Calibri"/>
          <w:szCs w:val="24"/>
        </w:rPr>
      </w:pPr>
      <w:r w:rsidRPr="00B04B9A">
        <w:rPr>
          <w:rFonts w:ascii="Calibri" w:eastAsia="Calibri" w:hAnsi="Calibri" w:cs="Calibri"/>
          <w:i/>
          <w:iCs/>
          <w:szCs w:val="24"/>
        </w:rPr>
        <w:t xml:space="preserve">Clinical Criteria - </w:t>
      </w:r>
      <w:r w:rsidRPr="00B04B9A">
        <w:rPr>
          <w:rFonts w:ascii="Calibri" w:eastAsia="Calibri" w:hAnsi="Calibri" w:cs="Calibri"/>
          <w:szCs w:val="24"/>
        </w:rPr>
        <w:t xml:space="preserve">All </w:t>
      </w:r>
      <w:r w:rsidR="008203AA">
        <w:rPr>
          <w:rFonts w:ascii="Calibri" w:eastAsia="Calibri" w:hAnsi="Calibri" w:cs="Calibri"/>
          <w:szCs w:val="24"/>
        </w:rPr>
        <w:t>HCV</w:t>
      </w:r>
      <w:r w:rsidRPr="00B04B9A">
        <w:rPr>
          <w:rFonts w:ascii="Calibri" w:eastAsia="Calibri" w:hAnsi="Calibri" w:cs="Calibri"/>
          <w:szCs w:val="24"/>
        </w:rPr>
        <w:t xml:space="preserve"> virus cases in each classification category should be &gt; 36 months of age, unless known to have been exposed non-perinatally.</w:t>
      </w:r>
    </w:p>
    <w:p w14:paraId="3D2F7335" w14:textId="5CC6FF6D" w:rsidR="24DB0B1E" w:rsidRPr="00B04B9A" w:rsidRDefault="24DB0B1E" w:rsidP="76F421E0">
      <w:pPr>
        <w:rPr>
          <w:rFonts w:ascii="Calibri" w:eastAsia="Calibri" w:hAnsi="Calibri" w:cs="Calibri"/>
          <w:szCs w:val="24"/>
        </w:rPr>
      </w:pPr>
      <w:r w:rsidRPr="00B04B9A">
        <w:rPr>
          <w:rFonts w:ascii="Calibri" w:eastAsia="Calibri" w:hAnsi="Calibri" w:cs="Calibri"/>
          <w:szCs w:val="24"/>
        </w:rPr>
        <w:t>One or more of the following:</w:t>
      </w:r>
    </w:p>
    <w:p w14:paraId="27B59D97" w14:textId="7FD595FB"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•Jaundice, </w:t>
      </w:r>
      <w:r w:rsidRPr="00B04B9A">
        <w:rPr>
          <w:rFonts w:ascii="Calibri" w:eastAsia="Calibri" w:hAnsi="Calibri" w:cs="Calibri"/>
          <w:b/>
          <w:bCs/>
          <w:szCs w:val="24"/>
        </w:rPr>
        <w:t>OR</w:t>
      </w:r>
    </w:p>
    <w:p w14:paraId="4F72CCDD" w14:textId="1E0847DE"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•Peak elevated total bilirubin levels ≥ 3.0 mg/dL, </w:t>
      </w:r>
      <w:r w:rsidRPr="00B04B9A">
        <w:rPr>
          <w:rFonts w:ascii="Calibri" w:eastAsia="Calibri" w:hAnsi="Calibri" w:cs="Calibri"/>
          <w:b/>
          <w:bCs/>
          <w:szCs w:val="24"/>
        </w:rPr>
        <w:t>OR</w:t>
      </w:r>
    </w:p>
    <w:p w14:paraId="10363B20" w14:textId="714B86F4"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 xml:space="preserve">•Peak elevated serum </w:t>
      </w:r>
      <w:r w:rsidR="00DB0813" w:rsidRPr="00B04B9A">
        <w:rPr>
          <w:rFonts w:ascii="Calibri" w:eastAsia="Calibri" w:hAnsi="Calibri" w:cs="Calibri"/>
          <w:szCs w:val="24"/>
        </w:rPr>
        <w:t>ALT</w:t>
      </w:r>
      <w:r w:rsidRPr="00B04B9A">
        <w:rPr>
          <w:rFonts w:ascii="Calibri" w:eastAsia="Calibri" w:hAnsi="Calibri" w:cs="Calibri"/>
          <w:szCs w:val="24"/>
        </w:rPr>
        <w:t xml:space="preserve"> levels &gt;200 IU/L,</w:t>
      </w:r>
    </w:p>
    <w:p w14:paraId="6774D244" w14:textId="121B9326"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AND</w:t>
      </w:r>
    </w:p>
    <w:p w14:paraId="5BB5C104" w14:textId="7412C981" w:rsidR="24DB0B1E" w:rsidRPr="00B04B9A" w:rsidRDefault="24DB0B1E" w:rsidP="76F421E0">
      <w:pPr>
        <w:rPr>
          <w:rFonts w:ascii="Calibri" w:eastAsia="Calibri" w:hAnsi="Calibri" w:cs="Calibri"/>
          <w:szCs w:val="24"/>
        </w:rPr>
      </w:pPr>
      <w:r w:rsidRPr="00B04B9A">
        <w:rPr>
          <w:rFonts w:ascii="Calibri" w:eastAsia="Calibri" w:hAnsi="Calibri" w:cs="Calibri"/>
          <w:szCs w:val="24"/>
        </w:rPr>
        <w:t xml:space="preserve">The absence of a more likely diagnosis (which may include evidence of acute liver disease due to other causes or advanced liver disease due to pre-existing chronic </w:t>
      </w:r>
      <w:r w:rsidR="008203AA">
        <w:rPr>
          <w:rFonts w:ascii="Calibri" w:eastAsia="Calibri" w:hAnsi="Calibri" w:cs="Calibri"/>
          <w:szCs w:val="24"/>
        </w:rPr>
        <w:t>HCV</w:t>
      </w:r>
      <w:r w:rsidRPr="00B04B9A">
        <w:rPr>
          <w:rFonts w:ascii="Calibri" w:eastAsia="Calibri" w:hAnsi="Calibri" w:cs="Calibri"/>
          <w:szCs w:val="24"/>
        </w:rPr>
        <w:t xml:space="preserve"> virus (HCV) infection or other causes, such as alcohol exposure, other viral hepatitis, hemochromatosis, etc.)</w:t>
      </w:r>
    </w:p>
    <w:p w14:paraId="619A8C3A" w14:textId="4703AB6F"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Laboratory Criteria</w:t>
      </w:r>
    </w:p>
    <w:p w14:paraId="43D35B5B" w14:textId="1E604687"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Confirmatory laboratory evidence:</w:t>
      </w:r>
    </w:p>
    <w:p w14:paraId="0B15666C" w14:textId="3D400434"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•Positive </w:t>
      </w:r>
      <w:r w:rsidR="008203AA">
        <w:rPr>
          <w:rFonts w:ascii="Calibri" w:eastAsia="Calibri" w:hAnsi="Calibri" w:cs="Calibri"/>
          <w:szCs w:val="24"/>
        </w:rPr>
        <w:t>HCV</w:t>
      </w:r>
      <w:r w:rsidRPr="00B04B9A">
        <w:rPr>
          <w:rFonts w:ascii="Calibri" w:eastAsia="Calibri" w:hAnsi="Calibri" w:cs="Calibri"/>
          <w:szCs w:val="24"/>
        </w:rPr>
        <w:t xml:space="preserve"> virus detection test: </w:t>
      </w:r>
      <w:r w:rsidR="00DB0813" w:rsidRPr="00B04B9A">
        <w:rPr>
          <w:rFonts w:ascii="Calibri" w:eastAsia="Calibri" w:hAnsi="Calibri" w:cs="Calibri"/>
          <w:szCs w:val="24"/>
        </w:rPr>
        <w:t>NAT</w:t>
      </w:r>
      <w:r w:rsidRPr="00B04B9A">
        <w:rPr>
          <w:rFonts w:ascii="Calibri" w:eastAsia="Calibri" w:hAnsi="Calibri" w:cs="Calibri"/>
          <w:szCs w:val="24"/>
        </w:rPr>
        <w:t xml:space="preserve"> for HCV RNA positive (including qualitative, quantitative, or genotype testing), </w:t>
      </w:r>
      <w:r w:rsidRPr="00B04B9A">
        <w:rPr>
          <w:rFonts w:ascii="Calibri" w:eastAsia="Calibri" w:hAnsi="Calibri" w:cs="Calibri"/>
          <w:b/>
          <w:bCs/>
          <w:szCs w:val="24"/>
        </w:rPr>
        <w:t>OR</w:t>
      </w:r>
    </w:p>
    <w:p w14:paraId="539BA957" w14:textId="5A4597F0"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 xml:space="preserve">•A positive test indicating presence of </w:t>
      </w:r>
      <w:r w:rsidR="008203AA">
        <w:rPr>
          <w:rFonts w:ascii="Calibri" w:eastAsia="Calibri" w:hAnsi="Calibri" w:cs="Calibri"/>
          <w:szCs w:val="24"/>
        </w:rPr>
        <w:t>HCV</w:t>
      </w:r>
      <w:r w:rsidRPr="00B04B9A">
        <w:rPr>
          <w:rFonts w:ascii="Calibri" w:eastAsia="Calibri" w:hAnsi="Calibri" w:cs="Calibri"/>
          <w:szCs w:val="24"/>
        </w:rPr>
        <w:t xml:space="preserve"> viral antigen(s) (HCV antigen)</w:t>
      </w:r>
    </w:p>
    <w:p w14:paraId="29F83081" w14:textId="497A2ED1"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Presumptive laboratory evidence:</w:t>
      </w:r>
    </w:p>
    <w:p w14:paraId="4D856A92" w14:textId="26D4245C"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 xml:space="preserve">•A positive test for antibodies to </w:t>
      </w:r>
      <w:r w:rsidR="008203AA">
        <w:rPr>
          <w:rFonts w:ascii="Calibri" w:eastAsia="Calibri" w:hAnsi="Calibri" w:cs="Calibri"/>
          <w:szCs w:val="24"/>
        </w:rPr>
        <w:t>HCV</w:t>
      </w:r>
      <w:r w:rsidRPr="00B04B9A">
        <w:rPr>
          <w:rFonts w:ascii="Calibri" w:eastAsia="Calibri" w:hAnsi="Calibri" w:cs="Calibri"/>
          <w:szCs w:val="24"/>
        </w:rPr>
        <w:t xml:space="preserve"> virus (anti-HCV)</w:t>
      </w:r>
    </w:p>
    <w:p w14:paraId="566576FE" w14:textId="5BF72AA1" w:rsidR="24DB0B1E" w:rsidRPr="00B04B9A" w:rsidRDefault="24DB0B1E" w:rsidP="76F421E0">
      <w:pPr>
        <w:rPr>
          <w:rFonts w:ascii="Calibri" w:eastAsia="Calibri" w:hAnsi="Calibri" w:cs="Calibri"/>
          <w:szCs w:val="24"/>
        </w:rPr>
      </w:pPr>
      <w:r w:rsidRPr="00B04B9A">
        <w:rPr>
          <w:rFonts w:ascii="Calibri" w:eastAsia="Calibri" w:hAnsi="Calibri" w:cs="Calibri"/>
          <w:i/>
          <w:iCs/>
          <w:szCs w:val="24"/>
        </w:rPr>
        <w:t xml:space="preserve">Epidemiologic Linkage - </w:t>
      </w:r>
      <w:r w:rsidRPr="00B04B9A">
        <w:rPr>
          <w:rFonts w:ascii="Calibri" w:eastAsia="Calibri" w:hAnsi="Calibri" w:cs="Calibri"/>
          <w:szCs w:val="24"/>
        </w:rPr>
        <w:t>No epidemiologic linkage is required for case classification.</w:t>
      </w:r>
    </w:p>
    <w:p w14:paraId="7BA422A4" w14:textId="0A72C03D" w:rsidR="24DB0B1E" w:rsidRPr="00B04B9A" w:rsidRDefault="24DB0B1E" w:rsidP="76F421E0">
      <w:pPr>
        <w:rPr>
          <w:rFonts w:ascii="Calibri" w:eastAsia="Calibri" w:hAnsi="Calibri" w:cs="Calibri"/>
          <w:i/>
          <w:iCs/>
          <w:szCs w:val="24"/>
        </w:rPr>
      </w:pPr>
      <w:r w:rsidRPr="00B04B9A">
        <w:rPr>
          <w:rFonts w:ascii="Calibri" w:eastAsia="Calibri" w:hAnsi="Calibri" w:cs="Calibri"/>
          <w:i/>
          <w:iCs/>
          <w:szCs w:val="24"/>
        </w:rPr>
        <w:t>Criteria to Distinguish a New Case from an Existing Case</w:t>
      </w:r>
    </w:p>
    <w:p w14:paraId="32250EB4" w14:textId="167D1D03" w:rsidR="24DB0B1E" w:rsidRPr="00B04B9A" w:rsidRDefault="24DB0B1E" w:rsidP="388E5C6E">
      <w:pPr>
        <w:rPr>
          <w:rFonts w:ascii="Calibri" w:eastAsia="Calibri" w:hAnsi="Calibri" w:cs="Calibri"/>
        </w:rPr>
      </w:pPr>
      <w:r w:rsidRPr="388E5C6E">
        <w:rPr>
          <w:rFonts w:ascii="Calibri" w:eastAsia="Calibri" w:hAnsi="Calibri" w:cs="Calibri"/>
        </w:rPr>
        <w:t>All jurisdictions are encouraged to track negative HCV viral detection tests to document both spontaneous clearance of infection or sustained viral response to HCV treatment. Cases that have evidence of having cleared the infection at time of initial report or are considered false positive should not be reported to CDC.</w:t>
      </w:r>
    </w:p>
    <w:p w14:paraId="044FF19C" w14:textId="7318477E" w:rsidR="388E5C6E" w:rsidRDefault="388E5C6E" w:rsidP="388E5C6E">
      <w:pPr>
        <w:rPr>
          <w:rFonts w:ascii="Calibri" w:eastAsia="Calibri" w:hAnsi="Calibri" w:cs="Calibri"/>
        </w:rPr>
      </w:pPr>
    </w:p>
    <w:p w14:paraId="7245FA1E" w14:textId="5F2EDAE3" w:rsidR="24DB0B1E" w:rsidRPr="00B04B9A" w:rsidRDefault="24DB0B1E" w:rsidP="388E5C6E">
      <w:pPr>
        <w:rPr>
          <w:rFonts w:ascii="Calibri" w:eastAsia="Calibri" w:hAnsi="Calibri" w:cs="Calibri"/>
        </w:rPr>
      </w:pPr>
      <w:r w:rsidRPr="388E5C6E">
        <w:rPr>
          <w:rFonts w:ascii="Calibri" w:eastAsia="Calibri" w:hAnsi="Calibri" w:cs="Calibri"/>
        </w:rPr>
        <w:t>If evidence indicating resolution of infection is received after a confirmed chronic case has been reported to CDC, the case report does not need to be modified as it was a confirmed case at the time of initial report. However, negative HCV viral detection test results received on confirmed chronic cases, subsequent to an initial positive result, should be appended to case reports, as feasible, and considered for the purpose of data analysis by each jurisdiction.</w:t>
      </w:r>
    </w:p>
    <w:p w14:paraId="723148E6" w14:textId="242CB2CD" w:rsidR="388E5C6E" w:rsidRDefault="388E5C6E" w:rsidP="388E5C6E">
      <w:pPr>
        <w:rPr>
          <w:rFonts w:ascii="Calibri" w:eastAsia="Calibri" w:hAnsi="Calibri" w:cs="Calibri"/>
        </w:rPr>
      </w:pPr>
    </w:p>
    <w:p w14:paraId="4FF9A220" w14:textId="16BA1068" w:rsidR="24DB0B1E" w:rsidRPr="00B04B9A" w:rsidRDefault="24DB0B1E" w:rsidP="388E5C6E">
      <w:pPr>
        <w:rPr>
          <w:rFonts w:ascii="Calibri" w:eastAsia="Calibri" w:hAnsi="Calibri" w:cs="Calibri"/>
        </w:rPr>
      </w:pPr>
      <w:r w:rsidRPr="388E5C6E">
        <w:rPr>
          <w:rFonts w:ascii="Calibri" w:eastAsia="Calibri" w:hAnsi="Calibri" w:cs="Calibri"/>
        </w:rPr>
        <w:t>Evidence for re-infection may include a case of confirmed chronic HCV infection that has at least two sequential negative HCV viral detection tests reported, indicative of treatment initiation and sustained virologic response, followed by a positive HCV viral detection test. Under current treatment recommendations, those two negative tests should be at least three months apart, however, the timing may change as standard of care for HCV treatment evolves. Other evidence of reinfection should be considered, including a report of a new genotype on a case that has previously cleared a different genotype. Jurisdictions are encouraged to ensure that cases of HCV treatment failure are not classified as new cases of HCV infection to the extent that it can be determined. Jurisdictions tracking re-infection should also consider collecting data on prior treatment completion (when relevant and possible to document), treatment failure, change in reported genotype if that applies, and the known time frame for reinfection.</w:t>
      </w:r>
    </w:p>
    <w:p w14:paraId="4BE62BC3" w14:textId="13D3D519" w:rsidR="388E5C6E" w:rsidRDefault="388E5C6E" w:rsidP="388E5C6E">
      <w:pPr>
        <w:rPr>
          <w:rFonts w:ascii="Calibri" w:eastAsia="Calibri" w:hAnsi="Calibri" w:cs="Calibri"/>
        </w:rPr>
      </w:pPr>
    </w:p>
    <w:p w14:paraId="33D5E451" w14:textId="58D680FB" w:rsidR="24DB0B1E" w:rsidRPr="00B04B9A" w:rsidRDefault="24DB0B1E" w:rsidP="388E5C6E">
      <w:pPr>
        <w:rPr>
          <w:rFonts w:ascii="Calibri" w:eastAsia="Calibri" w:hAnsi="Calibri" w:cs="Calibri"/>
        </w:rPr>
      </w:pPr>
      <w:r w:rsidRPr="388E5C6E">
        <w:rPr>
          <w:rFonts w:ascii="Calibri" w:eastAsia="Calibri" w:hAnsi="Calibri" w:cs="Calibri"/>
        </w:rPr>
        <w:lastRenderedPageBreak/>
        <w:t>For probable chronic cases, the presence of a negative HCV viral detection test result, in the absence of criteria that would allow for confirmation, indicates that a case should not be classified as probable chronic and should not be reported to CDC.</w:t>
      </w:r>
    </w:p>
    <w:p w14:paraId="002831D8" w14:textId="163FF71F" w:rsidR="388E5C6E" w:rsidRDefault="388E5C6E" w:rsidP="388E5C6E">
      <w:pPr>
        <w:rPr>
          <w:rFonts w:ascii="Calibri" w:eastAsia="Calibri" w:hAnsi="Calibri" w:cs="Calibri"/>
        </w:rPr>
      </w:pPr>
    </w:p>
    <w:p w14:paraId="63CFCF11" w14:textId="041C92FB" w:rsidR="24DB0B1E" w:rsidRPr="00B04B9A" w:rsidRDefault="24DB0B1E" w:rsidP="388E5C6E">
      <w:pPr>
        <w:rPr>
          <w:rFonts w:ascii="Calibri" w:eastAsia="Calibri" w:hAnsi="Calibri" w:cs="Calibri"/>
        </w:rPr>
      </w:pPr>
      <w:r w:rsidRPr="388E5C6E">
        <w:rPr>
          <w:rFonts w:ascii="Calibri" w:eastAsia="Calibri" w:hAnsi="Calibri" w:cs="Calibri"/>
        </w:rPr>
        <w:t>A new chronic case is a newly reported case that does not have evidence of being an acute case of HCV infection. A confirmed acute case may be classified as a confirmed chronic case if a positive HCV viral detection test is reported one year or longer after acute case onset. A confirmed acute case may not be reported as a probable chronic case (i.e. HCV antibody positive, but with an unknown HCV viral detection test). For purposes of incidence and prevalence calculations, confirmed chronic HCV cases should be counted.</w:t>
      </w:r>
    </w:p>
    <w:p w14:paraId="469F8E7E" w14:textId="5E97DE0C" w:rsidR="388E5C6E" w:rsidRDefault="388E5C6E" w:rsidP="388E5C6E">
      <w:pPr>
        <w:rPr>
          <w:rFonts w:ascii="Calibri" w:eastAsia="Calibri" w:hAnsi="Calibri" w:cs="Calibri"/>
        </w:rPr>
      </w:pPr>
    </w:p>
    <w:p w14:paraId="2E24F4BC" w14:textId="75C7E8CC" w:rsidR="24DB0B1E" w:rsidRPr="00B04B9A" w:rsidRDefault="24DB0B1E" w:rsidP="76F421E0">
      <w:pPr>
        <w:rPr>
          <w:rFonts w:ascii="Calibri" w:eastAsia="Calibri" w:hAnsi="Calibri" w:cs="Calibri"/>
          <w:szCs w:val="24"/>
        </w:rPr>
      </w:pPr>
      <w:r w:rsidRPr="388E5C6E">
        <w:rPr>
          <w:rFonts w:ascii="Calibri" w:eastAsia="Calibri" w:hAnsi="Calibri" w:cs="Calibri"/>
        </w:rPr>
        <w:t>Jurisdictions are also encouraged to track and classify possible re-infection cases that may have been previously submitted to CDC as a confirmed or probable chronic HCV infection case. Jurisdictions tracking re-infection should also consider collecting data on prior treatment completion (when relevant and possible to document), treatment failure, change in reported genotype if that applies, and the known time frame for reinfection.</w:t>
      </w:r>
    </w:p>
    <w:p w14:paraId="55A35BB6" w14:textId="12360EEC" w:rsidR="388E5C6E" w:rsidRDefault="388E5C6E" w:rsidP="388E5C6E">
      <w:pPr>
        <w:rPr>
          <w:rFonts w:ascii="Calibri" w:eastAsia="Calibri" w:hAnsi="Calibri" w:cs="Calibri"/>
          <w:b/>
          <w:bCs/>
        </w:rPr>
      </w:pPr>
    </w:p>
    <w:p w14:paraId="050D591E" w14:textId="5AC11AB6"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Case Classification</w:t>
      </w:r>
    </w:p>
    <w:p w14:paraId="534712BE" w14:textId="6340E474"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Suspect</w:t>
      </w:r>
    </w:p>
    <w:p w14:paraId="39E68559" w14:textId="23E487BA" w:rsidR="24DB0B1E" w:rsidRPr="00B04B9A" w:rsidRDefault="24DB0B1E" w:rsidP="76F421E0">
      <w:pPr>
        <w:rPr>
          <w:rFonts w:ascii="Calibri" w:eastAsia="Calibri" w:hAnsi="Calibri" w:cs="Calibri"/>
          <w:szCs w:val="24"/>
        </w:rPr>
      </w:pPr>
      <w:r w:rsidRPr="00B04B9A">
        <w:rPr>
          <w:rFonts w:ascii="Calibri" w:eastAsia="Calibri" w:hAnsi="Calibri" w:cs="Calibri"/>
          <w:szCs w:val="24"/>
        </w:rPr>
        <w:t>NUL</w:t>
      </w:r>
    </w:p>
    <w:p w14:paraId="0FF881DC" w14:textId="557AE110"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Probable</w:t>
      </w:r>
    </w:p>
    <w:p w14:paraId="72F0B387" w14:textId="4944923B"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•A case that does not meet </w:t>
      </w:r>
      <w:r w:rsidRPr="00B04B9A">
        <w:rPr>
          <w:rFonts w:ascii="Calibri" w:eastAsia="Calibri" w:hAnsi="Calibri" w:cs="Calibri"/>
          <w:b/>
          <w:bCs/>
          <w:szCs w:val="24"/>
        </w:rPr>
        <w:t>OR</w:t>
      </w:r>
      <w:r w:rsidRPr="00B04B9A">
        <w:rPr>
          <w:rFonts w:ascii="Calibri" w:eastAsia="Calibri" w:hAnsi="Calibri" w:cs="Calibri"/>
          <w:szCs w:val="24"/>
        </w:rPr>
        <w:t xml:space="preserve"> has no report of clinical criteria,</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620DBD9F" w14:textId="2D196236"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•Has presumptive laboratory evidence,</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7F567C5A" w14:textId="00FB2544"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•Has no documentation of anti-HCV or RNA test conversion within 12 months,</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7D86A27C" w14:textId="6348E3A3"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•Does not have an HCV RNA detection test reported.</w:t>
      </w:r>
    </w:p>
    <w:p w14:paraId="7C2CE5EC" w14:textId="4F6FAA15" w:rsidR="24DB0B1E" w:rsidRPr="00B04B9A" w:rsidRDefault="24DB0B1E" w:rsidP="76F421E0">
      <w:pPr>
        <w:rPr>
          <w:rFonts w:ascii="Calibri" w:eastAsia="Calibri" w:hAnsi="Calibri" w:cs="Calibri"/>
          <w:b/>
          <w:bCs/>
          <w:szCs w:val="24"/>
        </w:rPr>
      </w:pPr>
      <w:r w:rsidRPr="00B04B9A">
        <w:rPr>
          <w:rFonts w:ascii="Calibri" w:eastAsia="Calibri" w:hAnsi="Calibri" w:cs="Calibri"/>
          <w:b/>
          <w:bCs/>
          <w:szCs w:val="24"/>
        </w:rPr>
        <w:t>Confirmed</w:t>
      </w:r>
    </w:p>
    <w:p w14:paraId="10B956BF" w14:textId="4BBCBD6F"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 xml:space="preserve">•A case that does not meet </w:t>
      </w:r>
      <w:r w:rsidRPr="00B04B9A">
        <w:rPr>
          <w:rFonts w:ascii="Calibri" w:eastAsia="Calibri" w:hAnsi="Calibri" w:cs="Calibri"/>
          <w:b/>
          <w:bCs/>
          <w:szCs w:val="24"/>
        </w:rPr>
        <w:t>OR</w:t>
      </w:r>
      <w:r w:rsidRPr="00B04B9A">
        <w:rPr>
          <w:rFonts w:ascii="Calibri" w:eastAsia="Calibri" w:hAnsi="Calibri" w:cs="Calibri"/>
          <w:szCs w:val="24"/>
        </w:rPr>
        <w:t xml:space="preserve"> has no report of clinical criteria,</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710C47BD" w14:textId="7D7AAE4A" w:rsidR="24DB0B1E" w:rsidRPr="00B04B9A" w:rsidRDefault="24DB0B1E" w:rsidP="008F66D0">
      <w:pPr>
        <w:ind w:left="274" w:hanging="274"/>
        <w:rPr>
          <w:rFonts w:ascii="Calibri" w:eastAsia="Calibri" w:hAnsi="Calibri" w:cs="Calibri"/>
          <w:b/>
          <w:bCs/>
          <w:szCs w:val="24"/>
        </w:rPr>
      </w:pPr>
      <w:r w:rsidRPr="00B04B9A">
        <w:rPr>
          <w:rFonts w:ascii="Calibri" w:eastAsia="Calibri" w:hAnsi="Calibri" w:cs="Calibri"/>
          <w:szCs w:val="24"/>
        </w:rPr>
        <w:t>•Has confirmatory laboratory evidence,</w:t>
      </w:r>
      <w:r w:rsidRPr="00B04B9A">
        <w:br/>
      </w:r>
      <w:r w:rsidRPr="00B04B9A">
        <w:rPr>
          <w:rFonts w:ascii="Calibri" w:eastAsia="Calibri" w:hAnsi="Calibri" w:cs="Calibri"/>
          <w:szCs w:val="24"/>
        </w:rPr>
        <w:t xml:space="preserve"> </w:t>
      </w:r>
      <w:r w:rsidRPr="00B04B9A">
        <w:rPr>
          <w:rFonts w:ascii="Calibri" w:eastAsia="Calibri" w:hAnsi="Calibri" w:cs="Calibri"/>
          <w:b/>
          <w:bCs/>
          <w:szCs w:val="24"/>
        </w:rPr>
        <w:t>AND</w:t>
      </w:r>
    </w:p>
    <w:p w14:paraId="66A7C6C5" w14:textId="5D4649A1" w:rsidR="24DB0B1E" w:rsidRPr="00B04B9A" w:rsidRDefault="24DB0B1E" w:rsidP="008F66D0">
      <w:pPr>
        <w:ind w:left="274" w:hanging="274"/>
        <w:rPr>
          <w:rFonts w:ascii="Calibri" w:eastAsia="Calibri" w:hAnsi="Calibri" w:cs="Calibri"/>
          <w:szCs w:val="24"/>
        </w:rPr>
      </w:pPr>
      <w:r w:rsidRPr="00B04B9A">
        <w:rPr>
          <w:rFonts w:ascii="Calibri" w:eastAsia="Calibri" w:hAnsi="Calibri" w:cs="Calibri"/>
          <w:szCs w:val="24"/>
        </w:rPr>
        <w:t>•Has no documentation of anti-HCV or HCV RNA test conversion within 12 months.</w:t>
      </w:r>
    </w:p>
    <w:p w14:paraId="76E558D4" w14:textId="54A746F3" w:rsidR="76F421E0" w:rsidRPr="00991A6F" w:rsidRDefault="76F421E0" w:rsidP="76F421E0">
      <w:pPr>
        <w:rPr>
          <w:rFonts w:ascii="Calibri" w:eastAsia="Calibri" w:hAnsi="Calibri" w:cs="Calibri"/>
          <w:color w:val="FF0000"/>
          <w:szCs w:val="24"/>
        </w:rPr>
      </w:pPr>
    </w:p>
    <w:p w14:paraId="0499A7C4" w14:textId="56E360A0" w:rsidR="76F421E0" w:rsidRPr="00991A6F" w:rsidRDefault="76F421E0" w:rsidP="76F421E0">
      <w:pPr>
        <w:rPr>
          <w:rFonts w:ascii="Calibri" w:eastAsia="Calibri" w:hAnsi="Calibri" w:cs="Calibri"/>
          <w:color w:val="FF0000"/>
          <w:szCs w:val="24"/>
        </w:rPr>
      </w:pPr>
    </w:p>
    <w:p w14:paraId="478D4C03" w14:textId="3A8E2D74" w:rsidR="76F421E0" w:rsidRPr="00991A6F" w:rsidRDefault="76F421E0" w:rsidP="76F421E0">
      <w:pPr>
        <w:spacing w:after="120"/>
        <w:rPr>
          <w:color w:val="FF0000"/>
          <w:szCs w:val="24"/>
        </w:rPr>
      </w:pPr>
    </w:p>
    <w:p w14:paraId="41434C98" w14:textId="1FDD1997" w:rsidR="005D1FD3" w:rsidRPr="00991A6F" w:rsidRDefault="005D1FD3" w:rsidP="00ED2D42">
      <w:pPr>
        <w:rPr>
          <w:color w:val="FF0000"/>
        </w:rPr>
      </w:pPr>
      <w:r w:rsidRPr="00991A6F">
        <w:rPr>
          <w:color w:val="FF0000"/>
        </w:rPr>
        <w:br w:type="page"/>
      </w:r>
    </w:p>
    <w:p w14:paraId="002B6DD5" w14:textId="21758C90" w:rsidR="005D1FD3" w:rsidRPr="004421C2" w:rsidRDefault="005D1FD3" w:rsidP="38A4F72D">
      <w:pPr>
        <w:pStyle w:val="Heading1"/>
      </w:pPr>
      <w:bookmarkStart w:id="80" w:name="_HIV,_STD,_AND_1"/>
      <w:bookmarkStart w:id="81" w:name="_Toc1736514083"/>
      <w:bookmarkStart w:id="82" w:name="_Hlk147387010"/>
      <w:bookmarkEnd w:id="80"/>
      <w:r>
        <w:lastRenderedPageBreak/>
        <w:t xml:space="preserve">HIV, </w:t>
      </w:r>
      <w:r w:rsidR="00285320">
        <w:t>STI</w:t>
      </w:r>
      <w:r>
        <w:t>, AND VIRAL HEPATITIS PROGRAM STAFF CONTACT INFORMATION</w:t>
      </w:r>
      <w:bookmarkEnd w:id="81"/>
    </w:p>
    <w:bookmarkEnd w:id="82"/>
    <w:p w14:paraId="094D9134" w14:textId="12707382" w:rsidR="005D1FD3" w:rsidRPr="004421C2" w:rsidRDefault="005D1FD3" w:rsidP="005D1FD3">
      <w:pPr>
        <w:ind w:left="360"/>
      </w:pPr>
      <w:r w:rsidRPr="004421C2">
        <w:rPr>
          <w:b/>
          <w:bCs/>
        </w:rPr>
        <w:t>Table 1. Division of STD Prevention</w:t>
      </w:r>
      <w:r w:rsidR="00DC5F3D">
        <w:rPr>
          <w:b/>
          <w:bCs/>
        </w:rPr>
        <w:t>,</w:t>
      </w:r>
      <w:r w:rsidRPr="004421C2">
        <w:rPr>
          <w:b/>
          <w:bCs/>
        </w:rPr>
        <w:t xml:space="preserve"> HIV Surveillance, and</w:t>
      </w:r>
      <w:r w:rsidRPr="004421C2">
        <w:t xml:space="preserve"> </w:t>
      </w:r>
      <w:r w:rsidRPr="004421C2">
        <w:rPr>
          <w:b/>
          <w:bCs/>
        </w:rPr>
        <w:t>Ratelle STD/HIV Prevention Training Center</w:t>
      </w:r>
    </w:p>
    <w:tbl>
      <w:tblPr>
        <w:tblStyle w:val="TableGrid"/>
        <w:tblW w:w="0" w:type="auto"/>
        <w:tblLook w:val="06A0" w:firstRow="1" w:lastRow="0" w:firstColumn="1" w:lastColumn="0" w:noHBand="1" w:noVBand="1"/>
      </w:tblPr>
      <w:tblGrid>
        <w:gridCol w:w="2136"/>
        <w:gridCol w:w="2109"/>
        <w:gridCol w:w="2840"/>
        <w:gridCol w:w="2023"/>
      </w:tblGrid>
      <w:tr w:rsidR="00991A6F" w:rsidRPr="00991A6F" w14:paraId="028954BE" w14:textId="77777777" w:rsidTr="00F75AB4">
        <w:tc>
          <w:tcPr>
            <w:tcW w:w="2136" w:type="dxa"/>
          </w:tcPr>
          <w:p w14:paraId="7FC837A7" w14:textId="77777777" w:rsidR="005D1FD3" w:rsidRPr="00B10C1D" w:rsidRDefault="005D1FD3" w:rsidP="0016095F">
            <w:pPr>
              <w:rPr>
                <w:rFonts w:cstheme="minorHAnsi"/>
                <w:b/>
                <w:bCs/>
                <w:sz w:val="22"/>
              </w:rPr>
            </w:pPr>
            <w:r w:rsidRPr="00B10C1D">
              <w:rPr>
                <w:rFonts w:cstheme="minorHAnsi"/>
                <w:b/>
                <w:bCs/>
                <w:sz w:val="22"/>
              </w:rPr>
              <w:t>Topic</w:t>
            </w:r>
          </w:p>
        </w:tc>
        <w:tc>
          <w:tcPr>
            <w:tcW w:w="2109" w:type="dxa"/>
          </w:tcPr>
          <w:p w14:paraId="3F0BF19C" w14:textId="77777777" w:rsidR="005D1FD3" w:rsidRPr="00B10C1D" w:rsidRDefault="005D1FD3" w:rsidP="0016095F">
            <w:pPr>
              <w:rPr>
                <w:rFonts w:cstheme="minorHAnsi"/>
                <w:b/>
                <w:bCs/>
                <w:sz w:val="22"/>
              </w:rPr>
            </w:pPr>
            <w:r w:rsidRPr="00B10C1D">
              <w:rPr>
                <w:rFonts w:cstheme="minorHAnsi"/>
                <w:b/>
                <w:bCs/>
                <w:sz w:val="22"/>
              </w:rPr>
              <w:t>Contact</w:t>
            </w:r>
          </w:p>
        </w:tc>
        <w:tc>
          <w:tcPr>
            <w:tcW w:w="2840" w:type="dxa"/>
          </w:tcPr>
          <w:p w14:paraId="4840D5E6" w14:textId="77777777" w:rsidR="005D1FD3" w:rsidRPr="00B10C1D" w:rsidRDefault="005D1FD3" w:rsidP="0016095F">
            <w:pPr>
              <w:rPr>
                <w:rFonts w:cstheme="minorHAnsi"/>
                <w:b/>
                <w:bCs/>
                <w:sz w:val="22"/>
              </w:rPr>
            </w:pPr>
            <w:r w:rsidRPr="00B10C1D">
              <w:rPr>
                <w:rFonts w:cstheme="minorHAnsi"/>
                <w:b/>
                <w:bCs/>
                <w:sz w:val="22"/>
              </w:rPr>
              <w:t>Email</w:t>
            </w:r>
          </w:p>
        </w:tc>
        <w:tc>
          <w:tcPr>
            <w:tcW w:w="2023" w:type="dxa"/>
          </w:tcPr>
          <w:p w14:paraId="7A5AA56E" w14:textId="77777777" w:rsidR="005D1FD3" w:rsidRPr="00B10C1D" w:rsidRDefault="005D1FD3" w:rsidP="0016095F">
            <w:pPr>
              <w:rPr>
                <w:rFonts w:cstheme="minorHAnsi"/>
                <w:b/>
                <w:bCs/>
                <w:sz w:val="22"/>
              </w:rPr>
            </w:pPr>
            <w:r w:rsidRPr="00B10C1D">
              <w:rPr>
                <w:rFonts w:cstheme="minorHAnsi"/>
                <w:b/>
                <w:bCs/>
                <w:sz w:val="22"/>
              </w:rPr>
              <w:t>Phone</w:t>
            </w:r>
          </w:p>
        </w:tc>
      </w:tr>
      <w:tr w:rsidR="00F75AB4" w:rsidRPr="00991A6F" w14:paraId="12257D45" w14:textId="77777777" w:rsidTr="00F75AB4">
        <w:tc>
          <w:tcPr>
            <w:tcW w:w="2136" w:type="dxa"/>
          </w:tcPr>
          <w:p w14:paraId="6984A02A" w14:textId="77777777" w:rsidR="00F75AB4" w:rsidRPr="00B10C1D" w:rsidRDefault="00F75AB4" w:rsidP="00F75AB4">
            <w:pPr>
              <w:rPr>
                <w:rFonts w:cstheme="minorHAnsi"/>
                <w:sz w:val="22"/>
              </w:rPr>
            </w:pPr>
            <w:r w:rsidRPr="00B10C1D">
              <w:rPr>
                <w:rFonts w:cstheme="minorHAnsi"/>
                <w:kern w:val="24"/>
                <w:sz w:val="22"/>
              </w:rPr>
              <w:t>Policy Development and Administration</w:t>
            </w:r>
          </w:p>
        </w:tc>
        <w:tc>
          <w:tcPr>
            <w:tcW w:w="2109" w:type="dxa"/>
          </w:tcPr>
          <w:p w14:paraId="20014C5F" w14:textId="35282B38" w:rsidR="00F75AB4" w:rsidRPr="00B10C1D" w:rsidRDefault="00F75AB4" w:rsidP="00F75AB4">
            <w:pPr>
              <w:rPr>
                <w:rFonts w:cstheme="minorHAnsi"/>
                <w:sz w:val="22"/>
              </w:rPr>
            </w:pPr>
            <w:r w:rsidRPr="00B10C1D">
              <w:rPr>
                <w:rFonts w:eastAsiaTheme="minorEastAsia" w:cstheme="minorHAnsi"/>
                <w:kern w:val="24"/>
                <w:sz w:val="22"/>
              </w:rPr>
              <w:t xml:space="preserve">Brenda Hernandez </w:t>
            </w:r>
            <w:r w:rsidRPr="00B10C1D">
              <w:rPr>
                <w:rFonts w:cstheme="minorHAnsi"/>
                <w:kern w:val="24"/>
                <w:sz w:val="22"/>
              </w:rPr>
              <w:t>(</w:t>
            </w:r>
            <w:r w:rsidR="00D12A17">
              <w:rPr>
                <w:rFonts w:cstheme="minorHAnsi"/>
                <w:kern w:val="24"/>
                <w:sz w:val="22"/>
              </w:rPr>
              <w:t xml:space="preserve">Deputy </w:t>
            </w:r>
            <w:r w:rsidRPr="00B10C1D">
              <w:rPr>
                <w:rFonts w:cstheme="minorHAnsi"/>
                <w:kern w:val="24"/>
                <w:sz w:val="22"/>
              </w:rPr>
              <w:t>Director, Division of STD Prevention</w:t>
            </w:r>
            <w:r w:rsidR="00D12A17">
              <w:rPr>
                <w:rFonts w:cstheme="minorHAnsi"/>
                <w:kern w:val="24"/>
                <w:sz w:val="22"/>
              </w:rPr>
              <w:t xml:space="preserve"> and HIV Surveillance</w:t>
            </w:r>
            <w:r w:rsidRPr="00B10C1D">
              <w:rPr>
                <w:rFonts w:cstheme="minorHAnsi"/>
                <w:kern w:val="24"/>
                <w:sz w:val="22"/>
              </w:rPr>
              <w:t>)</w:t>
            </w:r>
          </w:p>
        </w:tc>
        <w:tc>
          <w:tcPr>
            <w:tcW w:w="2840" w:type="dxa"/>
          </w:tcPr>
          <w:p w14:paraId="6CDB8C36" w14:textId="7AA3C3AC" w:rsidR="00F75AB4" w:rsidRPr="004421C2" w:rsidRDefault="00F75AB4" w:rsidP="00F75AB4">
            <w:pPr>
              <w:rPr>
                <w:rFonts w:cstheme="minorHAnsi"/>
                <w:color w:val="3333FF"/>
                <w:sz w:val="22"/>
              </w:rPr>
            </w:pPr>
            <w:hyperlink r:id="rId87" w:history="1">
              <w:r w:rsidRPr="004421C2">
                <w:rPr>
                  <w:rStyle w:val="Hyperlink"/>
                  <w:rFonts w:eastAsiaTheme="minorEastAsia" w:cstheme="minorHAnsi"/>
                  <w:color w:val="3333FF"/>
                  <w:kern w:val="24"/>
                  <w:sz w:val="22"/>
                </w:rPr>
                <w:t>Brenda.Hernandez@mass.gov</w:t>
              </w:r>
            </w:hyperlink>
          </w:p>
        </w:tc>
        <w:tc>
          <w:tcPr>
            <w:tcW w:w="2023" w:type="dxa"/>
          </w:tcPr>
          <w:p w14:paraId="3D9EDA32" w14:textId="645806DC" w:rsidR="00F75AB4" w:rsidRPr="00B10C1D" w:rsidRDefault="00F75AB4" w:rsidP="00F75AB4">
            <w:pPr>
              <w:rPr>
                <w:rFonts w:cstheme="minorHAnsi"/>
                <w:sz w:val="22"/>
              </w:rPr>
            </w:pPr>
            <w:r w:rsidRPr="00B10C1D">
              <w:rPr>
                <w:rFonts w:eastAsiaTheme="minorEastAsia" w:cstheme="minorHAnsi"/>
                <w:kern w:val="24"/>
                <w:sz w:val="22"/>
              </w:rPr>
              <w:t>617-983-6943</w:t>
            </w:r>
          </w:p>
        </w:tc>
      </w:tr>
      <w:tr w:rsidR="00991A6F" w:rsidRPr="00991A6F" w14:paraId="6FBFCD6B" w14:textId="77777777" w:rsidTr="00F75AB4">
        <w:tc>
          <w:tcPr>
            <w:tcW w:w="2136" w:type="dxa"/>
          </w:tcPr>
          <w:p w14:paraId="43437005" w14:textId="77777777" w:rsidR="005D1FD3" w:rsidRPr="00B10C1D" w:rsidRDefault="005D1FD3" w:rsidP="0016095F">
            <w:pPr>
              <w:rPr>
                <w:rFonts w:cstheme="minorHAnsi"/>
                <w:sz w:val="22"/>
              </w:rPr>
            </w:pPr>
            <w:r w:rsidRPr="00B10C1D">
              <w:rPr>
                <w:rFonts w:cstheme="minorHAnsi"/>
                <w:kern w:val="24"/>
                <w:sz w:val="22"/>
              </w:rPr>
              <w:t>Sylvie Ratelle STD/HIV Prevention Training Center</w:t>
            </w:r>
          </w:p>
        </w:tc>
        <w:tc>
          <w:tcPr>
            <w:tcW w:w="2109" w:type="dxa"/>
          </w:tcPr>
          <w:p w14:paraId="0D2D5340"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Katherine Hsu (Medical Director)</w:t>
            </w:r>
          </w:p>
          <w:p w14:paraId="1EDF7327" w14:textId="77777777" w:rsidR="005D1FD3" w:rsidRPr="00B10C1D" w:rsidRDefault="005D1FD3" w:rsidP="0016095F">
            <w:pPr>
              <w:rPr>
                <w:rFonts w:cstheme="minorHAnsi"/>
                <w:sz w:val="22"/>
              </w:rPr>
            </w:pPr>
            <w:r w:rsidRPr="00B10C1D">
              <w:rPr>
                <w:rFonts w:cstheme="minorHAnsi"/>
                <w:kern w:val="24"/>
                <w:sz w:val="22"/>
              </w:rPr>
              <w:t>Janine Dyer (Deputy Director)</w:t>
            </w:r>
          </w:p>
        </w:tc>
        <w:tc>
          <w:tcPr>
            <w:tcW w:w="2840" w:type="dxa"/>
          </w:tcPr>
          <w:p w14:paraId="7D515BC8" w14:textId="77777777" w:rsidR="005D1FD3" w:rsidRPr="004421C2" w:rsidRDefault="005D1FD3" w:rsidP="0016095F">
            <w:pPr>
              <w:pStyle w:val="NormalWeb"/>
              <w:spacing w:before="0" w:beforeAutospacing="0" w:after="0" w:afterAutospacing="0"/>
              <w:rPr>
                <w:rFonts w:asciiTheme="minorHAnsi" w:hAnsiTheme="minorHAnsi" w:cstheme="minorHAnsi"/>
                <w:color w:val="3333FF"/>
                <w:sz w:val="22"/>
                <w:szCs w:val="22"/>
              </w:rPr>
            </w:pPr>
            <w:hyperlink r:id="rId88" w:history="1">
              <w:r w:rsidRPr="004421C2">
                <w:rPr>
                  <w:rStyle w:val="Hyperlink"/>
                  <w:rFonts w:asciiTheme="minorHAnsi" w:hAnsiTheme="minorHAnsi" w:cstheme="minorHAnsi"/>
                  <w:color w:val="3333FF"/>
                  <w:kern w:val="24"/>
                  <w:sz w:val="22"/>
                  <w:szCs w:val="22"/>
                </w:rPr>
                <w:t>Katherine.Hsu@mass.gov</w:t>
              </w:r>
            </w:hyperlink>
          </w:p>
          <w:p w14:paraId="353B05D6" w14:textId="77777777" w:rsidR="005D1FD3" w:rsidRPr="004421C2" w:rsidRDefault="005D1FD3" w:rsidP="0016095F">
            <w:pPr>
              <w:rPr>
                <w:rFonts w:cstheme="minorHAnsi"/>
                <w:color w:val="3333FF"/>
                <w:sz w:val="22"/>
              </w:rPr>
            </w:pPr>
            <w:hyperlink r:id="rId89" w:history="1">
              <w:r w:rsidRPr="004421C2">
                <w:rPr>
                  <w:rStyle w:val="Hyperlink"/>
                  <w:rFonts w:cstheme="minorHAnsi"/>
                  <w:color w:val="3333FF"/>
                  <w:kern w:val="24"/>
                  <w:sz w:val="22"/>
                </w:rPr>
                <w:t>Janine.Dyer@mass.gov</w:t>
              </w:r>
            </w:hyperlink>
          </w:p>
        </w:tc>
        <w:tc>
          <w:tcPr>
            <w:tcW w:w="2023" w:type="dxa"/>
          </w:tcPr>
          <w:p w14:paraId="345BB816"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617-983-6948</w:t>
            </w:r>
          </w:p>
          <w:p w14:paraId="3DB1F990" w14:textId="77777777" w:rsidR="005D1FD3" w:rsidRPr="00B10C1D" w:rsidRDefault="005D1FD3" w:rsidP="0016095F">
            <w:pPr>
              <w:rPr>
                <w:rFonts w:cstheme="minorHAnsi"/>
                <w:sz w:val="22"/>
              </w:rPr>
            </w:pPr>
            <w:r w:rsidRPr="00B10C1D">
              <w:rPr>
                <w:rFonts w:cstheme="minorHAnsi"/>
                <w:kern w:val="24"/>
                <w:sz w:val="22"/>
              </w:rPr>
              <w:t>617-983-6964</w:t>
            </w:r>
          </w:p>
        </w:tc>
      </w:tr>
      <w:tr w:rsidR="00991A6F" w:rsidRPr="00991A6F" w14:paraId="35B43695" w14:textId="77777777" w:rsidTr="00F75AB4">
        <w:tc>
          <w:tcPr>
            <w:tcW w:w="2136" w:type="dxa"/>
          </w:tcPr>
          <w:p w14:paraId="2C388659" w14:textId="77777777" w:rsidR="005D1FD3" w:rsidRPr="00B10C1D" w:rsidRDefault="005D1FD3" w:rsidP="0016095F">
            <w:pPr>
              <w:rPr>
                <w:rFonts w:cstheme="minorHAnsi"/>
                <w:sz w:val="22"/>
              </w:rPr>
            </w:pPr>
            <w:r w:rsidRPr="00B10C1D">
              <w:rPr>
                <w:rFonts w:cstheme="minorHAnsi"/>
                <w:kern w:val="24"/>
                <w:sz w:val="22"/>
              </w:rPr>
              <w:t>STD/HIV Surveillance and Epidemiology</w:t>
            </w:r>
          </w:p>
        </w:tc>
        <w:tc>
          <w:tcPr>
            <w:tcW w:w="2109" w:type="dxa"/>
          </w:tcPr>
          <w:p w14:paraId="0F86BD35" w14:textId="6F9A31FF"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 xml:space="preserve">Betsey John (Director, </w:t>
            </w:r>
            <w:r w:rsidR="00D12A17">
              <w:rPr>
                <w:rFonts w:asciiTheme="minorHAnsi" w:hAnsiTheme="minorHAnsi" w:cstheme="minorHAnsi"/>
                <w:kern w:val="24"/>
                <w:sz w:val="22"/>
                <w:szCs w:val="22"/>
              </w:rPr>
              <w:t>Division of Sexually Transmitted Disease Prevention</w:t>
            </w:r>
            <w:r w:rsidRPr="00B10C1D">
              <w:rPr>
                <w:rFonts w:asciiTheme="minorHAnsi" w:hAnsiTheme="minorHAnsi" w:cstheme="minorHAnsi"/>
                <w:kern w:val="24"/>
                <w:sz w:val="22"/>
                <w:szCs w:val="22"/>
              </w:rPr>
              <w:t>)</w:t>
            </w:r>
          </w:p>
          <w:p w14:paraId="3F15488F" w14:textId="77777777" w:rsidR="005D1FD3" w:rsidRPr="00B10C1D" w:rsidRDefault="005D1FD3" w:rsidP="0016095F">
            <w:pPr>
              <w:rPr>
                <w:rFonts w:cstheme="minorHAnsi"/>
                <w:sz w:val="22"/>
              </w:rPr>
            </w:pPr>
            <w:r w:rsidRPr="00B10C1D">
              <w:rPr>
                <w:rFonts w:cstheme="minorHAnsi"/>
                <w:kern w:val="24"/>
                <w:sz w:val="22"/>
              </w:rPr>
              <w:t> </w:t>
            </w:r>
          </w:p>
        </w:tc>
        <w:tc>
          <w:tcPr>
            <w:tcW w:w="2840" w:type="dxa"/>
          </w:tcPr>
          <w:p w14:paraId="2E8D7988" w14:textId="77777777" w:rsidR="005D1FD3" w:rsidRPr="004421C2" w:rsidRDefault="005D1FD3" w:rsidP="0016095F">
            <w:pPr>
              <w:pStyle w:val="NormalWeb"/>
              <w:spacing w:before="0" w:beforeAutospacing="0" w:after="0" w:afterAutospacing="0"/>
              <w:rPr>
                <w:rFonts w:asciiTheme="minorHAnsi" w:hAnsiTheme="minorHAnsi" w:cstheme="minorHAnsi"/>
                <w:color w:val="3333FF"/>
                <w:sz w:val="22"/>
                <w:szCs w:val="22"/>
              </w:rPr>
            </w:pPr>
            <w:hyperlink r:id="rId90" w:history="1">
              <w:r w:rsidRPr="004421C2">
                <w:rPr>
                  <w:rStyle w:val="Hyperlink"/>
                  <w:rFonts w:asciiTheme="minorHAnsi" w:hAnsiTheme="minorHAnsi" w:cstheme="minorHAnsi"/>
                  <w:color w:val="3333FF"/>
                  <w:kern w:val="24"/>
                  <w:sz w:val="22"/>
                  <w:szCs w:val="22"/>
                </w:rPr>
                <w:t>Betsey.John@mass.gov</w:t>
              </w:r>
            </w:hyperlink>
            <w:r w:rsidRPr="004421C2">
              <w:rPr>
                <w:rFonts w:asciiTheme="minorHAnsi" w:hAnsiTheme="minorHAnsi" w:cstheme="minorHAnsi"/>
                <w:color w:val="3333FF"/>
                <w:kern w:val="24"/>
                <w:sz w:val="22"/>
                <w:szCs w:val="22"/>
                <w:u w:val="single"/>
              </w:rPr>
              <w:t xml:space="preserve">  </w:t>
            </w:r>
          </w:p>
          <w:p w14:paraId="047C193F" w14:textId="77777777" w:rsidR="005D1FD3" w:rsidRPr="004421C2" w:rsidRDefault="005D1FD3" w:rsidP="0016095F">
            <w:pPr>
              <w:rPr>
                <w:rFonts w:cstheme="minorHAnsi"/>
                <w:color w:val="3333FF"/>
                <w:sz w:val="22"/>
              </w:rPr>
            </w:pPr>
            <w:r w:rsidRPr="004421C2">
              <w:rPr>
                <w:rFonts w:cstheme="minorHAnsi"/>
                <w:color w:val="3333FF"/>
                <w:kern w:val="24"/>
                <w:sz w:val="22"/>
              </w:rPr>
              <w:t>  </w:t>
            </w:r>
          </w:p>
        </w:tc>
        <w:tc>
          <w:tcPr>
            <w:tcW w:w="2023" w:type="dxa"/>
          </w:tcPr>
          <w:p w14:paraId="27E13A43"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617-983-6570</w:t>
            </w:r>
          </w:p>
          <w:p w14:paraId="0684F4E9" w14:textId="77777777" w:rsidR="005D1FD3" w:rsidRPr="00B10C1D" w:rsidRDefault="005D1FD3" w:rsidP="0016095F">
            <w:pPr>
              <w:rPr>
                <w:rFonts w:cstheme="minorHAnsi"/>
                <w:sz w:val="22"/>
              </w:rPr>
            </w:pPr>
            <w:r w:rsidRPr="00B10C1D">
              <w:rPr>
                <w:rFonts w:cstheme="minorHAnsi"/>
                <w:kern w:val="24"/>
                <w:sz w:val="22"/>
              </w:rPr>
              <w:t> </w:t>
            </w:r>
          </w:p>
        </w:tc>
      </w:tr>
      <w:tr w:rsidR="00991A6F" w:rsidRPr="00991A6F" w14:paraId="6217450E" w14:textId="77777777" w:rsidTr="00F75AB4">
        <w:tc>
          <w:tcPr>
            <w:tcW w:w="2136" w:type="dxa"/>
          </w:tcPr>
          <w:p w14:paraId="5D9EC4D9" w14:textId="77777777" w:rsidR="005D1FD3" w:rsidRPr="00B10C1D" w:rsidRDefault="005D1FD3" w:rsidP="0016095F">
            <w:pPr>
              <w:rPr>
                <w:rFonts w:cstheme="minorHAnsi"/>
                <w:sz w:val="22"/>
              </w:rPr>
            </w:pPr>
            <w:r w:rsidRPr="00B10C1D">
              <w:rPr>
                <w:rFonts w:cstheme="minorHAnsi"/>
                <w:kern w:val="24"/>
                <w:sz w:val="22"/>
              </w:rPr>
              <w:t xml:space="preserve">STD Clinical Services </w:t>
            </w:r>
          </w:p>
        </w:tc>
        <w:tc>
          <w:tcPr>
            <w:tcW w:w="2109" w:type="dxa"/>
          </w:tcPr>
          <w:p w14:paraId="2EF2A70E"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Katherine Hsu (Medical Director)</w:t>
            </w:r>
          </w:p>
          <w:p w14:paraId="2DFF7EFB" w14:textId="46149104" w:rsidR="005D1FD3" w:rsidRPr="00B10C1D" w:rsidRDefault="005D1FD3" w:rsidP="0016095F">
            <w:pPr>
              <w:rPr>
                <w:rFonts w:cstheme="minorHAnsi"/>
                <w:sz w:val="22"/>
              </w:rPr>
            </w:pPr>
            <w:r w:rsidRPr="00B10C1D">
              <w:rPr>
                <w:rFonts w:cstheme="minorHAnsi"/>
                <w:kern w:val="24"/>
                <w:sz w:val="22"/>
              </w:rPr>
              <w:t>Kaitlin Nichols</w:t>
            </w:r>
            <w:r w:rsidR="00F121E1">
              <w:rPr>
                <w:rFonts w:cstheme="minorHAnsi"/>
                <w:kern w:val="24"/>
                <w:sz w:val="22"/>
              </w:rPr>
              <w:t xml:space="preserve"> </w:t>
            </w:r>
            <w:r w:rsidRPr="00B10C1D">
              <w:rPr>
                <w:rFonts w:cstheme="minorHAnsi"/>
                <w:kern w:val="24"/>
                <w:sz w:val="22"/>
              </w:rPr>
              <w:t>(</w:t>
            </w:r>
            <w:r w:rsidR="00F121E1">
              <w:rPr>
                <w:rFonts w:cstheme="minorHAnsi"/>
                <w:kern w:val="24"/>
                <w:sz w:val="22"/>
              </w:rPr>
              <w:t xml:space="preserve">Senior </w:t>
            </w:r>
            <w:r w:rsidRPr="00B10C1D">
              <w:rPr>
                <w:rFonts w:cstheme="minorHAnsi"/>
                <w:kern w:val="24"/>
                <w:sz w:val="22"/>
              </w:rPr>
              <w:t>Public Health Nurse</w:t>
            </w:r>
            <w:r w:rsidR="00F121E1">
              <w:rPr>
                <w:rFonts w:cstheme="minorHAnsi"/>
                <w:kern w:val="24"/>
                <w:sz w:val="22"/>
              </w:rPr>
              <w:t xml:space="preserve"> for STI Prevention Projects</w:t>
            </w:r>
            <w:r w:rsidRPr="00B10C1D">
              <w:rPr>
                <w:rFonts w:cstheme="minorHAnsi"/>
                <w:kern w:val="24"/>
                <w:sz w:val="22"/>
              </w:rPr>
              <w:t>)</w:t>
            </w:r>
          </w:p>
        </w:tc>
        <w:tc>
          <w:tcPr>
            <w:tcW w:w="2840" w:type="dxa"/>
          </w:tcPr>
          <w:p w14:paraId="3DB7342E" w14:textId="77777777" w:rsidR="005D1FD3" w:rsidRPr="004421C2" w:rsidRDefault="005D1FD3" w:rsidP="0016095F">
            <w:pPr>
              <w:pStyle w:val="NormalWeb"/>
              <w:spacing w:before="0" w:beforeAutospacing="0" w:after="0" w:afterAutospacing="0"/>
              <w:rPr>
                <w:rFonts w:asciiTheme="minorHAnsi" w:hAnsiTheme="minorHAnsi" w:cstheme="minorHAnsi"/>
                <w:color w:val="3333FF"/>
                <w:sz w:val="22"/>
                <w:szCs w:val="22"/>
              </w:rPr>
            </w:pPr>
            <w:hyperlink r:id="rId91" w:history="1">
              <w:r w:rsidRPr="004421C2">
                <w:rPr>
                  <w:rStyle w:val="Hyperlink"/>
                  <w:rFonts w:asciiTheme="minorHAnsi" w:hAnsiTheme="minorHAnsi" w:cstheme="minorHAnsi"/>
                  <w:color w:val="3333FF"/>
                  <w:kern w:val="24"/>
                  <w:sz w:val="22"/>
                  <w:szCs w:val="22"/>
                </w:rPr>
                <w:t>Katherine.Hsu@mass.gov</w:t>
              </w:r>
            </w:hyperlink>
          </w:p>
          <w:p w14:paraId="3859B01D" w14:textId="77777777" w:rsidR="005D1FD3" w:rsidRPr="004421C2" w:rsidRDefault="005D1FD3" w:rsidP="0016095F">
            <w:pPr>
              <w:rPr>
                <w:rFonts w:cstheme="minorHAnsi"/>
                <w:color w:val="3333FF"/>
                <w:sz w:val="22"/>
              </w:rPr>
            </w:pPr>
            <w:hyperlink r:id="rId92" w:history="1">
              <w:r w:rsidRPr="004421C2">
                <w:rPr>
                  <w:rStyle w:val="Hyperlink"/>
                  <w:rFonts w:cstheme="minorHAnsi"/>
                  <w:color w:val="3333FF"/>
                  <w:kern w:val="24"/>
                  <w:sz w:val="22"/>
                </w:rPr>
                <w:t>Kaitlin.Nichols@mass.gov</w:t>
              </w:r>
            </w:hyperlink>
            <w:r w:rsidRPr="004421C2">
              <w:rPr>
                <w:rFonts w:cstheme="minorHAnsi"/>
                <w:color w:val="3333FF"/>
                <w:kern w:val="24"/>
                <w:sz w:val="22"/>
              </w:rPr>
              <w:t xml:space="preserve">    </w:t>
            </w:r>
          </w:p>
        </w:tc>
        <w:tc>
          <w:tcPr>
            <w:tcW w:w="2023" w:type="dxa"/>
          </w:tcPr>
          <w:p w14:paraId="63C6157C"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617-983-6948</w:t>
            </w:r>
          </w:p>
          <w:p w14:paraId="413324CB" w14:textId="77777777" w:rsidR="005D1FD3" w:rsidRPr="00B10C1D" w:rsidRDefault="005D1FD3" w:rsidP="0016095F">
            <w:pPr>
              <w:rPr>
                <w:rFonts w:cstheme="minorHAnsi"/>
                <w:sz w:val="22"/>
              </w:rPr>
            </w:pPr>
            <w:r w:rsidRPr="00B10C1D">
              <w:rPr>
                <w:rFonts w:cstheme="minorHAnsi"/>
                <w:kern w:val="24"/>
                <w:sz w:val="22"/>
              </w:rPr>
              <w:t>617-983-6959</w:t>
            </w:r>
          </w:p>
        </w:tc>
      </w:tr>
    </w:tbl>
    <w:p w14:paraId="0F9CFD93" w14:textId="77777777" w:rsidR="005D1FD3" w:rsidRPr="00991A6F" w:rsidRDefault="005D1FD3" w:rsidP="005D1FD3">
      <w:pPr>
        <w:ind w:left="360"/>
        <w:rPr>
          <w:b/>
          <w:bCs/>
          <w:color w:val="FF0000"/>
        </w:rPr>
      </w:pPr>
    </w:p>
    <w:p w14:paraId="14B8BBC8" w14:textId="77777777" w:rsidR="005D1FD3" w:rsidRPr="00B10C1D" w:rsidRDefault="005D1FD3" w:rsidP="005D1FD3">
      <w:pPr>
        <w:ind w:left="360"/>
      </w:pPr>
      <w:r w:rsidRPr="00B10C1D">
        <w:rPr>
          <w:b/>
          <w:bCs/>
        </w:rPr>
        <w:t>Table 2.</w:t>
      </w:r>
      <w:r w:rsidRPr="00B10C1D">
        <w:t xml:space="preserve"> </w:t>
      </w:r>
      <w:r w:rsidRPr="00B10C1D">
        <w:rPr>
          <w:b/>
          <w:bCs/>
        </w:rPr>
        <w:t>Office of HIV/AIDS</w:t>
      </w:r>
    </w:p>
    <w:tbl>
      <w:tblPr>
        <w:tblStyle w:val="TableGrid"/>
        <w:tblW w:w="0" w:type="auto"/>
        <w:tblLook w:val="06A0" w:firstRow="1" w:lastRow="0" w:firstColumn="1" w:lastColumn="0" w:noHBand="1" w:noVBand="1"/>
      </w:tblPr>
      <w:tblGrid>
        <w:gridCol w:w="2136"/>
        <w:gridCol w:w="2109"/>
        <w:gridCol w:w="2722"/>
        <w:gridCol w:w="2023"/>
      </w:tblGrid>
      <w:tr w:rsidR="00B10C1D" w:rsidRPr="00B10C1D" w14:paraId="60032754" w14:textId="77777777" w:rsidTr="00A010D9">
        <w:tc>
          <w:tcPr>
            <w:tcW w:w="2136" w:type="dxa"/>
          </w:tcPr>
          <w:p w14:paraId="0E08B729" w14:textId="77777777" w:rsidR="005D1FD3" w:rsidRPr="00B10C1D" w:rsidRDefault="005D1FD3" w:rsidP="0016095F">
            <w:pPr>
              <w:rPr>
                <w:rFonts w:cstheme="minorHAnsi"/>
                <w:b/>
                <w:bCs/>
                <w:sz w:val="22"/>
              </w:rPr>
            </w:pPr>
            <w:r w:rsidRPr="00B10C1D">
              <w:rPr>
                <w:rFonts w:cstheme="minorHAnsi"/>
                <w:b/>
                <w:bCs/>
                <w:sz w:val="22"/>
              </w:rPr>
              <w:t>Topic</w:t>
            </w:r>
          </w:p>
        </w:tc>
        <w:tc>
          <w:tcPr>
            <w:tcW w:w="2109" w:type="dxa"/>
          </w:tcPr>
          <w:p w14:paraId="7F6748A7" w14:textId="77777777" w:rsidR="005D1FD3" w:rsidRPr="00B10C1D" w:rsidRDefault="005D1FD3" w:rsidP="0016095F">
            <w:pPr>
              <w:rPr>
                <w:rFonts w:cstheme="minorHAnsi"/>
                <w:b/>
                <w:bCs/>
                <w:sz w:val="22"/>
              </w:rPr>
            </w:pPr>
            <w:r w:rsidRPr="00B10C1D">
              <w:rPr>
                <w:rFonts w:cstheme="minorHAnsi"/>
                <w:b/>
                <w:bCs/>
                <w:sz w:val="22"/>
              </w:rPr>
              <w:t>Contact</w:t>
            </w:r>
          </w:p>
        </w:tc>
        <w:tc>
          <w:tcPr>
            <w:tcW w:w="2722" w:type="dxa"/>
          </w:tcPr>
          <w:p w14:paraId="385B27AE" w14:textId="77777777" w:rsidR="005D1FD3" w:rsidRPr="00B10C1D" w:rsidRDefault="005D1FD3" w:rsidP="0016095F">
            <w:pPr>
              <w:rPr>
                <w:rFonts w:cstheme="minorHAnsi"/>
                <w:b/>
                <w:bCs/>
                <w:sz w:val="22"/>
              </w:rPr>
            </w:pPr>
            <w:r w:rsidRPr="00B10C1D">
              <w:rPr>
                <w:rFonts w:cstheme="minorHAnsi"/>
                <w:b/>
                <w:bCs/>
                <w:sz w:val="22"/>
              </w:rPr>
              <w:t>Email</w:t>
            </w:r>
          </w:p>
        </w:tc>
        <w:tc>
          <w:tcPr>
            <w:tcW w:w="2023" w:type="dxa"/>
          </w:tcPr>
          <w:p w14:paraId="1C0DFF2D" w14:textId="77777777" w:rsidR="005D1FD3" w:rsidRPr="00B10C1D" w:rsidRDefault="005D1FD3" w:rsidP="0016095F">
            <w:pPr>
              <w:rPr>
                <w:rFonts w:cstheme="minorHAnsi"/>
                <w:b/>
                <w:bCs/>
                <w:sz w:val="22"/>
              </w:rPr>
            </w:pPr>
            <w:r w:rsidRPr="00B10C1D">
              <w:rPr>
                <w:rFonts w:cstheme="minorHAnsi"/>
                <w:b/>
                <w:bCs/>
                <w:sz w:val="22"/>
              </w:rPr>
              <w:t>Phone</w:t>
            </w:r>
          </w:p>
        </w:tc>
      </w:tr>
      <w:tr w:rsidR="00867D81" w:rsidRPr="00991A6F" w14:paraId="4E40B797" w14:textId="77777777" w:rsidTr="00A010D9">
        <w:tc>
          <w:tcPr>
            <w:tcW w:w="2136" w:type="dxa"/>
          </w:tcPr>
          <w:p w14:paraId="7408B461" w14:textId="77777777" w:rsidR="00867D81" w:rsidRPr="00B10C1D" w:rsidRDefault="00867D81" w:rsidP="00867D81">
            <w:pPr>
              <w:rPr>
                <w:rFonts w:cstheme="minorHAnsi"/>
                <w:sz w:val="22"/>
              </w:rPr>
            </w:pPr>
            <w:r w:rsidRPr="00B10C1D">
              <w:rPr>
                <w:rFonts w:cstheme="minorHAnsi"/>
                <w:kern w:val="24"/>
                <w:sz w:val="22"/>
              </w:rPr>
              <w:t xml:space="preserve">HIV/AIDS Resource Allocation, Policy, and  Programs </w:t>
            </w:r>
          </w:p>
        </w:tc>
        <w:tc>
          <w:tcPr>
            <w:tcW w:w="2109" w:type="dxa"/>
          </w:tcPr>
          <w:p w14:paraId="0CFCD88A" w14:textId="300582BE" w:rsidR="00867D81" w:rsidRPr="00B10C1D" w:rsidRDefault="00867D81" w:rsidP="00867D81">
            <w:pPr>
              <w:rPr>
                <w:rFonts w:cstheme="minorHAnsi"/>
                <w:sz w:val="22"/>
              </w:rPr>
            </w:pPr>
            <w:r w:rsidRPr="00B10C1D">
              <w:rPr>
                <w:rFonts w:cstheme="minorHAnsi"/>
                <w:kern w:val="24"/>
                <w:sz w:val="22"/>
              </w:rPr>
              <w:t>Linda Goldman (Director, Office of HIV/AIDS)</w:t>
            </w:r>
          </w:p>
        </w:tc>
        <w:tc>
          <w:tcPr>
            <w:tcW w:w="2722" w:type="dxa"/>
          </w:tcPr>
          <w:p w14:paraId="71490019" w14:textId="70F116BA" w:rsidR="00867D81" w:rsidRPr="004421C2" w:rsidRDefault="00867D81" w:rsidP="00867D81">
            <w:pPr>
              <w:rPr>
                <w:rFonts w:cstheme="minorHAnsi"/>
                <w:color w:val="3333FF"/>
                <w:sz w:val="22"/>
              </w:rPr>
            </w:pPr>
            <w:hyperlink r:id="rId93" w:history="1">
              <w:r w:rsidRPr="004421C2">
                <w:rPr>
                  <w:rStyle w:val="Hyperlink"/>
                  <w:rFonts w:cstheme="minorHAnsi"/>
                  <w:color w:val="3333FF"/>
                  <w:kern w:val="24"/>
                  <w:sz w:val="22"/>
                </w:rPr>
                <w:t>Linda.Goldman@mass.gov</w:t>
              </w:r>
            </w:hyperlink>
          </w:p>
        </w:tc>
        <w:tc>
          <w:tcPr>
            <w:tcW w:w="2023" w:type="dxa"/>
          </w:tcPr>
          <w:p w14:paraId="43AFE714" w14:textId="1E0D6D9C" w:rsidR="00867D81" w:rsidRPr="00B10C1D" w:rsidRDefault="00867D81" w:rsidP="00867D81">
            <w:pPr>
              <w:rPr>
                <w:rFonts w:cstheme="minorHAnsi"/>
                <w:sz w:val="22"/>
              </w:rPr>
            </w:pPr>
            <w:r w:rsidRPr="00B10C1D">
              <w:rPr>
                <w:rFonts w:cstheme="minorHAnsi"/>
                <w:kern w:val="24"/>
                <w:sz w:val="22"/>
              </w:rPr>
              <w:t>617-624-5347</w:t>
            </w:r>
          </w:p>
        </w:tc>
      </w:tr>
      <w:tr w:rsidR="00991A6F" w:rsidRPr="00991A6F" w14:paraId="49FC907F" w14:textId="77777777" w:rsidTr="00A010D9">
        <w:tc>
          <w:tcPr>
            <w:tcW w:w="2136" w:type="dxa"/>
          </w:tcPr>
          <w:p w14:paraId="23D00714" w14:textId="77777777" w:rsidR="005D1FD3" w:rsidRPr="00B10C1D" w:rsidRDefault="005D1FD3" w:rsidP="0016095F">
            <w:pPr>
              <w:rPr>
                <w:rFonts w:cstheme="minorHAnsi"/>
                <w:sz w:val="22"/>
              </w:rPr>
            </w:pPr>
            <w:r w:rsidRPr="00B10C1D">
              <w:rPr>
                <w:rFonts w:cstheme="minorHAnsi"/>
                <w:kern w:val="24"/>
                <w:sz w:val="22"/>
              </w:rPr>
              <w:t>Health Promotion and Disease Prevention Services</w:t>
            </w:r>
          </w:p>
        </w:tc>
        <w:tc>
          <w:tcPr>
            <w:tcW w:w="2109" w:type="dxa"/>
          </w:tcPr>
          <w:p w14:paraId="7EAC6154" w14:textId="677F6BF4" w:rsidR="005D1FD3" w:rsidRPr="00B10C1D" w:rsidRDefault="005D1FD3" w:rsidP="0016095F">
            <w:pPr>
              <w:rPr>
                <w:rFonts w:cstheme="minorHAnsi"/>
                <w:sz w:val="22"/>
              </w:rPr>
            </w:pPr>
            <w:r w:rsidRPr="00B10C1D">
              <w:rPr>
                <w:rFonts w:cstheme="minorHAnsi"/>
                <w:kern w:val="24"/>
                <w:sz w:val="22"/>
              </w:rPr>
              <w:t>Linda Goldman (</w:t>
            </w:r>
            <w:r w:rsidR="00867D81" w:rsidRPr="00B10C1D">
              <w:rPr>
                <w:rFonts w:cstheme="minorHAnsi"/>
                <w:kern w:val="24"/>
                <w:sz w:val="22"/>
              </w:rPr>
              <w:t>Director, Office of HIV/AIDS</w:t>
            </w:r>
            <w:r w:rsidRPr="00B10C1D">
              <w:rPr>
                <w:rFonts w:cstheme="minorHAnsi"/>
                <w:kern w:val="24"/>
                <w:sz w:val="22"/>
              </w:rPr>
              <w:t>)</w:t>
            </w:r>
          </w:p>
        </w:tc>
        <w:tc>
          <w:tcPr>
            <w:tcW w:w="2722" w:type="dxa"/>
          </w:tcPr>
          <w:p w14:paraId="361ED644" w14:textId="77777777" w:rsidR="005D1FD3" w:rsidRPr="004421C2" w:rsidRDefault="005D1FD3" w:rsidP="0016095F">
            <w:pPr>
              <w:rPr>
                <w:rFonts w:cstheme="minorHAnsi"/>
                <w:color w:val="3333FF"/>
                <w:sz w:val="22"/>
              </w:rPr>
            </w:pPr>
            <w:hyperlink r:id="rId94" w:history="1">
              <w:r w:rsidRPr="004421C2">
                <w:rPr>
                  <w:rStyle w:val="Hyperlink"/>
                  <w:rFonts w:cstheme="minorHAnsi"/>
                  <w:color w:val="3333FF"/>
                  <w:kern w:val="24"/>
                  <w:sz w:val="22"/>
                </w:rPr>
                <w:t>Linda.Goldman@mass.gov</w:t>
              </w:r>
            </w:hyperlink>
          </w:p>
        </w:tc>
        <w:tc>
          <w:tcPr>
            <w:tcW w:w="2023" w:type="dxa"/>
          </w:tcPr>
          <w:p w14:paraId="580EC731" w14:textId="77777777" w:rsidR="005D1FD3" w:rsidRPr="00B10C1D" w:rsidRDefault="005D1FD3" w:rsidP="0016095F">
            <w:pPr>
              <w:rPr>
                <w:rFonts w:cstheme="minorHAnsi"/>
                <w:sz w:val="22"/>
              </w:rPr>
            </w:pPr>
            <w:r w:rsidRPr="00B10C1D">
              <w:rPr>
                <w:rFonts w:cstheme="minorHAnsi"/>
                <w:kern w:val="24"/>
                <w:sz w:val="22"/>
              </w:rPr>
              <w:t>617-624-5347</w:t>
            </w:r>
          </w:p>
        </w:tc>
      </w:tr>
      <w:tr w:rsidR="005D1FD3" w:rsidRPr="00991A6F" w14:paraId="6B07FD98" w14:textId="77777777" w:rsidTr="00A010D9">
        <w:tc>
          <w:tcPr>
            <w:tcW w:w="2136" w:type="dxa"/>
          </w:tcPr>
          <w:p w14:paraId="79402EFA" w14:textId="77777777" w:rsidR="005D1FD3" w:rsidRPr="00B10C1D" w:rsidRDefault="005D1FD3" w:rsidP="0016095F">
            <w:pPr>
              <w:rPr>
                <w:rFonts w:cstheme="minorHAnsi"/>
                <w:sz w:val="22"/>
              </w:rPr>
            </w:pPr>
            <w:r w:rsidRPr="00B10C1D">
              <w:rPr>
                <w:rFonts w:cstheme="minorHAnsi"/>
                <w:kern w:val="24"/>
                <w:sz w:val="22"/>
              </w:rPr>
              <w:t>Behavioral Health and Community Engagement</w:t>
            </w:r>
          </w:p>
        </w:tc>
        <w:tc>
          <w:tcPr>
            <w:tcW w:w="2109" w:type="dxa"/>
          </w:tcPr>
          <w:p w14:paraId="2E571AAB"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 xml:space="preserve">Barry Callis </w:t>
            </w:r>
          </w:p>
          <w:p w14:paraId="5EA6D0AF" w14:textId="77777777" w:rsidR="005D1FD3" w:rsidRPr="00B10C1D" w:rsidRDefault="005D1FD3" w:rsidP="0016095F">
            <w:pPr>
              <w:rPr>
                <w:rFonts w:cstheme="minorHAnsi"/>
                <w:sz w:val="22"/>
              </w:rPr>
            </w:pPr>
            <w:r w:rsidRPr="00B10C1D">
              <w:rPr>
                <w:rFonts w:cstheme="minorHAnsi"/>
                <w:kern w:val="24"/>
                <w:sz w:val="22"/>
              </w:rPr>
              <w:t>(Director of Behavioral Health and Infectious Disease Prevention</w:t>
            </w:r>
          </w:p>
        </w:tc>
        <w:tc>
          <w:tcPr>
            <w:tcW w:w="2722" w:type="dxa"/>
          </w:tcPr>
          <w:p w14:paraId="40A0BD1D" w14:textId="77777777" w:rsidR="005D1FD3" w:rsidRPr="004421C2" w:rsidRDefault="005D1FD3" w:rsidP="0016095F">
            <w:pPr>
              <w:rPr>
                <w:rFonts w:cstheme="minorHAnsi"/>
                <w:color w:val="3333FF"/>
                <w:sz w:val="22"/>
              </w:rPr>
            </w:pPr>
            <w:hyperlink r:id="rId95" w:history="1">
              <w:r w:rsidRPr="004421C2">
                <w:rPr>
                  <w:rStyle w:val="Hyperlink"/>
                  <w:rFonts w:cstheme="minorHAnsi"/>
                  <w:color w:val="3333FF"/>
                  <w:kern w:val="24"/>
                  <w:sz w:val="22"/>
                </w:rPr>
                <w:t>Barry.Callis@mass.gov</w:t>
              </w:r>
            </w:hyperlink>
          </w:p>
        </w:tc>
        <w:tc>
          <w:tcPr>
            <w:tcW w:w="2023" w:type="dxa"/>
          </w:tcPr>
          <w:p w14:paraId="7183DED1" w14:textId="77777777" w:rsidR="005D1FD3" w:rsidRPr="00B10C1D" w:rsidRDefault="005D1FD3" w:rsidP="0016095F">
            <w:pPr>
              <w:rPr>
                <w:rFonts w:cstheme="minorHAnsi"/>
                <w:sz w:val="22"/>
              </w:rPr>
            </w:pPr>
            <w:r w:rsidRPr="00B10C1D">
              <w:rPr>
                <w:rFonts w:cstheme="minorHAnsi"/>
                <w:kern w:val="24"/>
                <w:sz w:val="22"/>
              </w:rPr>
              <w:t>617-624-5316</w:t>
            </w:r>
          </w:p>
        </w:tc>
      </w:tr>
    </w:tbl>
    <w:p w14:paraId="2C98B239" w14:textId="77777777" w:rsidR="005D1FD3" w:rsidRPr="00991A6F" w:rsidRDefault="005D1FD3" w:rsidP="005D1FD3">
      <w:pPr>
        <w:ind w:left="360"/>
        <w:rPr>
          <w:color w:val="FF0000"/>
        </w:rPr>
      </w:pPr>
    </w:p>
    <w:p w14:paraId="78F9EDE0" w14:textId="77777777" w:rsidR="005D1FD3" w:rsidRPr="00991A6F" w:rsidRDefault="005D1FD3" w:rsidP="005D1FD3">
      <w:pPr>
        <w:ind w:left="360"/>
        <w:rPr>
          <w:b/>
          <w:bCs/>
          <w:color w:val="FF0000"/>
        </w:rPr>
      </w:pPr>
      <w:r w:rsidRPr="00991A6F">
        <w:rPr>
          <w:b/>
          <w:bCs/>
          <w:color w:val="FF0000"/>
        </w:rPr>
        <w:br w:type="page"/>
      </w:r>
    </w:p>
    <w:p w14:paraId="27279AEB" w14:textId="77777777" w:rsidR="005D1FD3" w:rsidRPr="00B10C1D" w:rsidRDefault="005D1FD3" w:rsidP="005D1FD3">
      <w:pPr>
        <w:ind w:left="360"/>
      </w:pPr>
      <w:r w:rsidRPr="00B10C1D">
        <w:rPr>
          <w:b/>
          <w:bCs/>
        </w:rPr>
        <w:lastRenderedPageBreak/>
        <w:t>Table 3. Viral Hepatitis Program</w:t>
      </w:r>
    </w:p>
    <w:tbl>
      <w:tblPr>
        <w:tblStyle w:val="TableGrid"/>
        <w:tblW w:w="0" w:type="auto"/>
        <w:tblLook w:val="06A0" w:firstRow="1" w:lastRow="0" w:firstColumn="1" w:lastColumn="0" w:noHBand="1" w:noVBand="1"/>
      </w:tblPr>
      <w:tblGrid>
        <w:gridCol w:w="2136"/>
        <w:gridCol w:w="2109"/>
        <w:gridCol w:w="2910"/>
        <w:gridCol w:w="2023"/>
      </w:tblGrid>
      <w:tr w:rsidR="00991A6F" w:rsidRPr="00991A6F" w14:paraId="34B97F2F" w14:textId="77777777" w:rsidTr="72629E8A">
        <w:tc>
          <w:tcPr>
            <w:tcW w:w="2136" w:type="dxa"/>
          </w:tcPr>
          <w:p w14:paraId="356EFC9E" w14:textId="77777777" w:rsidR="005D1FD3" w:rsidRPr="00B10C1D" w:rsidRDefault="005D1FD3" w:rsidP="0016095F">
            <w:pPr>
              <w:rPr>
                <w:rFonts w:cstheme="minorHAnsi"/>
                <w:b/>
                <w:bCs/>
                <w:sz w:val="22"/>
              </w:rPr>
            </w:pPr>
            <w:r w:rsidRPr="00B10C1D">
              <w:rPr>
                <w:rFonts w:cstheme="minorHAnsi"/>
                <w:b/>
                <w:bCs/>
                <w:sz w:val="22"/>
              </w:rPr>
              <w:t>Topic</w:t>
            </w:r>
          </w:p>
        </w:tc>
        <w:tc>
          <w:tcPr>
            <w:tcW w:w="2109" w:type="dxa"/>
          </w:tcPr>
          <w:p w14:paraId="7DDE0BAB" w14:textId="77777777" w:rsidR="005D1FD3" w:rsidRPr="00B10C1D" w:rsidRDefault="005D1FD3" w:rsidP="0016095F">
            <w:pPr>
              <w:rPr>
                <w:rFonts w:cstheme="minorHAnsi"/>
                <w:b/>
                <w:bCs/>
                <w:sz w:val="22"/>
              </w:rPr>
            </w:pPr>
            <w:r w:rsidRPr="00B10C1D">
              <w:rPr>
                <w:rFonts w:cstheme="minorHAnsi"/>
                <w:b/>
                <w:bCs/>
                <w:sz w:val="22"/>
              </w:rPr>
              <w:t>Contact</w:t>
            </w:r>
          </w:p>
        </w:tc>
        <w:tc>
          <w:tcPr>
            <w:tcW w:w="2722" w:type="dxa"/>
          </w:tcPr>
          <w:p w14:paraId="4A7289E5" w14:textId="77777777" w:rsidR="005D1FD3" w:rsidRPr="00B10C1D" w:rsidRDefault="005D1FD3" w:rsidP="0016095F">
            <w:pPr>
              <w:rPr>
                <w:rFonts w:cstheme="minorHAnsi"/>
                <w:b/>
                <w:bCs/>
                <w:sz w:val="22"/>
              </w:rPr>
            </w:pPr>
            <w:r w:rsidRPr="00B10C1D">
              <w:rPr>
                <w:rFonts w:cstheme="minorHAnsi"/>
                <w:b/>
                <w:bCs/>
                <w:sz w:val="22"/>
              </w:rPr>
              <w:t>Email</w:t>
            </w:r>
          </w:p>
        </w:tc>
        <w:tc>
          <w:tcPr>
            <w:tcW w:w="2023" w:type="dxa"/>
          </w:tcPr>
          <w:p w14:paraId="2720E9E3" w14:textId="77777777" w:rsidR="005D1FD3" w:rsidRPr="00B10C1D" w:rsidRDefault="005D1FD3" w:rsidP="0016095F">
            <w:pPr>
              <w:rPr>
                <w:rFonts w:cstheme="minorHAnsi"/>
                <w:b/>
                <w:bCs/>
                <w:sz w:val="22"/>
              </w:rPr>
            </w:pPr>
            <w:r w:rsidRPr="00B10C1D">
              <w:rPr>
                <w:rFonts w:cstheme="minorHAnsi"/>
                <w:b/>
                <w:bCs/>
                <w:sz w:val="22"/>
              </w:rPr>
              <w:t>Phone</w:t>
            </w:r>
          </w:p>
        </w:tc>
      </w:tr>
      <w:tr w:rsidR="005D1FD3" w:rsidRPr="00991A6F" w14:paraId="7D9AEC40" w14:textId="77777777" w:rsidTr="72629E8A">
        <w:tc>
          <w:tcPr>
            <w:tcW w:w="2136" w:type="dxa"/>
          </w:tcPr>
          <w:p w14:paraId="4B51001F" w14:textId="77777777" w:rsidR="005D1FD3" w:rsidRPr="00B10C1D" w:rsidRDefault="005D1FD3" w:rsidP="0016095F">
            <w:pPr>
              <w:rPr>
                <w:rFonts w:cstheme="minorHAnsi"/>
                <w:sz w:val="22"/>
              </w:rPr>
            </w:pPr>
            <w:r w:rsidRPr="00B10C1D">
              <w:rPr>
                <w:rFonts w:cstheme="minorHAnsi"/>
                <w:kern w:val="24"/>
                <w:sz w:val="22"/>
              </w:rPr>
              <w:t>Viral Hepatitis Surveillance and Epidemiology</w:t>
            </w:r>
          </w:p>
        </w:tc>
        <w:tc>
          <w:tcPr>
            <w:tcW w:w="2109" w:type="dxa"/>
          </w:tcPr>
          <w:p w14:paraId="7D7E7B20"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eastAsiaTheme="minorEastAsia" w:hAnsiTheme="minorHAnsi" w:cstheme="minorHAnsi"/>
                <w:kern w:val="24"/>
                <w:sz w:val="22"/>
                <w:szCs w:val="22"/>
              </w:rPr>
              <w:t>Lindsay Bouton (Programmatic epidemiologist for hepatitis A and B)</w:t>
            </w:r>
          </w:p>
          <w:p w14:paraId="784680F8" w14:textId="616CCA2C"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eastAsiaTheme="minorEastAsia" w:hAnsiTheme="minorHAnsi" w:cstheme="minorHAnsi"/>
                <w:kern w:val="24"/>
                <w:sz w:val="22"/>
                <w:szCs w:val="22"/>
              </w:rPr>
              <w:t>Anthony Osinski (</w:t>
            </w:r>
            <w:r w:rsidR="008203AA">
              <w:rPr>
                <w:rFonts w:asciiTheme="minorHAnsi" w:eastAsiaTheme="minorEastAsia" w:hAnsiTheme="minorHAnsi" w:cstheme="minorHAnsi"/>
                <w:kern w:val="24"/>
                <w:sz w:val="22"/>
                <w:szCs w:val="22"/>
              </w:rPr>
              <w:t>Hepatitis C</w:t>
            </w:r>
            <w:r w:rsidR="000D335B">
              <w:rPr>
                <w:rFonts w:asciiTheme="minorHAnsi" w:eastAsiaTheme="minorEastAsia" w:hAnsiTheme="minorHAnsi" w:cstheme="minorHAnsi"/>
                <w:kern w:val="24"/>
                <w:sz w:val="22"/>
                <w:szCs w:val="22"/>
              </w:rPr>
              <w:t xml:space="preserve"> Surveillance Coordinator</w:t>
            </w:r>
            <w:r w:rsidRPr="00B10C1D">
              <w:rPr>
                <w:rFonts w:asciiTheme="minorHAnsi" w:eastAsiaTheme="minorEastAsia" w:hAnsiTheme="minorHAnsi" w:cstheme="minorHAnsi"/>
                <w:kern w:val="24"/>
                <w:sz w:val="22"/>
                <w:szCs w:val="22"/>
              </w:rPr>
              <w:t>)</w:t>
            </w:r>
          </w:p>
          <w:p w14:paraId="43CE9E28" w14:textId="74055067" w:rsidR="005D1FD3" w:rsidRPr="00B10C1D" w:rsidRDefault="76BF039F" w:rsidP="72629E8A">
            <w:pPr>
              <w:rPr>
                <w:sz w:val="22"/>
              </w:rPr>
            </w:pPr>
            <w:r w:rsidRPr="72629E8A">
              <w:rPr>
                <w:rFonts w:eastAsiaTheme="minorEastAsia"/>
                <w:kern w:val="24"/>
                <w:sz w:val="22"/>
              </w:rPr>
              <w:t>Caroline Krawczyk</w:t>
            </w:r>
            <w:r w:rsidR="005D1FD3" w:rsidRPr="72629E8A">
              <w:rPr>
                <w:rFonts w:eastAsiaTheme="minorEastAsia"/>
                <w:kern w:val="24"/>
                <w:sz w:val="22"/>
              </w:rPr>
              <w:t xml:space="preserve"> (Surveillance epidemiologist </w:t>
            </w:r>
            <w:r w:rsidR="000D335B">
              <w:rPr>
                <w:rFonts w:eastAsiaTheme="minorEastAsia"/>
                <w:kern w:val="24"/>
                <w:sz w:val="22"/>
              </w:rPr>
              <w:t>– Viral Hepatitis, Arbovirus, and Zoonotic</w:t>
            </w:r>
            <w:r w:rsidR="005D1FD3" w:rsidRPr="72629E8A">
              <w:rPr>
                <w:rFonts w:eastAsiaTheme="minorEastAsia"/>
                <w:kern w:val="24"/>
                <w:sz w:val="22"/>
              </w:rPr>
              <w:t>)</w:t>
            </w:r>
          </w:p>
        </w:tc>
        <w:tc>
          <w:tcPr>
            <w:tcW w:w="2722" w:type="dxa"/>
          </w:tcPr>
          <w:p w14:paraId="68964C4E" w14:textId="77777777" w:rsidR="005D1FD3" w:rsidRPr="004421C2" w:rsidRDefault="005D1FD3" w:rsidP="0016095F">
            <w:pPr>
              <w:pStyle w:val="NormalWeb"/>
              <w:spacing w:before="0" w:beforeAutospacing="0" w:after="0" w:afterAutospacing="0"/>
              <w:rPr>
                <w:rFonts w:asciiTheme="minorHAnsi" w:hAnsiTheme="minorHAnsi" w:cstheme="minorHAnsi"/>
                <w:color w:val="3333FF"/>
                <w:sz w:val="22"/>
                <w:szCs w:val="22"/>
              </w:rPr>
            </w:pPr>
            <w:hyperlink r:id="rId96" w:history="1">
              <w:r w:rsidRPr="004421C2">
                <w:rPr>
                  <w:rStyle w:val="Hyperlink"/>
                  <w:rFonts w:asciiTheme="minorHAnsi" w:eastAsiaTheme="minorEastAsia" w:hAnsiTheme="minorHAnsi" w:cstheme="minorHAnsi"/>
                  <w:color w:val="3333FF"/>
                  <w:kern w:val="24"/>
                  <w:sz w:val="22"/>
                  <w:szCs w:val="22"/>
                </w:rPr>
                <w:t>Lindsay.Bouton@mass.gov</w:t>
              </w:r>
            </w:hyperlink>
          </w:p>
          <w:p w14:paraId="68FA3C20" w14:textId="77777777" w:rsidR="005D1FD3" w:rsidRPr="004421C2" w:rsidRDefault="005D1FD3" w:rsidP="0016095F">
            <w:pPr>
              <w:pStyle w:val="NormalWeb"/>
              <w:spacing w:before="0" w:beforeAutospacing="0" w:after="0" w:afterAutospacing="0"/>
              <w:rPr>
                <w:rFonts w:asciiTheme="minorHAnsi" w:hAnsiTheme="minorHAnsi" w:cstheme="minorHAnsi"/>
                <w:color w:val="3333FF"/>
                <w:sz w:val="22"/>
                <w:szCs w:val="22"/>
              </w:rPr>
            </w:pPr>
            <w:hyperlink r:id="rId97" w:history="1">
              <w:r w:rsidRPr="004421C2">
                <w:rPr>
                  <w:rStyle w:val="Hyperlink"/>
                  <w:rFonts w:asciiTheme="minorHAnsi" w:eastAsiaTheme="minorEastAsia" w:hAnsiTheme="minorHAnsi" w:cstheme="minorHAnsi"/>
                  <w:color w:val="3333FF"/>
                  <w:kern w:val="24"/>
                  <w:sz w:val="22"/>
                  <w:szCs w:val="22"/>
                </w:rPr>
                <w:t>Anthony.Osinski@mass.gov</w:t>
              </w:r>
            </w:hyperlink>
          </w:p>
          <w:p w14:paraId="62E19820" w14:textId="18FE7DAD" w:rsidR="005D1FD3" w:rsidRPr="00991A6F" w:rsidRDefault="7B76AC97" w:rsidP="72629E8A">
            <w:pPr>
              <w:rPr>
                <w:color w:val="FF0000"/>
                <w:sz w:val="22"/>
              </w:rPr>
            </w:pPr>
            <w:r w:rsidRPr="72629E8A">
              <w:rPr>
                <w:rFonts w:eastAsiaTheme="minorEastAsia"/>
                <w:color w:val="3333FF"/>
                <w:kern w:val="24"/>
                <w:sz w:val="22"/>
                <w:u w:val="single"/>
              </w:rPr>
              <w:t>Caroline.P.Krawczyk@mass.gov</w:t>
            </w:r>
          </w:p>
        </w:tc>
        <w:tc>
          <w:tcPr>
            <w:tcW w:w="2023" w:type="dxa"/>
          </w:tcPr>
          <w:p w14:paraId="0395F12D"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617-983-6800</w:t>
            </w:r>
          </w:p>
          <w:p w14:paraId="2A51EDE4" w14:textId="77777777" w:rsidR="005D1FD3" w:rsidRPr="00B10C1D" w:rsidRDefault="005D1FD3" w:rsidP="0016095F">
            <w:pPr>
              <w:pStyle w:val="NormalWeb"/>
              <w:spacing w:before="0" w:beforeAutospacing="0" w:after="0" w:afterAutospacing="0"/>
              <w:rPr>
                <w:rFonts w:asciiTheme="minorHAnsi" w:hAnsiTheme="minorHAnsi" w:cstheme="minorHAnsi"/>
                <w:sz w:val="22"/>
                <w:szCs w:val="22"/>
              </w:rPr>
            </w:pPr>
            <w:r w:rsidRPr="00B10C1D">
              <w:rPr>
                <w:rFonts w:asciiTheme="minorHAnsi" w:hAnsiTheme="minorHAnsi" w:cstheme="minorHAnsi"/>
                <w:kern w:val="24"/>
                <w:sz w:val="22"/>
                <w:szCs w:val="22"/>
              </w:rPr>
              <w:t>617-983-6800</w:t>
            </w:r>
          </w:p>
          <w:p w14:paraId="2420138E" w14:textId="77777777" w:rsidR="005D1FD3" w:rsidRPr="00B10C1D" w:rsidRDefault="005D1FD3" w:rsidP="0016095F">
            <w:pPr>
              <w:rPr>
                <w:rFonts w:cstheme="minorHAnsi"/>
                <w:sz w:val="22"/>
              </w:rPr>
            </w:pPr>
            <w:r w:rsidRPr="00B10C1D">
              <w:rPr>
                <w:rFonts w:cstheme="minorHAnsi"/>
                <w:kern w:val="24"/>
                <w:sz w:val="22"/>
              </w:rPr>
              <w:t>617-983-6801</w:t>
            </w:r>
          </w:p>
        </w:tc>
      </w:tr>
    </w:tbl>
    <w:p w14:paraId="3B663FE6" w14:textId="77777777" w:rsidR="005D1FD3" w:rsidRPr="00991A6F" w:rsidRDefault="005D1FD3" w:rsidP="005D1FD3">
      <w:pPr>
        <w:ind w:left="360"/>
        <w:rPr>
          <w:color w:val="FF0000"/>
        </w:rPr>
      </w:pPr>
    </w:p>
    <w:p w14:paraId="5CAE1CB7" w14:textId="77777777" w:rsidR="005D1FD3" w:rsidRPr="00991A6F" w:rsidRDefault="005D1FD3" w:rsidP="005D1FD3">
      <w:pPr>
        <w:ind w:left="360"/>
        <w:rPr>
          <w:color w:val="FF0000"/>
        </w:rPr>
      </w:pPr>
      <w:r w:rsidRPr="00991A6F">
        <w:rPr>
          <w:color w:val="FF0000"/>
        </w:rPr>
        <w:br w:type="page"/>
      </w:r>
    </w:p>
    <w:p w14:paraId="21B3B137" w14:textId="5EDD43BA" w:rsidR="005D1FD3" w:rsidRPr="009C32E7" w:rsidRDefault="00F70127" w:rsidP="38A4F72D">
      <w:pPr>
        <w:pStyle w:val="Heading1"/>
      </w:pPr>
      <w:bookmarkStart w:id="83" w:name="_Toc199258604"/>
      <w:r>
        <w:lastRenderedPageBreak/>
        <w:t xml:space="preserve">ADDITIONAL </w:t>
      </w:r>
      <w:r w:rsidR="005D1FD3">
        <w:t>HIV, ST</w:t>
      </w:r>
      <w:r>
        <w:t>I</w:t>
      </w:r>
      <w:r w:rsidR="005D1FD3">
        <w:t>, AND VIRAL HEPATITIS RESOURCES</w:t>
      </w:r>
      <w:bookmarkEnd w:id="83"/>
    </w:p>
    <w:p w14:paraId="46963689" w14:textId="15F80E7C" w:rsidR="00AE3188" w:rsidRPr="009C32E7" w:rsidRDefault="00AE3188" w:rsidP="00AE3188">
      <w:r w:rsidRPr="009C32E7">
        <w:t xml:space="preserve"> </w:t>
      </w:r>
    </w:p>
    <w:tbl>
      <w:tblPr>
        <w:tblStyle w:val="TableGrid"/>
        <w:tblW w:w="10080" w:type="dxa"/>
        <w:tblLook w:val="0620" w:firstRow="1" w:lastRow="0" w:firstColumn="0" w:lastColumn="0" w:noHBand="1" w:noVBand="1"/>
      </w:tblPr>
      <w:tblGrid>
        <w:gridCol w:w="4560"/>
        <w:gridCol w:w="5520"/>
      </w:tblGrid>
      <w:tr w:rsidR="009C32E7" w:rsidRPr="009C32E7" w14:paraId="060A9569" w14:textId="77777777" w:rsidTr="72629E8A">
        <w:tc>
          <w:tcPr>
            <w:tcW w:w="4560" w:type="dxa"/>
            <w:hideMark/>
          </w:tcPr>
          <w:p w14:paraId="0BB701A3" w14:textId="42FFDDEC" w:rsidR="00AE3188" w:rsidRPr="009C32E7" w:rsidRDefault="00AE3188" w:rsidP="0016095F">
            <w:pPr>
              <w:rPr>
                <w:sz w:val="20"/>
                <w:szCs w:val="20"/>
              </w:rPr>
            </w:pPr>
            <w:r w:rsidRPr="009C32E7">
              <w:rPr>
                <w:b/>
                <w:bCs/>
                <w:sz w:val="20"/>
                <w:szCs w:val="20"/>
              </w:rPr>
              <w:t>T</w:t>
            </w:r>
            <w:r w:rsidR="00646A41">
              <w:rPr>
                <w:b/>
                <w:bCs/>
                <w:sz w:val="20"/>
                <w:szCs w:val="20"/>
              </w:rPr>
              <w:t>opic</w:t>
            </w:r>
          </w:p>
        </w:tc>
        <w:tc>
          <w:tcPr>
            <w:tcW w:w="5520" w:type="dxa"/>
            <w:hideMark/>
          </w:tcPr>
          <w:p w14:paraId="06C671DB" w14:textId="77777777" w:rsidR="00AE3188" w:rsidRPr="009C32E7" w:rsidRDefault="00AE3188" w:rsidP="0016095F">
            <w:pPr>
              <w:rPr>
                <w:sz w:val="20"/>
                <w:szCs w:val="20"/>
              </w:rPr>
            </w:pPr>
            <w:r w:rsidRPr="009C32E7">
              <w:rPr>
                <w:b/>
                <w:bCs/>
                <w:sz w:val="20"/>
                <w:szCs w:val="20"/>
              </w:rPr>
              <w:t>Contact Information and Website</w:t>
            </w:r>
          </w:p>
        </w:tc>
      </w:tr>
      <w:tr w:rsidR="009C32E7" w:rsidRPr="009C32E7" w14:paraId="7D7B8620" w14:textId="77777777" w:rsidTr="72629E8A">
        <w:trPr>
          <w:trHeight w:val="477"/>
        </w:trPr>
        <w:tc>
          <w:tcPr>
            <w:tcW w:w="4560" w:type="dxa"/>
            <w:hideMark/>
          </w:tcPr>
          <w:p w14:paraId="5F128F1F" w14:textId="3E23FC1D" w:rsidR="00AE3188" w:rsidRPr="00646A41" w:rsidRDefault="00285320" w:rsidP="0016095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kern w:val="24"/>
                <w:sz w:val="22"/>
                <w:szCs w:val="22"/>
              </w:rPr>
              <w:t>STI</w:t>
            </w:r>
            <w:r w:rsidR="00AE3188" w:rsidRPr="00646A41">
              <w:rPr>
                <w:rFonts w:asciiTheme="minorHAnsi" w:hAnsiTheme="minorHAnsi" w:cstheme="minorHAnsi"/>
                <w:kern w:val="24"/>
                <w:sz w:val="22"/>
                <w:szCs w:val="22"/>
              </w:rPr>
              <w:t xml:space="preserve"> Education, </w:t>
            </w:r>
            <w:r>
              <w:rPr>
                <w:rFonts w:asciiTheme="minorHAnsi" w:hAnsiTheme="minorHAnsi" w:cstheme="minorHAnsi"/>
                <w:kern w:val="24"/>
                <w:sz w:val="22"/>
                <w:szCs w:val="22"/>
              </w:rPr>
              <w:t>STI</w:t>
            </w:r>
            <w:r w:rsidR="00AE3188" w:rsidRPr="00646A41">
              <w:rPr>
                <w:rFonts w:asciiTheme="minorHAnsi" w:hAnsiTheme="minorHAnsi" w:cstheme="minorHAnsi"/>
                <w:kern w:val="24"/>
                <w:sz w:val="22"/>
                <w:szCs w:val="22"/>
              </w:rPr>
              <w:t xml:space="preserve"> Partner Notification, and </w:t>
            </w:r>
          </w:p>
          <w:p w14:paraId="66097805" w14:textId="5B8C4C22" w:rsidR="00AE3188" w:rsidRPr="00646A41" w:rsidRDefault="00285320" w:rsidP="0016095F">
            <w:pPr>
              <w:rPr>
                <w:rFonts w:cstheme="minorHAnsi"/>
                <w:sz w:val="22"/>
              </w:rPr>
            </w:pPr>
            <w:r>
              <w:rPr>
                <w:rFonts w:cstheme="minorHAnsi"/>
                <w:kern w:val="24"/>
                <w:sz w:val="22"/>
              </w:rPr>
              <w:t>STI</w:t>
            </w:r>
            <w:r w:rsidR="00AE3188" w:rsidRPr="00646A41">
              <w:rPr>
                <w:rFonts w:cstheme="minorHAnsi"/>
                <w:kern w:val="24"/>
                <w:sz w:val="22"/>
              </w:rPr>
              <w:t xml:space="preserve"> Reporting </w:t>
            </w:r>
          </w:p>
        </w:tc>
        <w:tc>
          <w:tcPr>
            <w:tcW w:w="5520" w:type="dxa"/>
            <w:hideMark/>
          </w:tcPr>
          <w:p w14:paraId="144E36E7"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617-983-6940</w:t>
            </w:r>
          </w:p>
          <w:p w14:paraId="179D02A7" w14:textId="77777777" w:rsidR="00AE3188" w:rsidRPr="00646A41" w:rsidRDefault="00AE3188" w:rsidP="0016095F">
            <w:pPr>
              <w:rPr>
                <w:rFonts w:cstheme="minorHAnsi"/>
                <w:sz w:val="22"/>
              </w:rPr>
            </w:pPr>
            <w:hyperlink r:id="rId98" w:history="1">
              <w:r w:rsidRPr="00646A41">
                <w:rPr>
                  <w:rStyle w:val="Hyperlink"/>
                  <w:rFonts w:cstheme="minorHAnsi"/>
                  <w:color w:val="3333FF"/>
                  <w:kern w:val="24"/>
                  <w:sz w:val="22"/>
                </w:rPr>
                <w:t>www.mass.gov/dph/cdc/std</w:t>
              </w:r>
            </w:hyperlink>
          </w:p>
        </w:tc>
      </w:tr>
      <w:tr w:rsidR="009C32E7" w:rsidRPr="009C32E7" w14:paraId="604FC03E" w14:textId="77777777" w:rsidTr="72629E8A">
        <w:tc>
          <w:tcPr>
            <w:tcW w:w="4560" w:type="dxa"/>
            <w:hideMark/>
          </w:tcPr>
          <w:p w14:paraId="06D56214" w14:textId="77777777" w:rsidR="00AE3188" w:rsidRPr="00646A41" w:rsidRDefault="00AE3188" w:rsidP="0016095F">
            <w:pPr>
              <w:rPr>
                <w:rFonts w:cstheme="minorHAnsi"/>
                <w:sz w:val="22"/>
              </w:rPr>
            </w:pPr>
            <w:r w:rsidRPr="00646A41">
              <w:rPr>
                <w:rFonts w:cstheme="minorHAnsi"/>
                <w:kern w:val="24"/>
                <w:sz w:val="22"/>
              </w:rPr>
              <w:t>HIV Reporting and Surveillance Projects</w:t>
            </w:r>
          </w:p>
        </w:tc>
        <w:tc>
          <w:tcPr>
            <w:tcW w:w="5520" w:type="dxa"/>
            <w:hideMark/>
          </w:tcPr>
          <w:p w14:paraId="432054D5"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617-983-6560</w:t>
            </w:r>
          </w:p>
          <w:p w14:paraId="4A6358BA" w14:textId="77777777" w:rsidR="00AE3188" w:rsidRPr="00646A41" w:rsidRDefault="00AE3188" w:rsidP="0016095F">
            <w:pPr>
              <w:rPr>
                <w:rFonts w:cstheme="minorHAnsi"/>
                <w:sz w:val="22"/>
              </w:rPr>
            </w:pPr>
            <w:hyperlink r:id="rId99" w:history="1">
              <w:r w:rsidRPr="00646A41">
                <w:rPr>
                  <w:rStyle w:val="Hyperlink"/>
                  <w:rFonts w:cstheme="minorHAnsi"/>
                  <w:color w:val="3333FF"/>
                  <w:kern w:val="24"/>
                  <w:sz w:val="22"/>
                </w:rPr>
                <w:t>www.mass.gov/dph/cdc/aids</w:t>
              </w:r>
            </w:hyperlink>
          </w:p>
        </w:tc>
      </w:tr>
      <w:tr w:rsidR="009C32E7" w:rsidRPr="009C32E7" w14:paraId="2BCED76E" w14:textId="77777777" w:rsidTr="72629E8A">
        <w:tc>
          <w:tcPr>
            <w:tcW w:w="4560" w:type="dxa"/>
            <w:hideMark/>
          </w:tcPr>
          <w:p w14:paraId="6E8F0135" w14:textId="77777777" w:rsidR="00AE3188" w:rsidRPr="00646A41" w:rsidRDefault="00AE3188" w:rsidP="0016095F">
            <w:pPr>
              <w:rPr>
                <w:rFonts w:cstheme="minorHAnsi"/>
                <w:sz w:val="22"/>
              </w:rPr>
            </w:pPr>
            <w:r w:rsidRPr="00646A41">
              <w:rPr>
                <w:rFonts w:cstheme="minorHAnsi"/>
                <w:kern w:val="24"/>
                <w:sz w:val="22"/>
              </w:rPr>
              <w:t>HIV Provider Trainings</w:t>
            </w:r>
          </w:p>
        </w:tc>
        <w:tc>
          <w:tcPr>
            <w:tcW w:w="5520" w:type="dxa"/>
            <w:hideMark/>
          </w:tcPr>
          <w:p w14:paraId="7F2E43AA"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617-624-5338</w:t>
            </w:r>
          </w:p>
          <w:p w14:paraId="2CE6C2E0" w14:textId="77777777" w:rsidR="00AE3188" w:rsidRPr="00646A41" w:rsidRDefault="00AE3188" w:rsidP="0016095F">
            <w:pPr>
              <w:rPr>
                <w:rFonts w:cstheme="minorHAnsi"/>
                <w:sz w:val="22"/>
              </w:rPr>
            </w:pPr>
            <w:hyperlink r:id="rId100" w:history="1">
              <w:r w:rsidRPr="00646A41">
                <w:rPr>
                  <w:rStyle w:val="Hyperlink"/>
                  <w:rFonts w:cstheme="minorHAnsi"/>
                  <w:color w:val="3333FF"/>
                  <w:kern w:val="24"/>
                  <w:sz w:val="22"/>
                </w:rPr>
                <w:t>www.mass.gov/dph/aids</w:t>
              </w:r>
            </w:hyperlink>
            <w:r w:rsidRPr="00646A41">
              <w:rPr>
                <w:rFonts w:cstheme="minorHAnsi"/>
                <w:color w:val="3333FF"/>
                <w:kern w:val="24"/>
                <w:sz w:val="22"/>
              </w:rPr>
              <w:t xml:space="preserve"> </w:t>
            </w:r>
          </w:p>
        </w:tc>
      </w:tr>
      <w:tr w:rsidR="009C32E7" w:rsidRPr="009C32E7" w14:paraId="151C7637" w14:textId="77777777" w:rsidTr="72629E8A">
        <w:tc>
          <w:tcPr>
            <w:tcW w:w="4560" w:type="dxa"/>
            <w:hideMark/>
          </w:tcPr>
          <w:p w14:paraId="392B5873" w14:textId="77777777" w:rsidR="00AE3188" w:rsidRPr="00646A41" w:rsidRDefault="00AE3188" w:rsidP="0016095F">
            <w:pPr>
              <w:rPr>
                <w:rFonts w:cstheme="minorHAnsi"/>
                <w:sz w:val="22"/>
              </w:rPr>
            </w:pPr>
            <w:r w:rsidRPr="00646A41">
              <w:rPr>
                <w:rFonts w:cstheme="minorHAnsi"/>
                <w:kern w:val="24"/>
                <w:sz w:val="22"/>
              </w:rPr>
              <w:t>Viral Hepatitis Education</w:t>
            </w:r>
          </w:p>
        </w:tc>
        <w:tc>
          <w:tcPr>
            <w:tcW w:w="5520" w:type="dxa"/>
            <w:hideMark/>
          </w:tcPr>
          <w:p w14:paraId="4EED042D" w14:textId="77777777" w:rsidR="00AE3188" w:rsidRPr="00646A41" w:rsidRDefault="00AE3188" w:rsidP="72629E8A">
            <w:pPr>
              <w:pStyle w:val="NormalWeb"/>
              <w:spacing w:before="0" w:beforeAutospacing="0" w:after="0" w:afterAutospacing="0"/>
              <w:rPr>
                <w:rFonts w:asciiTheme="minorHAnsi" w:hAnsiTheme="minorHAnsi" w:cstheme="minorHAnsi"/>
                <w:kern w:val="24"/>
                <w:sz w:val="22"/>
                <w:szCs w:val="22"/>
              </w:rPr>
            </w:pPr>
            <w:r w:rsidRPr="00646A41">
              <w:rPr>
                <w:rFonts w:asciiTheme="minorHAnsi" w:hAnsiTheme="minorHAnsi" w:cstheme="minorHAnsi"/>
                <w:kern w:val="24"/>
                <w:sz w:val="22"/>
                <w:szCs w:val="22"/>
              </w:rPr>
              <w:t>617-983-6800</w:t>
            </w:r>
          </w:p>
          <w:p w14:paraId="1AE2CA02" w14:textId="77F7997A" w:rsidR="004C3A27" w:rsidRPr="00646A41" w:rsidRDefault="004C3A27" w:rsidP="007A443A">
            <w:pPr>
              <w:rPr>
                <w:rStyle w:val="Hyperlink"/>
                <w:rFonts w:cstheme="minorHAnsi"/>
                <w:color w:val="3333FF"/>
                <w:sz w:val="22"/>
              </w:rPr>
            </w:pPr>
            <w:hyperlink r:id="rId101" w:history="1">
              <w:r w:rsidRPr="00646A41">
                <w:rPr>
                  <w:rStyle w:val="Hyperlink"/>
                  <w:rFonts w:cstheme="minorHAnsi"/>
                  <w:color w:val="3333FF"/>
                  <w:kern w:val="24"/>
                  <w:sz w:val="22"/>
                </w:rPr>
                <w:t>www.mass.gov/HepA</w:t>
              </w:r>
            </w:hyperlink>
          </w:p>
          <w:p w14:paraId="2E341931" w14:textId="487A2CE5" w:rsidR="004C3A27" w:rsidRPr="00646A41" w:rsidRDefault="004C3A27" w:rsidP="007A443A">
            <w:pPr>
              <w:rPr>
                <w:rStyle w:val="Hyperlink"/>
                <w:rFonts w:cstheme="minorHAnsi"/>
                <w:color w:val="3333FF"/>
                <w:kern w:val="24"/>
                <w:sz w:val="22"/>
              </w:rPr>
            </w:pPr>
            <w:hyperlink r:id="rId102" w:history="1">
              <w:r w:rsidRPr="00646A41">
                <w:rPr>
                  <w:rStyle w:val="Hyperlink"/>
                  <w:rFonts w:cstheme="minorHAnsi"/>
                  <w:color w:val="3333FF"/>
                  <w:kern w:val="24"/>
                  <w:sz w:val="22"/>
                </w:rPr>
                <w:t>www.mass.gov/HepB</w:t>
              </w:r>
            </w:hyperlink>
          </w:p>
          <w:p w14:paraId="6FB84999" w14:textId="3EF70513" w:rsidR="004C3A27" w:rsidRPr="00646A41" w:rsidRDefault="007C2B4D" w:rsidP="007A443A">
            <w:pPr>
              <w:rPr>
                <w:rFonts w:cstheme="minorHAnsi"/>
                <w:sz w:val="22"/>
              </w:rPr>
            </w:pPr>
            <w:hyperlink r:id="rId103" w:history="1">
              <w:r w:rsidRPr="00646A41">
                <w:rPr>
                  <w:rStyle w:val="Hyperlink"/>
                  <w:rFonts w:cstheme="minorHAnsi"/>
                  <w:color w:val="3333FF"/>
                  <w:kern w:val="24"/>
                  <w:sz w:val="22"/>
                </w:rPr>
                <w:t>www.mass.gov/HepC</w:t>
              </w:r>
            </w:hyperlink>
            <w:r w:rsidRPr="00646A41">
              <w:rPr>
                <w:rFonts w:cstheme="minorHAnsi"/>
                <w:sz w:val="22"/>
              </w:rPr>
              <w:t xml:space="preserve"> </w:t>
            </w:r>
          </w:p>
          <w:p w14:paraId="493BC5B4" w14:textId="49D8E7C5" w:rsidR="00AE3188" w:rsidRPr="00646A41" w:rsidRDefault="00AE3188" w:rsidP="72629E8A">
            <w:pPr>
              <w:rPr>
                <w:rFonts w:cstheme="minorHAnsi"/>
                <w:sz w:val="22"/>
              </w:rPr>
            </w:pPr>
          </w:p>
        </w:tc>
      </w:tr>
      <w:tr w:rsidR="009C32E7" w:rsidRPr="009C32E7" w14:paraId="2C82A84C" w14:textId="77777777" w:rsidTr="72629E8A">
        <w:tc>
          <w:tcPr>
            <w:tcW w:w="4560" w:type="dxa"/>
            <w:hideMark/>
          </w:tcPr>
          <w:p w14:paraId="7FEFDE10" w14:textId="473857E6" w:rsidR="00AE3188" w:rsidRPr="00646A41" w:rsidRDefault="00285320" w:rsidP="0016095F">
            <w:pPr>
              <w:rPr>
                <w:rFonts w:cstheme="minorHAnsi"/>
                <w:sz w:val="22"/>
              </w:rPr>
            </w:pPr>
            <w:r>
              <w:rPr>
                <w:rFonts w:cstheme="minorHAnsi"/>
                <w:kern w:val="24"/>
                <w:sz w:val="22"/>
              </w:rPr>
              <w:t>STI</w:t>
            </w:r>
            <w:r w:rsidR="00AE3188" w:rsidRPr="00646A41">
              <w:rPr>
                <w:rFonts w:cstheme="minorHAnsi"/>
                <w:kern w:val="24"/>
                <w:sz w:val="22"/>
              </w:rPr>
              <w:t xml:space="preserve"> Diagnosis, Treatment, and Management</w:t>
            </w:r>
          </w:p>
        </w:tc>
        <w:tc>
          <w:tcPr>
            <w:tcW w:w="5520" w:type="dxa"/>
            <w:hideMark/>
          </w:tcPr>
          <w:p w14:paraId="302713F5" w14:textId="77777777" w:rsidR="00AE3188" w:rsidRPr="00646A41" w:rsidRDefault="00AE3188" w:rsidP="0016095F">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617-983-6945</w:t>
            </w:r>
          </w:p>
          <w:p w14:paraId="6635797D" w14:textId="77777777" w:rsidR="00AE3188" w:rsidRPr="00646A41" w:rsidRDefault="00AE3188" w:rsidP="0016095F">
            <w:pPr>
              <w:rPr>
                <w:rFonts w:cstheme="minorHAnsi"/>
                <w:sz w:val="22"/>
              </w:rPr>
            </w:pPr>
            <w:hyperlink r:id="rId104" w:history="1">
              <w:r w:rsidRPr="00646A41">
                <w:rPr>
                  <w:rStyle w:val="Hyperlink"/>
                  <w:rFonts w:cstheme="minorHAnsi"/>
                  <w:color w:val="3333FF"/>
                  <w:kern w:val="24"/>
                  <w:sz w:val="22"/>
                </w:rPr>
                <w:t>www.RatellePTC.org</w:t>
              </w:r>
            </w:hyperlink>
          </w:p>
        </w:tc>
      </w:tr>
      <w:tr w:rsidR="00646A41" w:rsidRPr="009C32E7" w14:paraId="0B03568A" w14:textId="77777777" w:rsidTr="72629E8A">
        <w:tc>
          <w:tcPr>
            <w:tcW w:w="4560" w:type="dxa"/>
          </w:tcPr>
          <w:p w14:paraId="3D764C55" w14:textId="532A5020" w:rsidR="00646A41" w:rsidRPr="00646A41" w:rsidRDefault="00646A41" w:rsidP="00646A41">
            <w:pPr>
              <w:rPr>
                <w:rFonts w:cstheme="minorHAnsi"/>
                <w:kern w:val="24"/>
                <w:sz w:val="22"/>
              </w:rPr>
            </w:pPr>
            <w:r w:rsidRPr="00646A41">
              <w:rPr>
                <w:rFonts w:cstheme="minorHAnsi"/>
                <w:kern w:val="24"/>
                <w:sz w:val="22"/>
              </w:rPr>
              <w:t>Massachusetts HIV Epidemiologic Profile</w:t>
            </w:r>
          </w:p>
        </w:tc>
        <w:tc>
          <w:tcPr>
            <w:tcW w:w="5520" w:type="dxa"/>
          </w:tcPr>
          <w:p w14:paraId="1950D0BE"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617-983-6560</w:t>
            </w:r>
          </w:p>
          <w:p w14:paraId="7E5B2E12" w14:textId="4C64B8D4"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5" w:history="1">
              <w:r w:rsidRPr="00646A41">
                <w:rPr>
                  <w:rStyle w:val="Hyperlink"/>
                  <w:rFonts w:asciiTheme="minorHAnsi" w:hAnsiTheme="minorHAnsi" w:cstheme="minorHAnsi"/>
                  <w:color w:val="3333FF"/>
                  <w:kern w:val="24"/>
                  <w:sz w:val="22"/>
                  <w:szCs w:val="22"/>
                </w:rPr>
                <w:t>https://www.mass.gov/lists/hivaids-epidemiologic-profiles</w:t>
              </w:r>
            </w:hyperlink>
            <w:r w:rsidRPr="00646A41">
              <w:rPr>
                <w:rFonts w:asciiTheme="minorHAnsi" w:hAnsiTheme="minorHAnsi" w:cstheme="minorHAnsi"/>
                <w:color w:val="3333FF"/>
                <w:kern w:val="24"/>
                <w:sz w:val="22"/>
                <w:szCs w:val="22"/>
              </w:rPr>
              <w:t xml:space="preserve"> </w:t>
            </w:r>
          </w:p>
        </w:tc>
      </w:tr>
      <w:tr w:rsidR="00646A41" w:rsidRPr="009C32E7" w14:paraId="523C960A" w14:textId="77777777" w:rsidTr="72629E8A">
        <w:tc>
          <w:tcPr>
            <w:tcW w:w="4560" w:type="dxa"/>
          </w:tcPr>
          <w:p w14:paraId="1A1B9220" w14:textId="4F137282" w:rsidR="00646A41" w:rsidRPr="00646A41" w:rsidRDefault="00646A41" w:rsidP="00646A41">
            <w:pPr>
              <w:rPr>
                <w:rFonts w:cstheme="minorHAnsi"/>
                <w:kern w:val="24"/>
                <w:sz w:val="22"/>
              </w:rPr>
            </w:pPr>
            <w:r w:rsidRPr="00646A41">
              <w:rPr>
                <w:rFonts w:cstheme="minorHAnsi"/>
                <w:kern w:val="24"/>
                <w:sz w:val="22"/>
              </w:rPr>
              <w:t>HIV Reporting for Health Care Providers</w:t>
            </w:r>
          </w:p>
        </w:tc>
        <w:tc>
          <w:tcPr>
            <w:tcW w:w="5520" w:type="dxa"/>
          </w:tcPr>
          <w:p w14:paraId="381CC8BB"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 xml:space="preserve">617-983-6560 </w:t>
            </w:r>
          </w:p>
          <w:p w14:paraId="2EC18CA0" w14:textId="434D902A"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6" w:history="1">
              <w:r w:rsidRPr="00646A41">
                <w:rPr>
                  <w:rStyle w:val="Hyperlink"/>
                  <w:rFonts w:asciiTheme="minorHAnsi" w:hAnsiTheme="minorHAnsi" w:cstheme="minorHAnsi"/>
                  <w:color w:val="3333FF"/>
                  <w:kern w:val="24"/>
                  <w:sz w:val="22"/>
                  <w:szCs w:val="22"/>
                </w:rPr>
                <w:t>https://www.mass.gov/infectious-disease-surveillance-reporting-and-control</w:t>
              </w:r>
            </w:hyperlink>
            <w:r w:rsidRPr="00646A41">
              <w:rPr>
                <w:rFonts w:asciiTheme="minorHAnsi" w:hAnsiTheme="minorHAnsi" w:cstheme="minorHAnsi"/>
                <w:color w:val="3333FF"/>
                <w:kern w:val="24"/>
                <w:sz w:val="22"/>
                <w:szCs w:val="22"/>
              </w:rPr>
              <w:t xml:space="preserve"> </w:t>
            </w:r>
          </w:p>
        </w:tc>
      </w:tr>
      <w:tr w:rsidR="00646A41" w:rsidRPr="009C32E7" w14:paraId="02463D59" w14:textId="77777777" w:rsidTr="72629E8A">
        <w:tc>
          <w:tcPr>
            <w:tcW w:w="4560" w:type="dxa"/>
          </w:tcPr>
          <w:p w14:paraId="7954D525" w14:textId="6E76289A" w:rsidR="00646A41" w:rsidRPr="00646A41" w:rsidRDefault="00285320" w:rsidP="00646A41">
            <w:pPr>
              <w:rPr>
                <w:rFonts w:cstheme="minorHAnsi"/>
                <w:kern w:val="24"/>
                <w:sz w:val="22"/>
              </w:rPr>
            </w:pPr>
            <w:r>
              <w:rPr>
                <w:rFonts w:cstheme="minorHAnsi"/>
                <w:kern w:val="24"/>
                <w:sz w:val="22"/>
              </w:rPr>
              <w:t>STI</w:t>
            </w:r>
            <w:r w:rsidR="00646A41" w:rsidRPr="00646A41">
              <w:rPr>
                <w:rFonts w:cstheme="minorHAnsi"/>
                <w:kern w:val="24"/>
                <w:sz w:val="22"/>
              </w:rPr>
              <w:t>, and HIV Posters and Brochures</w:t>
            </w:r>
          </w:p>
        </w:tc>
        <w:tc>
          <w:tcPr>
            <w:tcW w:w="5520" w:type="dxa"/>
          </w:tcPr>
          <w:p w14:paraId="5479A917"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617-983-6800</w:t>
            </w:r>
          </w:p>
          <w:p w14:paraId="4681F2A3" w14:textId="5A58A92D"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7" w:history="1">
              <w:r w:rsidRPr="00646A41">
                <w:rPr>
                  <w:rStyle w:val="Hyperlink"/>
                  <w:rFonts w:asciiTheme="minorHAnsi" w:hAnsiTheme="minorHAnsi" w:cstheme="minorHAnsi"/>
                  <w:color w:val="3333FF"/>
                  <w:kern w:val="24"/>
                  <w:sz w:val="22"/>
                  <w:szCs w:val="22"/>
                </w:rPr>
                <w:t>https://massclearinghouse.ehs.state.ma.us/</w:t>
              </w:r>
            </w:hyperlink>
            <w:r w:rsidRPr="00646A41">
              <w:rPr>
                <w:rFonts w:asciiTheme="minorHAnsi" w:hAnsiTheme="minorHAnsi" w:cstheme="minorHAnsi"/>
                <w:color w:val="3333FF"/>
                <w:kern w:val="24"/>
                <w:sz w:val="22"/>
                <w:szCs w:val="22"/>
              </w:rPr>
              <w:t xml:space="preserve"> </w:t>
            </w:r>
          </w:p>
        </w:tc>
      </w:tr>
      <w:tr w:rsidR="00646A41" w:rsidRPr="009C32E7" w14:paraId="6B4C9921" w14:textId="77777777" w:rsidTr="72629E8A">
        <w:tc>
          <w:tcPr>
            <w:tcW w:w="4560" w:type="dxa"/>
          </w:tcPr>
          <w:p w14:paraId="165F0AAD" w14:textId="1DD28DD1" w:rsidR="00646A41" w:rsidRPr="00646A41" w:rsidRDefault="00285320" w:rsidP="00646A41">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kern w:val="24"/>
                <w:sz w:val="22"/>
                <w:szCs w:val="22"/>
              </w:rPr>
              <w:t>STI</w:t>
            </w:r>
            <w:r w:rsidR="00646A41" w:rsidRPr="00646A41">
              <w:rPr>
                <w:rFonts w:asciiTheme="minorHAnsi" w:hAnsiTheme="minorHAnsi" w:cstheme="minorHAnsi"/>
                <w:kern w:val="24"/>
                <w:sz w:val="22"/>
                <w:szCs w:val="22"/>
              </w:rPr>
              <w:t xml:space="preserve"> Diagnosis, Treatment, and </w:t>
            </w:r>
          </w:p>
          <w:p w14:paraId="5BAC228C" w14:textId="572954D4" w:rsidR="00646A41" w:rsidRPr="00646A41" w:rsidRDefault="00646A41" w:rsidP="00646A41">
            <w:pPr>
              <w:rPr>
                <w:rFonts w:cstheme="minorHAnsi"/>
                <w:kern w:val="24"/>
                <w:sz w:val="22"/>
              </w:rPr>
            </w:pPr>
            <w:r w:rsidRPr="00646A41">
              <w:rPr>
                <w:rFonts w:cstheme="minorHAnsi"/>
                <w:kern w:val="24"/>
                <w:sz w:val="22"/>
              </w:rPr>
              <w:t>Management Toolkits</w:t>
            </w:r>
          </w:p>
        </w:tc>
        <w:tc>
          <w:tcPr>
            <w:tcW w:w="5520" w:type="dxa"/>
          </w:tcPr>
          <w:p w14:paraId="67A83BE1" w14:textId="77777777" w:rsidR="00646A41" w:rsidRPr="00646A41" w:rsidRDefault="00646A41" w:rsidP="00646A41">
            <w:pPr>
              <w:pStyle w:val="NormalWeb"/>
              <w:spacing w:before="0" w:beforeAutospacing="0" w:after="0" w:afterAutospacing="0"/>
              <w:rPr>
                <w:rFonts w:asciiTheme="minorHAnsi" w:hAnsiTheme="minorHAnsi" w:cstheme="minorHAnsi"/>
                <w:sz w:val="22"/>
                <w:szCs w:val="22"/>
              </w:rPr>
            </w:pPr>
            <w:r w:rsidRPr="00646A41">
              <w:rPr>
                <w:rFonts w:asciiTheme="minorHAnsi" w:hAnsiTheme="minorHAnsi" w:cstheme="minorHAnsi"/>
                <w:kern w:val="24"/>
                <w:sz w:val="22"/>
                <w:szCs w:val="22"/>
              </w:rPr>
              <w:t>617-983-9645</w:t>
            </w:r>
          </w:p>
          <w:p w14:paraId="75B63CEF" w14:textId="3C0E1209"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8" w:history="1">
              <w:r w:rsidRPr="00646A41">
                <w:rPr>
                  <w:rStyle w:val="Hyperlink"/>
                  <w:rFonts w:asciiTheme="minorHAnsi" w:hAnsiTheme="minorHAnsi" w:cstheme="minorHAnsi"/>
                  <w:color w:val="3333FF"/>
                  <w:kern w:val="24"/>
                  <w:sz w:val="22"/>
                  <w:szCs w:val="22"/>
                </w:rPr>
                <w:t>www.RatellePTC.org</w:t>
              </w:r>
            </w:hyperlink>
          </w:p>
        </w:tc>
      </w:tr>
      <w:tr w:rsidR="00646A41" w:rsidRPr="009C32E7" w14:paraId="4CE7C407" w14:textId="77777777" w:rsidTr="72629E8A">
        <w:tc>
          <w:tcPr>
            <w:tcW w:w="4560" w:type="dxa"/>
          </w:tcPr>
          <w:p w14:paraId="02D6C14F" w14:textId="77777777" w:rsidR="00646A41" w:rsidRPr="00646A41" w:rsidRDefault="00646A41" w:rsidP="00646A41">
            <w:pPr>
              <w:rPr>
                <w:rFonts w:cstheme="minorHAnsi"/>
                <w:kern w:val="24"/>
                <w:sz w:val="22"/>
              </w:rPr>
            </w:pPr>
            <w:r w:rsidRPr="00646A41">
              <w:rPr>
                <w:rFonts w:cstheme="minorHAnsi"/>
                <w:kern w:val="24"/>
                <w:sz w:val="22"/>
              </w:rPr>
              <w:t>Partner Services Program Information</w:t>
            </w:r>
          </w:p>
          <w:p w14:paraId="749B6E03" w14:textId="77777777" w:rsidR="00646A41" w:rsidRPr="00646A41" w:rsidRDefault="00646A41" w:rsidP="00646A41">
            <w:pPr>
              <w:rPr>
                <w:rFonts w:cstheme="minorHAnsi"/>
                <w:kern w:val="24"/>
                <w:sz w:val="22"/>
              </w:rPr>
            </w:pPr>
          </w:p>
        </w:tc>
        <w:tc>
          <w:tcPr>
            <w:tcW w:w="5520" w:type="dxa"/>
          </w:tcPr>
          <w:p w14:paraId="03C2A59B" w14:textId="77777777"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r w:rsidRPr="00646A41">
              <w:rPr>
                <w:rFonts w:asciiTheme="minorHAnsi" w:hAnsiTheme="minorHAnsi" w:cstheme="minorHAnsi"/>
                <w:kern w:val="24"/>
                <w:sz w:val="22"/>
                <w:szCs w:val="22"/>
              </w:rPr>
              <w:t>617-983-6999</w:t>
            </w:r>
          </w:p>
          <w:p w14:paraId="09D86001" w14:textId="5D57DDBC" w:rsidR="00646A41" w:rsidRPr="00646A41" w:rsidRDefault="00646A41" w:rsidP="00646A41">
            <w:pPr>
              <w:pStyle w:val="NormalWeb"/>
              <w:spacing w:before="0" w:beforeAutospacing="0" w:after="0" w:afterAutospacing="0"/>
              <w:rPr>
                <w:rFonts w:asciiTheme="minorHAnsi" w:hAnsiTheme="minorHAnsi" w:cstheme="minorHAnsi"/>
                <w:kern w:val="24"/>
                <w:sz w:val="22"/>
                <w:szCs w:val="22"/>
              </w:rPr>
            </w:pPr>
            <w:hyperlink r:id="rId109" w:history="1">
              <w:r w:rsidRPr="00646A41">
                <w:rPr>
                  <w:rStyle w:val="Hyperlink"/>
                  <w:rFonts w:asciiTheme="minorHAnsi" w:hAnsiTheme="minorHAnsi" w:cstheme="minorHAnsi"/>
                  <w:color w:val="3333FF"/>
                  <w:kern w:val="24"/>
                  <w:sz w:val="22"/>
                  <w:szCs w:val="22"/>
                </w:rPr>
                <w:t>https://www.mass.gov/partner-services-program-psp</w:t>
              </w:r>
            </w:hyperlink>
            <w:r w:rsidRPr="00646A41">
              <w:rPr>
                <w:rFonts w:asciiTheme="minorHAnsi" w:hAnsiTheme="minorHAnsi" w:cstheme="minorHAnsi"/>
                <w:color w:val="3333FF"/>
                <w:kern w:val="24"/>
                <w:sz w:val="22"/>
                <w:szCs w:val="22"/>
              </w:rPr>
              <w:t xml:space="preserve"> </w:t>
            </w:r>
          </w:p>
        </w:tc>
      </w:tr>
    </w:tbl>
    <w:p w14:paraId="4E059029" w14:textId="68506B55" w:rsidR="00AE3188" w:rsidRPr="009C32E7" w:rsidRDefault="00AE3188" w:rsidP="00AE3188"/>
    <w:p w14:paraId="2CB748C5" w14:textId="77777777" w:rsidR="00AE3188" w:rsidRPr="009C32E7" w:rsidRDefault="00AE3188" w:rsidP="00AE3188">
      <w:pPr>
        <w:ind w:left="360"/>
        <w:rPr>
          <w:b/>
          <w:bCs/>
          <w:sz w:val="20"/>
          <w:szCs w:val="20"/>
        </w:rPr>
      </w:pPr>
    </w:p>
    <w:p w14:paraId="0E6F732E" w14:textId="78B030B2" w:rsidR="00AE3188" w:rsidRPr="009C32E7" w:rsidRDefault="00D3661F" w:rsidP="00AE3188">
      <w:pPr>
        <w:ind w:left="360"/>
        <w:rPr>
          <w:b/>
          <w:bCs/>
          <w:sz w:val="20"/>
          <w:szCs w:val="20"/>
        </w:rPr>
      </w:pPr>
      <w:r>
        <w:rPr>
          <w:b/>
          <w:bCs/>
          <w:sz w:val="20"/>
          <w:szCs w:val="20"/>
        </w:rPr>
        <w:t>DPH</w:t>
      </w:r>
      <w:r w:rsidR="00AE3188" w:rsidRPr="009C32E7">
        <w:rPr>
          <w:b/>
          <w:bCs/>
          <w:sz w:val="20"/>
          <w:szCs w:val="20"/>
        </w:rPr>
        <w:t xml:space="preserve"> and </w:t>
      </w:r>
      <w:r>
        <w:rPr>
          <w:b/>
          <w:bCs/>
          <w:sz w:val="20"/>
          <w:szCs w:val="20"/>
        </w:rPr>
        <w:t>DPH</w:t>
      </w:r>
      <w:r w:rsidR="00AE3188" w:rsidRPr="009C32E7">
        <w:rPr>
          <w:b/>
          <w:bCs/>
          <w:sz w:val="20"/>
          <w:szCs w:val="20"/>
        </w:rPr>
        <w:t xml:space="preserve"> Funded Websites </w:t>
      </w:r>
    </w:p>
    <w:p w14:paraId="64A2555F" w14:textId="77777777" w:rsidR="00AE3188" w:rsidRPr="009C32E7" w:rsidRDefault="00AE3188" w:rsidP="00AE3188">
      <w:pPr>
        <w:ind w:left="360"/>
        <w:rPr>
          <w:b/>
          <w:bCs/>
          <w:color w:val="3333FF"/>
          <w:sz w:val="20"/>
          <w:szCs w:val="20"/>
        </w:rPr>
      </w:pPr>
      <w:r w:rsidRPr="009C32E7">
        <w:rPr>
          <w:b/>
          <w:bCs/>
          <w:sz w:val="20"/>
          <w:szCs w:val="20"/>
        </w:rPr>
        <w:t>Bureau of Infectious Disease and Laboratory Sciences</w:t>
      </w:r>
      <w:r w:rsidRPr="009C32E7">
        <w:rPr>
          <w:b/>
          <w:bCs/>
          <w:sz w:val="20"/>
          <w:szCs w:val="20"/>
        </w:rPr>
        <w:tab/>
      </w:r>
      <w:hyperlink r:id="rId110" w:history="1">
        <w:r w:rsidRPr="009C32E7">
          <w:rPr>
            <w:rStyle w:val="Hyperlink"/>
            <w:b/>
            <w:bCs/>
            <w:color w:val="3333FF"/>
            <w:sz w:val="20"/>
            <w:szCs w:val="20"/>
          </w:rPr>
          <w:t>www.mass.gov/orgs/bureau-of-infectious-disease-</w:t>
        </w:r>
      </w:hyperlink>
      <w:r w:rsidRPr="009C32E7">
        <w:rPr>
          <w:b/>
          <w:bCs/>
          <w:color w:val="3333FF"/>
          <w:sz w:val="20"/>
          <w:szCs w:val="20"/>
        </w:rPr>
        <w:t xml:space="preserve"> </w:t>
      </w:r>
    </w:p>
    <w:p w14:paraId="42B1F70D" w14:textId="77777777" w:rsidR="00AE3188" w:rsidRPr="009C32E7" w:rsidRDefault="00AE3188" w:rsidP="00AE3188">
      <w:pPr>
        <w:ind w:left="4680" w:firstLine="360"/>
        <w:rPr>
          <w:b/>
          <w:bCs/>
          <w:color w:val="3333FF"/>
          <w:sz w:val="20"/>
          <w:szCs w:val="20"/>
        </w:rPr>
      </w:pPr>
      <w:r w:rsidRPr="009C32E7">
        <w:rPr>
          <w:b/>
          <w:bCs/>
          <w:color w:val="3333FF"/>
          <w:sz w:val="20"/>
          <w:szCs w:val="20"/>
          <w:u w:val="single"/>
        </w:rPr>
        <w:t>and-laboratory-sciences</w:t>
      </w:r>
      <w:r w:rsidRPr="009C32E7">
        <w:rPr>
          <w:b/>
          <w:bCs/>
          <w:color w:val="3333FF"/>
          <w:sz w:val="20"/>
          <w:szCs w:val="20"/>
        </w:rPr>
        <w:t xml:space="preserve"> </w:t>
      </w:r>
    </w:p>
    <w:p w14:paraId="405F89E2" w14:textId="77777777" w:rsidR="00AE3188" w:rsidRPr="009C32E7" w:rsidRDefault="00AE3188" w:rsidP="00AE3188">
      <w:pPr>
        <w:ind w:left="360"/>
        <w:rPr>
          <w:b/>
          <w:bCs/>
          <w:color w:val="3333FF"/>
          <w:sz w:val="20"/>
          <w:szCs w:val="20"/>
        </w:rPr>
      </w:pPr>
      <w:r w:rsidRPr="009C32E7">
        <w:rPr>
          <w:b/>
          <w:bCs/>
          <w:sz w:val="20"/>
          <w:szCs w:val="20"/>
        </w:rPr>
        <w:t>Office of HIV/AIDS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1" w:history="1">
        <w:r w:rsidRPr="009C32E7">
          <w:rPr>
            <w:rStyle w:val="Hyperlink"/>
            <w:b/>
            <w:bCs/>
            <w:color w:val="3333FF"/>
            <w:sz w:val="20"/>
            <w:szCs w:val="20"/>
          </w:rPr>
          <w:t>www.mass.gov/dph/aids</w:t>
        </w:r>
      </w:hyperlink>
    </w:p>
    <w:p w14:paraId="77CDEECD" w14:textId="694FD95C" w:rsidR="0097178E" w:rsidRPr="0097178E" w:rsidRDefault="00AE3188" w:rsidP="0097178E">
      <w:pPr>
        <w:ind w:firstLine="360"/>
        <w:rPr>
          <w:rStyle w:val="Hyperlink"/>
          <w:b/>
          <w:bCs/>
          <w:color w:val="3333FF"/>
          <w:sz w:val="20"/>
          <w:szCs w:val="20"/>
        </w:rPr>
      </w:pPr>
      <w:r w:rsidRPr="72629E8A">
        <w:rPr>
          <w:b/>
          <w:bCs/>
          <w:sz w:val="20"/>
          <w:szCs w:val="20"/>
        </w:rPr>
        <w:t>Viral Hepatitis Programs</w:t>
      </w:r>
      <w:r>
        <w:tab/>
      </w:r>
      <w:r>
        <w:tab/>
      </w:r>
      <w:r>
        <w:tab/>
      </w:r>
      <w:r>
        <w:tab/>
      </w:r>
      <w:hyperlink r:id="rId112" w:history="1">
        <w:r w:rsidR="00A15528" w:rsidRPr="005C5B60">
          <w:rPr>
            <w:rStyle w:val="Hyperlink"/>
            <w:b/>
            <w:bCs/>
            <w:sz w:val="20"/>
            <w:szCs w:val="20"/>
          </w:rPr>
          <w:t>www.mass.gov/HepA</w:t>
        </w:r>
      </w:hyperlink>
    </w:p>
    <w:p w14:paraId="324F27A2" w14:textId="18598967" w:rsidR="0097178E" w:rsidRPr="0097178E" w:rsidRDefault="0097178E" w:rsidP="0097178E">
      <w:pPr>
        <w:ind w:left="4320" w:firstLine="720"/>
        <w:rPr>
          <w:rStyle w:val="Hyperlink"/>
          <w:b/>
          <w:bCs/>
          <w:color w:val="3333FF"/>
          <w:sz w:val="20"/>
          <w:szCs w:val="20"/>
        </w:rPr>
      </w:pPr>
      <w:hyperlink r:id="rId113" w:history="1">
        <w:r w:rsidRPr="005C5B60">
          <w:rPr>
            <w:rStyle w:val="Hyperlink"/>
            <w:b/>
            <w:bCs/>
            <w:sz w:val="20"/>
            <w:szCs w:val="20"/>
          </w:rPr>
          <w:t>www.mass.gov/HepB</w:t>
        </w:r>
      </w:hyperlink>
    </w:p>
    <w:p w14:paraId="648763C5" w14:textId="34942CF8" w:rsidR="0097178E" w:rsidRPr="0097178E" w:rsidRDefault="0097178E" w:rsidP="0097178E">
      <w:pPr>
        <w:ind w:left="4680" w:firstLine="360"/>
        <w:rPr>
          <w:rStyle w:val="Hyperlink"/>
          <w:b/>
          <w:bCs/>
          <w:color w:val="3333FF"/>
          <w:sz w:val="20"/>
          <w:szCs w:val="20"/>
        </w:rPr>
      </w:pPr>
      <w:hyperlink r:id="rId114" w:history="1">
        <w:r w:rsidRPr="005C5B60">
          <w:rPr>
            <w:rStyle w:val="Hyperlink"/>
            <w:b/>
            <w:bCs/>
            <w:sz w:val="20"/>
            <w:szCs w:val="20"/>
          </w:rPr>
          <w:t>www.mass.gov/HepC</w:t>
        </w:r>
      </w:hyperlink>
    </w:p>
    <w:p w14:paraId="056E6965" w14:textId="77777777" w:rsidR="0097178E" w:rsidRDefault="0097178E" w:rsidP="00AE3188">
      <w:pPr>
        <w:ind w:left="360"/>
      </w:pPr>
    </w:p>
    <w:p w14:paraId="2556FFB3" w14:textId="77777777" w:rsidR="00AE3188" w:rsidRPr="009C32E7" w:rsidRDefault="00AE3188" w:rsidP="00AE3188">
      <w:pPr>
        <w:ind w:left="360"/>
        <w:rPr>
          <w:b/>
          <w:bCs/>
          <w:color w:val="3333FF"/>
          <w:sz w:val="20"/>
          <w:szCs w:val="20"/>
        </w:rPr>
      </w:pPr>
      <w:r w:rsidRPr="009C32E7">
        <w:rPr>
          <w:b/>
          <w:bCs/>
          <w:sz w:val="20"/>
          <w:szCs w:val="20"/>
        </w:rPr>
        <w:t>Sylvie Ratelle STD/HIV Prevention Training Center</w:t>
      </w:r>
      <w:r w:rsidRPr="009C32E7">
        <w:rPr>
          <w:b/>
          <w:bCs/>
          <w:sz w:val="20"/>
          <w:szCs w:val="20"/>
        </w:rPr>
        <w:tab/>
      </w:r>
      <w:hyperlink r:id="rId115" w:history="1">
        <w:r w:rsidRPr="009C32E7">
          <w:rPr>
            <w:rStyle w:val="Hyperlink"/>
            <w:b/>
            <w:bCs/>
            <w:color w:val="3333FF"/>
            <w:sz w:val="20"/>
            <w:szCs w:val="20"/>
          </w:rPr>
          <w:t>www.RatellePTC.org</w:t>
        </w:r>
      </w:hyperlink>
    </w:p>
    <w:p w14:paraId="159C4F6B" w14:textId="77777777" w:rsidR="00AE3188" w:rsidRPr="009C32E7" w:rsidRDefault="00AE3188" w:rsidP="00AE3188">
      <w:pPr>
        <w:ind w:left="360"/>
        <w:rPr>
          <w:b/>
          <w:bCs/>
          <w:color w:val="3333FF"/>
          <w:sz w:val="20"/>
          <w:szCs w:val="20"/>
        </w:rPr>
      </w:pPr>
      <w:r w:rsidRPr="009C32E7">
        <w:rPr>
          <w:b/>
          <w:bCs/>
          <w:sz w:val="20"/>
          <w:szCs w:val="20"/>
        </w:rPr>
        <w:t>Division of STD Prevention</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16" w:history="1">
        <w:r w:rsidRPr="009C32E7">
          <w:rPr>
            <w:rStyle w:val="Hyperlink"/>
            <w:b/>
            <w:bCs/>
            <w:color w:val="3333FF"/>
            <w:sz w:val="20"/>
            <w:szCs w:val="20"/>
          </w:rPr>
          <w:t>www.mass.gov/dph/cdc/std</w:t>
        </w:r>
      </w:hyperlink>
    </w:p>
    <w:p w14:paraId="289F8A19" w14:textId="77777777" w:rsidR="00AE3188" w:rsidRPr="009C32E7" w:rsidRDefault="00AE3188" w:rsidP="00AE3188">
      <w:pPr>
        <w:ind w:left="360"/>
        <w:rPr>
          <w:b/>
          <w:bCs/>
          <w:sz w:val="20"/>
          <w:szCs w:val="20"/>
        </w:rPr>
      </w:pPr>
      <w:r w:rsidRPr="009C32E7">
        <w:rPr>
          <w:b/>
          <w:bCs/>
          <w:sz w:val="20"/>
          <w:szCs w:val="20"/>
        </w:rPr>
        <w:t xml:space="preserve">National Websites </w:t>
      </w:r>
    </w:p>
    <w:p w14:paraId="0B81ACD7" w14:textId="77777777" w:rsidR="00AE3188" w:rsidRPr="009C32E7" w:rsidRDefault="00AE3188" w:rsidP="00AE3188">
      <w:pPr>
        <w:ind w:left="360"/>
        <w:rPr>
          <w:b/>
          <w:bCs/>
          <w:color w:val="3333FF"/>
          <w:sz w:val="20"/>
          <w:szCs w:val="20"/>
        </w:rPr>
      </w:pPr>
      <w:r w:rsidRPr="009C32E7">
        <w:rPr>
          <w:b/>
          <w:bCs/>
          <w:sz w:val="20"/>
          <w:szCs w:val="20"/>
        </w:rPr>
        <w:t>Centers for Disease Control and Prevention</w:t>
      </w:r>
      <w:r w:rsidRPr="009C32E7">
        <w:rPr>
          <w:b/>
          <w:bCs/>
          <w:sz w:val="20"/>
          <w:szCs w:val="20"/>
        </w:rPr>
        <w:tab/>
      </w:r>
      <w:r w:rsidRPr="009C32E7">
        <w:rPr>
          <w:b/>
          <w:bCs/>
          <w:sz w:val="20"/>
          <w:szCs w:val="20"/>
        </w:rPr>
        <w:tab/>
      </w:r>
      <w:hyperlink r:id="rId117" w:history="1">
        <w:r w:rsidRPr="009C32E7">
          <w:rPr>
            <w:rStyle w:val="Hyperlink"/>
            <w:b/>
            <w:bCs/>
            <w:color w:val="3333FF"/>
            <w:sz w:val="20"/>
            <w:szCs w:val="20"/>
          </w:rPr>
          <w:t>www.cdc.gov</w:t>
        </w:r>
      </w:hyperlink>
    </w:p>
    <w:p w14:paraId="08D059B9" w14:textId="77777777" w:rsidR="00AE3188" w:rsidRPr="009C32E7" w:rsidRDefault="00AE3188" w:rsidP="00AE3188">
      <w:pPr>
        <w:ind w:left="360"/>
        <w:rPr>
          <w:b/>
          <w:bCs/>
          <w:color w:val="3333FF"/>
          <w:sz w:val="20"/>
          <w:szCs w:val="20"/>
        </w:rPr>
      </w:pPr>
      <w:r w:rsidRPr="009C32E7">
        <w:rPr>
          <w:b/>
          <w:bCs/>
          <w:sz w:val="20"/>
          <w:szCs w:val="20"/>
        </w:rPr>
        <w:tab/>
        <w:t>Division of STD Prevention</w:t>
      </w:r>
      <w:r w:rsidRPr="009C32E7">
        <w:rPr>
          <w:b/>
          <w:bCs/>
          <w:sz w:val="20"/>
          <w:szCs w:val="20"/>
        </w:rPr>
        <w:tab/>
      </w:r>
      <w:r w:rsidRPr="009C32E7">
        <w:rPr>
          <w:b/>
          <w:bCs/>
          <w:sz w:val="20"/>
          <w:szCs w:val="20"/>
        </w:rPr>
        <w:tab/>
      </w:r>
      <w:r w:rsidRPr="009C32E7">
        <w:rPr>
          <w:b/>
          <w:bCs/>
          <w:sz w:val="20"/>
          <w:szCs w:val="20"/>
        </w:rPr>
        <w:tab/>
      </w:r>
      <w:hyperlink r:id="rId118" w:history="1">
        <w:r w:rsidRPr="009C32E7">
          <w:rPr>
            <w:rStyle w:val="Hyperlink"/>
            <w:b/>
            <w:bCs/>
            <w:color w:val="3333FF"/>
            <w:sz w:val="20"/>
            <w:szCs w:val="20"/>
          </w:rPr>
          <w:t>www.cdc.gov/std</w:t>
        </w:r>
      </w:hyperlink>
    </w:p>
    <w:p w14:paraId="3C0EC8BA" w14:textId="77777777" w:rsidR="00AE3188" w:rsidRPr="009C32E7" w:rsidRDefault="00AE3188" w:rsidP="00AE3188">
      <w:pPr>
        <w:ind w:left="360"/>
        <w:rPr>
          <w:b/>
          <w:bCs/>
          <w:color w:val="3333FF"/>
          <w:sz w:val="20"/>
          <w:szCs w:val="20"/>
        </w:rPr>
      </w:pPr>
      <w:r w:rsidRPr="009C32E7">
        <w:rPr>
          <w:b/>
          <w:bCs/>
          <w:sz w:val="20"/>
          <w:szCs w:val="20"/>
        </w:rPr>
        <w:tab/>
        <w:t>Division of HIV Prevention</w:t>
      </w:r>
      <w:r w:rsidRPr="009C32E7">
        <w:rPr>
          <w:b/>
          <w:bCs/>
          <w:sz w:val="20"/>
          <w:szCs w:val="20"/>
        </w:rPr>
        <w:tab/>
      </w:r>
      <w:r w:rsidRPr="009C32E7">
        <w:rPr>
          <w:b/>
          <w:bCs/>
          <w:sz w:val="20"/>
          <w:szCs w:val="20"/>
        </w:rPr>
        <w:tab/>
      </w:r>
      <w:r w:rsidRPr="009C32E7">
        <w:rPr>
          <w:b/>
          <w:bCs/>
          <w:sz w:val="20"/>
          <w:szCs w:val="20"/>
        </w:rPr>
        <w:tab/>
      </w:r>
      <w:hyperlink r:id="rId119" w:history="1">
        <w:r w:rsidRPr="009C32E7">
          <w:rPr>
            <w:rStyle w:val="Hyperlink"/>
            <w:b/>
            <w:bCs/>
            <w:color w:val="3333FF"/>
            <w:sz w:val="20"/>
            <w:szCs w:val="20"/>
          </w:rPr>
          <w:t>www.cdc.gov/hiv</w:t>
        </w:r>
      </w:hyperlink>
    </w:p>
    <w:p w14:paraId="1E375C18" w14:textId="77777777" w:rsidR="00AE3188" w:rsidRPr="009C32E7" w:rsidRDefault="00AE3188" w:rsidP="00AE3188">
      <w:pPr>
        <w:ind w:left="360"/>
        <w:rPr>
          <w:b/>
          <w:bCs/>
          <w:sz w:val="20"/>
          <w:szCs w:val="20"/>
        </w:rPr>
      </w:pPr>
      <w:r w:rsidRPr="009C32E7">
        <w:rPr>
          <w:b/>
          <w:bCs/>
          <w:sz w:val="20"/>
          <w:szCs w:val="20"/>
        </w:rPr>
        <w:tab/>
        <w:t>Division of Viral Hepatitis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hyperlink r:id="rId120" w:history="1">
        <w:r w:rsidRPr="009C32E7">
          <w:rPr>
            <w:rStyle w:val="Hyperlink"/>
            <w:b/>
            <w:bCs/>
            <w:color w:val="3333FF"/>
            <w:sz w:val="20"/>
            <w:szCs w:val="20"/>
          </w:rPr>
          <w:t>www.cdc.gov/hepatitis</w:t>
        </w:r>
      </w:hyperlink>
    </w:p>
    <w:p w14:paraId="4CD4B400" w14:textId="77777777" w:rsidR="00AE3188" w:rsidRPr="009C32E7" w:rsidRDefault="00AE3188" w:rsidP="00AE3188">
      <w:pPr>
        <w:ind w:left="360"/>
        <w:rPr>
          <w:b/>
          <w:bCs/>
          <w:color w:val="3333FF"/>
          <w:sz w:val="20"/>
          <w:szCs w:val="20"/>
        </w:rPr>
      </w:pPr>
      <w:r w:rsidRPr="009C32E7">
        <w:rPr>
          <w:b/>
          <w:bCs/>
          <w:sz w:val="20"/>
          <w:szCs w:val="20"/>
        </w:rPr>
        <w:tab/>
        <w:t xml:space="preserve">National Network of STD/HIV Prevention </w:t>
      </w:r>
      <w:r w:rsidRPr="009C32E7">
        <w:rPr>
          <w:b/>
          <w:bCs/>
          <w:sz w:val="20"/>
          <w:szCs w:val="20"/>
        </w:rPr>
        <w:tab/>
      </w:r>
      <w:r w:rsidRPr="009C32E7">
        <w:rPr>
          <w:b/>
          <w:bCs/>
          <w:sz w:val="20"/>
          <w:szCs w:val="20"/>
        </w:rPr>
        <w:tab/>
      </w:r>
      <w:hyperlink r:id="rId121" w:history="1">
        <w:r w:rsidRPr="009C32E7">
          <w:rPr>
            <w:rStyle w:val="Hyperlink"/>
            <w:b/>
            <w:bCs/>
            <w:color w:val="3333FF"/>
            <w:sz w:val="20"/>
            <w:szCs w:val="20"/>
          </w:rPr>
          <w:t>www.nnptc.org</w:t>
        </w:r>
      </w:hyperlink>
    </w:p>
    <w:p w14:paraId="758D90DA" w14:textId="1DB8B7D1" w:rsidR="005D1FD3" w:rsidRPr="00991A6F" w:rsidRDefault="00AE3188" w:rsidP="00AE3188">
      <w:pPr>
        <w:ind w:left="360"/>
        <w:rPr>
          <w:b/>
          <w:bCs/>
          <w:color w:val="FF0000"/>
          <w:sz w:val="20"/>
          <w:szCs w:val="20"/>
        </w:rPr>
      </w:pPr>
      <w:r w:rsidRPr="009C32E7">
        <w:rPr>
          <w:b/>
          <w:bCs/>
          <w:sz w:val="20"/>
          <w:szCs w:val="20"/>
        </w:rPr>
        <w:tab/>
        <w:t>Training Centers</w:t>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r w:rsidRPr="009C32E7">
        <w:rPr>
          <w:b/>
          <w:bCs/>
          <w:sz w:val="20"/>
          <w:szCs w:val="20"/>
        </w:rPr>
        <w:tab/>
      </w:r>
    </w:p>
    <w:sectPr w:rsidR="005D1FD3" w:rsidRPr="00991A6F" w:rsidSect="00E966E3">
      <w:headerReference w:type="default" r:id="rId122"/>
      <w:headerReference w:type="first" r:id="rId123"/>
      <w:footerReference w:type="first" r:id="rId124"/>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A839B" w14:textId="77777777" w:rsidR="0024542E" w:rsidRDefault="0024542E" w:rsidP="00E966E3">
      <w:r>
        <w:separator/>
      </w:r>
    </w:p>
  </w:endnote>
  <w:endnote w:type="continuationSeparator" w:id="0">
    <w:p w14:paraId="523E3FF6" w14:textId="77777777" w:rsidR="0024542E" w:rsidRDefault="0024542E" w:rsidP="00E966E3">
      <w:r>
        <w:continuationSeparator/>
      </w:r>
    </w:p>
  </w:endnote>
  <w:endnote w:type="continuationNotice" w:id="1">
    <w:p w14:paraId="6873D51C" w14:textId="77777777" w:rsidR="0024542E" w:rsidRDefault="00245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5002805"/>
      <w:docPartObj>
        <w:docPartGallery w:val="Page Numbers (Bottom of Page)"/>
        <w:docPartUnique/>
      </w:docPartObj>
    </w:sdtPr>
    <w:sdtEndPr>
      <w:rPr>
        <w:noProof/>
      </w:rPr>
    </w:sdtEndPr>
    <w:sdtContent>
      <w:p w14:paraId="570AB159" w14:textId="354D074A" w:rsidR="00525105" w:rsidRPr="003F0CCD" w:rsidRDefault="00525105">
        <w:pPr>
          <w:pStyle w:val="Footer"/>
          <w:jc w:val="right"/>
        </w:pPr>
        <w:r w:rsidRPr="003F0CCD">
          <w:fldChar w:fldCharType="begin"/>
        </w:r>
        <w:r w:rsidRPr="003F0CCD">
          <w:instrText xml:space="preserve"> PAGE   \* MERGEFORMAT </w:instrText>
        </w:r>
        <w:r w:rsidRPr="003F0CCD">
          <w:fldChar w:fldCharType="separate"/>
        </w:r>
        <w:r w:rsidRPr="003F0CCD">
          <w:rPr>
            <w:noProof/>
          </w:rPr>
          <w:t>2</w:t>
        </w:r>
        <w:r w:rsidRPr="003F0CCD">
          <w:rPr>
            <w:noProof/>
          </w:rPr>
          <w:fldChar w:fldCharType="end"/>
        </w:r>
      </w:p>
    </w:sdtContent>
  </w:sdt>
  <w:p w14:paraId="17BF8E2E" w14:textId="77777777" w:rsidR="00E966E3" w:rsidRDefault="00E96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3120"/>
      <w:gridCol w:w="3120"/>
      <w:gridCol w:w="3120"/>
    </w:tblGrid>
    <w:tr w:rsidR="76F421E0" w14:paraId="24CA2191" w14:textId="77777777" w:rsidTr="00165FC1">
      <w:tc>
        <w:tcPr>
          <w:tcW w:w="3120" w:type="dxa"/>
        </w:tcPr>
        <w:p w14:paraId="55C388CE" w14:textId="744C410A" w:rsidR="76F421E0" w:rsidRDefault="76F421E0" w:rsidP="00E20FF2">
          <w:pPr>
            <w:rPr>
              <w:szCs w:val="24"/>
            </w:rPr>
          </w:pPr>
        </w:p>
      </w:tc>
      <w:tc>
        <w:tcPr>
          <w:tcW w:w="3120" w:type="dxa"/>
        </w:tcPr>
        <w:p w14:paraId="33105386" w14:textId="2D4E5938" w:rsidR="76F421E0" w:rsidRDefault="76F421E0" w:rsidP="00464482">
          <w:pPr>
            <w:pStyle w:val="Header"/>
            <w:jc w:val="center"/>
            <w:rPr>
              <w:szCs w:val="24"/>
            </w:rPr>
          </w:pPr>
        </w:p>
      </w:tc>
      <w:tc>
        <w:tcPr>
          <w:tcW w:w="3120" w:type="dxa"/>
        </w:tcPr>
        <w:p w14:paraId="25081998" w14:textId="4E7CDD51" w:rsidR="76F421E0" w:rsidRDefault="76F421E0" w:rsidP="00464482">
          <w:pPr>
            <w:pStyle w:val="Header"/>
            <w:ind w:right="-115"/>
            <w:jc w:val="right"/>
            <w:rPr>
              <w:szCs w:val="24"/>
            </w:rPr>
          </w:pPr>
        </w:p>
      </w:tc>
    </w:tr>
  </w:tbl>
  <w:p w14:paraId="695736E1" w14:textId="76A67D90" w:rsidR="76F421E0" w:rsidRDefault="76F421E0" w:rsidP="00464482">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3360"/>
      <w:gridCol w:w="3360"/>
      <w:gridCol w:w="3360"/>
    </w:tblGrid>
    <w:tr w:rsidR="76F421E0" w14:paraId="0E6B06F1" w14:textId="77777777" w:rsidTr="00165FC1">
      <w:tc>
        <w:tcPr>
          <w:tcW w:w="3360" w:type="dxa"/>
        </w:tcPr>
        <w:p w14:paraId="3C1D926C" w14:textId="658802B0" w:rsidR="76F421E0" w:rsidRDefault="76F421E0" w:rsidP="00464482">
          <w:pPr>
            <w:pStyle w:val="Header"/>
            <w:ind w:left="-115"/>
            <w:rPr>
              <w:szCs w:val="24"/>
            </w:rPr>
          </w:pPr>
        </w:p>
      </w:tc>
      <w:tc>
        <w:tcPr>
          <w:tcW w:w="3360" w:type="dxa"/>
        </w:tcPr>
        <w:p w14:paraId="4597EAB2" w14:textId="4B2CF1ED" w:rsidR="76F421E0" w:rsidRDefault="76F421E0" w:rsidP="00464482">
          <w:pPr>
            <w:pStyle w:val="Header"/>
            <w:jc w:val="center"/>
            <w:rPr>
              <w:szCs w:val="24"/>
            </w:rPr>
          </w:pPr>
        </w:p>
      </w:tc>
      <w:tc>
        <w:tcPr>
          <w:tcW w:w="3360" w:type="dxa"/>
        </w:tcPr>
        <w:p w14:paraId="7299E481" w14:textId="2E68C24C" w:rsidR="76F421E0" w:rsidRDefault="76F421E0" w:rsidP="00464482">
          <w:pPr>
            <w:pStyle w:val="Header"/>
            <w:ind w:right="-115"/>
            <w:jc w:val="right"/>
            <w:rPr>
              <w:szCs w:val="24"/>
            </w:rPr>
          </w:pPr>
        </w:p>
      </w:tc>
    </w:tr>
  </w:tbl>
  <w:p w14:paraId="46C15283" w14:textId="1BE1BBEA" w:rsidR="76F421E0" w:rsidRDefault="76F421E0" w:rsidP="00464482">
    <w:pPr>
      <w:pStyle w:val="Footer"/>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6F421E0" w14:paraId="26B2720D" w14:textId="77777777" w:rsidTr="00464482">
      <w:tc>
        <w:tcPr>
          <w:tcW w:w="3360" w:type="dxa"/>
        </w:tcPr>
        <w:p w14:paraId="30B172D2" w14:textId="21335812" w:rsidR="76F421E0" w:rsidRDefault="76F421E0" w:rsidP="00464482">
          <w:pPr>
            <w:pStyle w:val="Header"/>
            <w:ind w:left="-115"/>
            <w:rPr>
              <w:szCs w:val="24"/>
            </w:rPr>
          </w:pPr>
        </w:p>
      </w:tc>
      <w:tc>
        <w:tcPr>
          <w:tcW w:w="3360" w:type="dxa"/>
        </w:tcPr>
        <w:p w14:paraId="585CD773" w14:textId="0E3F422E" w:rsidR="76F421E0" w:rsidRDefault="76F421E0" w:rsidP="00464482">
          <w:pPr>
            <w:pStyle w:val="Header"/>
            <w:jc w:val="center"/>
            <w:rPr>
              <w:szCs w:val="24"/>
            </w:rPr>
          </w:pPr>
        </w:p>
      </w:tc>
      <w:tc>
        <w:tcPr>
          <w:tcW w:w="3360" w:type="dxa"/>
        </w:tcPr>
        <w:p w14:paraId="287A9E57" w14:textId="0C268253" w:rsidR="76F421E0" w:rsidRDefault="76F421E0" w:rsidP="00464482">
          <w:pPr>
            <w:pStyle w:val="Header"/>
            <w:ind w:right="-115"/>
            <w:jc w:val="right"/>
            <w:rPr>
              <w:szCs w:val="24"/>
            </w:rPr>
          </w:pPr>
        </w:p>
      </w:tc>
    </w:tr>
  </w:tbl>
  <w:p w14:paraId="2879EF78" w14:textId="1FACE25F" w:rsidR="76F421E0" w:rsidRDefault="76F421E0" w:rsidP="00464482">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8BCC1" w14:textId="77777777" w:rsidR="0024542E" w:rsidRDefault="0024542E" w:rsidP="00E966E3">
      <w:r>
        <w:separator/>
      </w:r>
    </w:p>
  </w:footnote>
  <w:footnote w:type="continuationSeparator" w:id="0">
    <w:p w14:paraId="2BEFC117" w14:textId="77777777" w:rsidR="0024542E" w:rsidRDefault="0024542E" w:rsidP="00E966E3">
      <w:r>
        <w:continuationSeparator/>
      </w:r>
    </w:p>
  </w:footnote>
  <w:footnote w:type="continuationNotice" w:id="1">
    <w:p w14:paraId="5640ABAB" w14:textId="77777777" w:rsidR="0024542E" w:rsidRDefault="0024542E"/>
  </w:footnote>
  <w:footnote w:id="2">
    <w:p w14:paraId="452E6D65" w14:textId="112948DA" w:rsidR="6DABE1AC" w:rsidRPr="008E0170" w:rsidRDefault="6DABE1AC" w:rsidP="003C07CE">
      <w:pPr>
        <w:pStyle w:val="FootnoteText"/>
        <w:rPr>
          <w:rFonts w:ascii="Calibri" w:eastAsia="Calibri" w:hAnsi="Calibri" w:cs="Calibri"/>
          <w:color w:val="3333FF"/>
        </w:rPr>
      </w:pPr>
      <w:r w:rsidRPr="00A360E9">
        <w:rPr>
          <w:rStyle w:val="FootnoteReference"/>
        </w:rPr>
        <w:footnoteRef/>
      </w:r>
      <w:r w:rsidRPr="00A360E9">
        <w:t xml:space="preserve"> </w:t>
      </w:r>
      <w:r w:rsidRPr="00A360E9">
        <w:rPr>
          <w:rFonts w:ascii="Calibri" w:eastAsia="Calibri" w:hAnsi="Calibri" w:cs="Calibri"/>
        </w:rPr>
        <w:t xml:space="preserve">Providers may use this number to report individuals newly diagnosed with a notifiable sexually transmitted infection, including HIV, or request partner services. Partner services is a free and confidential service for individuals recently diagnosed with a priority infection. The client-centered program offers counseling, linkage to other health and social services, anonymous notification of partners who were exposed and assistance with getting testing and treatment. For more information, see: </w:t>
      </w:r>
      <w:hyperlink r:id="rId1" w:history="1">
        <w:r w:rsidRPr="008E0170">
          <w:rPr>
            <w:rStyle w:val="Hyperlink"/>
            <w:rFonts w:ascii="Calibri" w:eastAsia="Calibri" w:hAnsi="Calibri" w:cs="Calibri"/>
            <w:color w:val="3333FF"/>
          </w:rPr>
          <w:t>https://www.mass.gov/service-details/partner-services-program-information-for-healthcare-providers</w:t>
        </w:r>
      </w:hyperlink>
      <w:r w:rsidRPr="008E0170">
        <w:rPr>
          <w:rFonts w:ascii="Calibri" w:eastAsia="Calibri" w:hAnsi="Calibri" w:cs="Calibri"/>
          <w:color w:val="3333FF"/>
        </w:rPr>
        <w:t xml:space="preserve"> </w:t>
      </w:r>
    </w:p>
  </w:footnote>
  <w:footnote w:id="3">
    <w:p w14:paraId="0D43E88E" w14:textId="43962246" w:rsidR="005A43F9" w:rsidRDefault="005A43F9">
      <w:pPr>
        <w:pStyle w:val="FootnoteText"/>
      </w:pPr>
      <w:r>
        <w:rPr>
          <w:rStyle w:val="FootnoteReference"/>
        </w:rPr>
        <w:footnoteRef/>
      </w:r>
      <w:r>
        <w:t xml:space="preserve"> </w:t>
      </w:r>
      <w:r w:rsidRPr="005A43F9">
        <w:t xml:space="preserve">Please consider the impact of the COVID-19 pandemic on infectious disease screening, treatment, and surveillance in the </w:t>
      </w:r>
      <w:r w:rsidR="00CA4563">
        <w:t>interpretation of data from 2020 to 2023</w:t>
      </w:r>
      <w:r w:rsidR="00256F80">
        <w:t>.</w:t>
      </w:r>
    </w:p>
  </w:footnote>
  <w:footnote w:id="4">
    <w:p w14:paraId="299FF290" w14:textId="140512CA" w:rsidR="00AA0382" w:rsidRPr="007E21AE" w:rsidRDefault="00AA0382">
      <w:pPr>
        <w:pStyle w:val="FootnoteText"/>
      </w:pPr>
      <w:r w:rsidRPr="007E21AE">
        <w:rPr>
          <w:rStyle w:val="FootnoteReference"/>
        </w:rPr>
        <w:footnoteRef/>
      </w:r>
      <w:r w:rsidR="76F421E0" w:rsidRPr="007E21AE">
        <w:t xml:space="preserve"> </w:t>
      </w:r>
      <w:r w:rsidR="00066245" w:rsidRPr="00066245">
        <w:t>Please note reported numbers among individuals of transgender experience and individuals who are nonbinary are likely to be underestimates</w:t>
      </w:r>
      <w:r w:rsidR="13E0D991" w:rsidRPr="00066245">
        <w:t xml:space="preserve">, for more information see Interpreting HIV, </w:t>
      </w:r>
      <w:r w:rsidR="00285320">
        <w:t>STI</w:t>
      </w:r>
      <w:r w:rsidR="13E0D991" w:rsidRPr="00066245">
        <w:t>,</w:t>
      </w:r>
      <w:r w:rsidR="00066245" w:rsidRPr="00066245">
        <w:t xml:space="preserve"> </w:t>
      </w:r>
      <w:r w:rsidR="5E64B32B" w:rsidRPr="00066245">
        <w:t>and Viral Hepatitis Data.</w:t>
      </w:r>
    </w:p>
  </w:footnote>
  <w:footnote w:id="5">
    <w:p w14:paraId="7EA5037C" w14:textId="3F941B72" w:rsidR="79913B0A" w:rsidRPr="007E21AE" w:rsidRDefault="79913B0A" w:rsidP="00EF05A6">
      <w:pPr>
        <w:rPr>
          <w:rFonts w:ascii="Calibri" w:eastAsia="Calibri" w:hAnsi="Calibri" w:cs="Calibri"/>
          <w:sz w:val="20"/>
          <w:szCs w:val="20"/>
        </w:rPr>
      </w:pPr>
      <w:r w:rsidRPr="007E21AE">
        <w:rPr>
          <w:rStyle w:val="FootnoteReference"/>
          <w:sz w:val="20"/>
          <w:szCs w:val="20"/>
        </w:rPr>
        <w:footnoteRef/>
      </w:r>
      <w:r w:rsidRPr="007E21AE">
        <w:rPr>
          <w:sz w:val="20"/>
          <w:szCs w:val="20"/>
        </w:rPr>
        <w:t xml:space="preserve"> </w:t>
      </w:r>
      <w:r w:rsidR="0028027F" w:rsidRPr="0028027F">
        <w:rPr>
          <w:rFonts w:ascii="Calibri" w:eastAsia="Calibri" w:hAnsi="Calibri" w:cs="Calibri"/>
          <w:sz w:val="20"/>
          <w:szCs w:val="20"/>
        </w:rPr>
        <w:t xml:space="preserve">Centers for Disease Control and Prevention. </w:t>
      </w:r>
      <w:r w:rsidR="00A0215B">
        <w:rPr>
          <w:rFonts w:ascii="Calibri" w:eastAsia="Calibri" w:hAnsi="Calibri" w:cs="Calibri"/>
          <w:sz w:val="20"/>
          <w:szCs w:val="20"/>
        </w:rPr>
        <w:t>Sexually Transmitted Infections Surveillance 2022</w:t>
      </w:r>
      <w:r w:rsidR="0028027F" w:rsidRPr="0028027F">
        <w:rPr>
          <w:rFonts w:ascii="Calibri" w:eastAsia="Calibri" w:hAnsi="Calibri" w:cs="Calibri"/>
          <w:sz w:val="20"/>
          <w:szCs w:val="20"/>
        </w:rPr>
        <w:t xml:space="preserve"> Atlanta: U.S. Department of </w:t>
      </w:r>
      <w:r w:rsidR="00A0215B">
        <w:rPr>
          <w:rFonts w:ascii="Calibri" w:eastAsia="Calibri" w:hAnsi="Calibri" w:cs="Calibri"/>
          <w:sz w:val="20"/>
          <w:szCs w:val="20"/>
        </w:rPr>
        <w:t>Health and Human Services; 2024</w:t>
      </w:r>
      <w:r w:rsidR="0028027F" w:rsidRPr="0028027F">
        <w:rPr>
          <w:rFonts w:ascii="Calibri" w:eastAsia="Calibri" w:hAnsi="Calibri" w:cs="Calibri"/>
          <w:sz w:val="20"/>
          <w:szCs w:val="20"/>
        </w:rPr>
        <w:t xml:space="preserve">. </w:t>
      </w:r>
      <w:r w:rsidR="00A0215B">
        <w:rPr>
          <w:rFonts w:ascii="Calibri" w:eastAsia="Calibri" w:hAnsi="Calibri" w:cs="Calibri"/>
          <w:sz w:val="20"/>
          <w:szCs w:val="20"/>
        </w:rPr>
        <w:t xml:space="preserve">Please note, 2022 state rankings </w:t>
      </w:r>
      <w:r w:rsidR="42BA9995">
        <w:rPr>
          <w:rFonts w:ascii="Calibri" w:eastAsia="Calibri" w:hAnsi="Calibri" w:cs="Calibri"/>
          <w:sz w:val="20"/>
          <w:szCs w:val="20"/>
        </w:rPr>
        <w:t>and rates are</w:t>
      </w:r>
      <w:r w:rsidR="00A0215B">
        <w:rPr>
          <w:rFonts w:ascii="Calibri" w:eastAsia="Calibri" w:hAnsi="Calibri" w:cs="Calibri"/>
          <w:sz w:val="20"/>
          <w:szCs w:val="20"/>
        </w:rPr>
        <w:t xml:space="preserve"> presented because 2023 rankings were not yet available at the time of this publication. </w:t>
      </w:r>
      <w:r w:rsidR="2A64E82A">
        <w:rPr>
          <w:rFonts w:ascii="Calibri" w:eastAsia="Calibri" w:hAnsi="Calibri" w:cs="Calibri"/>
          <w:sz w:val="20"/>
          <w:szCs w:val="20"/>
        </w:rPr>
        <w:t xml:space="preserve">2022 rates presented here are </w:t>
      </w:r>
      <w:r w:rsidR="24F54016">
        <w:rPr>
          <w:rFonts w:ascii="Calibri" w:eastAsia="Calibri" w:hAnsi="Calibri" w:cs="Calibri"/>
          <w:sz w:val="20"/>
          <w:szCs w:val="20"/>
        </w:rPr>
        <w:t xml:space="preserve">from </w:t>
      </w:r>
      <w:r w:rsidR="5D30E872">
        <w:rPr>
          <w:rFonts w:ascii="Calibri" w:eastAsia="Calibri" w:hAnsi="Calibri" w:cs="Calibri"/>
          <w:sz w:val="20"/>
          <w:szCs w:val="20"/>
        </w:rPr>
        <w:t xml:space="preserve">CDC and may differ from 2022 rates reported in </w:t>
      </w:r>
      <w:r w:rsidR="6BD80494">
        <w:rPr>
          <w:rFonts w:ascii="Calibri" w:eastAsia="Calibri" w:hAnsi="Calibri" w:cs="Calibri"/>
          <w:sz w:val="20"/>
          <w:szCs w:val="20"/>
        </w:rPr>
        <w:t xml:space="preserve">the Massachusetts Integrated </w:t>
      </w:r>
      <w:r w:rsidR="375FA97A">
        <w:rPr>
          <w:rFonts w:ascii="Calibri" w:eastAsia="Calibri" w:hAnsi="Calibri" w:cs="Calibri"/>
          <w:sz w:val="20"/>
          <w:szCs w:val="20"/>
        </w:rPr>
        <w:t xml:space="preserve">HIV, </w:t>
      </w:r>
      <w:r w:rsidR="00285320">
        <w:rPr>
          <w:rFonts w:ascii="Calibri" w:eastAsia="Calibri" w:hAnsi="Calibri" w:cs="Calibri"/>
          <w:sz w:val="20"/>
          <w:szCs w:val="20"/>
        </w:rPr>
        <w:t>STI</w:t>
      </w:r>
      <w:r w:rsidR="375FA97A">
        <w:rPr>
          <w:rFonts w:ascii="Calibri" w:eastAsia="Calibri" w:hAnsi="Calibri" w:cs="Calibri"/>
          <w:sz w:val="20"/>
          <w:szCs w:val="20"/>
        </w:rPr>
        <w:t xml:space="preserve">, and Viral Hepatitis </w:t>
      </w:r>
      <w:r w:rsidR="20A6F196">
        <w:rPr>
          <w:rFonts w:ascii="Calibri" w:eastAsia="Calibri" w:hAnsi="Calibri" w:cs="Calibri"/>
          <w:sz w:val="20"/>
          <w:szCs w:val="20"/>
        </w:rPr>
        <w:t xml:space="preserve">Reports. </w:t>
      </w:r>
    </w:p>
  </w:footnote>
  <w:footnote w:id="6">
    <w:p w14:paraId="799FE312" w14:textId="55E29C03" w:rsidR="00AA0382" w:rsidRDefault="00AA0382">
      <w:pPr>
        <w:pStyle w:val="FootnoteText"/>
      </w:pPr>
      <w:r w:rsidRPr="007E21AE">
        <w:rPr>
          <w:rStyle w:val="FootnoteReference"/>
        </w:rPr>
        <w:footnoteRef/>
      </w:r>
      <w:r w:rsidRPr="007E21AE">
        <w:t xml:space="preserve"> </w:t>
      </w:r>
      <w:r w:rsidR="00550A6B">
        <w:t xml:space="preserve">2023 </w:t>
      </w:r>
      <w:r w:rsidRPr="007E21AE">
        <w:t>HIV prevalence data are preliminary and subject to change.</w:t>
      </w:r>
    </w:p>
  </w:footnote>
  <w:footnote w:id="7">
    <w:p w14:paraId="34A8419A" w14:textId="2D8DCBBA" w:rsidR="001536A7" w:rsidRDefault="001536A7" w:rsidP="001536A7">
      <w:pPr>
        <w:pStyle w:val="FootnoteText"/>
      </w:pPr>
      <w:r>
        <w:rPr>
          <w:rStyle w:val="FootnoteReference"/>
        </w:rPr>
        <w:footnoteRef/>
      </w:r>
      <w:r>
        <w:t xml:space="preserve"> </w:t>
      </w:r>
      <w:r w:rsidRPr="005A5442">
        <w:t xml:space="preserve">Please consider the impact of the COVID-19 pandemic on infectious disease screening, treatment, and surveillance in the </w:t>
      </w:r>
      <w:r w:rsidR="00CA4563">
        <w:t>interpretation of data from 2020 to 2023</w:t>
      </w:r>
      <w:r>
        <w:t>.</w:t>
      </w:r>
    </w:p>
  </w:footnote>
  <w:footnote w:id="8">
    <w:p w14:paraId="767404B1" w14:textId="64D6492C" w:rsidR="005A5442" w:rsidRDefault="005A5442">
      <w:pPr>
        <w:pStyle w:val="FootnoteText"/>
      </w:pPr>
      <w:r>
        <w:rPr>
          <w:rStyle w:val="FootnoteReference"/>
        </w:rPr>
        <w:footnoteRef/>
      </w:r>
      <w:r>
        <w:t xml:space="preserve"> </w:t>
      </w:r>
      <w:r w:rsidRPr="005A5442">
        <w:t xml:space="preserve">For more information, see: Joint MDPH and BPHC Clinical Advisory: Increase in newly diagnosed HIV infections among persons who inject drugs in Boston, March 15, 2021, available at: </w:t>
      </w:r>
      <w:hyperlink r:id="rId2" w:history="1">
        <w:r w:rsidRPr="00F446E3">
          <w:rPr>
            <w:rStyle w:val="Hyperlink"/>
            <w:color w:val="3333FF"/>
          </w:rPr>
          <w:t>https://www.mass.gov/doc/joint-mdph-and-bphc-clinical-advisory-hiv-transmission-through-injection-drug-use-in-boston-march-15-2021/download</w:t>
        </w:r>
      </w:hyperlink>
      <w:r w:rsidRPr="00F446E3">
        <w:rPr>
          <w:color w:val="3333FF"/>
        </w:rPr>
        <w:t xml:space="preserve">  </w:t>
      </w:r>
    </w:p>
  </w:footnote>
  <w:footnote w:id="9">
    <w:p w14:paraId="08D7D462" w14:textId="6841577A" w:rsidR="00F7494C" w:rsidRDefault="00F7494C" w:rsidP="00F7494C">
      <w:pPr>
        <w:pStyle w:val="FootnoteText"/>
      </w:pPr>
      <w:r>
        <w:rPr>
          <w:rStyle w:val="FootnoteReference"/>
        </w:rPr>
        <w:footnoteRef/>
      </w:r>
      <w:r>
        <w:t xml:space="preserve"> </w:t>
      </w:r>
      <w:r w:rsidRPr="00A106B1">
        <w:t xml:space="preserve">Please consider the impact of the COVID-19 pandemic on infectious disease screening, treatment, and surveillance in the </w:t>
      </w:r>
      <w:r w:rsidR="00CA4563">
        <w:t>interpretation of data from 2020 to 2023</w:t>
      </w:r>
      <w:r>
        <w:t>.</w:t>
      </w:r>
    </w:p>
  </w:footnote>
  <w:footnote w:id="10">
    <w:p w14:paraId="36BFCE84" w14:textId="17554FCB" w:rsidR="00FB12BF" w:rsidRDefault="00FB12BF">
      <w:pPr>
        <w:pStyle w:val="FootnoteText"/>
      </w:pPr>
      <w:r>
        <w:rPr>
          <w:rStyle w:val="FootnoteReference"/>
        </w:rPr>
        <w:footnoteRef/>
      </w:r>
      <w:r>
        <w:t xml:space="preserve"> </w:t>
      </w:r>
      <w:r w:rsidRPr="00FB12BF">
        <w:t xml:space="preserve">Please consider the impact of the COVID-19 pandemic on infectious disease screening, treatment, and surveillance in the </w:t>
      </w:r>
      <w:r w:rsidR="00CA4563">
        <w:t>interpretation of data from 2020 to 2023</w:t>
      </w:r>
      <w:r w:rsidR="00256F80">
        <w:t>.</w:t>
      </w:r>
    </w:p>
  </w:footnote>
  <w:footnote w:id="11">
    <w:p w14:paraId="3553F566" w14:textId="36E7DD17" w:rsidR="00FB12BF" w:rsidRDefault="00FB12BF" w:rsidP="00FB12BF">
      <w:pPr>
        <w:pStyle w:val="FootnoteText"/>
      </w:pPr>
      <w:r>
        <w:rPr>
          <w:rStyle w:val="FootnoteReference"/>
        </w:rPr>
        <w:footnoteRef/>
      </w:r>
      <w:r>
        <w:t xml:space="preserve"> </w:t>
      </w:r>
      <w:r w:rsidRPr="00FB12BF">
        <w:t>CDC,</w:t>
      </w:r>
      <w:r w:rsidR="007E21AE">
        <w:t xml:space="preserve"> </w:t>
      </w:r>
      <w:r w:rsidRPr="00FB12BF">
        <w:t xml:space="preserve">Trends in Reported Cases and Rates of Reported Cases for Nationally Notifiable STDs, United States, 2017-2021*, available at </w:t>
      </w:r>
      <w:hyperlink r:id="rId3" w:history="1">
        <w:r w:rsidRPr="00FB12BF">
          <w:rPr>
            <w:rStyle w:val="Hyperlink"/>
          </w:rPr>
          <w:t>https://www.cdc.gov/std/statistics/2021/default.htm</w:t>
        </w:r>
      </w:hyperlink>
      <w:r w:rsidRPr="00FB12BF">
        <w:t xml:space="preserve"> </w:t>
      </w:r>
    </w:p>
    <w:p w14:paraId="63D9E23C" w14:textId="6FA45594" w:rsidR="00FB12BF" w:rsidRDefault="00FB12BF">
      <w:pPr>
        <w:pStyle w:val="FootnoteText"/>
      </w:pPr>
      <w:r w:rsidRPr="00FB12BF">
        <w:t>Pagaoa, Melissa MPH; Grey, Jeremy PhD; Torrone, Elizabeth PhD; Kreisel, Kristen PhD; Stenger, Mark MA; Weinstock, Hillard MD Trends in Nationally Notifiable Sexually Transmitted Disease Case Reports During the US COVID-19 Pandemic, January to December 2020, Sexually Transmitted Diseases: October 2021 - Volume 48 - Issue 10 - p 798-804</w:t>
      </w:r>
      <w:r w:rsidRPr="00FB12BF">
        <w:rPr>
          <w:vertAlign w:val="superscript"/>
        </w:rPr>
        <w:t xml:space="preserve"> </w:t>
      </w:r>
    </w:p>
  </w:footnote>
  <w:footnote w:id="12">
    <w:p w14:paraId="5B796D32" w14:textId="0B5775A0" w:rsidR="09316747" w:rsidRPr="00D52709" w:rsidRDefault="09316747" w:rsidP="003B0BB0">
      <w:pPr>
        <w:pStyle w:val="FootnoteText"/>
        <w:rPr>
          <w:rFonts w:cstheme="minorHAnsi"/>
        </w:rPr>
      </w:pPr>
      <w:r w:rsidRPr="00D52709">
        <w:rPr>
          <w:rStyle w:val="FootnoteReference"/>
          <w:rFonts w:cstheme="minorHAnsi"/>
        </w:rPr>
        <w:footnoteRef/>
      </w:r>
      <w:r w:rsidRPr="00D52709">
        <w:rPr>
          <w:rFonts w:cstheme="minorHAnsi"/>
        </w:rPr>
        <w:t xml:space="preserve"> </w:t>
      </w:r>
      <w:r w:rsidRPr="00D52709">
        <w:rPr>
          <w:rFonts w:eastAsia="Segoe UI" w:cstheme="minorHAnsi"/>
        </w:rPr>
        <w:t xml:space="preserve">Please note reported numbers among individuals of transgender experience and individuals who are nonbinary are likely to be underestimates. For more information, see </w:t>
      </w:r>
      <w:hyperlink w:anchor="_INTERPRETING_HIV,_STD," w:history="1">
        <w:r w:rsidRPr="00D52709">
          <w:rPr>
            <w:rStyle w:val="Hyperlink"/>
            <w:rFonts w:eastAsia="Segoe UI" w:cstheme="minorHAnsi"/>
          </w:rPr>
          <w:t>Interpreting HIV, STD, and Viral Hepatitis Data.</w:t>
        </w:r>
      </w:hyperlink>
    </w:p>
  </w:footnote>
  <w:footnote w:id="13">
    <w:p w14:paraId="502A3331" w14:textId="1DFB2E24" w:rsidR="003D5936" w:rsidRPr="002735AE" w:rsidRDefault="003D5936">
      <w:pPr>
        <w:pStyle w:val="FootnoteText"/>
      </w:pPr>
      <w:r w:rsidRPr="002735AE">
        <w:rPr>
          <w:rStyle w:val="FootnoteReference"/>
        </w:rPr>
        <w:footnoteRef/>
      </w:r>
      <w:r w:rsidRPr="002735AE">
        <w:t xml:space="preserve"> Please consider the impact of the COVID-19 pandemic on infectious disease screening, treatment, and surveillance in the </w:t>
      </w:r>
      <w:r w:rsidR="00CA4563">
        <w:t>interpretation of data from 2020 to 2023</w:t>
      </w:r>
      <w:r w:rsidR="00256F80">
        <w:t>.</w:t>
      </w:r>
    </w:p>
  </w:footnote>
  <w:footnote w:id="14">
    <w:p w14:paraId="0B2DEDB1" w14:textId="6EA63B87" w:rsidR="00F73920" w:rsidRDefault="00F73920">
      <w:pPr>
        <w:pStyle w:val="FootnoteText"/>
      </w:pPr>
      <w:r>
        <w:rPr>
          <w:rStyle w:val="FootnoteReference"/>
        </w:rPr>
        <w:footnoteRef/>
      </w:r>
      <w:r>
        <w:t xml:space="preserve"> </w:t>
      </w:r>
      <w:r w:rsidR="00DA1584" w:rsidRPr="00DA1584">
        <w:t>Source</w:t>
      </w:r>
      <w:r w:rsidR="00DA1584" w:rsidRPr="00DA1584">
        <w:rPr>
          <w:i/>
          <w:iCs/>
        </w:rPr>
        <w:t>: Final Recommendation Statement: Chlamydia and Gonorrhea: Screening</w:t>
      </w:r>
      <w:r w:rsidR="00DA1584" w:rsidRPr="00DA1584">
        <w:t xml:space="preserve">. U.S. Preventive Services Task Force. September 2021. </w:t>
      </w:r>
      <w:hyperlink r:id="rId4" w:history="1">
        <w:r w:rsidR="00DA1584" w:rsidRPr="000D6B39">
          <w:rPr>
            <w:rStyle w:val="Hyperlink"/>
            <w:color w:val="3333FF"/>
          </w:rPr>
          <w:t>https://www.uspreventiveservicestaskforce.org/uspstf/recommendation/chlamydia-and-gonorrhea-screening#fullrecommendationstart</w:t>
        </w:r>
      </w:hyperlink>
      <w:r w:rsidR="00DA1584" w:rsidRPr="000D6B39">
        <w:rPr>
          <w:color w:val="3333FF"/>
        </w:rPr>
        <w:t xml:space="preserve"> </w:t>
      </w:r>
    </w:p>
  </w:footnote>
  <w:footnote w:id="15">
    <w:p w14:paraId="6CA2466B" w14:textId="51407ACE" w:rsidR="00156145" w:rsidRDefault="00156145">
      <w:pPr>
        <w:pStyle w:val="FootnoteText"/>
      </w:pPr>
      <w:r>
        <w:rPr>
          <w:rStyle w:val="FootnoteReference"/>
        </w:rPr>
        <w:footnoteRef/>
      </w:r>
      <w:r>
        <w:t xml:space="preserve"> </w:t>
      </w:r>
      <w:r w:rsidR="009661AD" w:rsidRPr="009661AD">
        <w:t xml:space="preserve">For more information, see MDPH Chlamydia Screening Advisory (2022) </w:t>
      </w:r>
      <w:hyperlink r:id="rId5" w:history="1">
        <w:r w:rsidR="009661AD" w:rsidRPr="000D6B39">
          <w:rPr>
            <w:rStyle w:val="Hyperlink"/>
            <w:color w:val="3333FF"/>
          </w:rPr>
          <w:t>https://www.mass.gov/doc/chlamydia-screening-advisory-2022/download</w:t>
        </w:r>
      </w:hyperlink>
      <w:r w:rsidR="009661AD" w:rsidRPr="000D6B39">
        <w:rPr>
          <w:color w:val="3333FF"/>
        </w:rPr>
        <w:t xml:space="preserve"> </w:t>
      </w:r>
    </w:p>
  </w:footnote>
  <w:footnote w:id="16">
    <w:p w14:paraId="65FFD533" w14:textId="6FF0128B" w:rsidR="00401015" w:rsidRDefault="00401015">
      <w:pPr>
        <w:pStyle w:val="FootnoteText"/>
      </w:pPr>
      <w:r>
        <w:rPr>
          <w:rStyle w:val="FootnoteReference"/>
        </w:rPr>
        <w:footnoteRef/>
      </w:r>
      <w:r>
        <w:t xml:space="preserve"> </w:t>
      </w:r>
      <w:r w:rsidRPr="00401015">
        <w:t xml:space="preserve">Please consider the impact of the COVID-19 pandemic on infectious disease screening, treatment, and surveillance in the </w:t>
      </w:r>
      <w:r w:rsidR="00CA4563">
        <w:t>interpretation of data from 2020 to 2023</w:t>
      </w:r>
      <w:r w:rsidR="00256F80">
        <w:t>.</w:t>
      </w:r>
    </w:p>
  </w:footnote>
  <w:footnote w:id="17">
    <w:p w14:paraId="19457BDA" w14:textId="11E8436A" w:rsidR="00663153" w:rsidRDefault="00663153">
      <w:pPr>
        <w:pStyle w:val="FootnoteText"/>
      </w:pPr>
      <w:r>
        <w:rPr>
          <w:rStyle w:val="FootnoteReference"/>
        </w:rPr>
        <w:footnoteRef/>
      </w:r>
      <w:r>
        <w:t xml:space="preserve"> </w:t>
      </w:r>
      <w:r w:rsidRPr="00663153">
        <w:t>Among cities that reported at least 12 confirmed chlamydia cases in 202</w:t>
      </w:r>
      <w:r w:rsidR="00E8762B">
        <w:t>3</w:t>
      </w:r>
      <w:r w:rsidRPr="00663153">
        <w:t>.</w:t>
      </w:r>
    </w:p>
  </w:footnote>
  <w:footnote w:id="18">
    <w:p w14:paraId="0228ECAA" w14:textId="1584E597" w:rsidR="00B73C75" w:rsidRDefault="00B73C75">
      <w:pPr>
        <w:pStyle w:val="FootnoteText"/>
      </w:pPr>
      <w:r>
        <w:rPr>
          <w:rStyle w:val="FootnoteReference"/>
        </w:rPr>
        <w:footnoteRef/>
      </w:r>
      <w:r>
        <w:t xml:space="preserve"> </w:t>
      </w:r>
      <w:r w:rsidRPr="00B73C75">
        <w:t xml:space="preserve">Please consider the impact of the COVID-19 pandemic on infectious disease screening, treatment, and surveillance in the </w:t>
      </w:r>
      <w:r w:rsidR="00CA4563">
        <w:t>interpretation of data from 2020 to 2023</w:t>
      </w:r>
      <w:r w:rsidR="00256F80">
        <w:t>.</w:t>
      </w:r>
    </w:p>
  </w:footnote>
  <w:footnote w:id="19">
    <w:p w14:paraId="6935CABE" w14:textId="59881953" w:rsidR="00663153" w:rsidRDefault="00663153">
      <w:pPr>
        <w:pStyle w:val="FootnoteText"/>
      </w:pPr>
      <w:r>
        <w:rPr>
          <w:rStyle w:val="FootnoteReference"/>
        </w:rPr>
        <w:footnoteRef/>
      </w:r>
      <w:r w:rsidR="2F702A1B">
        <w:t xml:space="preserve"> </w:t>
      </w:r>
      <w:r w:rsidR="2F702A1B" w:rsidRPr="00663153">
        <w:t>The chlamydia incidence rate for Provincetown is high because of small population size (2,583), as opposed to the number of cases (7</w:t>
      </w:r>
      <w:r w:rsidR="00177F84">
        <w:t>9</w:t>
      </w:r>
      <w:r w:rsidR="2F702A1B" w:rsidRPr="00663153">
        <w:t>).</w:t>
      </w:r>
    </w:p>
  </w:footnote>
  <w:footnote w:id="20">
    <w:p w14:paraId="573DE3B9" w14:textId="77777777" w:rsidR="00F17973" w:rsidRDefault="00F17973" w:rsidP="00F17973">
      <w:pPr>
        <w:pStyle w:val="FootnoteText"/>
      </w:pPr>
      <w:r>
        <w:rPr>
          <w:rStyle w:val="FootnoteReference"/>
        </w:rPr>
        <w:footnoteRef/>
      </w:r>
      <w:r>
        <w:t xml:space="preserve"> </w:t>
      </w:r>
      <w:r w:rsidRPr="00865514">
        <w:t xml:space="preserve">Please consider the impact of the COVID-19 pandemic on infectious disease screening, treatment, and surveillance in the </w:t>
      </w:r>
      <w:r>
        <w:t>interpretation of data from 2020 to 2023.</w:t>
      </w:r>
    </w:p>
  </w:footnote>
  <w:footnote w:id="21">
    <w:p w14:paraId="7C56126F" w14:textId="77777777" w:rsidR="00F17973" w:rsidRDefault="00F17973" w:rsidP="00F17973">
      <w:pPr>
        <w:pStyle w:val="FootnoteText"/>
      </w:pPr>
      <w:r>
        <w:rPr>
          <w:rStyle w:val="FootnoteReference"/>
        </w:rPr>
        <w:footnoteRef/>
      </w:r>
      <w:r>
        <w:t xml:space="preserve"> </w:t>
      </w:r>
      <w:r w:rsidRPr="00865514">
        <w:t>Centers for Disease Control and Prevention,</w:t>
      </w:r>
      <w:r>
        <w:t xml:space="preserve"> Sexually Transmitted Infections Surveillance 2022</w:t>
      </w:r>
      <w:r w:rsidRPr="00865514">
        <w:t xml:space="preserve">, available at </w:t>
      </w:r>
      <w:hyperlink r:id="rId6" w:history="1">
        <w:r w:rsidRPr="2F702A1B">
          <w:rPr>
            <w:rStyle w:val="Hyperlink"/>
          </w:rPr>
          <w:t>https://www.cdc.gov/std/statistics/2021/default.htm</w:t>
        </w:r>
      </w:hyperlink>
      <w:r>
        <w:t xml:space="preserve"> </w:t>
      </w:r>
      <w:r w:rsidRPr="00865514">
        <w:t xml:space="preserve"> </w:t>
      </w:r>
    </w:p>
  </w:footnote>
  <w:footnote w:id="22">
    <w:p w14:paraId="0D0E318D" w14:textId="77777777" w:rsidR="00F17973" w:rsidRDefault="00F17973" w:rsidP="00F17973">
      <w:pPr>
        <w:pStyle w:val="FootnoteText"/>
      </w:pPr>
      <w:r>
        <w:rPr>
          <w:rStyle w:val="FootnoteReference"/>
        </w:rPr>
        <w:footnoteRef/>
      </w:r>
      <w:r>
        <w:t xml:space="preserve">  Centers for Disease Control and Prevention. Sexually Transmitted Infections Surveillance 2022 Atlanta: U.S. Department of Health and Human Services; 2024. Please note, 2022 state rankings are presented because 2023 rankings were not yet available at the time of this publication. </w:t>
      </w:r>
    </w:p>
  </w:footnote>
  <w:footnote w:id="23">
    <w:p w14:paraId="1540B849" w14:textId="7CF3A3FF" w:rsidR="00DA3473" w:rsidRDefault="00DA3473">
      <w:pPr>
        <w:pStyle w:val="FootnoteText"/>
      </w:pPr>
      <w:r>
        <w:rPr>
          <w:rStyle w:val="FootnoteReference"/>
        </w:rPr>
        <w:footnoteRef/>
      </w:r>
      <w:r>
        <w:t xml:space="preserve"> </w:t>
      </w:r>
      <w:r w:rsidRPr="00DA3473">
        <w:t xml:space="preserve">For more information, see: </w:t>
      </w:r>
      <w:hyperlink r:id="rId7" w:history="1">
        <w:r w:rsidRPr="00DA3473">
          <w:rPr>
            <w:rStyle w:val="Hyperlink"/>
          </w:rPr>
          <w:t>https://www.atsdr.cdc.gov/placeandhealth/svi/index.html</w:t>
        </w:r>
      </w:hyperlink>
      <w:r w:rsidRPr="00DA3473">
        <w:t xml:space="preserve">  </w:t>
      </w:r>
    </w:p>
  </w:footnote>
  <w:footnote w:id="24">
    <w:p w14:paraId="637389F1" w14:textId="2AAE54B0" w:rsidR="00DA3473" w:rsidRDefault="00DA3473">
      <w:pPr>
        <w:pStyle w:val="FootnoteText"/>
      </w:pPr>
      <w:r>
        <w:rPr>
          <w:rStyle w:val="FootnoteReference"/>
        </w:rPr>
        <w:footnoteRef/>
      </w:r>
      <w:r>
        <w:t xml:space="preserve"> </w:t>
      </w:r>
      <w:r w:rsidRPr="00DA3473">
        <w:t xml:space="preserve">Gant, Z., Dailey, A., Hu, X. et al. A Census Tract–Level Examination of Diagnosed HIV Infection and Social Vulnerability among Black/African American, Hispanic/Latinx, and White Adults, 2018: United States. J. Racial and Ethnic Health Disparities (2022). </w:t>
      </w:r>
      <w:hyperlink r:id="rId8" w:history="1">
        <w:r w:rsidRPr="00DA3473">
          <w:rPr>
            <w:rStyle w:val="Hyperlink"/>
          </w:rPr>
          <w:t>https://doi.org/10.1007/s40615-022-01456-7</w:t>
        </w:r>
      </w:hyperlink>
      <w:r w:rsidRPr="00DA3473">
        <w:t xml:space="preserve">   </w:t>
      </w:r>
    </w:p>
  </w:footnote>
  <w:footnote w:id="25">
    <w:p w14:paraId="52204C45" w14:textId="68D0BB4C" w:rsidR="00DA3473" w:rsidRDefault="00DA3473">
      <w:pPr>
        <w:pStyle w:val="FootnoteText"/>
      </w:pPr>
      <w:r>
        <w:rPr>
          <w:rStyle w:val="FootnoteReference"/>
        </w:rPr>
        <w:footnoteRef/>
      </w:r>
      <w:r>
        <w:t xml:space="preserve"> </w:t>
      </w:r>
      <w:r w:rsidRPr="00DA3473">
        <w:t xml:space="preserve">Copen CE, Haderxhanaj LT, Renfro KJ, Loosier PS. County-Level Chlamydia and Gonorrhea Rates by Social Vulnerability, United States, 2014-2018. Sex Transm Dis. 2022 Dec 1;49(12):822-825. </w:t>
      </w:r>
    </w:p>
  </w:footnote>
  <w:footnote w:id="26">
    <w:p w14:paraId="35B3E13F" w14:textId="2F9ADD89" w:rsidR="00DA3473" w:rsidRDefault="00DA3473">
      <w:pPr>
        <w:pStyle w:val="FootnoteText"/>
      </w:pPr>
      <w:r>
        <w:rPr>
          <w:rStyle w:val="FootnoteReference"/>
        </w:rPr>
        <w:footnoteRef/>
      </w:r>
      <w:r>
        <w:t xml:space="preserve"> </w:t>
      </w:r>
      <w:r w:rsidRPr="00DA3473">
        <w:t xml:space="preserve">Dasgupta S, Bowen VB, Leidner A, et al. Association Between Social Vulnerability and a County’s Risk for Becoming a COVID-19 Hotspot — United States, June 1–July 25, 2020. MMWR Morb Mortal Wkly Rep 2020;69:1535–1541. DOI: </w:t>
      </w:r>
      <w:hyperlink r:id="rId9" w:history="1">
        <w:r w:rsidRPr="00DA3473">
          <w:rPr>
            <w:rStyle w:val="Hyperlink"/>
          </w:rPr>
          <w:t>http://dx.doi.org/10.15585/mmwr.mm6942a3</w:t>
        </w:r>
      </w:hyperlink>
      <w:r w:rsidRPr="00DA3473">
        <w:t xml:space="preserve">  </w:t>
      </w:r>
    </w:p>
  </w:footnote>
  <w:footnote w:id="27">
    <w:p w14:paraId="167BC63A" w14:textId="1300BD5B" w:rsidR="00D438FE" w:rsidRDefault="00D438FE" w:rsidP="00D438FE">
      <w:pPr>
        <w:pStyle w:val="FootnoteText"/>
      </w:pPr>
      <w:r>
        <w:rPr>
          <w:rStyle w:val="FootnoteReference"/>
        </w:rPr>
        <w:footnoteRef/>
      </w:r>
      <w:r>
        <w:t xml:space="preserve"> </w:t>
      </w:r>
      <w:r w:rsidRPr="00B73C75">
        <w:t xml:space="preserve">Please consider the impact of the COVID-19 pandemic on infectious disease screening, treatment, and surveillance in the </w:t>
      </w:r>
      <w:r w:rsidR="00CA4563">
        <w:t>interpretation of data from 2020 to 2023</w:t>
      </w:r>
      <w:r>
        <w:t>.</w:t>
      </w:r>
    </w:p>
  </w:footnote>
  <w:footnote w:id="28">
    <w:p w14:paraId="135B31A6" w14:textId="578291B5" w:rsidR="005C6590" w:rsidRDefault="005C6590">
      <w:pPr>
        <w:pStyle w:val="FootnoteText"/>
      </w:pPr>
      <w:r>
        <w:rPr>
          <w:rStyle w:val="FootnoteReference"/>
        </w:rPr>
        <w:footnoteRef/>
      </w:r>
      <w:r>
        <w:t xml:space="preserve"> </w:t>
      </w:r>
      <w:r w:rsidRPr="005C6590">
        <w:t xml:space="preserve">Please consider the impact of the COVID-19 pandemic on infectious disease screening, treatment, and surveillance in the </w:t>
      </w:r>
      <w:r w:rsidR="00CA4563">
        <w:t>interpretation of data from 2020 to 2023</w:t>
      </w:r>
      <w:r w:rsidR="00256F80">
        <w:t>.</w:t>
      </w:r>
    </w:p>
  </w:footnote>
  <w:footnote w:id="29">
    <w:p w14:paraId="59556364" w14:textId="4FED66AC" w:rsidR="082F7B1A" w:rsidRDefault="082F7B1A" w:rsidP="003B0BB0">
      <w:pPr>
        <w:pStyle w:val="FootnoteText"/>
      </w:pPr>
      <w:r w:rsidRPr="082F7B1A">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D91CAB">
          <w:rPr>
            <w:rStyle w:val="Hyperlink"/>
          </w:rPr>
          <w:t xml:space="preserve">Interpreting HIV, </w:t>
        </w:r>
        <w:r w:rsidR="00285320">
          <w:rPr>
            <w:rStyle w:val="Hyperlink"/>
          </w:rPr>
          <w:t>STI</w:t>
        </w:r>
        <w:r w:rsidRPr="00D91CAB">
          <w:rPr>
            <w:rStyle w:val="Hyperlink"/>
          </w:rPr>
          <w:t>, and Viral Hepatitis Data</w:t>
        </w:r>
      </w:hyperlink>
      <w:r>
        <w:t>.</w:t>
      </w:r>
    </w:p>
  </w:footnote>
  <w:footnote w:id="30">
    <w:p w14:paraId="5E48AF6D" w14:textId="319A421B" w:rsidR="007614DA" w:rsidRDefault="007614DA">
      <w:pPr>
        <w:pStyle w:val="FootnoteText"/>
      </w:pPr>
      <w:r>
        <w:rPr>
          <w:rStyle w:val="FootnoteReference"/>
        </w:rPr>
        <w:footnoteRef/>
      </w:r>
      <w:r>
        <w:t xml:space="preserve"> </w:t>
      </w:r>
      <w:r w:rsidRPr="007614DA">
        <w:t xml:space="preserve">Please consider the impact of the COVID-19 pandemic on infectious disease screening, treatment, and surveillance in the </w:t>
      </w:r>
      <w:r w:rsidR="00CA4563">
        <w:t>interpretation of data from 2020 to 2023</w:t>
      </w:r>
      <w:r w:rsidR="00256F80">
        <w:t>.</w:t>
      </w:r>
    </w:p>
  </w:footnote>
  <w:footnote w:id="31">
    <w:p w14:paraId="4ECDF62F" w14:textId="54BE2665" w:rsidR="00271362" w:rsidRDefault="00271362">
      <w:pPr>
        <w:pStyle w:val="FootnoteText"/>
      </w:pPr>
      <w:r>
        <w:rPr>
          <w:rStyle w:val="FootnoteReference"/>
        </w:rPr>
        <w:footnoteRef/>
      </w:r>
      <w:r>
        <w:t xml:space="preserve"> </w:t>
      </w:r>
      <w:r w:rsidRPr="00271362">
        <w:t>Among cities that reported at least 12 confirmed gonorrhea cases in 202</w:t>
      </w:r>
      <w:r w:rsidR="00960192">
        <w:t>3</w:t>
      </w:r>
      <w:r w:rsidRPr="00271362">
        <w:t>.</w:t>
      </w:r>
    </w:p>
  </w:footnote>
  <w:footnote w:id="32">
    <w:p w14:paraId="438926B3" w14:textId="55B4438F" w:rsidR="00271362" w:rsidRDefault="00271362">
      <w:pPr>
        <w:pStyle w:val="FootnoteText"/>
      </w:pPr>
      <w:r>
        <w:rPr>
          <w:rStyle w:val="FootnoteReference"/>
        </w:rPr>
        <w:footnoteRef/>
      </w:r>
      <w:r w:rsidR="2F702A1B">
        <w:t xml:space="preserve"> </w:t>
      </w:r>
      <w:r w:rsidR="2F702A1B" w:rsidRPr="00271362">
        <w:t>The gonorrhea incidence rate for Provincetown is high because of small population size (2</w:t>
      </w:r>
      <w:r w:rsidR="00F22E17">
        <w:t>,</w:t>
      </w:r>
      <w:r w:rsidR="2F702A1B" w:rsidRPr="00271362">
        <w:t>583), as opposed to the number of cases (</w:t>
      </w:r>
      <w:r w:rsidR="00960192">
        <w:t>104</w:t>
      </w:r>
      <w:r w:rsidR="2F702A1B" w:rsidRPr="00271362">
        <w:t>).</w:t>
      </w:r>
    </w:p>
  </w:footnote>
  <w:footnote w:id="33">
    <w:p w14:paraId="3D74C461" w14:textId="77777777" w:rsidR="008B4190" w:rsidRDefault="008B4190" w:rsidP="008B4190">
      <w:pPr>
        <w:pStyle w:val="FootnoteText"/>
      </w:pPr>
      <w:r>
        <w:rPr>
          <w:rStyle w:val="FootnoteReference"/>
        </w:rPr>
        <w:footnoteRef/>
      </w:r>
      <w:r>
        <w:t xml:space="preserve"> </w:t>
      </w:r>
      <w:r w:rsidRPr="00AA6A7E">
        <w:t xml:space="preserve">Please consider the impact of the COVID-19 pandemic on infectious disease screening, treatment, and surveillance in the </w:t>
      </w:r>
      <w:r>
        <w:t>interpretation of data from 2020 to 2023.</w:t>
      </w:r>
    </w:p>
  </w:footnote>
  <w:footnote w:id="34">
    <w:p w14:paraId="439E9547" w14:textId="77777777" w:rsidR="008B4190" w:rsidRDefault="008B4190" w:rsidP="008B4190">
      <w:pPr>
        <w:pStyle w:val="FootnoteText"/>
      </w:pPr>
      <w:r>
        <w:rPr>
          <w:rStyle w:val="FootnoteReference"/>
        </w:rPr>
        <w:footnoteRef/>
      </w:r>
      <w:r>
        <w:t xml:space="preserve"> Centers for Disease Control and Prevention. Sexually Transmitted Infections Surveillance 2022 Atlanta: U.S. Department of Health and Human Services; 2024. Please note, 2022 state rankings are presented because 2023 rankings were not yet available at the time of this publication. </w:t>
      </w:r>
    </w:p>
  </w:footnote>
  <w:footnote w:id="35">
    <w:p w14:paraId="35D1AF0B" w14:textId="77777777" w:rsidR="008B4190" w:rsidRDefault="008B4190" w:rsidP="008B4190">
      <w:pPr>
        <w:pStyle w:val="FootnoteText"/>
      </w:pPr>
      <w:r>
        <w:rPr>
          <w:rStyle w:val="FootnoteReference"/>
        </w:rPr>
        <w:footnoteRef/>
      </w:r>
      <w:r>
        <w:t xml:space="preserve"> Centers for Disease Control and Prevention. Sexually Transmitted Infections Surveillance 2022 Atlanta: U.S. Department of Health and Human Services; 2024. Please note, 2022 state rankings are presented because 2023 rankings were not yet available at the time of this publication. </w:t>
      </w:r>
    </w:p>
  </w:footnote>
  <w:footnote w:id="36">
    <w:p w14:paraId="2318E09D" w14:textId="07517B44" w:rsidR="00540C4B" w:rsidRDefault="00540C4B" w:rsidP="00540C4B">
      <w:pPr>
        <w:pStyle w:val="FootnoteText"/>
      </w:pPr>
      <w:r>
        <w:rPr>
          <w:rStyle w:val="FootnoteReference"/>
        </w:rPr>
        <w:footnoteRef/>
      </w:r>
      <w:r>
        <w:t xml:space="preserve"> </w:t>
      </w:r>
      <w:r w:rsidRPr="00AA6A7E">
        <w:t xml:space="preserve">Please consider the impact of the COVID-19 pandemic on infectious disease screening, treatment, and surveillance in the </w:t>
      </w:r>
      <w:r w:rsidR="00CA4563">
        <w:t>interpretation of data from 2020 to 2023</w:t>
      </w:r>
      <w:r>
        <w:t>.</w:t>
      </w:r>
    </w:p>
  </w:footnote>
  <w:footnote w:id="37">
    <w:p w14:paraId="0171A752" w14:textId="1B8CDC3E" w:rsidR="009F391B" w:rsidRDefault="009F391B">
      <w:pPr>
        <w:pStyle w:val="FootnoteText"/>
      </w:pPr>
      <w:r>
        <w:rPr>
          <w:rStyle w:val="FootnoteReference"/>
        </w:rPr>
        <w:footnoteRef/>
      </w:r>
      <w:r>
        <w:t xml:space="preserve"> </w:t>
      </w:r>
      <w:r w:rsidRPr="009F391B">
        <w:t>Infectious syphilis includes diagnoses made in the primary, secondary, and early non-primary non-secondary stages of infection (latent asymptomatic syphilis where infection occurred in the past 12 months).</w:t>
      </w:r>
    </w:p>
  </w:footnote>
  <w:footnote w:id="38">
    <w:p w14:paraId="7D01828A" w14:textId="03F6BE09" w:rsidR="00936271" w:rsidRDefault="00936271">
      <w:pPr>
        <w:pStyle w:val="FootnoteText"/>
      </w:pPr>
      <w:r>
        <w:rPr>
          <w:rStyle w:val="FootnoteReference"/>
        </w:rPr>
        <w:footnoteRef/>
      </w:r>
      <w:r>
        <w:t xml:space="preserve"> </w:t>
      </w:r>
      <w:r w:rsidRPr="00936271">
        <w:t xml:space="preserve">Please consider the impact of the COVID-19 pandemic on infectious disease screening, treatment, and surveillance in the </w:t>
      </w:r>
      <w:r w:rsidR="00CA4563">
        <w:t>interpretation of data from 2020 to 2023</w:t>
      </w:r>
      <w:r w:rsidR="00256F80">
        <w:t>.</w:t>
      </w:r>
    </w:p>
  </w:footnote>
  <w:footnote w:id="39">
    <w:p w14:paraId="57A4040D" w14:textId="52B721C8" w:rsidR="082F7B1A" w:rsidRDefault="082F7B1A" w:rsidP="003B0BB0">
      <w:pPr>
        <w:pStyle w:val="FootnoteText"/>
      </w:pPr>
      <w:r w:rsidRPr="082F7B1A">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AB66EC">
          <w:rPr>
            <w:rStyle w:val="Hyperlink"/>
          </w:rPr>
          <w:t xml:space="preserve">Interpreting HIV, </w:t>
        </w:r>
        <w:r w:rsidR="00285320">
          <w:rPr>
            <w:rStyle w:val="Hyperlink"/>
          </w:rPr>
          <w:t>STI</w:t>
        </w:r>
        <w:r w:rsidRPr="00AB66EC">
          <w:rPr>
            <w:rStyle w:val="Hyperlink"/>
          </w:rPr>
          <w:t>, and Viral Hepatitis Data</w:t>
        </w:r>
      </w:hyperlink>
      <w:r>
        <w:t>.</w:t>
      </w:r>
    </w:p>
  </w:footnote>
  <w:footnote w:id="40">
    <w:p w14:paraId="0B4C0008" w14:textId="1CDCF31E" w:rsidR="00446A17" w:rsidRDefault="00446A17">
      <w:pPr>
        <w:pStyle w:val="FootnoteText"/>
      </w:pPr>
      <w:r>
        <w:rPr>
          <w:rStyle w:val="FootnoteReference"/>
        </w:rPr>
        <w:footnoteRef/>
      </w:r>
      <w:r>
        <w:t xml:space="preserve"> </w:t>
      </w:r>
      <w:r w:rsidRPr="00446A17">
        <w:t>Infectious syphilis includes diagnoses made in the primary, secondary, and early non-primary non-secondary stages of infection (latent asymptomatic syphilis where infection occurred in the past 12 months).</w:t>
      </w:r>
    </w:p>
  </w:footnote>
  <w:footnote w:id="41">
    <w:p w14:paraId="039267BB" w14:textId="0B527A7D" w:rsidR="00446A17" w:rsidRDefault="00446A17">
      <w:pPr>
        <w:pStyle w:val="FootnoteText"/>
      </w:pPr>
      <w:r>
        <w:rPr>
          <w:rStyle w:val="FootnoteReference"/>
        </w:rPr>
        <w:footnoteRef/>
      </w:r>
      <w:r>
        <w:t xml:space="preserve"> </w:t>
      </w:r>
      <w:r w:rsidRPr="00446A17">
        <w:t xml:space="preserve">Please consider the impact of the COVID-19 pandemic on infectious disease screening, treatment, and surveillance in the </w:t>
      </w:r>
      <w:r w:rsidR="00CA4563">
        <w:t>interpretation of data from 2020 to 2023</w:t>
      </w:r>
      <w:r w:rsidR="00256F80">
        <w:t>.</w:t>
      </w:r>
    </w:p>
  </w:footnote>
  <w:footnote w:id="42">
    <w:p w14:paraId="50A3C4E7" w14:textId="57F18D21" w:rsidR="00D839FD" w:rsidRDefault="00D839FD">
      <w:pPr>
        <w:pStyle w:val="FootnoteText"/>
      </w:pPr>
      <w:r>
        <w:rPr>
          <w:rStyle w:val="FootnoteReference"/>
        </w:rPr>
        <w:footnoteRef/>
      </w:r>
      <w:r>
        <w:t xml:space="preserve"> </w:t>
      </w:r>
      <w:r w:rsidRPr="00D839FD">
        <w:t>Infectious syphilis includes diagnoses made in the primary, secondary, and early non-primary non-secondary stages of infection (latent asymptomatic syphilis where infection occurred in the past 12 months).</w:t>
      </w:r>
    </w:p>
  </w:footnote>
  <w:footnote w:id="43">
    <w:p w14:paraId="4394FCED" w14:textId="6E48B00E" w:rsidR="00D839FD" w:rsidRDefault="00D839FD">
      <w:pPr>
        <w:pStyle w:val="FootnoteText"/>
      </w:pPr>
      <w:r>
        <w:rPr>
          <w:rStyle w:val="FootnoteReference"/>
        </w:rPr>
        <w:footnoteRef/>
      </w:r>
      <w:r>
        <w:t xml:space="preserve"> </w:t>
      </w:r>
      <w:r w:rsidRPr="00D839FD">
        <w:t xml:space="preserve">Please consider the impact of the COVID-19 pandemic on infectious disease screening, treatment, and surveillance in the </w:t>
      </w:r>
      <w:r w:rsidR="00CA4563">
        <w:t>interpretation of data from 2020 to 2023</w:t>
      </w:r>
      <w:r w:rsidR="00256F80">
        <w:t>.</w:t>
      </w:r>
    </w:p>
  </w:footnote>
  <w:footnote w:id="44">
    <w:p w14:paraId="0DD65C4E" w14:textId="4211E648" w:rsidR="00D839FD" w:rsidRDefault="00D839FD">
      <w:pPr>
        <w:pStyle w:val="FootnoteText"/>
      </w:pPr>
      <w:r>
        <w:rPr>
          <w:rStyle w:val="FootnoteReference"/>
        </w:rPr>
        <w:footnoteRef/>
      </w:r>
      <w:r w:rsidR="2F702A1B">
        <w:t xml:space="preserve"> </w:t>
      </w:r>
      <w:r w:rsidR="2F702A1B" w:rsidRPr="00535F39">
        <w:t>Among cities that reported at least 12 confirmed syphilis cases in 202</w:t>
      </w:r>
      <w:r w:rsidR="00577197">
        <w:t>3</w:t>
      </w:r>
      <w:r w:rsidR="2F702A1B" w:rsidRPr="00535F39">
        <w:t>.</w:t>
      </w:r>
    </w:p>
  </w:footnote>
  <w:footnote w:id="45">
    <w:p w14:paraId="39669E2A" w14:textId="44658429" w:rsidR="2F702A1B" w:rsidRDefault="2F702A1B" w:rsidP="00F345D5">
      <w:pPr>
        <w:pStyle w:val="FootnoteText"/>
      </w:pPr>
      <w:r w:rsidRPr="2F702A1B">
        <w:rPr>
          <w:rStyle w:val="FootnoteReference"/>
        </w:rPr>
        <w:footnoteRef/>
      </w:r>
      <w:r>
        <w:t xml:space="preserve"> The syphilis incidence rate for Provincetown is high because of small population size (2</w:t>
      </w:r>
      <w:r w:rsidR="00F76279">
        <w:t>,</w:t>
      </w:r>
      <w:r>
        <w:t>583), as opposed to the number of cases (</w:t>
      </w:r>
      <w:r w:rsidR="00D57F1F">
        <w:t>15</w:t>
      </w:r>
      <w:r>
        <w:t>).</w:t>
      </w:r>
    </w:p>
  </w:footnote>
  <w:footnote w:id="46">
    <w:p w14:paraId="3A8F4520" w14:textId="77777777" w:rsidR="002066CC" w:rsidRDefault="002066CC" w:rsidP="002066CC">
      <w:pPr>
        <w:pStyle w:val="FootnoteText"/>
      </w:pPr>
      <w:r>
        <w:rPr>
          <w:rStyle w:val="FootnoteReference"/>
        </w:rPr>
        <w:footnoteRef/>
      </w:r>
      <w:r>
        <w:t xml:space="preserve"> Centers for Disease Control and Prevention. Sexually Transmitted Infections Surveillance 2022 Atlanta: U.S. Department of Health and Human Services; 2024. Please note, 2022 state rankings are presented because 2023 rankings were not yet available at the time of this publication. </w:t>
      </w:r>
    </w:p>
  </w:footnote>
  <w:footnote w:id="47">
    <w:p w14:paraId="471AA736" w14:textId="77777777" w:rsidR="00236A51" w:rsidRDefault="00236A51" w:rsidP="00236A51">
      <w:pPr>
        <w:pStyle w:val="FootnoteText"/>
      </w:pPr>
      <w:r>
        <w:rPr>
          <w:rStyle w:val="FootnoteReference"/>
        </w:rPr>
        <w:footnoteRef/>
      </w:r>
      <w:r>
        <w:t xml:space="preserve"> </w:t>
      </w:r>
      <w:r w:rsidRPr="00D839FD">
        <w:t>Infectious syphilis includes diagnoses made in the primary, secondary, and early non-primary non-secondary stages of infection (latent asymptomatic syphilis where infection occurred in the past 12 months).</w:t>
      </w:r>
    </w:p>
  </w:footnote>
  <w:footnote w:id="48">
    <w:p w14:paraId="14D24BC4" w14:textId="3DF5F183" w:rsidR="00B45473" w:rsidRDefault="00B45473" w:rsidP="00B45473">
      <w:pPr>
        <w:pStyle w:val="FootnoteText"/>
      </w:pPr>
      <w:r>
        <w:rPr>
          <w:rStyle w:val="FootnoteReference"/>
        </w:rPr>
        <w:footnoteRef/>
      </w:r>
      <w:r>
        <w:t xml:space="preserve"> </w:t>
      </w:r>
      <w:r w:rsidRPr="00D839FD">
        <w:t xml:space="preserve">Please consider the impact of the COVID-19 pandemic on infectious disease screening, treatment, and surveillance in the </w:t>
      </w:r>
      <w:r w:rsidR="00CA4563">
        <w:t>interpretation of data from 2020 to 2023</w:t>
      </w:r>
      <w:r>
        <w:t>.</w:t>
      </w:r>
    </w:p>
  </w:footnote>
  <w:footnote w:id="49">
    <w:p w14:paraId="181CF506" w14:textId="0A854F0D" w:rsidR="00D62257" w:rsidRDefault="00D62257">
      <w:pPr>
        <w:pStyle w:val="FootnoteText"/>
      </w:pPr>
      <w:r>
        <w:rPr>
          <w:rStyle w:val="FootnoteReference"/>
        </w:rPr>
        <w:footnoteRef/>
      </w:r>
      <w:r>
        <w:t xml:space="preserve"> </w:t>
      </w:r>
      <w:r w:rsidRPr="00D62257">
        <w:t xml:space="preserve">For more information, see Centers for Disease Control and Prevention. </w:t>
      </w:r>
      <w:r w:rsidRPr="00D62257">
        <w:rPr>
          <w:i/>
          <w:iCs/>
        </w:rPr>
        <w:t>Diagnose and Treat to Save Lives: Decreasing Deaths Among People with HIV</w:t>
      </w:r>
      <w:r w:rsidRPr="00D62257">
        <w:t xml:space="preserve">. Atlanta: U.S. Department of Health and Human Services; 2020, available at: </w:t>
      </w:r>
      <w:hyperlink r:id="rId10" w:history="1">
        <w:r w:rsidRPr="00D62257">
          <w:rPr>
            <w:rStyle w:val="Hyperlink"/>
          </w:rPr>
          <w:t>https://www.cdc.gov/hiv/statistics/deaths/index.html</w:t>
        </w:r>
      </w:hyperlink>
      <w:r w:rsidRPr="00D62257">
        <w:t xml:space="preserve"> </w:t>
      </w:r>
    </w:p>
  </w:footnote>
  <w:footnote w:id="50">
    <w:p w14:paraId="68B1A750" w14:textId="4CB81DB9" w:rsidR="00D62257" w:rsidRDefault="00D62257">
      <w:pPr>
        <w:pStyle w:val="FootnoteText"/>
      </w:pPr>
      <w:r>
        <w:rPr>
          <w:rStyle w:val="FootnoteReference"/>
        </w:rPr>
        <w:footnoteRef/>
      </w:r>
      <w:r>
        <w:t xml:space="preserve"> </w:t>
      </w:r>
      <w:r w:rsidRPr="00D62257">
        <w:t xml:space="preserve">Please consider the impact of the COVID-19 pandemic on infectious disease screening, treatment, and surveillance in the </w:t>
      </w:r>
      <w:r w:rsidR="00CA4563">
        <w:t>interpretation of data from 2020 to 2023</w:t>
      </w:r>
      <w:r w:rsidR="00256F80">
        <w:t>.</w:t>
      </w:r>
    </w:p>
  </w:footnote>
  <w:footnote w:id="51">
    <w:p w14:paraId="48821817" w14:textId="45EB23A6" w:rsidR="00D62257" w:rsidRDefault="00D62257">
      <w:pPr>
        <w:pStyle w:val="FootnoteText"/>
      </w:pPr>
      <w:r>
        <w:rPr>
          <w:rStyle w:val="FootnoteReference"/>
        </w:rPr>
        <w:footnoteRef/>
      </w:r>
      <w:r>
        <w:t xml:space="preserve"> </w:t>
      </w:r>
      <w:r w:rsidRPr="00D62257">
        <w:t>202</w:t>
      </w:r>
      <w:r w:rsidR="00461488">
        <w:t>3</w:t>
      </w:r>
      <w:r w:rsidRPr="00D62257">
        <w:t xml:space="preserve"> HIV prevalence data are preliminary and subject to change.</w:t>
      </w:r>
    </w:p>
  </w:footnote>
  <w:footnote w:id="52">
    <w:p w14:paraId="66B1A412" w14:textId="4D3F36E4" w:rsidR="007C073D" w:rsidRDefault="007C073D">
      <w:pPr>
        <w:pStyle w:val="FootnoteText"/>
      </w:pPr>
      <w:r>
        <w:rPr>
          <w:rStyle w:val="FootnoteReference"/>
        </w:rPr>
        <w:footnoteRef/>
      </w:r>
      <w:r>
        <w:t xml:space="preserve"> </w:t>
      </w:r>
      <w:r w:rsidRPr="007C073D">
        <w:t xml:space="preserve">Please consider the impact of the COVID-19 pandemic on infectious disease screening, treatment, and surveillance in the </w:t>
      </w:r>
      <w:r w:rsidR="00CA4563">
        <w:t>interpretation of data from 2020 to 2023</w:t>
      </w:r>
      <w:r w:rsidR="00256F80">
        <w:t>.</w:t>
      </w:r>
    </w:p>
  </w:footnote>
  <w:footnote w:id="53">
    <w:p w14:paraId="68829BA7" w14:textId="6405BF44" w:rsidR="00690F7D" w:rsidRDefault="00690F7D" w:rsidP="00690F7D">
      <w:pPr>
        <w:pStyle w:val="FootnoteText"/>
      </w:pPr>
      <w:r>
        <w:rPr>
          <w:rStyle w:val="FootnoteReference"/>
        </w:rPr>
        <w:footnoteRef/>
      </w:r>
      <w:r>
        <w:t xml:space="preserve"> </w:t>
      </w:r>
      <w:r w:rsidRPr="0098752F">
        <w:t xml:space="preserve">Among cities that reported at least 12 HIV infections during </w:t>
      </w:r>
      <w:r w:rsidR="000D2FC5">
        <w:t>2021-2023</w:t>
      </w:r>
      <w:r w:rsidRPr="0098752F">
        <w:t>. City/town is based on residence at HIV infection diagnosis and excludes individuals diagnosed in a correctional facility.</w:t>
      </w:r>
    </w:p>
  </w:footnote>
  <w:footnote w:id="54">
    <w:p w14:paraId="759A4AEE" w14:textId="11D685D9" w:rsidR="00690F7D" w:rsidRDefault="00690F7D" w:rsidP="00690F7D">
      <w:pPr>
        <w:pStyle w:val="FootnoteText"/>
      </w:pPr>
      <w:r>
        <w:rPr>
          <w:rStyle w:val="FootnoteReference"/>
        </w:rPr>
        <w:footnoteRef/>
      </w:r>
      <w:r>
        <w:t xml:space="preserve"> </w:t>
      </w:r>
      <w:r w:rsidRPr="0098752F">
        <w:t xml:space="preserve">Please consider the impact of the COVID-19 pandemic on infectious disease screening, treatment, and surveillance in the </w:t>
      </w:r>
      <w:r w:rsidR="00CA4563">
        <w:t>interpretation of data from 2020 to 2023</w:t>
      </w:r>
      <w:r>
        <w:t>.</w:t>
      </w:r>
    </w:p>
  </w:footnote>
  <w:footnote w:id="55">
    <w:p w14:paraId="43E84BFD" w14:textId="4F97C17F" w:rsidR="00D35C56" w:rsidRDefault="00D35C56" w:rsidP="00D35C56">
      <w:pPr>
        <w:pStyle w:val="FootnoteText"/>
      </w:pPr>
      <w:r>
        <w:rPr>
          <w:rStyle w:val="FootnoteReference"/>
        </w:rPr>
        <w:footnoteRef/>
      </w:r>
      <w:r>
        <w:t xml:space="preserve"> </w:t>
      </w:r>
      <w:r w:rsidRPr="0098752F">
        <w:t xml:space="preserve">Among cities that reported at least </w:t>
      </w:r>
      <w:r w:rsidRPr="00EC65B6">
        <w:t>50 PLWH in 202</w:t>
      </w:r>
      <w:r w:rsidR="00D0195F">
        <w:t>3</w:t>
      </w:r>
      <w:r w:rsidRPr="0098752F">
        <w:t xml:space="preserve">. City/town is based on residence at HIV infection diagnosis and </w:t>
      </w:r>
      <w:r w:rsidR="00D0195F" w:rsidRPr="00D0195F">
        <w:t>may include PLWH who may have been incarcerated in 2023</w:t>
      </w:r>
      <w:r w:rsidRPr="0098752F">
        <w:t>.</w:t>
      </w:r>
    </w:p>
  </w:footnote>
  <w:footnote w:id="56">
    <w:p w14:paraId="41B80DB0" w14:textId="4DBA6A44" w:rsidR="00D35C56" w:rsidRDefault="00D35C56" w:rsidP="00D35C56">
      <w:pPr>
        <w:pStyle w:val="FootnoteText"/>
      </w:pPr>
      <w:r>
        <w:rPr>
          <w:rStyle w:val="FootnoteReference"/>
        </w:rPr>
        <w:footnoteRef/>
      </w:r>
      <w:r>
        <w:t xml:space="preserve"> </w:t>
      </w:r>
      <w:r w:rsidRPr="0098752F">
        <w:t xml:space="preserve">Please consider the impact of the COVID-19 pandemic on infectious disease screening, treatment, and surveillance in the </w:t>
      </w:r>
      <w:r w:rsidR="00CA4563">
        <w:t>interpretation of data from 2020 to 2023</w:t>
      </w:r>
      <w:r>
        <w:t>.</w:t>
      </w:r>
    </w:p>
  </w:footnote>
  <w:footnote w:id="57">
    <w:p w14:paraId="422EC30E" w14:textId="0835C8A8" w:rsidR="00A85C6D" w:rsidRPr="00764E12" w:rsidRDefault="00A85C6D">
      <w:pPr>
        <w:pStyle w:val="FootnoteText"/>
        <w:rPr>
          <w:rFonts w:cstheme="minorHAnsi"/>
        </w:rPr>
      </w:pPr>
      <w:r w:rsidRPr="00764E12">
        <w:rPr>
          <w:rStyle w:val="FootnoteReference"/>
          <w:rFonts w:cstheme="minorHAnsi"/>
        </w:rPr>
        <w:footnoteRef/>
      </w:r>
      <w:r w:rsidRPr="00764E12">
        <w:rPr>
          <w:rFonts w:cstheme="minorHAnsi"/>
        </w:rPr>
        <w:t xml:space="preserve"> The rate</w:t>
      </w:r>
      <w:r w:rsidR="00D0195F" w:rsidRPr="00764E12">
        <w:rPr>
          <w:rFonts w:cstheme="minorHAnsi"/>
        </w:rPr>
        <w:t>s</w:t>
      </w:r>
      <w:r w:rsidRPr="00764E12">
        <w:rPr>
          <w:rFonts w:cstheme="minorHAnsi"/>
        </w:rPr>
        <w:t xml:space="preserve"> of </w:t>
      </w:r>
      <w:r w:rsidR="00D0195F" w:rsidRPr="00764E12">
        <w:rPr>
          <w:rFonts w:cstheme="minorHAnsi"/>
        </w:rPr>
        <w:t>HIV prevalence for Provincetown, Shirley, and Ayer are high because of small population sizes (3,663, 7,431, and 8,479, respectively), as opposed to the number of cases (449, 63, and 67, respectively).</w:t>
      </w:r>
      <w:r w:rsidR="7D910954" w:rsidRPr="00764E12">
        <w:rPr>
          <w:rFonts w:cstheme="minorHAnsi"/>
        </w:rPr>
        <w:t xml:space="preserve"> T</w:t>
      </w:r>
      <w:r w:rsidR="7D910954" w:rsidRPr="00764E12">
        <w:rPr>
          <w:rFonts w:eastAsia="Segoe UI" w:cstheme="minorHAnsi"/>
        </w:rPr>
        <w:t>he rates of HIV prevalence in Shirley and Ayer are also high due to the inclusion of incarcerated individuals housed at Massachusetts Correctional Institute (MCI) Shirley and Federal Medical Center (FMC) Devens, respectively.</w:t>
      </w:r>
    </w:p>
    <w:p w14:paraId="5B1B013B" w14:textId="692C98D5" w:rsidR="00A85C6D" w:rsidRDefault="00A85C6D">
      <w:pPr>
        <w:pStyle w:val="FootnoteText"/>
      </w:pPr>
    </w:p>
  </w:footnote>
  <w:footnote w:id="58">
    <w:p w14:paraId="042BD830" w14:textId="7819EE85" w:rsidR="009568B8" w:rsidRDefault="009568B8" w:rsidP="009568B8">
      <w:pPr>
        <w:pStyle w:val="FootnoteText"/>
      </w:pPr>
      <w:r>
        <w:rPr>
          <w:rStyle w:val="FootnoteReference"/>
        </w:rPr>
        <w:footnoteRef/>
      </w:r>
      <w:r>
        <w:t xml:space="preserve"> </w:t>
      </w:r>
      <w:r w:rsidRPr="009568B8">
        <w:t xml:space="preserve"> Please consider the impact of the COVID-19 pandemic on infectious disease screening, treatment, and surveillance in the </w:t>
      </w:r>
      <w:r w:rsidR="00CA4563">
        <w:t>interpretation of data from 2020 to 2023</w:t>
      </w:r>
      <w:r w:rsidRPr="009568B8">
        <w:t>.</w:t>
      </w:r>
    </w:p>
  </w:footnote>
  <w:footnote w:id="59">
    <w:p w14:paraId="0589F60B" w14:textId="5CA6FD25" w:rsidR="00905F8B" w:rsidRDefault="00905F8B">
      <w:pPr>
        <w:pStyle w:val="FootnoteText"/>
      </w:pPr>
      <w:r>
        <w:rPr>
          <w:rStyle w:val="FootnoteReference"/>
        </w:rPr>
        <w:footnoteRef/>
      </w:r>
      <w:r>
        <w:t xml:space="preserve"> </w:t>
      </w:r>
      <w:r w:rsidRPr="00905F8B">
        <w:t>Data reflect sex assigned at birth and therefore not gender identity or gender expression of transgender individuals.</w:t>
      </w:r>
    </w:p>
  </w:footnote>
  <w:footnote w:id="60">
    <w:p w14:paraId="1374E97F" w14:textId="0376FD4E" w:rsidR="00B87580" w:rsidRDefault="00B87580">
      <w:pPr>
        <w:pStyle w:val="FootnoteText"/>
      </w:pPr>
      <w:r>
        <w:rPr>
          <w:rStyle w:val="FootnoteReference"/>
        </w:rPr>
        <w:footnoteRef/>
      </w:r>
      <w:r>
        <w:t xml:space="preserve"> </w:t>
      </w:r>
      <w:r w:rsidRPr="00B87580">
        <w:t xml:space="preserve">Please consider the impact of the COVID-19 pandemic on infectious disease screening, treatment, and surveillance in the </w:t>
      </w:r>
      <w:r w:rsidR="00CA4563">
        <w:t>interpretation of data from 2020 to 2023</w:t>
      </w:r>
      <w:r w:rsidR="00256F80">
        <w:t>.</w:t>
      </w:r>
    </w:p>
  </w:footnote>
  <w:footnote w:id="61">
    <w:p w14:paraId="749C10A3" w14:textId="1A7E5B9C" w:rsidR="00B87580" w:rsidRPr="00EF05A6" w:rsidRDefault="00B87580" w:rsidP="76F421E0">
      <w:pPr>
        <w:pStyle w:val="FootnoteText"/>
      </w:pPr>
      <w:r>
        <w:rPr>
          <w:rStyle w:val="FootnoteReference"/>
        </w:rPr>
        <w:footnoteRef/>
      </w:r>
      <w:r w:rsidR="76F421E0">
        <w:t xml:space="preserve"> </w:t>
      </w:r>
      <w:r w:rsidR="0AF7BCF6">
        <w:t xml:space="preserve"> Please note reported numbers among individuals of transgender experience and individuals who are nonbinary are likely to be underestimates, for more information see Interpreting HIV, </w:t>
      </w:r>
      <w:r w:rsidR="00285320">
        <w:t>STI</w:t>
      </w:r>
      <w:r w:rsidR="0AF7BCF6">
        <w:t>, and Viral Hepatitis Data.</w:t>
      </w:r>
    </w:p>
  </w:footnote>
  <w:footnote w:id="62">
    <w:p w14:paraId="4934EC25" w14:textId="1E022A3D" w:rsidR="00AB4F8C" w:rsidRDefault="00AB4F8C">
      <w:pPr>
        <w:pStyle w:val="FootnoteText"/>
      </w:pPr>
      <w:r>
        <w:rPr>
          <w:rStyle w:val="FootnoteReference"/>
        </w:rPr>
        <w:footnoteRef/>
      </w:r>
      <w:r>
        <w:t xml:space="preserve"> </w:t>
      </w:r>
      <w:r w:rsidRPr="00AB4F8C">
        <w:t>Persons whose current gender identity corresponds with their sex assigned at birth.</w:t>
      </w:r>
    </w:p>
  </w:footnote>
  <w:footnote w:id="63">
    <w:p w14:paraId="11675F6C" w14:textId="67907A13" w:rsidR="388E5C6E" w:rsidRDefault="388E5C6E" w:rsidP="00FF6766">
      <w:pPr>
        <w:pStyle w:val="FootnoteText"/>
      </w:pPr>
      <w:r w:rsidRPr="00C45916">
        <w:rPr>
          <w:rStyle w:val="FootnoteReference"/>
        </w:rPr>
        <w:footnoteRef/>
      </w:r>
      <w:r w:rsidRPr="00C45916">
        <w:t>P</w:t>
      </w:r>
      <w:r w:rsidRPr="00C45916">
        <w:rPr>
          <w:rFonts w:ascii="Calibri" w:eastAsia="Calibri" w:hAnsi="Calibri" w:cs="Calibri"/>
        </w:rPr>
        <w:t>resumed heterosexual exposure includes individuals assigned female at birth with a negative history of injection drug use who report having sex with an individual that identifies as male of unknown HIV status and risk</w:t>
      </w:r>
    </w:p>
  </w:footnote>
  <w:footnote w:id="64">
    <w:p w14:paraId="2CE29C3B" w14:textId="66EC8DDA" w:rsidR="00B20329" w:rsidRDefault="00B20329">
      <w:pPr>
        <w:pStyle w:val="FootnoteText"/>
      </w:pPr>
      <w:r>
        <w:rPr>
          <w:rStyle w:val="FootnoteReference"/>
        </w:rPr>
        <w:footnoteRef/>
      </w:r>
      <w:r w:rsidR="034544F5">
        <w:t xml:space="preserve"> </w:t>
      </w:r>
      <w:r w:rsidR="034544F5" w:rsidRPr="00B20329">
        <w:t xml:space="preserve">Please consider the impact of the COVID-19 pandemic on infectious disease screening, treatment, and surveillance in the </w:t>
      </w:r>
      <w:r w:rsidR="00CA4563">
        <w:t>interpretation of data from 2020 to 2023</w:t>
      </w:r>
      <w:r w:rsidR="034544F5">
        <w:t>.</w:t>
      </w:r>
    </w:p>
  </w:footnote>
  <w:footnote w:id="65">
    <w:p w14:paraId="0D98803F" w14:textId="663CCD81" w:rsidR="003709C9" w:rsidRDefault="003709C9">
      <w:pPr>
        <w:pStyle w:val="FootnoteText"/>
      </w:pPr>
      <w:r>
        <w:rPr>
          <w:rStyle w:val="FootnoteReference"/>
        </w:rPr>
        <w:footnoteRef/>
      </w:r>
      <w:r>
        <w:t xml:space="preserve"> </w:t>
      </w:r>
      <w:r w:rsidRPr="003709C9">
        <w:t xml:space="preserve">Please consider the impact of the COVID-19 pandemic on infectious disease screening, treatment, and surveillance in the </w:t>
      </w:r>
      <w:r w:rsidR="00CA4563">
        <w:t>interpretation of data from 2020 to 2023</w:t>
      </w:r>
      <w:r w:rsidR="00256F80">
        <w:t>.</w:t>
      </w:r>
    </w:p>
  </w:footnote>
  <w:footnote w:id="66">
    <w:p w14:paraId="6F8206B3" w14:textId="3352A7DE" w:rsidR="003709C9" w:rsidRDefault="003709C9">
      <w:pPr>
        <w:pStyle w:val="FootnoteText"/>
      </w:pPr>
      <w:r>
        <w:rPr>
          <w:rStyle w:val="FootnoteReference"/>
        </w:rPr>
        <w:footnoteRef/>
      </w:r>
      <w:r>
        <w:t xml:space="preserve"> </w:t>
      </w:r>
      <w:r w:rsidRPr="003709C9">
        <w:t>202</w:t>
      </w:r>
      <w:r w:rsidR="00AB534F">
        <w:t>3</w:t>
      </w:r>
      <w:r w:rsidRPr="003709C9">
        <w:t xml:space="preserve"> HIV prevalence data are preliminary and subject to change.</w:t>
      </w:r>
    </w:p>
  </w:footnote>
  <w:footnote w:id="67">
    <w:p w14:paraId="1F1F205E" w14:textId="5BF2D155" w:rsidR="00A22BBE" w:rsidRDefault="00A22BBE">
      <w:pPr>
        <w:pStyle w:val="FootnoteText"/>
      </w:pPr>
      <w:r>
        <w:rPr>
          <w:rStyle w:val="FootnoteReference"/>
        </w:rPr>
        <w:footnoteRef/>
      </w:r>
      <w:r>
        <w:t xml:space="preserve"> </w:t>
      </w:r>
      <w:r w:rsidRPr="00A22BBE">
        <w:t xml:space="preserve">Please consider the impact of the COVID-19 pandemic on infectious disease screening, treatment, and surveillance in the </w:t>
      </w:r>
      <w:r w:rsidR="00CA4563">
        <w:t>interpretation of data from 2020 to 2023</w:t>
      </w:r>
      <w:r w:rsidR="00256F80">
        <w:t>.</w:t>
      </w:r>
    </w:p>
  </w:footnote>
  <w:footnote w:id="68">
    <w:p w14:paraId="276368BB" w14:textId="35D42B37" w:rsidR="004901A0" w:rsidRDefault="004901A0">
      <w:pPr>
        <w:pStyle w:val="FootnoteText"/>
      </w:pPr>
      <w:r>
        <w:rPr>
          <w:rStyle w:val="FootnoteReference"/>
        </w:rPr>
        <w:footnoteRef/>
      </w:r>
      <w:r>
        <w:t xml:space="preserve"> </w:t>
      </w:r>
      <w:r w:rsidRPr="004901A0">
        <w:t>Please note that actual ten-year survival is only available for individuals diagnosed in 2014 in the 2014–2018 cohort and not available for any individuals diagnosed in the most recent cohort (2019–2023).</w:t>
      </w:r>
    </w:p>
  </w:footnote>
  <w:footnote w:id="69">
    <w:p w14:paraId="6EE3C6E4" w14:textId="276E1BB4" w:rsidR="38A4F72D" w:rsidRDefault="38A4F72D" w:rsidP="00F345D5">
      <w:pPr>
        <w:pStyle w:val="FootnoteText"/>
      </w:pPr>
      <w:r w:rsidRPr="38A4F72D">
        <w:rPr>
          <w:rStyle w:val="FootnoteReference"/>
        </w:rPr>
        <w:footnoteRef/>
      </w:r>
      <w:r>
        <w:t xml:space="preserve"> Please consider the impact of the COVID-19 pandemic on infectious disease screening, treatment, and surveillance in the </w:t>
      </w:r>
      <w:r w:rsidR="00CA4563">
        <w:t>interpretation of data from 2020 to 2023</w:t>
      </w:r>
      <w:r>
        <w:t>.</w:t>
      </w:r>
    </w:p>
  </w:footnote>
  <w:footnote w:id="70">
    <w:p w14:paraId="704F303D" w14:textId="13C15DC7" w:rsidR="002F1CA2" w:rsidRDefault="002F1CA2">
      <w:pPr>
        <w:pStyle w:val="FootnoteText"/>
      </w:pPr>
      <w:r>
        <w:rPr>
          <w:rStyle w:val="FootnoteReference"/>
        </w:rPr>
        <w:footnoteRef/>
      </w:r>
      <w:r>
        <w:t xml:space="preserve"> </w:t>
      </w:r>
      <w:r w:rsidRPr="002F1CA2">
        <w:t>Nelson NP, Weng MK, Hofmeister MG, et al. Prevention of Hepatitis A Virus Infection in the United States: Recommendations of the Advisory Committee on Immunization Practices, 2020. MMWR Recomm Rep 2020;69(No. RR-5):1–38. DOI: </w:t>
      </w:r>
      <w:hyperlink r:id="rId11" w:history="1">
        <w:r w:rsidRPr="002F1CA2">
          <w:rPr>
            <w:rStyle w:val="Hyperlink"/>
          </w:rPr>
          <w:t>http://dx.doi.org/10.15585/mmwr.rr6905a1</w:t>
        </w:r>
      </w:hyperlink>
    </w:p>
  </w:footnote>
  <w:footnote w:id="71">
    <w:p w14:paraId="5551B47D" w14:textId="43BDA013" w:rsidR="004C3766" w:rsidRDefault="004C3766">
      <w:pPr>
        <w:pStyle w:val="FootnoteText"/>
      </w:pPr>
      <w:r>
        <w:rPr>
          <w:rStyle w:val="FootnoteReference"/>
        </w:rPr>
        <w:footnoteRef/>
      </w:r>
      <w:r>
        <w:t xml:space="preserve"> </w:t>
      </w:r>
      <w:r w:rsidRPr="004C3766">
        <w:t xml:space="preserve">Please consider the impact of the COVID-19 pandemic on infectious disease screening, treatment, and surveillance in the </w:t>
      </w:r>
      <w:r w:rsidR="00CA4563">
        <w:t>interpretation of data from 2020 to 2023</w:t>
      </w:r>
      <w:r w:rsidR="00256F80">
        <w:t>.</w:t>
      </w:r>
    </w:p>
  </w:footnote>
  <w:footnote w:id="72">
    <w:p w14:paraId="0C426A50" w14:textId="5B1807C7" w:rsidR="004C3766" w:rsidRPr="004C3766" w:rsidRDefault="004C3766" w:rsidP="004C3766">
      <w:pPr>
        <w:pStyle w:val="FootnoteText"/>
      </w:pPr>
      <w:r>
        <w:rPr>
          <w:rStyle w:val="FootnoteReference"/>
        </w:rPr>
        <w:footnoteRef/>
      </w:r>
      <w:r w:rsidR="7F3FE6A1">
        <w:t xml:space="preserve"> For more information, see </w:t>
      </w:r>
      <w:hyperlink w:anchor="_HIV,_STD,_AND" w:history="1">
        <w:r w:rsidR="7F3FE6A1" w:rsidRPr="002E3AFB">
          <w:rPr>
            <w:rStyle w:val="Hyperlink"/>
            <w:color w:val="3333FF"/>
          </w:rPr>
          <w:t xml:space="preserve">HIV, </w:t>
        </w:r>
        <w:r w:rsidR="00285320">
          <w:rPr>
            <w:rStyle w:val="Hyperlink"/>
            <w:color w:val="3333FF"/>
          </w:rPr>
          <w:t>STI</w:t>
        </w:r>
        <w:r w:rsidR="7F3FE6A1" w:rsidRPr="002E3AFB">
          <w:rPr>
            <w:rStyle w:val="Hyperlink"/>
            <w:color w:val="3333FF"/>
          </w:rPr>
          <w:t xml:space="preserve">, and Viral </w:t>
        </w:r>
        <w:r w:rsidR="008203AA">
          <w:rPr>
            <w:rStyle w:val="Hyperlink"/>
            <w:color w:val="3333FF"/>
          </w:rPr>
          <w:t>HCV</w:t>
        </w:r>
        <w:r w:rsidR="7F3FE6A1" w:rsidRPr="002E3AFB">
          <w:rPr>
            <w:rStyle w:val="Hyperlink"/>
            <w:color w:val="3333FF"/>
          </w:rPr>
          <w:t>ase Classifications</w:t>
        </w:r>
      </w:hyperlink>
      <w:r w:rsidR="001A56F5" w:rsidRPr="002E3AFB">
        <w:rPr>
          <w:color w:val="3333FF"/>
        </w:rPr>
        <w:t>.</w:t>
      </w:r>
      <w:r w:rsidRPr="002E3AFB">
        <w:rPr>
          <w:color w:val="3333FF"/>
        </w:rPr>
        <w:t xml:space="preserve"> </w:t>
      </w:r>
    </w:p>
    <w:p w14:paraId="5AD638A2" w14:textId="6AF52E0A" w:rsidR="004C3766" w:rsidRDefault="004C3766">
      <w:pPr>
        <w:pStyle w:val="FootnoteText"/>
      </w:pPr>
    </w:p>
  </w:footnote>
  <w:footnote w:id="73">
    <w:p w14:paraId="35FA4D6E" w14:textId="53965155" w:rsidR="005B0A6B" w:rsidRDefault="005B0A6B">
      <w:pPr>
        <w:pStyle w:val="FootnoteText"/>
      </w:pPr>
      <w:r>
        <w:rPr>
          <w:rStyle w:val="FootnoteReference"/>
        </w:rPr>
        <w:footnoteRef/>
      </w:r>
      <w:r>
        <w:t xml:space="preserve"> </w:t>
      </w:r>
      <w:r w:rsidRPr="005B0A6B">
        <w:t xml:space="preserve">Please consider the impact of the COVID-19 pandemic on infectious disease screening, treatment, and surveillance in the </w:t>
      </w:r>
      <w:r w:rsidR="00CA4563">
        <w:t>interpretation of data from 2020 to 2023</w:t>
      </w:r>
      <w:r w:rsidR="00256F80">
        <w:t>.</w:t>
      </w:r>
    </w:p>
  </w:footnote>
  <w:footnote w:id="74">
    <w:p w14:paraId="6BBAEA4B" w14:textId="68BDF401" w:rsidR="000B4549" w:rsidRDefault="000B4549" w:rsidP="000B4549">
      <w:pPr>
        <w:pStyle w:val="FootnoteText"/>
      </w:pPr>
      <w:r w:rsidRPr="082F7B1A">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AB66EC">
          <w:rPr>
            <w:rStyle w:val="Hyperlink"/>
          </w:rPr>
          <w:t xml:space="preserve">Interpreting HIV, </w:t>
        </w:r>
        <w:r w:rsidR="00285320">
          <w:rPr>
            <w:rStyle w:val="Hyperlink"/>
          </w:rPr>
          <w:t>STI</w:t>
        </w:r>
        <w:r w:rsidRPr="00AB66EC">
          <w:rPr>
            <w:rStyle w:val="Hyperlink"/>
          </w:rPr>
          <w:t>, and Viral Hepatitis Data</w:t>
        </w:r>
      </w:hyperlink>
      <w:r>
        <w:t>.</w:t>
      </w:r>
    </w:p>
  </w:footnote>
  <w:footnote w:id="75">
    <w:p w14:paraId="40B3FF8A" w14:textId="4AA9EE95" w:rsidR="003D0661" w:rsidRDefault="003D0661">
      <w:pPr>
        <w:pStyle w:val="FootnoteText"/>
      </w:pPr>
      <w:r>
        <w:rPr>
          <w:rStyle w:val="FootnoteReference"/>
        </w:rPr>
        <w:footnoteRef/>
      </w:r>
      <w:r>
        <w:t xml:space="preserve"> </w:t>
      </w:r>
      <w:r w:rsidRPr="003D0661">
        <w:t xml:space="preserve">Please consider the impact of the COVID-19 pandemic on infectious disease screening, treatment, and surveillance in the </w:t>
      </w:r>
      <w:r w:rsidR="00CA4563">
        <w:t>interpretation of data from 2020 to 2023</w:t>
      </w:r>
      <w:r w:rsidR="00256F80">
        <w:t>.</w:t>
      </w:r>
    </w:p>
  </w:footnote>
  <w:footnote w:id="76">
    <w:p w14:paraId="679D019C" w14:textId="4AA46AB7" w:rsidR="003D0661" w:rsidRDefault="003D0661">
      <w:pPr>
        <w:pStyle w:val="FootnoteText"/>
      </w:pPr>
      <w:r>
        <w:rPr>
          <w:rStyle w:val="FootnoteReference"/>
        </w:rPr>
        <w:footnoteRef/>
      </w:r>
      <w:r>
        <w:t xml:space="preserve"> </w:t>
      </w:r>
      <w:r w:rsidR="00714280">
        <w:t>For c</w:t>
      </w:r>
      <w:r w:rsidRPr="003D0661">
        <w:t>ase definitions and classifications</w:t>
      </w:r>
      <w:r w:rsidR="00714280">
        <w:t xml:space="preserve">, see </w:t>
      </w:r>
      <w:hyperlink w:anchor="_HIV,_STD,_AND" w:history="1">
        <w:r w:rsidR="00714280" w:rsidRPr="002E3AFB">
          <w:rPr>
            <w:rStyle w:val="Hyperlink"/>
            <w:color w:val="3333FF"/>
          </w:rPr>
          <w:t xml:space="preserve">HIV, </w:t>
        </w:r>
        <w:r w:rsidR="00285320">
          <w:rPr>
            <w:rStyle w:val="Hyperlink"/>
            <w:color w:val="3333FF"/>
          </w:rPr>
          <w:t>STI</w:t>
        </w:r>
        <w:r w:rsidR="00714280" w:rsidRPr="002E3AFB">
          <w:rPr>
            <w:rStyle w:val="Hyperlink"/>
            <w:color w:val="3333FF"/>
          </w:rPr>
          <w:t xml:space="preserve">, and Viral </w:t>
        </w:r>
        <w:r w:rsidR="008203AA">
          <w:rPr>
            <w:rStyle w:val="Hyperlink"/>
            <w:color w:val="3333FF"/>
          </w:rPr>
          <w:t>HCV</w:t>
        </w:r>
        <w:r w:rsidR="00714280" w:rsidRPr="002E3AFB">
          <w:rPr>
            <w:rStyle w:val="Hyperlink"/>
            <w:color w:val="3333FF"/>
          </w:rPr>
          <w:t>ase Classifications</w:t>
        </w:r>
      </w:hyperlink>
      <w:r w:rsidR="00714280" w:rsidRPr="002E3AFB">
        <w:rPr>
          <w:color w:val="3333FF"/>
        </w:rPr>
        <w:t>.</w:t>
      </w:r>
    </w:p>
  </w:footnote>
  <w:footnote w:id="77">
    <w:p w14:paraId="623DB1E8" w14:textId="57336278" w:rsidR="00986826" w:rsidRPr="00986826" w:rsidRDefault="00986826" w:rsidP="00986826">
      <w:pPr>
        <w:pStyle w:val="FootnoteText"/>
      </w:pPr>
      <w:r>
        <w:rPr>
          <w:rStyle w:val="FootnoteReference"/>
        </w:rPr>
        <w:footnoteRef/>
      </w:r>
      <w:r>
        <w:t xml:space="preserve"> </w:t>
      </w:r>
      <w:r w:rsidRPr="00986826">
        <w:t xml:space="preserve">Please consider the impact of the COVID-19 pandemic on infectious disease screening, treatment, and surveillance in the </w:t>
      </w:r>
      <w:r w:rsidR="00CA4563">
        <w:t>interpretation of data from 2020 to 2023</w:t>
      </w:r>
      <w:r w:rsidR="00256F80">
        <w:t>.</w:t>
      </w:r>
    </w:p>
    <w:p w14:paraId="73DF0DE2" w14:textId="77777777" w:rsidR="00986826" w:rsidRPr="00986826" w:rsidRDefault="00986826" w:rsidP="00986826">
      <w:pPr>
        <w:pStyle w:val="FootnoteText"/>
      </w:pPr>
      <w:r w:rsidRPr="00986826">
        <w:t xml:space="preserve">Please note, in 2016, revised case definitions for acute and chronic HCV infection were implemented that contain significant changes from the case definitions for 2012 to 2015. For further information see </w:t>
      </w:r>
      <w:hyperlink r:id="rId12" w:history="1">
        <w:r w:rsidRPr="00DF4F77">
          <w:rPr>
            <w:rStyle w:val="Hyperlink"/>
            <w:color w:val="3333FF"/>
          </w:rPr>
          <w:t>https://wwwn.cdc.gov/nndss/conditions/</w:t>
        </w:r>
      </w:hyperlink>
    </w:p>
    <w:p w14:paraId="4D1F2737" w14:textId="4F2499ED" w:rsidR="00986826" w:rsidRDefault="00986826">
      <w:pPr>
        <w:pStyle w:val="FootnoteText"/>
      </w:pPr>
    </w:p>
  </w:footnote>
  <w:footnote w:id="78">
    <w:p w14:paraId="7F8D566B" w14:textId="103BA8FF" w:rsidR="005E3164" w:rsidRPr="00986826" w:rsidRDefault="005E3164" w:rsidP="005E3164">
      <w:pPr>
        <w:pStyle w:val="FootnoteText"/>
      </w:pPr>
      <w:r>
        <w:rPr>
          <w:rStyle w:val="FootnoteReference"/>
        </w:rPr>
        <w:footnoteRef/>
      </w:r>
      <w:r>
        <w:t xml:space="preserve"> </w:t>
      </w:r>
      <w:r w:rsidRPr="00986826">
        <w:t xml:space="preserve">Please consider the impact of the COVID-19 pandemic on infectious disease screening, treatment, and surveillance in the </w:t>
      </w:r>
      <w:r w:rsidR="00CA4563">
        <w:t>interpretation of data from 2020 to 2023</w:t>
      </w:r>
      <w:r>
        <w:t>.</w:t>
      </w:r>
    </w:p>
    <w:p w14:paraId="6CF82F2E" w14:textId="7E5160A2" w:rsidR="005E3164" w:rsidRDefault="005E3164" w:rsidP="005E3164">
      <w:pPr>
        <w:pStyle w:val="FootnoteText"/>
      </w:pPr>
      <w:r w:rsidRPr="00986826">
        <w:t xml:space="preserve">Please note, in 2016, revised case definitions for acute and chronic HCV infection were implemented that contain significant changes from the case definitions for 2012 to 2015. For further information see </w:t>
      </w:r>
      <w:hyperlink r:id="rId13" w:history="1">
        <w:r w:rsidRPr="00986826">
          <w:rPr>
            <w:rStyle w:val="Hyperlink"/>
          </w:rPr>
          <w:t>https://wwwn.cdc.gov/nndss/conditions/</w:t>
        </w:r>
      </w:hyperlink>
    </w:p>
  </w:footnote>
  <w:footnote w:id="79">
    <w:p w14:paraId="6FBF8F0A" w14:textId="53BE8BD3" w:rsidR="348AFD48" w:rsidRDefault="348AFD48" w:rsidP="003B0BB0">
      <w:pPr>
        <w:pStyle w:val="FootnoteText"/>
      </w:pPr>
      <w:r w:rsidRPr="348AFD48">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8422CE">
          <w:rPr>
            <w:rStyle w:val="Hyperlink"/>
          </w:rPr>
          <w:t xml:space="preserve">Interpreting HIV, </w:t>
        </w:r>
        <w:r w:rsidR="00285320">
          <w:rPr>
            <w:rStyle w:val="Hyperlink"/>
          </w:rPr>
          <w:t>STI</w:t>
        </w:r>
        <w:r w:rsidRPr="008422CE">
          <w:rPr>
            <w:rStyle w:val="Hyperlink"/>
          </w:rPr>
          <w:t>, and Viral Hepatitis Data</w:t>
        </w:r>
      </w:hyperlink>
    </w:p>
  </w:footnote>
  <w:footnote w:id="80">
    <w:p w14:paraId="74D777D0" w14:textId="2D8CCFD0" w:rsidR="00986826" w:rsidRDefault="00986826">
      <w:pPr>
        <w:pStyle w:val="FootnoteText"/>
      </w:pPr>
      <w:r>
        <w:rPr>
          <w:rStyle w:val="FootnoteReference"/>
        </w:rPr>
        <w:footnoteRef/>
      </w:r>
      <w:r>
        <w:t xml:space="preserve"> </w:t>
      </w:r>
      <w:r w:rsidRPr="00986826">
        <w:t xml:space="preserve">Please consider the impact of the COVID-19 pandemic on infectious disease screening, treatment, and surveillance in the </w:t>
      </w:r>
      <w:r w:rsidR="00CA4563">
        <w:t>interpretation of data from 2020 to 2023</w:t>
      </w:r>
      <w:r w:rsidR="00256F80">
        <w:t>.</w:t>
      </w:r>
    </w:p>
  </w:footnote>
  <w:footnote w:id="81">
    <w:p w14:paraId="78A8D574" w14:textId="28684510" w:rsidR="00FC0547" w:rsidRDefault="00FC0547">
      <w:pPr>
        <w:pStyle w:val="FootnoteText"/>
      </w:pPr>
      <w:r>
        <w:rPr>
          <w:rStyle w:val="FootnoteReference"/>
        </w:rPr>
        <w:footnoteRef/>
      </w:r>
      <w:r>
        <w:t xml:space="preserve"> </w:t>
      </w:r>
      <w:r w:rsidRPr="00FC0547">
        <w:t xml:space="preserve">Please consider the impact of the COVID-19 pandemic on infectious disease screening, treatment, and surveillance in the </w:t>
      </w:r>
      <w:r w:rsidR="00CA4563">
        <w:t>interpretation of data from 2020 to 2023</w:t>
      </w:r>
      <w:r w:rsidR="00256F80">
        <w:t>.</w:t>
      </w:r>
    </w:p>
  </w:footnote>
  <w:footnote w:id="82">
    <w:p w14:paraId="4195371E" w14:textId="355479D4" w:rsidR="5BA4DA66" w:rsidRDefault="5BA4DA66" w:rsidP="003B0BB0">
      <w:pPr>
        <w:pStyle w:val="FootnoteText"/>
      </w:pPr>
      <w:r w:rsidRPr="5BA4DA66">
        <w:rPr>
          <w:rStyle w:val="FootnoteReference"/>
        </w:rPr>
        <w:footnoteRef/>
      </w:r>
      <w:r>
        <w:t xml:space="preserve"> Please note reported numbers among individuals of transgender experience and individuals who are nonbinary are likely to be underestimates, for more information see Interpreting HIV, </w:t>
      </w:r>
      <w:r w:rsidR="00285320">
        <w:t>STI</w:t>
      </w:r>
      <w:r>
        <w:t>, and Viral Hepatitis Data.</w:t>
      </w:r>
    </w:p>
  </w:footnote>
  <w:footnote w:id="83">
    <w:p w14:paraId="1D7E6D2D" w14:textId="2F1C5028" w:rsidR="007E659D" w:rsidRDefault="007E659D">
      <w:pPr>
        <w:pStyle w:val="FootnoteText"/>
      </w:pPr>
      <w:r>
        <w:rPr>
          <w:rStyle w:val="FootnoteReference"/>
        </w:rPr>
        <w:footnoteRef/>
      </w:r>
      <w:r>
        <w:t xml:space="preserve"> </w:t>
      </w:r>
      <w:r w:rsidRPr="007E659D">
        <w:t>Infectious syphilis includes diagnoses made in the primary, secondary, and early non-primary non-secondary stages of infection (latent asymptomatic syphilis where infection occurred in the past 12 months).</w:t>
      </w:r>
    </w:p>
  </w:footnote>
  <w:footnote w:id="84">
    <w:p w14:paraId="67C5A94A" w14:textId="08572796" w:rsidR="38A4F72D" w:rsidRDefault="38A4F72D" w:rsidP="00F345D5">
      <w:pPr>
        <w:pStyle w:val="FootnoteText"/>
      </w:pPr>
      <w:r w:rsidRPr="38A4F72D">
        <w:rPr>
          <w:rStyle w:val="FootnoteReference"/>
        </w:rPr>
        <w:footnoteRef/>
      </w:r>
      <w:r>
        <w:t xml:space="preserve"> HIV/syphilis co-infections include all infectious syphilis cases reported in 202</w:t>
      </w:r>
      <w:r w:rsidR="006D7701">
        <w:t>3</w:t>
      </w:r>
      <w:r>
        <w:t xml:space="preserve"> that were ever diagnosed with HIV infection.</w:t>
      </w:r>
    </w:p>
  </w:footnote>
  <w:footnote w:id="85">
    <w:p w14:paraId="789D35D6" w14:textId="600A48AB" w:rsidR="007E659D" w:rsidRDefault="007E659D">
      <w:pPr>
        <w:pStyle w:val="FootnoteText"/>
      </w:pPr>
      <w:r>
        <w:rPr>
          <w:rStyle w:val="FootnoteReference"/>
        </w:rPr>
        <w:footnoteRef/>
      </w:r>
      <w:r>
        <w:t xml:space="preserve"> </w:t>
      </w:r>
      <w:r w:rsidRPr="007E659D">
        <w:t xml:space="preserve">Please consider the impact of the COVID-19 pandemic on infectious disease screening, treatment, and surveillance in the </w:t>
      </w:r>
      <w:r w:rsidR="00CA4563">
        <w:t>interpretation of data from 2020 to 2023</w:t>
      </w:r>
      <w:r w:rsidR="00256F80">
        <w:t>.</w:t>
      </w:r>
    </w:p>
  </w:footnote>
  <w:footnote w:id="86">
    <w:p w14:paraId="3D051633" w14:textId="1A48EF38" w:rsidR="14217D49" w:rsidRDefault="14217D49" w:rsidP="003B0BB0">
      <w:pPr>
        <w:pStyle w:val="FootnoteText"/>
      </w:pPr>
      <w:r w:rsidRPr="14217D49">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444501">
          <w:rPr>
            <w:rStyle w:val="Hyperlink"/>
          </w:rPr>
          <w:t xml:space="preserve">Interpreting HIV, </w:t>
        </w:r>
        <w:r w:rsidR="00285320">
          <w:rPr>
            <w:rStyle w:val="Hyperlink"/>
          </w:rPr>
          <w:t>STI</w:t>
        </w:r>
        <w:r w:rsidRPr="00444501">
          <w:rPr>
            <w:rStyle w:val="Hyperlink"/>
          </w:rPr>
          <w:t>, and Viral Hepatitis Data</w:t>
        </w:r>
      </w:hyperlink>
      <w:r>
        <w:t>.</w:t>
      </w:r>
    </w:p>
  </w:footnote>
  <w:footnote w:id="87">
    <w:p w14:paraId="02222AD3" w14:textId="03DD4D6E" w:rsidR="00AA6657" w:rsidRDefault="00AA6657">
      <w:pPr>
        <w:pStyle w:val="FootnoteText"/>
      </w:pPr>
      <w:r>
        <w:rPr>
          <w:rStyle w:val="FootnoteReference"/>
        </w:rPr>
        <w:footnoteRef/>
      </w:r>
      <w:r>
        <w:t xml:space="preserve"> </w:t>
      </w:r>
      <w:r w:rsidRPr="00AA6657">
        <w:t>Case counts are based on current gender and include individuals of transgender experience who currently identify as male.</w:t>
      </w:r>
    </w:p>
  </w:footnote>
  <w:footnote w:id="88">
    <w:p w14:paraId="4D1AAB7D" w14:textId="24DE5C46" w:rsidR="38A4F72D" w:rsidRDefault="38A4F72D" w:rsidP="38A4F72D">
      <w:pPr>
        <w:pStyle w:val="FootnoteText"/>
      </w:pPr>
      <w:r w:rsidRPr="38A4F72D">
        <w:rPr>
          <w:rStyle w:val="FootnoteReference"/>
        </w:rPr>
        <w:footnoteRef/>
      </w:r>
      <w:r>
        <w:t xml:space="preserve"> HIV/gonorrhea co-infections include all confirmed gonorrhea cases reported in 202</w:t>
      </w:r>
      <w:r w:rsidR="00381E6F">
        <w:t>3</w:t>
      </w:r>
      <w:r>
        <w:t xml:space="preserve"> that were ever diagnosed with HIV infection.</w:t>
      </w:r>
    </w:p>
  </w:footnote>
  <w:footnote w:id="89">
    <w:p w14:paraId="0D0F48E2" w14:textId="6A35F42B" w:rsidR="00E37594" w:rsidRDefault="00E37594">
      <w:pPr>
        <w:pStyle w:val="FootnoteText"/>
      </w:pPr>
      <w:r>
        <w:rPr>
          <w:rStyle w:val="FootnoteReference"/>
        </w:rPr>
        <w:footnoteRef/>
      </w:r>
      <w:r>
        <w:t xml:space="preserve"> </w:t>
      </w:r>
      <w:r w:rsidRPr="00E37594">
        <w:t xml:space="preserve">Please consider the impact of the COVID-19 pandemic on infectious disease screening, treatment, and surveillance in the </w:t>
      </w:r>
      <w:r w:rsidR="00CA4563">
        <w:t>interpretation of data from 2020 to 2023</w:t>
      </w:r>
      <w:r w:rsidR="00256F80">
        <w:t>.</w:t>
      </w:r>
    </w:p>
  </w:footnote>
  <w:footnote w:id="90">
    <w:p w14:paraId="5EB39279" w14:textId="77777777" w:rsidR="009E2659" w:rsidRDefault="009E2659" w:rsidP="009E2659">
      <w:pPr>
        <w:pStyle w:val="FootnoteText"/>
      </w:pPr>
      <w:r>
        <w:rPr>
          <w:rStyle w:val="FootnoteReference"/>
        </w:rPr>
        <w:footnoteRef/>
      </w:r>
      <w:r>
        <w:t xml:space="preserve"> </w:t>
      </w:r>
      <w:r w:rsidRPr="00E37594">
        <w:t xml:space="preserve">Please consider the impact of the COVID-19 pandemic on infectious disease screening, treatment, and surveillance in the </w:t>
      </w:r>
      <w:r>
        <w:t>interpretation of data from 2020 to 2023.</w:t>
      </w:r>
    </w:p>
  </w:footnote>
  <w:footnote w:id="91">
    <w:p w14:paraId="5C88D3C4" w14:textId="77777777" w:rsidR="009E2659" w:rsidRPr="009E2659" w:rsidRDefault="009E2659" w:rsidP="009E2659">
      <w:pPr>
        <w:pStyle w:val="FootnoteText"/>
      </w:pPr>
      <w:r>
        <w:rPr>
          <w:rStyle w:val="FootnoteReference"/>
        </w:rPr>
        <w:footnoteRef/>
      </w:r>
      <w:r>
        <w:t xml:space="preserve"> </w:t>
      </w:r>
      <w:r w:rsidRPr="009E2659">
        <w:t xml:space="preserve">Total number of annual HIV diagnoses now excludes those first diagnosed in another state. Previously, all HIV diagnoses, including those first made in another state, were included in the co-infection analysis. </w:t>
      </w:r>
    </w:p>
    <w:p w14:paraId="39DA3BF1" w14:textId="0830E0DF" w:rsidR="009E2659" w:rsidRDefault="009E2659">
      <w:pPr>
        <w:pStyle w:val="FootnoteText"/>
      </w:pPr>
    </w:p>
  </w:footnote>
  <w:footnote w:id="92">
    <w:p w14:paraId="7A529966" w14:textId="587298E9" w:rsidR="00EF0049" w:rsidRDefault="00EF0049">
      <w:pPr>
        <w:pStyle w:val="FootnoteText"/>
      </w:pPr>
      <w:r>
        <w:rPr>
          <w:rStyle w:val="FootnoteReference"/>
        </w:rPr>
        <w:footnoteRef/>
      </w:r>
      <w:r>
        <w:t xml:space="preserve"> </w:t>
      </w:r>
      <w:r w:rsidR="00143EBD" w:rsidRPr="00143EBD">
        <w:t>HIV/HCV co-infections now exclude those first diagnosed in another state. Previously, all HIV infection diagnoses that were ever diagnosed with HCV infection reported from 2019 – 2023 were included in the co-infection analysis, including those first made in another state.</w:t>
      </w:r>
    </w:p>
  </w:footnote>
  <w:footnote w:id="93">
    <w:p w14:paraId="051A2CBA" w14:textId="6CD17554" w:rsidR="00EF0049" w:rsidRDefault="00EF0049">
      <w:pPr>
        <w:pStyle w:val="FootnoteText"/>
      </w:pPr>
      <w:r>
        <w:rPr>
          <w:rStyle w:val="FootnoteReference"/>
        </w:rPr>
        <w:footnoteRef/>
      </w:r>
      <w:r>
        <w:t xml:space="preserve"> </w:t>
      </w:r>
      <w:r w:rsidRPr="00EF0049">
        <w:t xml:space="preserve">Please consider the impact of the COVID-19 pandemic on infectious disease screening, treatment, and surveillance in the </w:t>
      </w:r>
      <w:r w:rsidR="00CA4563">
        <w:t>interpretation of data from 2020 to 2023</w:t>
      </w:r>
      <w:r w:rsidR="00256F80">
        <w:t>.</w:t>
      </w:r>
    </w:p>
  </w:footnote>
  <w:footnote w:id="94">
    <w:p w14:paraId="367E961C" w14:textId="13B9A921" w:rsidR="38A4F72D" w:rsidRDefault="38A4F72D" w:rsidP="00F345D5">
      <w:pPr>
        <w:pStyle w:val="FootnoteText"/>
      </w:pPr>
      <w:r w:rsidRPr="38A4F72D">
        <w:rPr>
          <w:rStyle w:val="FootnoteReference"/>
        </w:rPr>
        <w:footnoteRef/>
      </w:r>
      <w:r>
        <w:t xml:space="preserve"> </w:t>
      </w:r>
      <w:r w:rsidR="006D1179" w:rsidRPr="006D1179">
        <w:t>HIV/HCV co-infections include all HIV infection diagnoses reported in 2023 that were ever diagnosed with HCV infection. Total number of annual HIV diagnoses now excludes those first diagnosed in another state. Previously, all HIV diagnoses, including those first made in another state, were included in the co-infection analysis</w:t>
      </w:r>
      <w:r>
        <w:t>.</w:t>
      </w:r>
    </w:p>
  </w:footnote>
  <w:footnote w:id="95">
    <w:p w14:paraId="5F223C0A" w14:textId="1A662F72" w:rsidR="00B53A1C" w:rsidRDefault="00B53A1C">
      <w:pPr>
        <w:pStyle w:val="FootnoteText"/>
      </w:pPr>
      <w:r>
        <w:rPr>
          <w:rStyle w:val="FootnoteReference"/>
        </w:rPr>
        <w:footnoteRef/>
      </w:r>
      <w:r>
        <w:t xml:space="preserve"> </w:t>
      </w:r>
      <w:r w:rsidRPr="00B53A1C">
        <w:t xml:space="preserve">Please consider the impact of the COVID-19 pandemic on infectious disease screening, treatment, and surveillance in the </w:t>
      </w:r>
      <w:r w:rsidR="00CA4563">
        <w:t>interpretation of data from 2020 to 2023</w:t>
      </w:r>
      <w:r w:rsidR="00256F80">
        <w:t>.</w:t>
      </w:r>
    </w:p>
  </w:footnote>
  <w:footnote w:id="96">
    <w:p w14:paraId="04ECF3F8" w14:textId="1C22F110" w:rsidR="007E3833" w:rsidRPr="007E3833" w:rsidRDefault="007E3833">
      <w:pPr>
        <w:pStyle w:val="FootnoteText"/>
        <w:rPr>
          <w:sz w:val="16"/>
          <w:szCs w:val="16"/>
        </w:rPr>
      </w:pPr>
      <w:r w:rsidRPr="007E3833">
        <w:rPr>
          <w:rStyle w:val="FootnoteReference"/>
          <w:sz w:val="16"/>
          <w:szCs w:val="16"/>
        </w:rPr>
        <w:footnoteRef/>
      </w:r>
      <w:r w:rsidRPr="007E3833">
        <w:rPr>
          <w:sz w:val="16"/>
          <w:szCs w:val="16"/>
        </w:rPr>
        <w:t xml:space="preserve"> </w:t>
      </w:r>
      <w:r w:rsidRPr="007E3833">
        <w:t xml:space="preserve">Please consider the impact of the COVID-19 pandemic on infectious disease screening, treatment, and surveillance in the </w:t>
      </w:r>
      <w:r w:rsidR="00CA4563">
        <w:t>interpretation of data from 2020 to 2023</w:t>
      </w:r>
      <w:r w:rsidR="00256F80">
        <w:t>.</w:t>
      </w:r>
    </w:p>
  </w:footnote>
  <w:footnote w:id="97">
    <w:p w14:paraId="7B92DF10" w14:textId="30402201" w:rsidR="007E3833" w:rsidRDefault="007E3833">
      <w:pPr>
        <w:pStyle w:val="FootnoteText"/>
      </w:pPr>
      <w:r w:rsidRPr="007E3833">
        <w:rPr>
          <w:rStyle w:val="FootnoteReference"/>
          <w:sz w:val="16"/>
          <w:szCs w:val="16"/>
        </w:rPr>
        <w:footnoteRef/>
      </w:r>
      <w:r w:rsidRPr="007E3833">
        <w:rPr>
          <w:sz w:val="16"/>
          <w:szCs w:val="16"/>
        </w:rPr>
        <w:t xml:space="preserve"> </w:t>
      </w:r>
      <w:r w:rsidR="00F23D94" w:rsidRPr="00F23D94">
        <w:t xml:space="preserve">Centers for Disease Control and Prevention. </w:t>
      </w:r>
      <w:r w:rsidR="00A0215B">
        <w:rPr>
          <w:i/>
          <w:iCs/>
        </w:rPr>
        <w:t>Sexually Transmitted Infections Surveillance 2022</w:t>
      </w:r>
      <w:r w:rsidR="00F23D94" w:rsidRPr="00F23D94">
        <w:t xml:space="preserve">. Atlanta: U.S. Department of </w:t>
      </w:r>
      <w:r w:rsidR="00A0215B">
        <w:t>Health and Human Services; 2024</w:t>
      </w:r>
      <w:r w:rsidR="00F23D94" w:rsidRPr="00F23D94">
        <w:t xml:space="preserve">. National percentages among 15-24 year-olds also exclude cases of unknown age for comparability with Massachusetts percentages. Please note, </w:t>
      </w:r>
      <w:r w:rsidR="00564297">
        <w:t xml:space="preserve">2022 </w:t>
      </w:r>
      <w:r w:rsidR="007F2338">
        <w:t>national data</w:t>
      </w:r>
      <w:r w:rsidR="00564297">
        <w:t xml:space="preserve"> are presented because 2023</w:t>
      </w:r>
      <w:r w:rsidR="00F23D94" w:rsidRPr="00F23D94">
        <w:t xml:space="preserve"> </w:t>
      </w:r>
      <w:r w:rsidR="007F2338">
        <w:t xml:space="preserve">data </w:t>
      </w:r>
      <w:r w:rsidR="00F23D94" w:rsidRPr="00F23D94">
        <w:t>by age were not yet available at the time of this publication.</w:t>
      </w:r>
    </w:p>
  </w:footnote>
  <w:footnote w:id="98">
    <w:p w14:paraId="7098055F" w14:textId="63242E55" w:rsidR="00A2586D" w:rsidRDefault="00A2586D">
      <w:pPr>
        <w:pStyle w:val="FootnoteText"/>
      </w:pPr>
      <w:r>
        <w:rPr>
          <w:rStyle w:val="FootnoteReference"/>
        </w:rPr>
        <w:footnoteRef/>
      </w:r>
      <w:r>
        <w:t xml:space="preserve"> </w:t>
      </w:r>
      <w:r w:rsidRPr="00A2586D">
        <w:t xml:space="preserve">Please consider the impact of the COVID-19 pandemic on infectious disease screening, treatment, and surveillance in the </w:t>
      </w:r>
      <w:r w:rsidR="00CA4563">
        <w:t>interpretation of data from 2020 to 2023</w:t>
      </w:r>
      <w:r w:rsidR="00256F80">
        <w:t>.</w:t>
      </w:r>
    </w:p>
  </w:footnote>
  <w:footnote w:id="99">
    <w:p w14:paraId="71698F47" w14:textId="640C9CE2" w:rsidR="0B77371A" w:rsidRDefault="0B77371A" w:rsidP="003B0BB0">
      <w:pPr>
        <w:pStyle w:val="FootnoteText"/>
      </w:pPr>
      <w:r w:rsidRPr="0B77371A">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0E153D">
          <w:rPr>
            <w:rStyle w:val="Hyperlink"/>
          </w:rPr>
          <w:t xml:space="preserve">Interpreting HIV, </w:t>
        </w:r>
        <w:r w:rsidR="00285320">
          <w:rPr>
            <w:rStyle w:val="Hyperlink"/>
          </w:rPr>
          <w:t>STI</w:t>
        </w:r>
        <w:r w:rsidRPr="000E153D">
          <w:rPr>
            <w:rStyle w:val="Hyperlink"/>
          </w:rPr>
          <w:t>, and Viral Hepatitis Data</w:t>
        </w:r>
      </w:hyperlink>
      <w:r>
        <w:t>.</w:t>
      </w:r>
    </w:p>
  </w:footnote>
  <w:footnote w:id="100">
    <w:p w14:paraId="06C5D495" w14:textId="4D907BAF" w:rsidR="0016072F" w:rsidRDefault="0016072F">
      <w:pPr>
        <w:pStyle w:val="FootnoteText"/>
      </w:pPr>
      <w:r>
        <w:rPr>
          <w:rStyle w:val="FootnoteReference"/>
        </w:rPr>
        <w:footnoteRef/>
      </w:r>
      <w:r>
        <w:t xml:space="preserve"> </w:t>
      </w:r>
      <w:r w:rsidR="00794545" w:rsidRPr="00794545">
        <w:t xml:space="preserve">Centers for Disease Control and Prevention. </w:t>
      </w:r>
      <w:r w:rsidR="00A0215B">
        <w:t>Sexually Transmitted Infections Surveillance 2022</w:t>
      </w:r>
      <w:r w:rsidR="00794545" w:rsidRPr="00794545">
        <w:t xml:space="preserve">. Atlanta: U.S. Department of </w:t>
      </w:r>
      <w:r w:rsidR="00A0215B">
        <w:t>Health and Human Services; 2024</w:t>
      </w:r>
      <w:r w:rsidR="00794545" w:rsidRPr="00794545">
        <w:t xml:space="preserve">. National percentages among 15-24 year-olds also exclude cases of unknown age for comparability with Massachusetts percentages. Please note, </w:t>
      </w:r>
      <w:r w:rsidR="007F2338">
        <w:t>2022 national data are presented because 2023 data</w:t>
      </w:r>
      <w:r w:rsidR="00794545" w:rsidRPr="00794545">
        <w:t xml:space="preserve"> by age and gender were not yet available at the time of this publication.</w:t>
      </w:r>
    </w:p>
  </w:footnote>
  <w:footnote w:id="101">
    <w:p w14:paraId="65180813" w14:textId="226BBA1C" w:rsidR="00FE4D0D" w:rsidRDefault="00FE4D0D">
      <w:pPr>
        <w:pStyle w:val="FootnoteText"/>
      </w:pPr>
      <w:r>
        <w:rPr>
          <w:rStyle w:val="FootnoteReference"/>
        </w:rPr>
        <w:footnoteRef/>
      </w:r>
      <w:r>
        <w:t xml:space="preserve"> </w:t>
      </w:r>
      <w:r w:rsidRPr="00FE4D0D">
        <w:t xml:space="preserve">Please consider the impact of the COVID-19 pandemic on infectious disease screening, treatment, and surveillance in the </w:t>
      </w:r>
      <w:r w:rsidR="00CA4563">
        <w:t>interpretation of data from 2020 to 2023</w:t>
      </w:r>
      <w:r w:rsidRPr="00FE4D0D">
        <w:t>.</w:t>
      </w:r>
    </w:p>
  </w:footnote>
  <w:footnote w:id="102">
    <w:p w14:paraId="4DBF0335" w14:textId="04D41659" w:rsidR="00B333F2" w:rsidRPr="00B333F2" w:rsidRDefault="003A6561" w:rsidP="00B333F2">
      <w:pPr>
        <w:pStyle w:val="FootnoteText"/>
      </w:pPr>
      <w:r>
        <w:rPr>
          <w:rStyle w:val="FootnoteReference"/>
        </w:rPr>
        <w:footnoteRef/>
      </w:r>
      <w:r w:rsidR="39A4D4D3">
        <w:t xml:space="preserve"> </w:t>
      </w:r>
      <w:r w:rsidR="00B96FF0" w:rsidRPr="00B96FF0">
        <w:t xml:space="preserve">Probable and Confirmed </w:t>
      </w:r>
      <w:r w:rsidR="008203AA">
        <w:t>HCV</w:t>
      </w:r>
      <w:r w:rsidR="00B96FF0" w:rsidRPr="00B96FF0">
        <w:t xml:space="preserve"> 2002, N=9,046 (excludes 159 with missing age and/or gender), 2007 N=8,264 (excludes 789 with missing age and/or gender), 2023 N=2,542 (excludes 38 with missing age and/or gender). Cases reported as transgender are not depicted in Figure 35 separately due to small numbers. Data Source: Bureau of Infectious Disease and Laboratory Sciences, data are current as of 7/31/2024 and subject to change</w:t>
      </w:r>
      <w:r w:rsidR="00343DE5" w:rsidRPr="00B333F2">
        <w:t>.</w:t>
      </w:r>
    </w:p>
    <w:p w14:paraId="7BE18BE1" w14:textId="3C0B1FAF" w:rsidR="003A6561" w:rsidRDefault="003A6561">
      <w:pPr>
        <w:pStyle w:val="FootnoteText"/>
      </w:pPr>
    </w:p>
  </w:footnote>
  <w:footnote w:id="103">
    <w:p w14:paraId="534C29CB" w14:textId="47AC6749" w:rsidR="005D38C1" w:rsidRDefault="005D38C1" w:rsidP="005D38C1">
      <w:pPr>
        <w:pStyle w:val="FootnoteText"/>
      </w:pPr>
      <w:r>
        <w:rPr>
          <w:rStyle w:val="FootnoteReference"/>
        </w:rPr>
        <w:footnoteRef/>
      </w:r>
      <w:r>
        <w:t xml:space="preserve"> </w:t>
      </w:r>
      <w:r w:rsidRPr="003A6561">
        <w:t xml:space="preserve">Please consider the impact of the COVID-19 pandemic on infectious disease screening, treatment, and surveillance in the </w:t>
      </w:r>
      <w:r w:rsidR="00CA4563">
        <w:t>interpretation of data from 2020 to 2023</w:t>
      </w:r>
      <w:r w:rsidRPr="003A6561">
        <w:t>.</w:t>
      </w:r>
    </w:p>
  </w:footnote>
  <w:footnote w:id="104">
    <w:p w14:paraId="14F880C3" w14:textId="00DB9C4E" w:rsidR="00B33A9A" w:rsidRDefault="00B33A9A">
      <w:pPr>
        <w:pStyle w:val="FootnoteText"/>
      </w:pPr>
      <w:r>
        <w:rPr>
          <w:rStyle w:val="FootnoteReference"/>
        </w:rPr>
        <w:footnoteRef/>
      </w:r>
      <w:r>
        <w:t xml:space="preserve"> </w:t>
      </w:r>
      <w:r w:rsidRPr="00B33A9A">
        <w:t>Caution should be used in the interpretation of 2021 YRBS data due to the effect of the COVID-19 pandemic. COVID-19 precautions might have reduced school and student participation, although more schools were sampled in 2021 than in previous cycles. Additionally, COVID-19 may have also affected student behavior. For more information, see: Mpofu JJ, Underwood JM, Thornton JE, Brener ND, Rico A, Kilmer G, Harris WA, Leon-Nguyen M, Chyen D, Lim C, Mbaka CK, Smith-Grant J, Whittle L, Jones SE, Krause KH, Li J, Shanklin SL, McKinnon I, Arrey L, Queen BE, Roberts AM. Overview and Methods for the Youth Risk Behavior Surveillance System - United States, 2021. MMWR Suppl. 2023 Apr 28;72(1):1-12. doi: 10.15585/mmwr.su7201a1. PMID: 37104281; PMCID: PMC10156160.</w:t>
      </w:r>
      <w:r>
        <w:t xml:space="preserve"> </w:t>
      </w:r>
    </w:p>
  </w:footnote>
  <w:footnote w:id="105">
    <w:p w14:paraId="40E3AA87" w14:textId="32AF2DB7" w:rsidR="00137E0C" w:rsidRDefault="00137E0C">
      <w:pPr>
        <w:pStyle w:val="FootnoteText"/>
      </w:pPr>
      <w:r>
        <w:rPr>
          <w:rStyle w:val="FootnoteReference"/>
        </w:rPr>
        <w:footnoteRef/>
      </w:r>
      <w:r>
        <w:t xml:space="preserve"> </w:t>
      </w:r>
      <w:r w:rsidRPr="00137E0C">
        <w:t>The number of respondents (unweighted) varied for each question because participants may not answer all questions.</w:t>
      </w:r>
    </w:p>
  </w:footnote>
  <w:footnote w:id="106">
    <w:p w14:paraId="2EE4ADF5" w14:textId="77777777" w:rsidR="002B2FC5" w:rsidRDefault="002B2FC5">
      <w:pPr>
        <w:pStyle w:val="FootnoteText"/>
      </w:pPr>
      <w:r>
        <w:rPr>
          <w:rStyle w:val="FootnoteReference"/>
        </w:rPr>
        <w:footnoteRef/>
      </w:r>
      <w:r>
        <w:t xml:space="preserve"> </w:t>
      </w:r>
      <w:r w:rsidRPr="009378D7">
        <w:t>Not asked. Some questions were removed from the YRBS in 2021 to allow for the addition questions related to COVID-19 and adverse childhood experiences.</w:t>
      </w:r>
    </w:p>
  </w:footnote>
  <w:footnote w:id="107">
    <w:p w14:paraId="36852DBD" w14:textId="77777777" w:rsidR="002B2FC5" w:rsidRPr="004F63D2" w:rsidRDefault="002B2FC5" w:rsidP="009E3E87">
      <w:pPr>
        <w:pStyle w:val="FootnoteText"/>
      </w:pPr>
      <w:r w:rsidRPr="004F63D2">
        <w:rPr>
          <w:rStyle w:val="FootnoteReference"/>
        </w:rPr>
        <w:footnoteRef/>
      </w:r>
      <w:r w:rsidRPr="004F63D2">
        <w:t xml:space="preserve"> Among youth reporting sexual intercourse in the past three months</w:t>
      </w:r>
    </w:p>
  </w:footnote>
  <w:footnote w:id="108">
    <w:p w14:paraId="493E12FB" w14:textId="37BEBA8F" w:rsidR="002B2FC5" w:rsidRPr="004F63D2" w:rsidRDefault="002B2FC5" w:rsidP="009E3E87">
      <w:pPr>
        <w:pStyle w:val="FootnoteText"/>
      </w:pPr>
      <w:r w:rsidRPr="004F63D2">
        <w:rPr>
          <w:rStyle w:val="FootnoteReference"/>
        </w:rPr>
        <w:footnoteRef/>
      </w:r>
      <w:r w:rsidRPr="004F63D2">
        <w:t xml:space="preserve"> Among youth reporting sexual intercourse in the past three months</w:t>
      </w:r>
    </w:p>
  </w:footnote>
  <w:footnote w:id="109">
    <w:p w14:paraId="57460FA9" w14:textId="79BD2BDF" w:rsidR="00EB02A0" w:rsidRPr="00EB02A0" w:rsidRDefault="00EB02A0">
      <w:pPr>
        <w:pStyle w:val="FootnoteText"/>
      </w:pPr>
      <w:r w:rsidRPr="00EB02A0">
        <w:rPr>
          <w:rStyle w:val="FootnoteReference"/>
        </w:rPr>
        <w:footnoteRef/>
      </w:r>
      <w:r w:rsidRPr="00EB02A0">
        <w:t xml:space="preserve"> Multiple source estimation method for MSM rate (20</w:t>
      </w:r>
      <w:r w:rsidR="00383CB6">
        <w:t>2</w:t>
      </w:r>
      <w:r w:rsidR="00286FD5">
        <w:t>0</w:t>
      </w:r>
      <w:r w:rsidR="00383CB6" w:rsidRPr="00383CB6">
        <w:t>–</w:t>
      </w:r>
      <w:r w:rsidRPr="00EB02A0">
        <w:t>202</w:t>
      </w:r>
      <w:r w:rsidR="00286FD5">
        <w:t>2</w:t>
      </w:r>
      <w:r w:rsidRPr="00EB02A0">
        <w:t xml:space="preserve"> BRFSS, UMDI Interim 2020 Population Estimates by Age, Sex, Race, and Municipality, UMass Donahue Institute Population Estimates Program, March 1, 2022; and MDPH Bureau of Infectious Disease and Laboratory Sciences, data as of 7/1/202</w:t>
      </w:r>
      <w:r w:rsidR="001D6A38">
        <w:t>4</w:t>
      </w:r>
      <w:r w:rsidRPr="00EB02A0">
        <w:t>)</w:t>
      </w:r>
    </w:p>
  </w:footnote>
  <w:footnote w:id="110">
    <w:p w14:paraId="4C4CB8E6" w14:textId="77777777" w:rsidR="00C316D2" w:rsidRDefault="00C316D2" w:rsidP="00C316D2">
      <w:pPr>
        <w:pStyle w:val="FootnoteText"/>
      </w:pPr>
      <w:r>
        <w:rPr>
          <w:rStyle w:val="FootnoteReference"/>
        </w:rPr>
        <w:footnoteRef/>
      </w:r>
      <w:r>
        <w:t xml:space="preserve"> </w:t>
      </w:r>
      <w:r w:rsidRPr="003A6561">
        <w:t xml:space="preserve">Please consider the impact of the COVID-19 pandemic on infectious disease screening, treatment, and surveillance in the </w:t>
      </w:r>
      <w:r>
        <w:t>interpretation of data from 2020 to 2023</w:t>
      </w:r>
      <w:r w:rsidRPr="003A6561">
        <w:t>.</w:t>
      </w:r>
    </w:p>
  </w:footnote>
  <w:footnote w:id="111">
    <w:p w14:paraId="6DB99E55" w14:textId="31B3317B" w:rsidR="00043689" w:rsidRDefault="00043689">
      <w:pPr>
        <w:pStyle w:val="FootnoteText"/>
      </w:pPr>
      <w:r>
        <w:rPr>
          <w:rStyle w:val="FootnoteReference"/>
        </w:rPr>
        <w:footnoteRef/>
      </w:r>
      <w:r>
        <w:t xml:space="preserve"> </w:t>
      </w:r>
      <w:r w:rsidRPr="00043689">
        <w:t>Multiple source estimation method for MSM rate (</w:t>
      </w:r>
      <w:r w:rsidR="00383CB6" w:rsidRPr="00EB02A0">
        <w:t>20</w:t>
      </w:r>
      <w:r w:rsidR="00383CB6">
        <w:t>2</w:t>
      </w:r>
      <w:r w:rsidR="00286FD5">
        <w:t>0</w:t>
      </w:r>
      <w:r w:rsidR="00383CB6" w:rsidRPr="00383CB6">
        <w:t>–</w:t>
      </w:r>
      <w:r w:rsidR="00383CB6" w:rsidRPr="00EB02A0">
        <w:t>202</w:t>
      </w:r>
      <w:r w:rsidR="00286FD5">
        <w:t>2</w:t>
      </w:r>
      <w:r w:rsidRPr="00043689">
        <w:t xml:space="preserve"> BRFSS, UMDI Interim 2020 Population Estimates by Age, Sex, Race, and Municipality, UMass Donahue Institute Population Estimates Program, March 1, 2022, and </w:t>
      </w:r>
      <w:r w:rsidR="001D6A38">
        <w:t>M</w:t>
      </w:r>
      <w:r w:rsidRPr="00043689">
        <w:t>DPH Bureau of Infectious Disease and Laboratory Sciences, data as of 7/</w:t>
      </w:r>
      <w:r w:rsidR="00383CB6">
        <w:t>2</w:t>
      </w:r>
      <w:r w:rsidR="001D6A38">
        <w:t>2</w:t>
      </w:r>
      <w:r w:rsidRPr="00043689">
        <w:t>/202</w:t>
      </w:r>
      <w:r w:rsidR="001D6A38">
        <w:t>4</w:t>
      </w:r>
      <w:r w:rsidRPr="00043689">
        <w:t>)</w:t>
      </w:r>
    </w:p>
  </w:footnote>
  <w:footnote w:id="112">
    <w:p w14:paraId="062BC209" w14:textId="2AD0FAC2" w:rsidR="00043689" w:rsidRDefault="00043689">
      <w:pPr>
        <w:pStyle w:val="FootnoteText"/>
      </w:pPr>
      <w:r>
        <w:rPr>
          <w:rStyle w:val="FootnoteReference"/>
        </w:rPr>
        <w:footnoteRef/>
      </w:r>
      <w:r>
        <w:t xml:space="preserve"> </w:t>
      </w:r>
      <w:r w:rsidRPr="00043689">
        <w:t>Infectious syphilis includes diagnoses made in the primary, secondary, and early non-primary non-secondary stages of infection (latent asymptomatic syphilis where infection occurred in the past 12 months).</w:t>
      </w:r>
    </w:p>
  </w:footnote>
  <w:footnote w:id="113">
    <w:p w14:paraId="0CEE9286" w14:textId="77777777" w:rsidR="00C316D2" w:rsidRDefault="00C316D2" w:rsidP="00C316D2">
      <w:pPr>
        <w:pStyle w:val="FootnoteText"/>
      </w:pPr>
      <w:r>
        <w:rPr>
          <w:rStyle w:val="FootnoteReference"/>
        </w:rPr>
        <w:footnoteRef/>
      </w:r>
      <w:r>
        <w:t xml:space="preserve"> </w:t>
      </w:r>
      <w:r w:rsidRPr="003A6561">
        <w:t xml:space="preserve">Please consider the impact of the COVID-19 pandemic on infectious disease screening, treatment, and surveillance in the </w:t>
      </w:r>
      <w:r>
        <w:t>interpretation of data from 2020 to 2023</w:t>
      </w:r>
      <w:r w:rsidRPr="003A6561">
        <w:t>.</w:t>
      </w:r>
    </w:p>
  </w:footnote>
  <w:footnote w:id="114">
    <w:p w14:paraId="18276F11" w14:textId="4FE3368B" w:rsidR="00E11171" w:rsidRDefault="00E11171">
      <w:pPr>
        <w:pStyle w:val="FootnoteText"/>
      </w:pPr>
      <w:r>
        <w:rPr>
          <w:rStyle w:val="FootnoteReference"/>
        </w:rPr>
        <w:footnoteRef/>
      </w:r>
      <w:r>
        <w:t xml:space="preserve"> </w:t>
      </w:r>
      <w:r w:rsidRPr="00E11171">
        <w:t>Infectious syphilis includes diagnoses made in the primary, secondary, and early non-primary non-secondary stages of infection (latent asymptomatic syphilis where infection occurred in the past 12 months).</w:t>
      </w:r>
    </w:p>
  </w:footnote>
  <w:footnote w:id="115">
    <w:p w14:paraId="6AAAAFF4" w14:textId="08B32192" w:rsidR="00E11171" w:rsidRDefault="00E11171">
      <w:pPr>
        <w:pStyle w:val="FootnoteText"/>
      </w:pPr>
      <w:r>
        <w:rPr>
          <w:rStyle w:val="FootnoteReference"/>
        </w:rPr>
        <w:footnoteRef/>
      </w:r>
      <w:r>
        <w:t xml:space="preserve"> </w:t>
      </w:r>
      <w:r w:rsidRPr="00E11171">
        <w:t xml:space="preserve">Please consider the impact of the COVID-19 pandemic on infectious disease screening, treatment, and surveillance in the </w:t>
      </w:r>
      <w:r w:rsidR="00CA4563">
        <w:t>interpretation of data from 2020 to 2023</w:t>
      </w:r>
      <w:r w:rsidR="00256F80">
        <w:t>.</w:t>
      </w:r>
    </w:p>
  </w:footnote>
  <w:footnote w:id="116">
    <w:p w14:paraId="4CDE96BC" w14:textId="6265DEC4" w:rsidR="00E11171" w:rsidRPr="00E11171" w:rsidRDefault="00E11171" w:rsidP="00E11171">
      <w:pPr>
        <w:rPr>
          <w:sz w:val="20"/>
          <w:szCs w:val="20"/>
        </w:rPr>
      </w:pPr>
      <w:r>
        <w:rPr>
          <w:rStyle w:val="FootnoteReference"/>
        </w:rPr>
        <w:footnoteRef/>
      </w:r>
      <w:r>
        <w:t xml:space="preserve"> </w:t>
      </w:r>
      <w:r w:rsidRPr="00E11171">
        <w:rPr>
          <w:sz w:val="20"/>
          <w:szCs w:val="20"/>
        </w:rPr>
        <w:t xml:space="preserve">Please note that the syphilis/HIV co-infection rate among MSM is based on self-report; not database matching analyses, which were used to calculate </w:t>
      </w:r>
      <w:hyperlink w:anchor="_HIV/SYPHILIS" w:history="1">
        <w:r w:rsidRPr="007B479B">
          <w:rPr>
            <w:rStyle w:val="Hyperlink"/>
            <w:color w:val="3333FF"/>
            <w:sz w:val="20"/>
            <w:szCs w:val="20"/>
          </w:rPr>
          <w:t>HIV/syphilis co-infection</w:t>
        </w:r>
      </w:hyperlink>
      <w:r w:rsidRPr="00E11171">
        <w:rPr>
          <w:sz w:val="20"/>
          <w:szCs w:val="20"/>
        </w:rPr>
        <w:t xml:space="preserve"> rates </w:t>
      </w:r>
      <w:r w:rsidR="00734C00">
        <w:rPr>
          <w:sz w:val="20"/>
          <w:szCs w:val="20"/>
        </w:rPr>
        <w:t>elsewhere in</w:t>
      </w:r>
      <w:r w:rsidRPr="00E11171">
        <w:rPr>
          <w:sz w:val="20"/>
          <w:szCs w:val="20"/>
        </w:rPr>
        <w:t xml:space="preserve"> this report.</w:t>
      </w:r>
    </w:p>
    <w:p w14:paraId="0EF551D0" w14:textId="12499A8B" w:rsidR="00E11171" w:rsidRDefault="00E11171">
      <w:pPr>
        <w:pStyle w:val="FootnoteText"/>
      </w:pPr>
    </w:p>
  </w:footnote>
  <w:footnote w:id="117">
    <w:p w14:paraId="0F190E04" w14:textId="61D07FE8" w:rsidR="00BA0B92" w:rsidRDefault="00BA0B92">
      <w:pPr>
        <w:pStyle w:val="FootnoteText"/>
      </w:pPr>
      <w:r>
        <w:rPr>
          <w:rStyle w:val="FootnoteReference"/>
        </w:rPr>
        <w:footnoteRef/>
      </w:r>
      <w:r>
        <w:t xml:space="preserve"> </w:t>
      </w:r>
      <w:r w:rsidRPr="00BA0B92">
        <w:t>Infectious syphilis includes diagnoses made in the primary, secondary, and early non-primary non-secondary stages of infection (latent asymptomatic syphilis where infection occurred in the past 12 months).</w:t>
      </w:r>
    </w:p>
  </w:footnote>
  <w:footnote w:id="118">
    <w:p w14:paraId="0E2492E4" w14:textId="4D92F0A4" w:rsidR="00BA0B92" w:rsidRDefault="00BA0B92">
      <w:pPr>
        <w:pStyle w:val="FootnoteText"/>
      </w:pPr>
      <w:r>
        <w:rPr>
          <w:rStyle w:val="FootnoteReference"/>
        </w:rPr>
        <w:footnoteRef/>
      </w:r>
      <w:r>
        <w:t xml:space="preserve"> </w:t>
      </w:r>
      <w:r w:rsidRPr="00BA0B92">
        <w:t xml:space="preserve">Please consider the impact of the COVID-19 pandemic on infectious disease screening, treatment, and surveillance in the </w:t>
      </w:r>
      <w:r w:rsidR="00CA4563">
        <w:t>interpretation of data from 2020 to 2023</w:t>
      </w:r>
      <w:r w:rsidR="00256F80">
        <w:t>.</w:t>
      </w:r>
    </w:p>
  </w:footnote>
  <w:footnote w:id="119">
    <w:p w14:paraId="128D12F1" w14:textId="77DF75A5" w:rsidR="00E1705D" w:rsidRDefault="00E1705D">
      <w:pPr>
        <w:pStyle w:val="FootnoteText"/>
      </w:pPr>
      <w:r>
        <w:rPr>
          <w:rStyle w:val="FootnoteReference"/>
        </w:rPr>
        <w:footnoteRef/>
      </w:r>
      <w:r>
        <w:t xml:space="preserve"> </w:t>
      </w:r>
      <w:r w:rsidRPr="00E1705D">
        <w:t xml:space="preserve">Please consider the impact of the COVID-19 pandemic on infectious disease screening, treatment, and surveillance in the </w:t>
      </w:r>
      <w:r w:rsidR="00CA4563">
        <w:t>interpretation of data from 2020 to 2023</w:t>
      </w:r>
      <w:r w:rsidR="00256F80">
        <w:t>.</w:t>
      </w:r>
    </w:p>
  </w:footnote>
  <w:footnote w:id="120">
    <w:p w14:paraId="4B066F39" w14:textId="08230693" w:rsidR="00E1705D" w:rsidRDefault="00E1705D">
      <w:pPr>
        <w:pStyle w:val="FootnoteText"/>
      </w:pPr>
      <w:r>
        <w:rPr>
          <w:rStyle w:val="FootnoteReference"/>
        </w:rPr>
        <w:footnoteRef/>
      </w:r>
      <w:r>
        <w:t xml:space="preserve"> </w:t>
      </w:r>
      <w:r w:rsidRPr="00E1705D">
        <w:t>Infectious syphilis includes diagnoses made in the primary, secondary, and early non-primary non-secondary stages of infection (latent asymptomatic syphilis where infection occurred in the past 12 months).</w:t>
      </w:r>
    </w:p>
  </w:footnote>
  <w:footnote w:id="121">
    <w:p w14:paraId="583CC50F" w14:textId="745F0A60" w:rsidR="00E1705D" w:rsidRDefault="00E1705D">
      <w:pPr>
        <w:pStyle w:val="FootnoteText"/>
      </w:pPr>
      <w:r>
        <w:rPr>
          <w:rStyle w:val="FootnoteReference"/>
        </w:rPr>
        <w:footnoteRef/>
      </w:r>
      <w:r>
        <w:t xml:space="preserve"> </w:t>
      </w:r>
      <w:r w:rsidRPr="00E1705D">
        <w:t xml:space="preserve">Please consider the impact of the COVID-19 pandemic on infectious disease screening, treatment, and surveillance in the </w:t>
      </w:r>
      <w:r w:rsidR="00CA4563">
        <w:t>interpretation of data from 2020 to 2023</w:t>
      </w:r>
      <w:r w:rsidR="00256F80">
        <w:t>.</w:t>
      </w:r>
    </w:p>
  </w:footnote>
  <w:footnote w:id="122">
    <w:p w14:paraId="30AB6DE8" w14:textId="01CA180E" w:rsidR="0016286F" w:rsidRDefault="0016286F">
      <w:pPr>
        <w:pStyle w:val="FootnoteText"/>
      </w:pPr>
      <w:r>
        <w:rPr>
          <w:rStyle w:val="FootnoteReference"/>
        </w:rPr>
        <w:footnoteRef/>
      </w:r>
      <w:r>
        <w:t xml:space="preserve"> </w:t>
      </w:r>
      <w:r w:rsidRPr="0016286F">
        <w:t xml:space="preserve">Please consider the impact of the COVID-19 pandemic on infectious disease screening, treatment, and surveillance in the </w:t>
      </w:r>
      <w:r w:rsidR="00CA4563">
        <w:t>interpretation of data from 2020 to 2023</w:t>
      </w:r>
      <w:r w:rsidR="00256F80">
        <w:t>.</w:t>
      </w:r>
    </w:p>
  </w:footnote>
  <w:footnote w:id="123">
    <w:p w14:paraId="1BB14E49" w14:textId="7427F3D9" w:rsidR="0016286F" w:rsidRDefault="0016286F">
      <w:pPr>
        <w:pStyle w:val="FootnoteText"/>
      </w:pPr>
      <w:r>
        <w:rPr>
          <w:rStyle w:val="FootnoteReference"/>
        </w:rPr>
        <w:footnoteRef/>
      </w:r>
      <w:r>
        <w:t xml:space="preserve"> </w:t>
      </w:r>
      <w:r w:rsidRPr="0016286F">
        <w:t>For more information see: Charles Alpren et al. “Opioid Use Fueling HIV Transmission in an Urban Setting: An Outbreak of HIV Infection Among People Who Inject Drugs—Massachusetts, 2015–2018”, </w:t>
      </w:r>
      <w:r w:rsidRPr="0016286F">
        <w:rPr>
          <w:i/>
          <w:iCs/>
        </w:rPr>
        <w:t>American Journal of Public Health</w:t>
      </w:r>
      <w:r w:rsidRPr="0016286F">
        <w:t> 110, no. 1 (January 1, 2020): pp. 37-44.</w:t>
      </w:r>
      <w:hyperlink r:id="rId14" w:history="1">
        <w:r w:rsidRPr="0016286F">
          <w:rPr>
            <w:rStyle w:val="Hyperlink"/>
          </w:rPr>
          <w:t>https://doi.org/10.2105/AJPH.2019.305366</w:t>
        </w:r>
      </w:hyperlink>
    </w:p>
  </w:footnote>
  <w:footnote w:id="124">
    <w:p w14:paraId="24C689E6" w14:textId="4B5317C9" w:rsidR="0016286F" w:rsidRDefault="0016286F">
      <w:pPr>
        <w:pStyle w:val="FootnoteText"/>
      </w:pPr>
      <w:r>
        <w:rPr>
          <w:rStyle w:val="FootnoteReference"/>
        </w:rPr>
        <w:footnoteRef/>
      </w:r>
      <w:r>
        <w:t xml:space="preserve"> </w:t>
      </w:r>
      <w:r w:rsidRPr="0016286F">
        <w:t xml:space="preserve">For more information, see: Joint MDPH and BPHC Clinical Advisory: Increase in newly diagnosed HIV infections among persons who inject drugs in Boston, March 15, 2021, available at: </w:t>
      </w:r>
      <w:hyperlink r:id="rId15" w:history="1">
        <w:r w:rsidRPr="0016286F">
          <w:rPr>
            <w:rStyle w:val="Hyperlink"/>
          </w:rPr>
          <w:t>https://www.mass.gov/doc/joint-mdph-and-bphc-clinical-advisory-hiv-transmission-through-injection-drug-use-in-boston-march-15-2021/download</w:t>
        </w:r>
      </w:hyperlink>
      <w:r w:rsidRPr="0016286F">
        <w:t xml:space="preserve"> </w:t>
      </w:r>
    </w:p>
  </w:footnote>
  <w:footnote w:id="125">
    <w:p w14:paraId="4903CEDB" w14:textId="2568BFB9" w:rsidR="00F95EEE" w:rsidRDefault="00F95EEE">
      <w:pPr>
        <w:pStyle w:val="FootnoteText"/>
      </w:pPr>
      <w:r>
        <w:rPr>
          <w:rStyle w:val="FootnoteReference"/>
        </w:rPr>
        <w:footnoteRef/>
      </w:r>
      <w:r>
        <w:t xml:space="preserve"> </w:t>
      </w:r>
      <w:r w:rsidRPr="00F95EEE">
        <w:t>For more information, see: Charles Alpren et al. “Opioid Use Fueling HIV Transmission in an Urban Setting: An Outbreak of HIV Infection Among People Who Inject Drugs—Massachusetts, 2015–2018”, </w:t>
      </w:r>
      <w:r w:rsidRPr="00F95EEE">
        <w:rPr>
          <w:i/>
          <w:iCs/>
        </w:rPr>
        <w:t>American Journal of Public Health</w:t>
      </w:r>
      <w:r w:rsidRPr="00F95EEE">
        <w:t xml:space="preserve"> 110, no. 1 (January 1, 2020): pp. 37-44. </w:t>
      </w:r>
      <w:hyperlink r:id="rId16" w:history="1">
        <w:r w:rsidRPr="00F95EEE">
          <w:rPr>
            <w:rStyle w:val="Hyperlink"/>
          </w:rPr>
          <w:t>https://doi.org/10.2105/AJPH.2019.305366</w:t>
        </w:r>
      </w:hyperlink>
    </w:p>
  </w:footnote>
  <w:footnote w:id="126">
    <w:p w14:paraId="76CA42CB" w14:textId="27404231" w:rsidR="00F95EEE" w:rsidRDefault="00F95EEE">
      <w:pPr>
        <w:pStyle w:val="FootnoteText"/>
      </w:pPr>
      <w:r>
        <w:rPr>
          <w:rStyle w:val="FootnoteReference"/>
        </w:rPr>
        <w:footnoteRef/>
      </w:r>
      <w:r>
        <w:t xml:space="preserve"> </w:t>
      </w:r>
      <w:r w:rsidRPr="00F95EEE">
        <w:t xml:space="preserve">Please consider the impact of the COVID-19 pandemic on infectious disease screening, treatment, and surveillance in the </w:t>
      </w:r>
      <w:r w:rsidR="00CA4563">
        <w:t>interpretation of data from 2020 to 2023</w:t>
      </w:r>
      <w:r w:rsidR="00256F80">
        <w:t>.</w:t>
      </w:r>
    </w:p>
  </w:footnote>
  <w:footnote w:id="127">
    <w:p w14:paraId="38602085" w14:textId="70359E34" w:rsidR="00F95EEE" w:rsidRDefault="00F95EEE">
      <w:pPr>
        <w:pStyle w:val="FootnoteText"/>
      </w:pPr>
      <w:r>
        <w:rPr>
          <w:rStyle w:val="FootnoteReference"/>
        </w:rPr>
        <w:footnoteRef/>
      </w:r>
      <w:r>
        <w:t xml:space="preserve"> </w:t>
      </w:r>
      <w:r w:rsidRPr="00F95EEE">
        <w:t xml:space="preserve">For more information, see: Joint MDPH and BPHC Clinical Advisory: Increase in newly diagnosed HIV infections among persons who inject drugs in Boston, March 15, 2021, available at: </w:t>
      </w:r>
      <w:hyperlink r:id="rId17" w:history="1">
        <w:r w:rsidRPr="00F95EEE">
          <w:rPr>
            <w:rStyle w:val="Hyperlink"/>
          </w:rPr>
          <w:t>https://www.mass.gov/doc/joint-mdph-and-bphc-clinical-advisory-hiv-transmission-through-injection-drug-use-in-boston-march-15-2021/download</w:t>
        </w:r>
      </w:hyperlink>
    </w:p>
  </w:footnote>
  <w:footnote w:id="128">
    <w:p w14:paraId="1A66D70E" w14:textId="6FE97004" w:rsidR="00234003" w:rsidRDefault="00234003">
      <w:pPr>
        <w:pStyle w:val="FootnoteText"/>
      </w:pPr>
      <w:r>
        <w:rPr>
          <w:rStyle w:val="FootnoteReference"/>
        </w:rPr>
        <w:footnoteRef/>
      </w:r>
      <w:r>
        <w:t xml:space="preserve"> </w:t>
      </w:r>
      <w:r w:rsidRPr="00234003">
        <w:t xml:space="preserve">Please consider the impact of the COVID-19 pandemic on infectious disease screening, treatment, and surveillance in the </w:t>
      </w:r>
      <w:r w:rsidR="00CA4563">
        <w:t>interpretation of data from 2020 to 2023</w:t>
      </w:r>
      <w:r w:rsidR="00256F80">
        <w:t>.</w:t>
      </w:r>
    </w:p>
  </w:footnote>
  <w:footnote w:id="129">
    <w:p w14:paraId="26D0F39E" w14:textId="3869B381" w:rsidR="00234003" w:rsidRDefault="00234003" w:rsidP="00234003">
      <w:pPr>
        <w:pStyle w:val="FootnoteText"/>
      </w:pPr>
      <w:r>
        <w:rPr>
          <w:rStyle w:val="FootnoteReference"/>
        </w:rPr>
        <w:footnoteRef/>
      </w:r>
      <w:r>
        <w:t xml:space="preserve"> </w:t>
      </w:r>
      <w:r w:rsidRPr="00234003">
        <w:t xml:space="preserve">Please consider the impact of the COVID-19 pandemic on infectious disease screening, treatment, and surveillance in the </w:t>
      </w:r>
      <w:r w:rsidR="00CA4563">
        <w:t>interpretation of data from 2020 to 2023</w:t>
      </w:r>
      <w:r w:rsidR="00256F80">
        <w:t>.</w:t>
      </w:r>
    </w:p>
  </w:footnote>
  <w:footnote w:id="130">
    <w:p w14:paraId="6DE224BA" w14:textId="325B2827" w:rsidR="007D7E86" w:rsidRDefault="007D7E86">
      <w:pPr>
        <w:pStyle w:val="FootnoteText"/>
      </w:pPr>
      <w:r>
        <w:rPr>
          <w:rStyle w:val="FootnoteReference"/>
        </w:rPr>
        <w:footnoteRef/>
      </w:r>
      <w:r>
        <w:t xml:space="preserve"> </w:t>
      </w:r>
      <w:r w:rsidRPr="007D7E86">
        <w:t>Population Data Source: UMDI Interim 2020 Population Estimates by Age, Sex, Race, and Municipality, UMass Donahue Institute Population Estimates Program, March 1, 2022</w:t>
      </w:r>
    </w:p>
  </w:footnote>
  <w:footnote w:id="131">
    <w:p w14:paraId="7FA54021" w14:textId="6EEE1CB6" w:rsidR="007D7E86" w:rsidRDefault="007D7E86">
      <w:pPr>
        <w:pStyle w:val="FootnoteText"/>
      </w:pPr>
      <w:r>
        <w:rPr>
          <w:rStyle w:val="FootnoteReference"/>
        </w:rPr>
        <w:footnoteRef/>
      </w:r>
      <w:r>
        <w:t xml:space="preserve"> </w:t>
      </w:r>
      <w:r w:rsidRPr="007D7E86">
        <w:t>Infectious syphilis includes diagnoses made in the primary, secondary, and early non-primary non-secondary stages of infection (latent asymptomatic syphilis where infection occurred in the past 12 months).</w:t>
      </w:r>
    </w:p>
  </w:footnote>
  <w:footnote w:id="132">
    <w:p w14:paraId="7E176D4D" w14:textId="1A13D721" w:rsidR="007D7E86" w:rsidRDefault="007D7E86">
      <w:pPr>
        <w:pStyle w:val="FootnoteText"/>
      </w:pPr>
      <w:r>
        <w:rPr>
          <w:rStyle w:val="FootnoteReference"/>
        </w:rPr>
        <w:footnoteRef/>
      </w:r>
      <w:r>
        <w:t xml:space="preserve"> </w:t>
      </w:r>
      <w:r w:rsidRPr="007D7E86">
        <w:t xml:space="preserve">Please consider the impact of the COVID-19 pandemic on infectious disease screening, treatment, and surveillance in the </w:t>
      </w:r>
      <w:r w:rsidR="00CA4563">
        <w:t>interpretation of data from 2020 to 2023</w:t>
      </w:r>
      <w:r w:rsidR="00256F80">
        <w:t>.</w:t>
      </w:r>
    </w:p>
  </w:footnote>
  <w:footnote w:id="133">
    <w:p w14:paraId="3E79D62A" w14:textId="291572D0" w:rsidR="00F77C3D" w:rsidRDefault="00F77C3D">
      <w:pPr>
        <w:pStyle w:val="FootnoteText"/>
      </w:pPr>
      <w:r>
        <w:rPr>
          <w:rStyle w:val="FootnoteReference"/>
        </w:rPr>
        <w:footnoteRef/>
      </w:r>
      <w:r>
        <w:t xml:space="preserve"> </w:t>
      </w:r>
      <w:r w:rsidRPr="00F77C3D">
        <w:t>Infectious syphilis includes diagnoses made in the primary, secondary, and early non-primary non-secondary stages of infection (latent asymptomatic syphilis where infection occurred in the past 12 months).</w:t>
      </w:r>
    </w:p>
  </w:footnote>
  <w:footnote w:id="134">
    <w:p w14:paraId="6C598259" w14:textId="1BB29499" w:rsidR="00F77C3D" w:rsidRDefault="00F77C3D">
      <w:pPr>
        <w:pStyle w:val="FootnoteText"/>
      </w:pPr>
      <w:r>
        <w:rPr>
          <w:rStyle w:val="FootnoteReference"/>
        </w:rPr>
        <w:footnoteRef/>
      </w:r>
      <w:r>
        <w:t xml:space="preserve"> </w:t>
      </w:r>
      <w:r w:rsidRPr="00F77C3D">
        <w:t xml:space="preserve">Please consider the impact of the COVID-19 pandemic on infectious disease screening, treatment, and surveillance in the </w:t>
      </w:r>
      <w:r w:rsidR="00CA4563">
        <w:t>interpretation of data from 2020 to 2023</w:t>
      </w:r>
      <w:r w:rsidR="00256F80">
        <w:t>.</w:t>
      </w:r>
    </w:p>
  </w:footnote>
  <w:footnote w:id="135">
    <w:p w14:paraId="27004556" w14:textId="5A14AE76" w:rsidR="00F77C3D" w:rsidRDefault="00F77C3D">
      <w:pPr>
        <w:pStyle w:val="FootnoteText"/>
      </w:pPr>
      <w:r>
        <w:rPr>
          <w:rStyle w:val="FootnoteReference"/>
        </w:rPr>
        <w:footnoteRef/>
      </w:r>
      <w:r w:rsidR="41714869">
        <w:t xml:space="preserve"> </w:t>
      </w:r>
      <w:r w:rsidR="41714869" w:rsidRPr="00F77C3D">
        <w:t>As of 01/01/2020, BIDLS calculates rates per 100,000 population using denominators estimated by the University of Massachusetts Donahue Institute: UMDI Interim 2020 Population Estimates by Age, Sex, Race, and Municipality, UMass Donahue Institute Population Estimates Program, March 1, 2022; Note that rates and trends calculated using previous methods cannot be compared to these. All rates are age-adjusted using the 2000 US standard population.</w:t>
      </w:r>
    </w:p>
  </w:footnote>
  <w:footnote w:id="136">
    <w:p w14:paraId="39460C18" w14:textId="4488D4CD" w:rsidR="00F77C3D" w:rsidRDefault="00F77C3D">
      <w:pPr>
        <w:pStyle w:val="FootnoteText"/>
      </w:pPr>
      <w:r>
        <w:rPr>
          <w:rStyle w:val="FootnoteReference"/>
        </w:rPr>
        <w:footnoteRef/>
      </w:r>
      <w:r>
        <w:t xml:space="preserve"> </w:t>
      </w:r>
      <w:r w:rsidRPr="00F77C3D">
        <w:t xml:space="preserve">Please consider the impact of the COVID-19 pandemic on infectious disease screening, treatment, and surveillance in the </w:t>
      </w:r>
      <w:r w:rsidR="00CA4563">
        <w:t>interpretation of data from 2020 to 2023</w:t>
      </w:r>
      <w:r w:rsidR="00256F80">
        <w:t>.</w:t>
      </w:r>
    </w:p>
  </w:footnote>
  <w:footnote w:id="137">
    <w:p w14:paraId="20A6B19C" w14:textId="711B31C6" w:rsidR="004D5C8E" w:rsidRDefault="004D5C8E">
      <w:pPr>
        <w:pStyle w:val="FootnoteText"/>
      </w:pPr>
      <w:r>
        <w:rPr>
          <w:rStyle w:val="FootnoteReference"/>
        </w:rPr>
        <w:footnoteRef/>
      </w:r>
      <w:r>
        <w:t xml:space="preserve"> </w:t>
      </w:r>
      <w:r w:rsidRPr="004D5C8E">
        <w:t xml:space="preserve">Please consider the impact of the COVID-19 pandemic on infectious disease screening, treatment, and surveillance in the </w:t>
      </w:r>
      <w:r w:rsidR="00CA4563">
        <w:t>interpretation of data from 2020 to 2023</w:t>
      </w:r>
      <w:r w:rsidR="00256F80">
        <w:t>.</w:t>
      </w:r>
    </w:p>
  </w:footnote>
  <w:footnote w:id="138">
    <w:p w14:paraId="71442909" w14:textId="3084AB40" w:rsidR="2F91CBFE" w:rsidRDefault="2F91CBFE" w:rsidP="003B0BB0">
      <w:pPr>
        <w:pStyle w:val="FootnoteText"/>
      </w:pPr>
      <w:r w:rsidRPr="2F91CBFE">
        <w:rPr>
          <w:rStyle w:val="FootnoteReference"/>
        </w:rPr>
        <w:footnoteRef/>
      </w:r>
      <w:r>
        <w:t xml:space="preserve"> Please note reported numbers among individuals of transgender experience and individuals who are nonbinary are likely to be underestimates, for more information see </w:t>
      </w:r>
      <w:hyperlink w:anchor="_INTERPRETING_HIV,_STD," w:history="1">
        <w:r w:rsidRPr="00B7544F">
          <w:rPr>
            <w:rStyle w:val="Hyperlink"/>
          </w:rPr>
          <w:t xml:space="preserve">Interpreting HIV, </w:t>
        </w:r>
        <w:r w:rsidR="00285320">
          <w:rPr>
            <w:rStyle w:val="Hyperlink"/>
          </w:rPr>
          <w:t>STI</w:t>
        </w:r>
        <w:r w:rsidRPr="00B7544F">
          <w:rPr>
            <w:rStyle w:val="Hyperlink"/>
          </w:rPr>
          <w:t>, and Viral Hepatitis Data.</w:t>
        </w:r>
      </w:hyperlink>
    </w:p>
  </w:footnote>
  <w:footnote w:id="139">
    <w:p w14:paraId="130F0AEA" w14:textId="64AEEDF8" w:rsidR="00BB7166" w:rsidRDefault="00BB7166">
      <w:pPr>
        <w:pStyle w:val="FootnoteText"/>
      </w:pPr>
      <w:r>
        <w:rPr>
          <w:rStyle w:val="FootnoteReference"/>
        </w:rPr>
        <w:footnoteRef/>
      </w:r>
      <w:r>
        <w:t xml:space="preserve"> </w:t>
      </w:r>
      <w:r w:rsidRPr="00BB7166">
        <w:t xml:space="preserve">A condition caused by infection in utero with </w:t>
      </w:r>
      <w:r w:rsidRPr="00BB7166">
        <w:rPr>
          <w:i/>
          <w:iCs/>
        </w:rPr>
        <w:t>Treponema pallidum</w:t>
      </w:r>
      <w:r w:rsidRPr="00BB7166">
        <w:t xml:space="preserve">. A wide spectrum of severity exists, from inapparent infection to severe cases that are clinically apparent at birth. For more information see </w:t>
      </w:r>
      <w:hyperlink r:id="rId18" w:history="1">
        <w:r w:rsidRPr="00BB7166">
          <w:rPr>
            <w:rStyle w:val="Hyperlink"/>
          </w:rPr>
          <w:t>http://www.cdc.gov/std/stats/congenitalsyphilisdef-rev-jan-2015.pdf</w:t>
        </w:r>
      </w:hyperlink>
      <w:r w:rsidRPr="00BB7166">
        <w:rPr>
          <w:u w:val="single"/>
        </w:rPr>
        <w:t xml:space="preserve">  </w:t>
      </w:r>
    </w:p>
  </w:footnote>
  <w:footnote w:id="140">
    <w:p w14:paraId="41D9B3B4" w14:textId="40BF6809" w:rsidR="00BB7166" w:rsidRDefault="00BB7166">
      <w:pPr>
        <w:pStyle w:val="FootnoteText"/>
      </w:pPr>
      <w:r>
        <w:rPr>
          <w:rStyle w:val="FootnoteReference"/>
        </w:rPr>
        <w:footnoteRef/>
      </w:r>
      <w:r>
        <w:t xml:space="preserve"> </w:t>
      </w:r>
      <w:r w:rsidR="00764EFB" w:rsidRPr="00764EFB">
        <w:t xml:space="preserve">On January 1, 2015, the congenital case definition was updated to better define treatment and laboratory parameters for classifying cases. </w:t>
      </w:r>
      <w:r w:rsidR="009F74AC" w:rsidRPr="009F74AC">
        <w:t>From 2019 through 2022, one confirmed case of congenital syphilis and 9 syphilitic stillbirths were reported. All other reportable cases from 2015 to 2022 met the case definition of probable congenital syphilis which uses the birthing person’s treatment adequacy and timing as the primary criteria for this classification status</w:t>
      </w:r>
      <w:r w:rsidR="00764EFB">
        <w:t>.</w:t>
      </w:r>
    </w:p>
  </w:footnote>
  <w:footnote w:id="141">
    <w:p w14:paraId="3B513E2B" w14:textId="77777777" w:rsidR="0066502B" w:rsidRDefault="0066502B" w:rsidP="0066502B">
      <w:pPr>
        <w:pStyle w:val="FootnoteText"/>
      </w:pPr>
      <w:r>
        <w:rPr>
          <w:rStyle w:val="FootnoteReference"/>
        </w:rPr>
        <w:footnoteRef/>
      </w:r>
      <w:r>
        <w:t xml:space="preserve"> </w:t>
      </w:r>
      <w:r w:rsidRPr="004D5C8E">
        <w:t xml:space="preserve">Please consider the impact of the COVID-19 pandemic on infectious disease screening, treatment, and surveillance in the </w:t>
      </w:r>
      <w:r>
        <w:t>interpretation of data from 2020 to 2023.</w:t>
      </w:r>
    </w:p>
  </w:footnote>
  <w:footnote w:id="142">
    <w:p w14:paraId="3D10DF7F" w14:textId="7EAB2FD8" w:rsidR="00B01A7D" w:rsidRDefault="00B01A7D">
      <w:pPr>
        <w:pStyle w:val="FootnoteText"/>
      </w:pPr>
      <w:r>
        <w:rPr>
          <w:rStyle w:val="FootnoteReference"/>
        </w:rPr>
        <w:footnoteRef/>
      </w:r>
      <w:r>
        <w:t xml:space="preserve"> </w:t>
      </w:r>
      <w:r w:rsidR="0017096C" w:rsidRPr="0017096C">
        <w:t xml:space="preserve">Centers for Disease Control and Prevention. </w:t>
      </w:r>
      <w:r w:rsidR="00A0215B">
        <w:t>Sexually Transmitted Infections Surveillance 2022</w:t>
      </w:r>
      <w:r w:rsidR="0017096C" w:rsidRPr="0017096C">
        <w:t xml:space="preserve"> Atlanta: U.S. Department of </w:t>
      </w:r>
      <w:r w:rsidR="00A0215B">
        <w:t>Health and Human Services; 2024</w:t>
      </w:r>
      <w:r w:rsidR="0017096C" w:rsidRPr="0017096C">
        <w:t xml:space="preserve">. </w:t>
      </w:r>
      <w:r w:rsidR="00A0215B">
        <w:t xml:space="preserve">Please note, 2022 state rankings are presented because 2023 rankings were not yet available at the time of this publication. </w:t>
      </w:r>
    </w:p>
  </w:footnote>
  <w:footnote w:id="143">
    <w:p w14:paraId="79EB5181" w14:textId="1F28A066" w:rsidR="0017574F" w:rsidRDefault="0017574F">
      <w:pPr>
        <w:pStyle w:val="FootnoteText"/>
      </w:pPr>
      <w:r>
        <w:rPr>
          <w:rStyle w:val="FootnoteReference"/>
        </w:rPr>
        <w:footnoteRef/>
      </w:r>
      <w:r>
        <w:t xml:space="preserve"> </w:t>
      </w:r>
      <w:r w:rsidR="00F91B3A" w:rsidRPr="00F91B3A">
        <w:t>Recent HIV diagnoses among women include 396 individuals assigned female sex at birth. Data included reflect sex assigned at birth and therefore not gender identity or gender expression of individuals of transgender experience (N=18 individuals of transgender experience diagnosed with HIV infection from 2021 – 2023).</w:t>
      </w:r>
    </w:p>
  </w:footnote>
  <w:footnote w:id="144">
    <w:p w14:paraId="117B2972" w14:textId="1D1A7F80" w:rsidR="00E420FF" w:rsidRDefault="00E420FF">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rsidR="00256F80">
        <w:t>.</w:t>
      </w:r>
    </w:p>
  </w:footnote>
  <w:footnote w:id="145">
    <w:p w14:paraId="359A324B" w14:textId="77777777" w:rsidR="007C71EF" w:rsidRDefault="007C71EF" w:rsidP="007C71EF">
      <w:pPr>
        <w:pStyle w:val="FootnoteText"/>
      </w:pPr>
      <w:r>
        <w:rPr>
          <w:rStyle w:val="FootnoteReference"/>
        </w:rPr>
        <w:footnoteRef/>
      </w:r>
      <w:r>
        <w:t xml:space="preserve"> </w:t>
      </w:r>
      <w:r w:rsidRPr="00E1705D">
        <w:t>Infectious syphilis includes diagnoses made in the primary, secondary, and early non-primary non-secondary stages of infection (latent asymptomatic syphilis where infection occurred in the past 12 months).</w:t>
      </w:r>
    </w:p>
  </w:footnote>
  <w:footnote w:id="146">
    <w:p w14:paraId="2A9E3CD8" w14:textId="5D7588B4" w:rsidR="002C4A99" w:rsidRDefault="002C4A99" w:rsidP="002C4A99">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t>.</w:t>
      </w:r>
    </w:p>
  </w:footnote>
  <w:footnote w:id="147">
    <w:p w14:paraId="0406B7CB" w14:textId="03BC9383" w:rsidR="005D49B5" w:rsidRDefault="005D49B5" w:rsidP="005D49B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t>.</w:t>
      </w:r>
    </w:p>
  </w:footnote>
  <w:footnote w:id="148">
    <w:p w14:paraId="6991BE54" w14:textId="77777777" w:rsidR="00B3553B" w:rsidRDefault="00B3553B" w:rsidP="00B3553B">
      <w:pPr>
        <w:pStyle w:val="FootnoteText"/>
      </w:pPr>
      <w:r>
        <w:rPr>
          <w:rStyle w:val="FootnoteReference"/>
        </w:rPr>
        <w:footnoteRef/>
      </w:r>
      <w:r>
        <w:t xml:space="preserve"> </w:t>
      </w:r>
      <w:r w:rsidRPr="00E1705D">
        <w:t>Infectious syphilis includes diagnoses made in the primary, secondary, and early non-primary non-secondary stages of infection (latent asymptomatic syphilis where infection occurred in the past 12 months).</w:t>
      </w:r>
    </w:p>
  </w:footnote>
  <w:footnote w:id="149">
    <w:p w14:paraId="1DD7C80C" w14:textId="14A430A3" w:rsidR="005D49B5" w:rsidRDefault="005D49B5" w:rsidP="005D49B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t>.</w:t>
      </w:r>
    </w:p>
  </w:footnote>
  <w:footnote w:id="150">
    <w:p w14:paraId="09D3D0F1" w14:textId="35D1F294" w:rsidR="005D49B5" w:rsidRDefault="005D49B5" w:rsidP="005D49B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t>.</w:t>
      </w:r>
    </w:p>
  </w:footnote>
  <w:footnote w:id="151">
    <w:p w14:paraId="37DE3DD8" w14:textId="783DA66D" w:rsidR="00B31EE7" w:rsidRDefault="00B31EE7" w:rsidP="00B31EE7">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t>.</w:t>
      </w:r>
    </w:p>
  </w:footnote>
  <w:footnote w:id="152">
    <w:p w14:paraId="7DB9C34C" w14:textId="1652769E" w:rsidR="003E6885" w:rsidRDefault="003E6885" w:rsidP="003E6885">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t>.</w:t>
      </w:r>
    </w:p>
  </w:footnote>
  <w:footnote w:id="153">
    <w:p w14:paraId="65D451CE" w14:textId="519890FE" w:rsidR="00957EE9" w:rsidRDefault="00957EE9" w:rsidP="00957EE9">
      <w:pPr>
        <w:pStyle w:val="FootnoteText"/>
      </w:pPr>
      <w:r>
        <w:rPr>
          <w:rStyle w:val="FootnoteReference"/>
        </w:rPr>
        <w:footnoteRef/>
      </w:r>
      <w:r>
        <w:t xml:space="preserve"> </w:t>
      </w:r>
      <w:r w:rsidRPr="00E420FF">
        <w:t xml:space="preserve">Please consider the impact of the COVID-19 pandemic on infectious disease screening, treatment, and surveillance in the </w:t>
      </w:r>
      <w:r w:rsidR="00CA4563">
        <w:t>interpretation of data from 2020 to 2023</w:t>
      </w:r>
      <w:r>
        <w:t>.</w:t>
      </w:r>
    </w:p>
  </w:footnote>
  <w:footnote w:id="154">
    <w:p w14:paraId="261B9235" w14:textId="435CBC1D" w:rsidR="79266510" w:rsidRDefault="79266510" w:rsidP="79266510">
      <w:pPr>
        <w:pStyle w:val="FootnoteText"/>
      </w:pPr>
      <w:r w:rsidRPr="79266510">
        <w:rPr>
          <w:rStyle w:val="FootnoteReference"/>
        </w:rPr>
        <w:footnoteRef/>
      </w:r>
      <w:r>
        <w:t xml:space="preserve"> Source: CDC Press Release, July 16, 2021: Trends in STD case reports during the U.S. COVID-19 pandemic, January-December 2020 available at: </w:t>
      </w:r>
      <w:hyperlink r:id="rId19">
        <w:r w:rsidRPr="79266510">
          <w:rPr>
            <w:rStyle w:val="Hyperlink"/>
          </w:rPr>
          <w:t>https://www.cdc.gov/nchhstp/newsroom/2021/2020-std-trend-report.html</w:t>
        </w:r>
      </w:hyperlink>
      <w:r>
        <w:t xml:space="preserve"> </w:t>
      </w:r>
    </w:p>
  </w:footnote>
  <w:footnote w:id="155">
    <w:p w14:paraId="4BAEE72E" w14:textId="6C9D6FE7" w:rsidR="79266510" w:rsidRDefault="79266510" w:rsidP="79266510">
      <w:pPr>
        <w:pStyle w:val="FootnoteText"/>
      </w:pPr>
      <w:r w:rsidRPr="79266510">
        <w:rPr>
          <w:rStyle w:val="FootnoteReference"/>
        </w:rPr>
        <w:footnoteRef/>
      </w:r>
      <w:r>
        <w:t xml:space="preserve"> CDC. Preliminary 2021 STD Surveillance Data. </w:t>
      </w:r>
      <w:hyperlink r:id="rId20" w:anchor=":~:text=Preliminary%20data%20show%202.5%20million,%2C%20syphilis%2C%20and%20congenital%20syphilis">
        <w:r w:rsidRPr="79266510">
          <w:rPr>
            <w:rStyle w:val="Hyperlink"/>
          </w:rPr>
          <w:t>https://www.cdc.gov/std/statistics/2021/default.htm#:~:text=Preliminary%20data%20show%202.5%20million,%2C%20syphilis%2C%20and%20congenital%20syphilis</w:t>
        </w:r>
      </w:hyperlink>
      <w:r>
        <w:t xml:space="preserve">. </w:t>
      </w:r>
    </w:p>
  </w:footnote>
  <w:footnote w:id="156">
    <w:p w14:paraId="7C36FF6D" w14:textId="6A796638" w:rsidR="79266510" w:rsidRDefault="79266510" w:rsidP="79266510">
      <w:pPr>
        <w:pStyle w:val="FootnoteText"/>
      </w:pPr>
      <w:r w:rsidRPr="79266510">
        <w:rPr>
          <w:rStyle w:val="FootnoteReference"/>
        </w:rPr>
        <w:footnoteRef/>
      </w:r>
      <w:r>
        <w:t xml:space="preserve"> CDC. Impact of COVID-19 on STDs. </w:t>
      </w:r>
      <w:hyperlink r:id="rId21">
        <w:r w:rsidRPr="79266510">
          <w:rPr>
            <w:rStyle w:val="Hyperlink"/>
          </w:rPr>
          <w:t>https://www.cdc.gov/std/statistics/2020/impact.htm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FFB9B" w14:textId="13440B7B" w:rsidR="41714869" w:rsidRDefault="41714869" w:rsidP="00917840">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3120"/>
      <w:gridCol w:w="3120"/>
      <w:gridCol w:w="3120"/>
    </w:tblGrid>
    <w:tr w:rsidR="76F421E0" w14:paraId="098CF5FB" w14:textId="77777777" w:rsidTr="00165FC1">
      <w:tc>
        <w:tcPr>
          <w:tcW w:w="3120" w:type="dxa"/>
        </w:tcPr>
        <w:p w14:paraId="01562C8F" w14:textId="7FF10F85" w:rsidR="76F421E0" w:rsidRDefault="76F421E0" w:rsidP="009439F5">
          <w:pPr>
            <w:pStyle w:val="Header"/>
            <w:ind w:left="-115"/>
            <w:rPr>
              <w:szCs w:val="24"/>
            </w:rPr>
          </w:pPr>
        </w:p>
      </w:tc>
      <w:tc>
        <w:tcPr>
          <w:tcW w:w="3120" w:type="dxa"/>
        </w:tcPr>
        <w:p w14:paraId="59B67811" w14:textId="1B83B6D9" w:rsidR="76F421E0" w:rsidRDefault="76F421E0" w:rsidP="00E20FF2">
          <w:pPr>
            <w:pStyle w:val="Header"/>
            <w:jc w:val="center"/>
            <w:rPr>
              <w:szCs w:val="24"/>
            </w:rPr>
          </w:pPr>
        </w:p>
      </w:tc>
      <w:tc>
        <w:tcPr>
          <w:tcW w:w="3120" w:type="dxa"/>
        </w:tcPr>
        <w:p w14:paraId="0E7BBC00" w14:textId="3B0943BF" w:rsidR="76F421E0" w:rsidRDefault="76F421E0" w:rsidP="00E20FF2">
          <w:pPr>
            <w:rPr>
              <w:szCs w:val="24"/>
            </w:rPr>
          </w:pPr>
        </w:p>
      </w:tc>
    </w:tr>
  </w:tbl>
  <w:p w14:paraId="6018C077" w14:textId="7AF635F4" w:rsidR="76F421E0" w:rsidRDefault="76F421E0" w:rsidP="00464482">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3AED7" w14:textId="12BF012E" w:rsidR="41714869" w:rsidRDefault="41714869" w:rsidP="00051C8E">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3360"/>
      <w:gridCol w:w="3360"/>
      <w:gridCol w:w="3360"/>
    </w:tblGrid>
    <w:tr w:rsidR="76F421E0" w14:paraId="2C30B7D9" w14:textId="77777777" w:rsidTr="00165FC1">
      <w:tc>
        <w:tcPr>
          <w:tcW w:w="3360" w:type="dxa"/>
        </w:tcPr>
        <w:p w14:paraId="42EDC2B0" w14:textId="29DF8D8E" w:rsidR="76F421E0" w:rsidRDefault="76F421E0" w:rsidP="00464482">
          <w:pPr>
            <w:pStyle w:val="Header"/>
            <w:ind w:left="-115"/>
            <w:rPr>
              <w:szCs w:val="24"/>
            </w:rPr>
          </w:pPr>
        </w:p>
      </w:tc>
      <w:tc>
        <w:tcPr>
          <w:tcW w:w="3360" w:type="dxa"/>
        </w:tcPr>
        <w:p w14:paraId="3BDF3A63" w14:textId="5DD85F8A" w:rsidR="76F421E0" w:rsidRDefault="76F421E0" w:rsidP="00464482">
          <w:pPr>
            <w:pStyle w:val="Header"/>
            <w:jc w:val="center"/>
            <w:rPr>
              <w:szCs w:val="24"/>
            </w:rPr>
          </w:pPr>
        </w:p>
      </w:tc>
      <w:tc>
        <w:tcPr>
          <w:tcW w:w="3360" w:type="dxa"/>
        </w:tcPr>
        <w:p w14:paraId="75593EA6" w14:textId="6EDEB4C0" w:rsidR="76F421E0" w:rsidRDefault="76F421E0" w:rsidP="00464482">
          <w:pPr>
            <w:pStyle w:val="Header"/>
            <w:ind w:right="-115"/>
            <w:jc w:val="right"/>
            <w:rPr>
              <w:szCs w:val="24"/>
            </w:rPr>
          </w:pPr>
        </w:p>
      </w:tc>
    </w:tr>
  </w:tbl>
  <w:p w14:paraId="35091B32" w14:textId="71B15B0F" w:rsidR="76F421E0" w:rsidRDefault="76F421E0" w:rsidP="00464482">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01083" w14:textId="55980211" w:rsidR="41714869" w:rsidRDefault="41714869" w:rsidP="00E279BE">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3360"/>
      <w:gridCol w:w="3360"/>
      <w:gridCol w:w="3360"/>
    </w:tblGrid>
    <w:tr w:rsidR="76F421E0" w14:paraId="3208F6E6" w14:textId="77777777" w:rsidTr="00165FC1">
      <w:tc>
        <w:tcPr>
          <w:tcW w:w="3360" w:type="dxa"/>
        </w:tcPr>
        <w:p w14:paraId="4E06714E" w14:textId="704D2618" w:rsidR="76F421E0" w:rsidRDefault="76F421E0" w:rsidP="00464482">
          <w:pPr>
            <w:pStyle w:val="Header"/>
            <w:ind w:left="-115"/>
            <w:rPr>
              <w:szCs w:val="24"/>
            </w:rPr>
          </w:pPr>
        </w:p>
      </w:tc>
      <w:tc>
        <w:tcPr>
          <w:tcW w:w="3360" w:type="dxa"/>
        </w:tcPr>
        <w:p w14:paraId="18DCAF43" w14:textId="2F7FD6FC" w:rsidR="76F421E0" w:rsidRDefault="76F421E0" w:rsidP="00464482">
          <w:pPr>
            <w:pStyle w:val="Header"/>
            <w:jc w:val="center"/>
            <w:rPr>
              <w:szCs w:val="24"/>
            </w:rPr>
          </w:pPr>
        </w:p>
      </w:tc>
      <w:tc>
        <w:tcPr>
          <w:tcW w:w="3360" w:type="dxa"/>
        </w:tcPr>
        <w:p w14:paraId="23586B76" w14:textId="3F626A56" w:rsidR="76F421E0" w:rsidRDefault="76F421E0" w:rsidP="00464482">
          <w:pPr>
            <w:pStyle w:val="Header"/>
            <w:ind w:right="-115"/>
            <w:jc w:val="right"/>
            <w:rPr>
              <w:szCs w:val="24"/>
            </w:rPr>
          </w:pPr>
        </w:p>
      </w:tc>
    </w:tr>
  </w:tbl>
  <w:p w14:paraId="6097D1FA" w14:textId="0B542F93" w:rsidR="76F421E0" w:rsidRDefault="76F421E0" w:rsidP="00464482">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2111"/>
    <w:multiLevelType w:val="hybridMultilevel"/>
    <w:tmpl w:val="78526A04"/>
    <w:lvl w:ilvl="0" w:tplc="8DF4404A">
      <w:start w:val="1"/>
      <w:numFmt w:val="bullet"/>
      <w:lvlText w:val="•"/>
      <w:lvlJc w:val="left"/>
      <w:pPr>
        <w:tabs>
          <w:tab w:val="num" w:pos="720"/>
        </w:tabs>
        <w:ind w:left="720" w:hanging="360"/>
      </w:pPr>
      <w:rPr>
        <w:rFonts w:ascii="Arial" w:hAnsi="Arial" w:hint="default"/>
      </w:rPr>
    </w:lvl>
    <w:lvl w:ilvl="1" w:tplc="A9103EE4" w:tentative="1">
      <w:start w:val="1"/>
      <w:numFmt w:val="bullet"/>
      <w:lvlText w:val="•"/>
      <w:lvlJc w:val="left"/>
      <w:pPr>
        <w:tabs>
          <w:tab w:val="num" w:pos="1440"/>
        </w:tabs>
        <w:ind w:left="1440" w:hanging="360"/>
      </w:pPr>
      <w:rPr>
        <w:rFonts w:ascii="Arial" w:hAnsi="Arial" w:hint="default"/>
      </w:rPr>
    </w:lvl>
    <w:lvl w:ilvl="2" w:tplc="1638E37A" w:tentative="1">
      <w:start w:val="1"/>
      <w:numFmt w:val="bullet"/>
      <w:lvlText w:val="•"/>
      <w:lvlJc w:val="left"/>
      <w:pPr>
        <w:tabs>
          <w:tab w:val="num" w:pos="2160"/>
        </w:tabs>
        <w:ind w:left="2160" w:hanging="360"/>
      </w:pPr>
      <w:rPr>
        <w:rFonts w:ascii="Arial" w:hAnsi="Arial" w:hint="default"/>
      </w:rPr>
    </w:lvl>
    <w:lvl w:ilvl="3" w:tplc="835C0698" w:tentative="1">
      <w:start w:val="1"/>
      <w:numFmt w:val="bullet"/>
      <w:lvlText w:val="•"/>
      <w:lvlJc w:val="left"/>
      <w:pPr>
        <w:tabs>
          <w:tab w:val="num" w:pos="2880"/>
        </w:tabs>
        <w:ind w:left="2880" w:hanging="360"/>
      </w:pPr>
      <w:rPr>
        <w:rFonts w:ascii="Arial" w:hAnsi="Arial" w:hint="default"/>
      </w:rPr>
    </w:lvl>
    <w:lvl w:ilvl="4" w:tplc="44FA9178" w:tentative="1">
      <w:start w:val="1"/>
      <w:numFmt w:val="bullet"/>
      <w:lvlText w:val="•"/>
      <w:lvlJc w:val="left"/>
      <w:pPr>
        <w:tabs>
          <w:tab w:val="num" w:pos="3600"/>
        </w:tabs>
        <w:ind w:left="3600" w:hanging="360"/>
      </w:pPr>
      <w:rPr>
        <w:rFonts w:ascii="Arial" w:hAnsi="Arial" w:hint="default"/>
      </w:rPr>
    </w:lvl>
    <w:lvl w:ilvl="5" w:tplc="29A8693C" w:tentative="1">
      <w:start w:val="1"/>
      <w:numFmt w:val="bullet"/>
      <w:lvlText w:val="•"/>
      <w:lvlJc w:val="left"/>
      <w:pPr>
        <w:tabs>
          <w:tab w:val="num" w:pos="4320"/>
        </w:tabs>
        <w:ind w:left="4320" w:hanging="360"/>
      </w:pPr>
      <w:rPr>
        <w:rFonts w:ascii="Arial" w:hAnsi="Arial" w:hint="default"/>
      </w:rPr>
    </w:lvl>
    <w:lvl w:ilvl="6" w:tplc="A13E75EE" w:tentative="1">
      <w:start w:val="1"/>
      <w:numFmt w:val="bullet"/>
      <w:lvlText w:val="•"/>
      <w:lvlJc w:val="left"/>
      <w:pPr>
        <w:tabs>
          <w:tab w:val="num" w:pos="5040"/>
        </w:tabs>
        <w:ind w:left="5040" w:hanging="360"/>
      </w:pPr>
      <w:rPr>
        <w:rFonts w:ascii="Arial" w:hAnsi="Arial" w:hint="default"/>
      </w:rPr>
    </w:lvl>
    <w:lvl w:ilvl="7" w:tplc="A9AA4F78" w:tentative="1">
      <w:start w:val="1"/>
      <w:numFmt w:val="bullet"/>
      <w:lvlText w:val="•"/>
      <w:lvlJc w:val="left"/>
      <w:pPr>
        <w:tabs>
          <w:tab w:val="num" w:pos="5760"/>
        </w:tabs>
        <w:ind w:left="5760" w:hanging="360"/>
      </w:pPr>
      <w:rPr>
        <w:rFonts w:ascii="Arial" w:hAnsi="Arial" w:hint="default"/>
      </w:rPr>
    </w:lvl>
    <w:lvl w:ilvl="8" w:tplc="117876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7131B9"/>
    <w:multiLevelType w:val="hybridMultilevel"/>
    <w:tmpl w:val="9CFCF8E0"/>
    <w:lvl w:ilvl="0" w:tplc="63067336">
      <w:start w:val="1"/>
      <w:numFmt w:val="bullet"/>
      <w:lvlText w:val="•"/>
      <w:lvlJc w:val="left"/>
      <w:pPr>
        <w:tabs>
          <w:tab w:val="num" w:pos="720"/>
        </w:tabs>
        <w:ind w:left="720" w:hanging="360"/>
      </w:pPr>
      <w:rPr>
        <w:rFonts w:ascii="Arial" w:hAnsi="Arial" w:hint="default"/>
      </w:rPr>
    </w:lvl>
    <w:lvl w:ilvl="1" w:tplc="59742C28" w:tentative="1">
      <w:start w:val="1"/>
      <w:numFmt w:val="bullet"/>
      <w:lvlText w:val="•"/>
      <w:lvlJc w:val="left"/>
      <w:pPr>
        <w:tabs>
          <w:tab w:val="num" w:pos="1440"/>
        </w:tabs>
        <w:ind w:left="1440" w:hanging="360"/>
      </w:pPr>
      <w:rPr>
        <w:rFonts w:ascii="Arial" w:hAnsi="Arial" w:hint="default"/>
      </w:rPr>
    </w:lvl>
    <w:lvl w:ilvl="2" w:tplc="6B60B944" w:tentative="1">
      <w:start w:val="1"/>
      <w:numFmt w:val="bullet"/>
      <w:lvlText w:val="•"/>
      <w:lvlJc w:val="left"/>
      <w:pPr>
        <w:tabs>
          <w:tab w:val="num" w:pos="2160"/>
        </w:tabs>
        <w:ind w:left="2160" w:hanging="360"/>
      </w:pPr>
      <w:rPr>
        <w:rFonts w:ascii="Arial" w:hAnsi="Arial" w:hint="default"/>
      </w:rPr>
    </w:lvl>
    <w:lvl w:ilvl="3" w:tplc="E94EFCB4" w:tentative="1">
      <w:start w:val="1"/>
      <w:numFmt w:val="bullet"/>
      <w:lvlText w:val="•"/>
      <w:lvlJc w:val="left"/>
      <w:pPr>
        <w:tabs>
          <w:tab w:val="num" w:pos="2880"/>
        </w:tabs>
        <w:ind w:left="2880" w:hanging="360"/>
      </w:pPr>
      <w:rPr>
        <w:rFonts w:ascii="Arial" w:hAnsi="Arial" w:hint="default"/>
      </w:rPr>
    </w:lvl>
    <w:lvl w:ilvl="4" w:tplc="33A6E4C0" w:tentative="1">
      <w:start w:val="1"/>
      <w:numFmt w:val="bullet"/>
      <w:lvlText w:val="•"/>
      <w:lvlJc w:val="left"/>
      <w:pPr>
        <w:tabs>
          <w:tab w:val="num" w:pos="3600"/>
        </w:tabs>
        <w:ind w:left="3600" w:hanging="360"/>
      </w:pPr>
      <w:rPr>
        <w:rFonts w:ascii="Arial" w:hAnsi="Arial" w:hint="default"/>
      </w:rPr>
    </w:lvl>
    <w:lvl w:ilvl="5" w:tplc="2BEE92EA" w:tentative="1">
      <w:start w:val="1"/>
      <w:numFmt w:val="bullet"/>
      <w:lvlText w:val="•"/>
      <w:lvlJc w:val="left"/>
      <w:pPr>
        <w:tabs>
          <w:tab w:val="num" w:pos="4320"/>
        </w:tabs>
        <w:ind w:left="4320" w:hanging="360"/>
      </w:pPr>
      <w:rPr>
        <w:rFonts w:ascii="Arial" w:hAnsi="Arial" w:hint="default"/>
      </w:rPr>
    </w:lvl>
    <w:lvl w:ilvl="6" w:tplc="8884B898" w:tentative="1">
      <w:start w:val="1"/>
      <w:numFmt w:val="bullet"/>
      <w:lvlText w:val="•"/>
      <w:lvlJc w:val="left"/>
      <w:pPr>
        <w:tabs>
          <w:tab w:val="num" w:pos="5040"/>
        </w:tabs>
        <w:ind w:left="5040" w:hanging="360"/>
      </w:pPr>
      <w:rPr>
        <w:rFonts w:ascii="Arial" w:hAnsi="Arial" w:hint="default"/>
      </w:rPr>
    </w:lvl>
    <w:lvl w:ilvl="7" w:tplc="51C66F74" w:tentative="1">
      <w:start w:val="1"/>
      <w:numFmt w:val="bullet"/>
      <w:lvlText w:val="•"/>
      <w:lvlJc w:val="left"/>
      <w:pPr>
        <w:tabs>
          <w:tab w:val="num" w:pos="5760"/>
        </w:tabs>
        <w:ind w:left="5760" w:hanging="360"/>
      </w:pPr>
      <w:rPr>
        <w:rFonts w:ascii="Arial" w:hAnsi="Arial" w:hint="default"/>
      </w:rPr>
    </w:lvl>
    <w:lvl w:ilvl="8" w:tplc="43B299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749D1"/>
    <w:multiLevelType w:val="hybridMultilevel"/>
    <w:tmpl w:val="2A06AB14"/>
    <w:lvl w:ilvl="0" w:tplc="AF224DC6">
      <w:start w:val="1"/>
      <w:numFmt w:val="bullet"/>
      <w:lvlText w:val="•"/>
      <w:lvlJc w:val="left"/>
      <w:pPr>
        <w:tabs>
          <w:tab w:val="num" w:pos="720"/>
        </w:tabs>
        <w:ind w:left="720" w:hanging="360"/>
      </w:pPr>
      <w:rPr>
        <w:rFonts w:ascii="Arial" w:hAnsi="Arial" w:hint="default"/>
      </w:rPr>
    </w:lvl>
    <w:lvl w:ilvl="1" w:tplc="2C8A2B5A" w:tentative="1">
      <w:start w:val="1"/>
      <w:numFmt w:val="bullet"/>
      <w:lvlText w:val="•"/>
      <w:lvlJc w:val="left"/>
      <w:pPr>
        <w:tabs>
          <w:tab w:val="num" w:pos="1440"/>
        </w:tabs>
        <w:ind w:left="1440" w:hanging="360"/>
      </w:pPr>
      <w:rPr>
        <w:rFonts w:ascii="Arial" w:hAnsi="Arial" w:hint="default"/>
      </w:rPr>
    </w:lvl>
    <w:lvl w:ilvl="2" w:tplc="9410D6FC" w:tentative="1">
      <w:start w:val="1"/>
      <w:numFmt w:val="bullet"/>
      <w:lvlText w:val="•"/>
      <w:lvlJc w:val="left"/>
      <w:pPr>
        <w:tabs>
          <w:tab w:val="num" w:pos="2160"/>
        </w:tabs>
        <w:ind w:left="2160" w:hanging="360"/>
      </w:pPr>
      <w:rPr>
        <w:rFonts w:ascii="Arial" w:hAnsi="Arial" w:hint="default"/>
      </w:rPr>
    </w:lvl>
    <w:lvl w:ilvl="3" w:tplc="07966566" w:tentative="1">
      <w:start w:val="1"/>
      <w:numFmt w:val="bullet"/>
      <w:lvlText w:val="•"/>
      <w:lvlJc w:val="left"/>
      <w:pPr>
        <w:tabs>
          <w:tab w:val="num" w:pos="2880"/>
        </w:tabs>
        <w:ind w:left="2880" w:hanging="360"/>
      </w:pPr>
      <w:rPr>
        <w:rFonts w:ascii="Arial" w:hAnsi="Arial" w:hint="default"/>
      </w:rPr>
    </w:lvl>
    <w:lvl w:ilvl="4" w:tplc="7FD47F84" w:tentative="1">
      <w:start w:val="1"/>
      <w:numFmt w:val="bullet"/>
      <w:lvlText w:val="•"/>
      <w:lvlJc w:val="left"/>
      <w:pPr>
        <w:tabs>
          <w:tab w:val="num" w:pos="3600"/>
        </w:tabs>
        <w:ind w:left="3600" w:hanging="360"/>
      </w:pPr>
      <w:rPr>
        <w:rFonts w:ascii="Arial" w:hAnsi="Arial" w:hint="default"/>
      </w:rPr>
    </w:lvl>
    <w:lvl w:ilvl="5" w:tplc="4ED23266" w:tentative="1">
      <w:start w:val="1"/>
      <w:numFmt w:val="bullet"/>
      <w:lvlText w:val="•"/>
      <w:lvlJc w:val="left"/>
      <w:pPr>
        <w:tabs>
          <w:tab w:val="num" w:pos="4320"/>
        </w:tabs>
        <w:ind w:left="4320" w:hanging="360"/>
      </w:pPr>
      <w:rPr>
        <w:rFonts w:ascii="Arial" w:hAnsi="Arial" w:hint="default"/>
      </w:rPr>
    </w:lvl>
    <w:lvl w:ilvl="6" w:tplc="C1E05170" w:tentative="1">
      <w:start w:val="1"/>
      <w:numFmt w:val="bullet"/>
      <w:lvlText w:val="•"/>
      <w:lvlJc w:val="left"/>
      <w:pPr>
        <w:tabs>
          <w:tab w:val="num" w:pos="5040"/>
        </w:tabs>
        <w:ind w:left="5040" w:hanging="360"/>
      </w:pPr>
      <w:rPr>
        <w:rFonts w:ascii="Arial" w:hAnsi="Arial" w:hint="default"/>
      </w:rPr>
    </w:lvl>
    <w:lvl w:ilvl="7" w:tplc="9130530C" w:tentative="1">
      <w:start w:val="1"/>
      <w:numFmt w:val="bullet"/>
      <w:lvlText w:val="•"/>
      <w:lvlJc w:val="left"/>
      <w:pPr>
        <w:tabs>
          <w:tab w:val="num" w:pos="5760"/>
        </w:tabs>
        <w:ind w:left="5760" w:hanging="360"/>
      </w:pPr>
      <w:rPr>
        <w:rFonts w:ascii="Arial" w:hAnsi="Arial" w:hint="default"/>
      </w:rPr>
    </w:lvl>
    <w:lvl w:ilvl="8" w:tplc="7592BB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BE0687"/>
    <w:multiLevelType w:val="hybridMultilevel"/>
    <w:tmpl w:val="1C6831C0"/>
    <w:lvl w:ilvl="0" w:tplc="EA3C85A4">
      <w:start w:val="1"/>
      <w:numFmt w:val="bullet"/>
      <w:lvlText w:val="•"/>
      <w:lvlJc w:val="left"/>
      <w:pPr>
        <w:tabs>
          <w:tab w:val="num" w:pos="720"/>
        </w:tabs>
        <w:ind w:left="720" w:hanging="360"/>
      </w:pPr>
      <w:rPr>
        <w:rFonts w:ascii="Arial" w:hAnsi="Arial" w:hint="default"/>
      </w:rPr>
    </w:lvl>
    <w:lvl w:ilvl="1" w:tplc="85629E84" w:tentative="1">
      <w:start w:val="1"/>
      <w:numFmt w:val="bullet"/>
      <w:lvlText w:val="•"/>
      <w:lvlJc w:val="left"/>
      <w:pPr>
        <w:tabs>
          <w:tab w:val="num" w:pos="1440"/>
        </w:tabs>
        <w:ind w:left="1440" w:hanging="360"/>
      </w:pPr>
      <w:rPr>
        <w:rFonts w:ascii="Arial" w:hAnsi="Arial" w:hint="default"/>
      </w:rPr>
    </w:lvl>
    <w:lvl w:ilvl="2" w:tplc="BB02ABD2" w:tentative="1">
      <w:start w:val="1"/>
      <w:numFmt w:val="bullet"/>
      <w:lvlText w:val="•"/>
      <w:lvlJc w:val="left"/>
      <w:pPr>
        <w:tabs>
          <w:tab w:val="num" w:pos="2160"/>
        </w:tabs>
        <w:ind w:left="2160" w:hanging="360"/>
      </w:pPr>
      <w:rPr>
        <w:rFonts w:ascii="Arial" w:hAnsi="Arial" w:hint="default"/>
      </w:rPr>
    </w:lvl>
    <w:lvl w:ilvl="3" w:tplc="2BC8E4DC" w:tentative="1">
      <w:start w:val="1"/>
      <w:numFmt w:val="bullet"/>
      <w:lvlText w:val="•"/>
      <w:lvlJc w:val="left"/>
      <w:pPr>
        <w:tabs>
          <w:tab w:val="num" w:pos="2880"/>
        </w:tabs>
        <w:ind w:left="2880" w:hanging="360"/>
      </w:pPr>
      <w:rPr>
        <w:rFonts w:ascii="Arial" w:hAnsi="Arial" w:hint="default"/>
      </w:rPr>
    </w:lvl>
    <w:lvl w:ilvl="4" w:tplc="7E20FBBA" w:tentative="1">
      <w:start w:val="1"/>
      <w:numFmt w:val="bullet"/>
      <w:lvlText w:val="•"/>
      <w:lvlJc w:val="left"/>
      <w:pPr>
        <w:tabs>
          <w:tab w:val="num" w:pos="3600"/>
        </w:tabs>
        <w:ind w:left="3600" w:hanging="360"/>
      </w:pPr>
      <w:rPr>
        <w:rFonts w:ascii="Arial" w:hAnsi="Arial" w:hint="default"/>
      </w:rPr>
    </w:lvl>
    <w:lvl w:ilvl="5" w:tplc="CB82EB6E" w:tentative="1">
      <w:start w:val="1"/>
      <w:numFmt w:val="bullet"/>
      <w:lvlText w:val="•"/>
      <w:lvlJc w:val="left"/>
      <w:pPr>
        <w:tabs>
          <w:tab w:val="num" w:pos="4320"/>
        </w:tabs>
        <w:ind w:left="4320" w:hanging="360"/>
      </w:pPr>
      <w:rPr>
        <w:rFonts w:ascii="Arial" w:hAnsi="Arial" w:hint="default"/>
      </w:rPr>
    </w:lvl>
    <w:lvl w:ilvl="6" w:tplc="987EA10A" w:tentative="1">
      <w:start w:val="1"/>
      <w:numFmt w:val="bullet"/>
      <w:lvlText w:val="•"/>
      <w:lvlJc w:val="left"/>
      <w:pPr>
        <w:tabs>
          <w:tab w:val="num" w:pos="5040"/>
        </w:tabs>
        <w:ind w:left="5040" w:hanging="360"/>
      </w:pPr>
      <w:rPr>
        <w:rFonts w:ascii="Arial" w:hAnsi="Arial" w:hint="default"/>
      </w:rPr>
    </w:lvl>
    <w:lvl w:ilvl="7" w:tplc="9536E442" w:tentative="1">
      <w:start w:val="1"/>
      <w:numFmt w:val="bullet"/>
      <w:lvlText w:val="•"/>
      <w:lvlJc w:val="left"/>
      <w:pPr>
        <w:tabs>
          <w:tab w:val="num" w:pos="5760"/>
        </w:tabs>
        <w:ind w:left="5760" w:hanging="360"/>
      </w:pPr>
      <w:rPr>
        <w:rFonts w:ascii="Arial" w:hAnsi="Arial" w:hint="default"/>
      </w:rPr>
    </w:lvl>
    <w:lvl w:ilvl="8" w:tplc="34DE92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884AF3"/>
    <w:multiLevelType w:val="hybridMultilevel"/>
    <w:tmpl w:val="2DEC0C5C"/>
    <w:lvl w:ilvl="0" w:tplc="9E048A02">
      <w:start w:val="1"/>
      <w:numFmt w:val="bullet"/>
      <w:lvlText w:val="•"/>
      <w:lvlJc w:val="left"/>
      <w:pPr>
        <w:tabs>
          <w:tab w:val="num" w:pos="720"/>
        </w:tabs>
        <w:ind w:left="720" w:hanging="360"/>
      </w:pPr>
      <w:rPr>
        <w:rFonts w:ascii="Arial" w:hAnsi="Arial" w:hint="default"/>
      </w:rPr>
    </w:lvl>
    <w:lvl w:ilvl="1" w:tplc="06042726" w:tentative="1">
      <w:start w:val="1"/>
      <w:numFmt w:val="bullet"/>
      <w:lvlText w:val="•"/>
      <w:lvlJc w:val="left"/>
      <w:pPr>
        <w:tabs>
          <w:tab w:val="num" w:pos="1440"/>
        </w:tabs>
        <w:ind w:left="1440" w:hanging="360"/>
      </w:pPr>
      <w:rPr>
        <w:rFonts w:ascii="Arial" w:hAnsi="Arial" w:hint="default"/>
      </w:rPr>
    </w:lvl>
    <w:lvl w:ilvl="2" w:tplc="3CC0E280" w:tentative="1">
      <w:start w:val="1"/>
      <w:numFmt w:val="bullet"/>
      <w:lvlText w:val="•"/>
      <w:lvlJc w:val="left"/>
      <w:pPr>
        <w:tabs>
          <w:tab w:val="num" w:pos="2160"/>
        </w:tabs>
        <w:ind w:left="2160" w:hanging="360"/>
      </w:pPr>
      <w:rPr>
        <w:rFonts w:ascii="Arial" w:hAnsi="Arial" w:hint="default"/>
      </w:rPr>
    </w:lvl>
    <w:lvl w:ilvl="3" w:tplc="FEE2D57C" w:tentative="1">
      <w:start w:val="1"/>
      <w:numFmt w:val="bullet"/>
      <w:lvlText w:val="•"/>
      <w:lvlJc w:val="left"/>
      <w:pPr>
        <w:tabs>
          <w:tab w:val="num" w:pos="2880"/>
        </w:tabs>
        <w:ind w:left="2880" w:hanging="360"/>
      </w:pPr>
      <w:rPr>
        <w:rFonts w:ascii="Arial" w:hAnsi="Arial" w:hint="default"/>
      </w:rPr>
    </w:lvl>
    <w:lvl w:ilvl="4" w:tplc="6F00CE62" w:tentative="1">
      <w:start w:val="1"/>
      <w:numFmt w:val="bullet"/>
      <w:lvlText w:val="•"/>
      <w:lvlJc w:val="left"/>
      <w:pPr>
        <w:tabs>
          <w:tab w:val="num" w:pos="3600"/>
        </w:tabs>
        <w:ind w:left="3600" w:hanging="360"/>
      </w:pPr>
      <w:rPr>
        <w:rFonts w:ascii="Arial" w:hAnsi="Arial" w:hint="default"/>
      </w:rPr>
    </w:lvl>
    <w:lvl w:ilvl="5" w:tplc="18B65C0A" w:tentative="1">
      <w:start w:val="1"/>
      <w:numFmt w:val="bullet"/>
      <w:lvlText w:val="•"/>
      <w:lvlJc w:val="left"/>
      <w:pPr>
        <w:tabs>
          <w:tab w:val="num" w:pos="4320"/>
        </w:tabs>
        <w:ind w:left="4320" w:hanging="360"/>
      </w:pPr>
      <w:rPr>
        <w:rFonts w:ascii="Arial" w:hAnsi="Arial" w:hint="default"/>
      </w:rPr>
    </w:lvl>
    <w:lvl w:ilvl="6" w:tplc="6DE46386" w:tentative="1">
      <w:start w:val="1"/>
      <w:numFmt w:val="bullet"/>
      <w:lvlText w:val="•"/>
      <w:lvlJc w:val="left"/>
      <w:pPr>
        <w:tabs>
          <w:tab w:val="num" w:pos="5040"/>
        </w:tabs>
        <w:ind w:left="5040" w:hanging="360"/>
      </w:pPr>
      <w:rPr>
        <w:rFonts w:ascii="Arial" w:hAnsi="Arial" w:hint="default"/>
      </w:rPr>
    </w:lvl>
    <w:lvl w:ilvl="7" w:tplc="A086E1FA" w:tentative="1">
      <w:start w:val="1"/>
      <w:numFmt w:val="bullet"/>
      <w:lvlText w:val="•"/>
      <w:lvlJc w:val="left"/>
      <w:pPr>
        <w:tabs>
          <w:tab w:val="num" w:pos="5760"/>
        </w:tabs>
        <w:ind w:left="5760" w:hanging="360"/>
      </w:pPr>
      <w:rPr>
        <w:rFonts w:ascii="Arial" w:hAnsi="Arial" w:hint="default"/>
      </w:rPr>
    </w:lvl>
    <w:lvl w:ilvl="8" w:tplc="DFC424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3400BC"/>
    <w:multiLevelType w:val="hybridMultilevel"/>
    <w:tmpl w:val="BC442878"/>
    <w:lvl w:ilvl="0" w:tplc="FBAEFB52">
      <w:start w:val="1"/>
      <w:numFmt w:val="bullet"/>
      <w:lvlText w:val="•"/>
      <w:lvlJc w:val="left"/>
      <w:pPr>
        <w:tabs>
          <w:tab w:val="num" w:pos="720"/>
        </w:tabs>
        <w:ind w:left="720" w:hanging="360"/>
      </w:pPr>
      <w:rPr>
        <w:rFonts w:ascii="Arial" w:hAnsi="Arial" w:hint="default"/>
      </w:rPr>
    </w:lvl>
    <w:lvl w:ilvl="1" w:tplc="07D49AF4" w:tentative="1">
      <w:start w:val="1"/>
      <w:numFmt w:val="bullet"/>
      <w:lvlText w:val="•"/>
      <w:lvlJc w:val="left"/>
      <w:pPr>
        <w:tabs>
          <w:tab w:val="num" w:pos="1440"/>
        </w:tabs>
        <w:ind w:left="1440" w:hanging="360"/>
      </w:pPr>
      <w:rPr>
        <w:rFonts w:ascii="Arial" w:hAnsi="Arial" w:hint="default"/>
      </w:rPr>
    </w:lvl>
    <w:lvl w:ilvl="2" w:tplc="2532474C" w:tentative="1">
      <w:start w:val="1"/>
      <w:numFmt w:val="bullet"/>
      <w:lvlText w:val="•"/>
      <w:lvlJc w:val="left"/>
      <w:pPr>
        <w:tabs>
          <w:tab w:val="num" w:pos="2160"/>
        </w:tabs>
        <w:ind w:left="2160" w:hanging="360"/>
      </w:pPr>
      <w:rPr>
        <w:rFonts w:ascii="Arial" w:hAnsi="Arial" w:hint="default"/>
      </w:rPr>
    </w:lvl>
    <w:lvl w:ilvl="3" w:tplc="9AD0B080" w:tentative="1">
      <w:start w:val="1"/>
      <w:numFmt w:val="bullet"/>
      <w:lvlText w:val="•"/>
      <w:lvlJc w:val="left"/>
      <w:pPr>
        <w:tabs>
          <w:tab w:val="num" w:pos="2880"/>
        </w:tabs>
        <w:ind w:left="2880" w:hanging="360"/>
      </w:pPr>
      <w:rPr>
        <w:rFonts w:ascii="Arial" w:hAnsi="Arial" w:hint="default"/>
      </w:rPr>
    </w:lvl>
    <w:lvl w:ilvl="4" w:tplc="984058DE" w:tentative="1">
      <w:start w:val="1"/>
      <w:numFmt w:val="bullet"/>
      <w:lvlText w:val="•"/>
      <w:lvlJc w:val="left"/>
      <w:pPr>
        <w:tabs>
          <w:tab w:val="num" w:pos="3600"/>
        </w:tabs>
        <w:ind w:left="3600" w:hanging="360"/>
      </w:pPr>
      <w:rPr>
        <w:rFonts w:ascii="Arial" w:hAnsi="Arial" w:hint="default"/>
      </w:rPr>
    </w:lvl>
    <w:lvl w:ilvl="5" w:tplc="BCD484FC" w:tentative="1">
      <w:start w:val="1"/>
      <w:numFmt w:val="bullet"/>
      <w:lvlText w:val="•"/>
      <w:lvlJc w:val="left"/>
      <w:pPr>
        <w:tabs>
          <w:tab w:val="num" w:pos="4320"/>
        </w:tabs>
        <w:ind w:left="4320" w:hanging="360"/>
      </w:pPr>
      <w:rPr>
        <w:rFonts w:ascii="Arial" w:hAnsi="Arial" w:hint="default"/>
      </w:rPr>
    </w:lvl>
    <w:lvl w:ilvl="6" w:tplc="2400825A" w:tentative="1">
      <w:start w:val="1"/>
      <w:numFmt w:val="bullet"/>
      <w:lvlText w:val="•"/>
      <w:lvlJc w:val="left"/>
      <w:pPr>
        <w:tabs>
          <w:tab w:val="num" w:pos="5040"/>
        </w:tabs>
        <w:ind w:left="5040" w:hanging="360"/>
      </w:pPr>
      <w:rPr>
        <w:rFonts w:ascii="Arial" w:hAnsi="Arial" w:hint="default"/>
      </w:rPr>
    </w:lvl>
    <w:lvl w:ilvl="7" w:tplc="24449D3A" w:tentative="1">
      <w:start w:val="1"/>
      <w:numFmt w:val="bullet"/>
      <w:lvlText w:val="•"/>
      <w:lvlJc w:val="left"/>
      <w:pPr>
        <w:tabs>
          <w:tab w:val="num" w:pos="5760"/>
        </w:tabs>
        <w:ind w:left="5760" w:hanging="360"/>
      </w:pPr>
      <w:rPr>
        <w:rFonts w:ascii="Arial" w:hAnsi="Arial" w:hint="default"/>
      </w:rPr>
    </w:lvl>
    <w:lvl w:ilvl="8" w:tplc="482408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0A4620"/>
    <w:multiLevelType w:val="hybridMultilevel"/>
    <w:tmpl w:val="3D00BC0E"/>
    <w:lvl w:ilvl="0" w:tplc="479EEA6E">
      <w:start w:val="1"/>
      <w:numFmt w:val="bullet"/>
      <w:lvlText w:val="•"/>
      <w:lvlJc w:val="left"/>
      <w:pPr>
        <w:tabs>
          <w:tab w:val="num" w:pos="720"/>
        </w:tabs>
        <w:ind w:left="720" w:hanging="360"/>
      </w:pPr>
      <w:rPr>
        <w:rFonts w:ascii="Arial" w:hAnsi="Arial" w:hint="default"/>
      </w:rPr>
    </w:lvl>
    <w:lvl w:ilvl="1" w:tplc="235C0CC2" w:tentative="1">
      <w:start w:val="1"/>
      <w:numFmt w:val="bullet"/>
      <w:lvlText w:val="•"/>
      <w:lvlJc w:val="left"/>
      <w:pPr>
        <w:tabs>
          <w:tab w:val="num" w:pos="1440"/>
        </w:tabs>
        <w:ind w:left="1440" w:hanging="360"/>
      </w:pPr>
      <w:rPr>
        <w:rFonts w:ascii="Arial" w:hAnsi="Arial" w:hint="default"/>
      </w:rPr>
    </w:lvl>
    <w:lvl w:ilvl="2" w:tplc="C2CC9A2E" w:tentative="1">
      <w:start w:val="1"/>
      <w:numFmt w:val="bullet"/>
      <w:lvlText w:val="•"/>
      <w:lvlJc w:val="left"/>
      <w:pPr>
        <w:tabs>
          <w:tab w:val="num" w:pos="2160"/>
        </w:tabs>
        <w:ind w:left="2160" w:hanging="360"/>
      </w:pPr>
      <w:rPr>
        <w:rFonts w:ascii="Arial" w:hAnsi="Arial" w:hint="default"/>
      </w:rPr>
    </w:lvl>
    <w:lvl w:ilvl="3" w:tplc="4EB6190A" w:tentative="1">
      <w:start w:val="1"/>
      <w:numFmt w:val="bullet"/>
      <w:lvlText w:val="•"/>
      <w:lvlJc w:val="left"/>
      <w:pPr>
        <w:tabs>
          <w:tab w:val="num" w:pos="2880"/>
        </w:tabs>
        <w:ind w:left="2880" w:hanging="360"/>
      </w:pPr>
      <w:rPr>
        <w:rFonts w:ascii="Arial" w:hAnsi="Arial" w:hint="default"/>
      </w:rPr>
    </w:lvl>
    <w:lvl w:ilvl="4" w:tplc="E7703BD8" w:tentative="1">
      <w:start w:val="1"/>
      <w:numFmt w:val="bullet"/>
      <w:lvlText w:val="•"/>
      <w:lvlJc w:val="left"/>
      <w:pPr>
        <w:tabs>
          <w:tab w:val="num" w:pos="3600"/>
        </w:tabs>
        <w:ind w:left="3600" w:hanging="360"/>
      </w:pPr>
      <w:rPr>
        <w:rFonts w:ascii="Arial" w:hAnsi="Arial" w:hint="default"/>
      </w:rPr>
    </w:lvl>
    <w:lvl w:ilvl="5" w:tplc="1D48CEC0" w:tentative="1">
      <w:start w:val="1"/>
      <w:numFmt w:val="bullet"/>
      <w:lvlText w:val="•"/>
      <w:lvlJc w:val="left"/>
      <w:pPr>
        <w:tabs>
          <w:tab w:val="num" w:pos="4320"/>
        </w:tabs>
        <w:ind w:left="4320" w:hanging="360"/>
      </w:pPr>
      <w:rPr>
        <w:rFonts w:ascii="Arial" w:hAnsi="Arial" w:hint="default"/>
      </w:rPr>
    </w:lvl>
    <w:lvl w:ilvl="6" w:tplc="3580E080" w:tentative="1">
      <w:start w:val="1"/>
      <w:numFmt w:val="bullet"/>
      <w:lvlText w:val="•"/>
      <w:lvlJc w:val="left"/>
      <w:pPr>
        <w:tabs>
          <w:tab w:val="num" w:pos="5040"/>
        </w:tabs>
        <w:ind w:left="5040" w:hanging="360"/>
      </w:pPr>
      <w:rPr>
        <w:rFonts w:ascii="Arial" w:hAnsi="Arial" w:hint="default"/>
      </w:rPr>
    </w:lvl>
    <w:lvl w:ilvl="7" w:tplc="3530DC6E" w:tentative="1">
      <w:start w:val="1"/>
      <w:numFmt w:val="bullet"/>
      <w:lvlText w:val="•"/>
      <w:lvlJc w:val="left"/>
      <w:pPr>
        <w:tabs>
          <w:tab w:val="num" w:pos="5760"/>
        </w:tabs>
        <w:ind w:left="5760" w:hanging="360"/>
      </w:pPr>
      <w:rPr>
        <w:rFonts w:ascii="Arial" w:hAnsi="Arial" w:hint="default"/>
      </w:rPr>
    </w:lvl>
    <w:lvl w:ilvl="8" w:tplc="F48ADD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4A4749"/>
    <w:multiLevelType w:val="hybridMultilevel"/>
    <w:tmpl w:val="0ECACD96"/>
    <w:lvl w:ilvl="0" w:tplc="B352C4D8">
      <w:start w:val="1"/>
      <w:numFmt w:val="bullet"/>
      <w:lvlText w:val="•"/>
      <w:lvlJc w:val="left"/>
      <w:pPr>
        <w:tabs>
          <w:tab w:val="num" w:pos="720"/>
        </w:tabs>
        <w:ind w:left="720" w:hanging="360"/>
      </w:pPr>
      <w:rPr>
        <w:rFonts w:ascii="Arial" w:hAnsi="Arial" w:hint="default"/>
      </w:rPr>
    </w:lvl>
    <w:lvl w:ilvl="1" w:tplc="209EB2A0" w:tentative="1">
      <w:start w:val="1"/>
      <w:numFmt w:val="bullet"/>
      <w:lvlText w:val="•"/>
      <w:lvlJc w:val="left"/>
      <w:pPr>
        <w:tabs>
          <w:tab w:val="num" w:pos="1440"/>
        </w:tabs>
        <w:ind w:left="1440" w:hanging="360"/>
      </w:pPr>
      <w:rPr>
        <w:rFonts w:ascii="Arial" w:hAnsi="Arial" w:hint="default"/>
      </w:rPr>
    </w:lvl>
    <w:lvl w:ilvl="2" w:tplc="1A523280" w:tentative="1">
      <w:start w:val="1"/>
      <w:numFmt w:val="bullet"/>
      <w:lvlText w:val="•"/>
      <w:lvlJc w:val="left"/>
      <w:pPr>
        <w:tabs>
          <w:tab w:val="num" w:pos="2160"/>
        </w:tabs>
        <w:ind w:left="2160" w:hanging="360"/>
      </w:pPr>
      <w:rPr>
        <w:rFonts w:ascii="Arial" w:hAnsi="Arial" w:hint="default"/>
      </w:rPr>
    </w:lvl>
    <w:lvl w:ilvl="3" w:tplc="E282345A" w:tentative="1">
      <w:start w:val="1"/>
      <w:numFmt w:val="bullet"/>
      <w:lvlText w:val="•"/>
      <w:lvlJc w:val="left"/>
      <w:pPr>
        <w:tabs>
          <w:tab w:val="num" w:pos="2880"/>
        </w:tabs>
        <w:ind w:left="2880" w:hanging="360"/>
      </w:pPr>
      <w:rPr>
        <w:rFonts w:ascii="Arial" w:hAnsi="Arial" w:hint="default"/>
      </w:rPr>
    </w:lvl>
    <w:lvl w:ilvl="4" w:tplc="D4FA0040" w:tentative="1">
      <w:start w:val="1"/>
      <w:numFmt w:val="bullet"/>
      <w:lvlText w:val="•"/>
      <w:lvlJc w:val="left"/>
      <w:pPr>
        <w:tabs>
          <w:tab w:val="num" w:pos="3600"/>
        </w:tabs>
        <w:ind w:left="3600" w:hanging="360"/>
      </w:pPr>
      <w:rPr>
        <w:rFonts w:ascii="Arial" w:hAnsi="Arial" w:hint="default"/>
      </w:rPr>
    </w:lvl>
    <w:lvl w:ilvl="5" w:tplc="D770A060" w:tentative="1">
      <w:start w:val="1"/>
      <w:numFmt w:val="bullet"/>
      <w:lvlText w:val="•"/>
      <w:lvlJc w:val="left"/>
      <w:pPr>
        <w:tabs>
          <w:tab w:val="num" w:pos="4320"/>
        </w:tabs>
        <w:ind w:left="4320" w:hanging="360"/>
      </w:pPr>
      <w:rPr>
        <w:rFonts w:ascii="Arial" w:hAnsi="Arial" w:hint="default"/>
      </w:rPr>
    </w:lvl>
    <w:lvl w:ilvl="6" w:tplc="31D2D01A" w:tentative="1">
      <w:start w:val="1"/>
      <w:numFmt w:val="bullet"/>
      <w:lvlText w:val="•"/>
      <w:lvlJc w:val="left"/>
      <w:pPr>
        <w:tabs>
          <w:tab w:val="num" w:pos="5040"/>
        </w:tabs>
        <w:ind w:left="5040" w:hanging="360"/>
      </w:pPr>
      <w:rPr>
        <w:rFonts w:ascii="Arial" w:hAnsi="Arial" w:hint="default"/>
      </w:rPr>
    </w:lvl>
    <w:lvl w:ilvl="7" w:tplc="F926D1E2" w:tentative="1">
      <w:start w:val="1"/>
      <w:numFmt w:val="bullet"/>
      <w:lvlText w:val="•"/>
      <w:lvlJc w:val="left"/>
      <w:pPr>
        <w:tabs>
          <w:tab w:val="num" w:pos="5760"/>
        </w:tabs>
        <w:ind w:left="5760" w:hanging="360"/>
      </w:pPr>
      <w:rPr>
        <w:rFonts w:ascii="Arial" w:hAnsi="Arial" w:hint="default"/>
      </w:rPr>
    </w:lvl>
    <w:lvl w:ilvl="8" w:tplc="6E2054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1028A"/>
    <w:multiLevelType w:val="hybridMultilevel"/>
    <w:tmpl w:val="27BA74E2"/>
    <w:lvl w:ilvl="0" w:tplc="6D024706">
      <w:start w:val="1"/>
      <w:numFmt w:val="bullet"/>
      <w:lvlText w:val="•"/>
      <w:lvlJc w:val="left"/>
      <w:pPr>
        <w:tabs>
          <w:tab w:val="num" w:pos="720"/>
        </w:tabs>
        <w:ind w:left="720" w:hanging="360"/>
      </w:pPr>
      <w:rPr>
        <w:rFonts w:ascii="Arial" w:hAnsi="Arial" w:hint="default"/>
      </w:rPr>
    </w:lvl>
    <w:lvl w:ilvl="1" w:tplc="483A67B0" w:tentative="1">
      <w:start w:val="1"/>
      <w:numFmt w:val="bullet"/>
      <w:lvlText w:val="•"/>
      <w:lvlJc w:val="left"/>
      <w:pPr>
        <w:tabs>
          <w:tab w:val="num" w:pos="1440"/>
        </w:tabs>
        <w:ind w:left="1440" w:hanging="360"/>
      </w:pPr>
      <w:rPr>
        <w:rFonts w:ascii="Arial" w:hAnsi="Arial" w:hint="default"/>
      </w:rPr>
    </w:lvl>
    <w:lvl w:ilvl="2" w:tplc="57049C8E" w:tentative="1">
      <w:start w:val="1"/>
      <w:numFmt w:val="bullet"/>
      <w:lvlText w:val="•"/>
      <w:lvlJc w:val="left"/>
      <w:pPr>
        <w:tabs>
          <w:tab w:val="num" w:pos="2160"/>
        </w:tabs>
        <w:ind w:left="2160" w:hanging="360"/>
      </w:pPr>
      <w:rPr>
        <w:rFonts w:ascii="Arial" w:hAnsi="Arial" w:hint="default"/>
      </w:rPr>
    </w:lvl>
    <w:lvl w:ilvl="3" w:tplc="790E7A74" w:tentative="1">
      <w:start w:val="1"/>
      <w:numFmt w:val="bullet"/>
      <w:lvlText w:val="•"/>
      <w:lvlJc w:val="left"/>
      <w:pPr>
        <w:tabs>
          <w:tab w:val="num" w:pos="2880"/>
        </w:tabs>
        <w:ind w:left="2880" w:hanging="360"/>
      </w:pPr>
      <w:rPr>
        <w:rFonts w:ascii="Arial" w:hAnsi="Arial" w:hint="default"/>
      </w:rPr>
    </w:lvl>
    <w:lvl w:ilvl="4" w:tplc="2DCE8736" w:tentative="1">
      <w:start w:val="1"/>
      <w:numFmt w:val="bullet"/>
      <w:lvlText w:val="•"/>
      <w:lvlJc w:val="left"/>
      <w:pPr>
        <w:tabs>
          <w:tab w:val="num" w:pos="3600"/>
        </w:tabs>
        <w:ind w:left="3600" w:hanging="360"/>
      </w:pPr>
      <w:rPr>
        <w:rFonts w:ascii="Arial" w:hAnsi="Arial" w:hint="default"/>
      </w:rPr>
    </w:lvl>
    <w:lvl w:ilvl="5" w:tplc="B982605A" w:tentative="1">
      <w:start w:val="1"/>
      <w:numFmt w:val="bullet"/>
      <w:lvlText w:val="•"/>
      <w:lvlJc w:val="left"/>
      <w:pPr>
        <w:tabs>
          <w:tab w:val="num" w:pos="4320"/>
        </w:tabs>
        <w:ind w:left="4320" w:hanging="360"/>
      </w:pPr>
      <w:rPr>
        <w:rFonts w:ascii="Arial" w:hAnsi="Arial" w:hint="default"/>
      </w:rPr>
    </w:lvl>
    <w:lvl w:ilvl="6" w:tplc="D6D419E6" w:tentative="1">
      <w:start w:val="1"/>
      <w:numFmt w:val="bullet"/>
      <w:lvlText w:val="•"/>
      <w:lvlJc w:val="left"/>
      <w:pPr>
        <w:tabs>
          <w:tab w:val="num" w:pos="5040"/>
        </w:tabs>
        <w:ind w:left="5040" w:hanging="360"/>
      </w:pPr>
      <w:rPr>
        <w:rFonts w:ascii="Arial" w:hAnsi="Arial" w:hint="default"/>
      </w:rPr>
    </w:lvl>
    <w:lvl w:ilvl="7" w:tplc="F02EA790" w:tentative="1">
      <w:start w:val="1"/>
      <w:numFmt w:val="bullet"/>
      <w:lvlText w:val="•"/>
      <w:lvlJc w:val="left"/>
      <w:pPr>
        <w:tabs>
          <w:tab w:val="num" w:pos="5760"/>
        </w:tabs>
        <w:ind w:left="5760" w:hanging="360"/>
      </w:pPr>
      <w:rPr>
        <w:rFonts w:ascii="Arial" w:hAnsi="Arial" w:hint="default"/>
      </w:rPr>
    </w:lvl>
    <w:lvl w:ilvl="8" w:tplc="BA94627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A279BF"/>
    <w:multiLevelType w:val="hybridMultilevel"/>
    <w:tmpl w:val="E0128F8C"/>
    <w:lvl w:ilvl="0" w:tplc="65D86BBE">
      <w:start w:val="1"/>
      <w:numFmt w:val="bullet"/>
      <w:lvlText w:val="•"/>
      <w:lvlJc w:val="left"/>
      <w:pPr>
        <w:tabs>
          <w:tab w:val="num" w:pos="720"/>
        </w:tabs>
        <w:ind w:left="720" w:hanging="360"/>
      </w:pPr>
      <w:rPr>
        <w:rFonts w:ascii="Arial" w:hAnsi="Arial" w:hint="default"/>
      </w:rPr>
    </w:lvl>
    <w:lvl w:ilvl="1" w:tplc="AF8AD8E4" w:tentative="1">
      <w:start w:val="1"/>
      <w:numFmt w:val="bullet"/>
      <w:lvlText w:val="•"/>
      <w:lvlJc w:val="left"/>
      <w:pPr>
        <w:tabs>
          <w:tab w:val="num" w:pos="1440"/>
        </w:tabs>
        <w:ind w:left="1440" w:hanging="360"/>
      </w:pPr>
      <w:rPr>
        <w:rFonts w:ascii="Arial" w:hAnsi="Arial" w:hint="default"/>
      </w:rPr>
    </w:lvl>
    <w:lvl w:ilvl="2" w:tplc="2C18D848" w:tentative="1">
      <w:start w:val="1"/>
      <w:numFmt w:val="bullet"/>
      <w:lvlText w:val="•"/>
      <w:lvlJc w:val="left"/>
      <w:pPr>
        <w:tabs>
          <w:tab w:val="num" w:pos="2160"/>
        </w:tabs>
        <w:ind w:left="2160" w:hanging="360"/>
      </w:pPr>
      <w:rPr>
        <w:rFonts w:ascii="Arial" w:hAnsi="Arial" w:hint="default"/>
      </w:rPr>
    </w:lvl>
    <w:lvl w:ilvl="3" w:tplc="F23EB5B6" w:tentative="1">
      <w:start w:val="1"/>
      <w:numFmt w:val="bullet"/>
      <w:lvlText w:val="•"/>
      <w:lvlJc w:val="left"/>
      <w:pPr>
        <w:tabs>
          <w:tab w:val="num" w:pos="2880"/>
        </w:tabs>
        <w:ind w:left="2880" w:hanging="360"/>
      </w:pPr>
      <w:rPr>
        <w:rFonts w:ascii="Arial" w:hAnsi="Arial" w:hint="default"/>
      </w:rPr>
    </w:lvl>
    <w:lvl w:ilvl="4" w:tplc="7F125F50" w:tentative="1">
      <w:start w:val="1"/>
      <w:numFmt w:val="bullet"/>
      <w:lvlText w:val="•"/>
      <w:lvlJc w:val="left"/>
      <w:pPr>
        <w:tabs>
          <w:tab w:val="num" w:pos="3600"/>
        </w:tabs>
        <w:ind w:left="3600" w:hanging="360"/>
      </w:pPr>
      <w:rPr>
        <w:rFonts w:ascii="Arial" w:hAnsi="Arial" w:hint="default"/>
      </w:rPr>
    </w:lvl>
    <w:lvl w:ilvl="5" w:tplc="1B20FB70" w:tentative="1">
      <w:start w:val="1"/>
      <w:numFmt w:val="bullet"/>
      <w:lvlText w:val="•"/>
      <w:lvlJc w:val="left"/>
      <w:pPr>
        <w:tabs>
          <w:tab w:val="num" w:pos="4320"/>
        </w:tabs>
        <w:ind w:left="4320" w:hanging="360"/>
      </w:pPr>
      <w:rPr>
        <w:rFonts w:ascii="Arial" w:hAnsi="Arial" w:hint="default"/>
      </w:rPr>
    </w:lvl>
    <w:lvl w:ilvl="6" w:tplc="9678DEFE" w:tentative="1">
      <w:start w:val="1"/>
      <w:numFmt w:val="bullet"/>
      <w:lvlText w:val="•"/>
      <w:lvlJc w:val="left"/>
      <w:pPr>
        <w:tabs>
          <w:tab w:val="num" w:pos="5040"/>
        </w:tabs>
        <w:ind w:left="5040" w:hanging="360"/>
      </w:pPr>
      <w:rPr>
        <w:rFonts w:ascii="Arial" w:hAnsi="Arial" w:hint="default"/>
      </w:rPr>
    </w:lvl>
    <w:lvl w:ilvl="7" w:tplc="5AAE44A2" w:tentative="1">
      <w:start w:val="1"/>
      <w:numFmt w:val="bullet"/>
      <w:lvlText w:val="•"/>
      <w:lvlJc w:val="left"/>
      <w:pPr>
        <w:tabs>
          <w:tab w:val="num" w:pos="5760"/>
        </w:tabs>
        <w:ind w:left="5760" w:hanging="360"/>
      </w:pPr>
      <w:rPr>
        <w:rFonts w:ascii="Arial" w:hAnsi="Arial" w:hint="default"/>
      </w:rPr>
    </w:lvl>
    <w:lvl w:ilvl="8" w:tplc="91B200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663F5"/>
    <w:multiLevelType w:val="hybridMultilevel"/>
    <w:tmpl w:val="E0EC6846"/>
    <w:lvl w:ilvl="0" w:tplc="DD8CE732">
      <w:start w:val="1"/>
      <w:numFmt w:val="bullet"/>
      <w:lvlText w:val="•"/>
      <w:lvlJc w:val="left"/>
      <w:pPr>
        <w:tabs>
          <w:tab w:val="num" w:pos="720"/>
        </w:tabs>
        <w:ind w:left="720" w:hanging="360"/>
      </w:pPr>
      <w:rPr>
        <w:rFonts w:ascii="Arial" w:hAnsi="Arial" w:hint="default"/>
      </w:rPr>
    </w:lvl>
    <w:lvl w:ilvl="1" w:tplc="1794DEB0">
      <w:numFmt w:val="bullet"/>
      <w:lvlText w:val="•"/>
      <w:lvlJc w:val="left"/>
      <w:pPr>
        <w:tabs>
          <w:tab w:val="num" w:pos="1440"/>
        </w:tabs>
        <w:ind w:left="1440" w:hanging="360"/>
      </w:pPr>
      <w:rPr>
        <w:rFonts w:ascii="Arial" w:hAnsi="Arial" w:hint="default"/>
      </w:rPr>
    </w:lvl>
    <w:lvl w:ilvl="2" w:tplc="8E1407DA" w:tentative="1">
      <w:start w:val="1"/>
      <w:numFmt w:val="bullet"/>
      <w:lvlText w:val="•"/>
      <w:lvlJc w:val="left"/>
      <w:pPr>
        <w:tabs>
          <w:tab w:val="num" w:pos="2160"/>
        </w:tabs>
        <w:ind w:left="2160" w:hanging="360"/>
      </w:pPr>
      <w:rPr>
        <w:rFonts w:ascii="Arial" w:hAnsi="Arial" w:hint="default"/>
      </w:rPr>
    </w:lvl>
    <w:lvl w:ilvl="3" w:tplc="7BB68064" w:tentative="1">
      <w:start w:val="1"/>
      <w:numFmt w:val="bullet"/>
      <w:lvlText w:val="•"/>
      <w:lvlJc w:val="left"/>
      <w:pPr>
        <w:tabs>
          <w:tab w:val="num" w:pos="2880"/>
        </w:tabs>
        <w:ind w:left="2880" w:hanging="360"/>
      </w:pPr>
      <w:rPr>
        <w:rFonts w:ascii="Arial" w:hAnsi="Arial" w:hint="default"/>
      </w:rPr>
    </w:lvl>
    <w:lvl w:ilvl="4" w:tplc="205E196C" w:tentative="1">
      <w:start w:val="1"/>
      <w:numFmt w:val="bullet"/>
      <w:lvlText w:val="•"/>
      <w:lvlJc w:val="left"/>
      <w:pPr>
        <w:tabs>
          <w:tab w:val="num" w:pos="3600"/>
        </w:tabs>
        <w:ind w:left="3600" w:hanging="360"/>
      </w:pPr>
      <w:rPr>
        <w:rFonts w:ascii="Arial" w:hAnsi="Arial" w:hint="default"/>
      </w:rPr>
    </w:lvl>
    <w:lvl w:ilvl="5" w:tplc="8EB434B4" w:tentative="1">
      <w:start w:val="1"/>
      <w:numFmt w:val="bullet"/>
      <w:lvlText w:val="•"/>
      <w:lvlJc w:val="left"/>
      <w:pPr>
        <w:tabs>
          <w:tab w:val="num" w:pos="4320"/>
        </w:tabs>
        <w:ind w:left="4320" w:hanging="360"/>
      </w:pPr>
      <w:rPr>
        <w:rFonts w:ascii="Arial" w:hAnsi="Arial" w:hint="default"/>
      </w:rPr>
    </w:lvl>
    <w:lvl w:ilvl="6" w:tplc="654A491E" w:tentative="1">
      <w:start w:val="1"/>
      <w:numFmt w:val="bullet"/>
      <w:lvlText w:val="•"/>
      <w:lvlJc w:val="left"/>
      <w:pPr>
        <w:tabs>
          <w:tab w:val="num" w:pos="5040"/>
        </w:tabs>
        <w:ind w:left="5040" w:hanging="360"/>
      </w:pPr>
      <w:rPr>
        <w:rFonts w:ascii="Arial" w:hAnsi="Arial" w:hint="default"/>
      </w:rPr>
    </w:lvl>
    <w:lvl w:ilvl="7" w:tplc="906E639C" w:tentative="1">
      <w:start w:val="1"/>
      <w:numFmt w:val="bullet"/>
      <w:lvlText w:val="•"/>
      <w:lvlJc w:val="left"/>
      <w:pPr>
        <w:tabs>
          <w:tab w:val="num" w:pos="5760"/>
        </w:tabs>
        <w:ind w:left="5760" w:hanging="360"/>
      </w:pPr>
      <w:rPr>
        <w:rFonts w:ascii="Arial" w:hAnsi="Arial" w:hint="default"/>
      </w:rPr>
    </w:lvl>
    <w:lvl w:ilvl="8" w:tplc="CF8845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6A630B"/>
    <w:multiLevelType w:val="hybridMultilevel"/>
    <w:tmpl w:val="CF404102"/>
    <w:lvl w:ilvl="0" w:tplc="65AABD44">
      <w:start w:val="1"/>
      <w:numFmt w:val="bullet"/>
      <w:lvlText w:val="•"/>
      <w:lvlJc w:val="left"/>
      <w:pPr>
        <w:tabs>
          <w:tab w:val="num" w:pos="720"/>
        </w:tabs>
        <w:ind w:left="720" w:hanging="360"/>
      </w:pPr>
      <w:rPr>
        <w:rFonts w:ascii="Arial" w:hAnsi="Arial" w:hint="default"/>
      </w:rPr>
    </w:lvl>
    <w:lvl w:ilvl="1" w:tplc="5B846072" w:tentative="1">
      <w:start w:val="1"/>
      <w:numFmt w:val="bullet"/>
      <w:lvlText w:val="•"/>
      <w:lvlJc w:val="left"/>
      <w:pPr>
        <w:tabs>
          <w:tab w:val="num" w:pos="1440"/>
        </w:tabs>
        <w:ind w:left="1440" w:hanging="360"/>
      </w:pPr>
      <w:rPr>
        <w:rFonts w:ascii="Arial" w:hAnsi="Arial" w:hint="default"/>
      </w:rPr>
    </w:lvl>
    <w:lvl w:ilvl="2" w:tplc="7790359A" w:tentative="1">
      <w:start w:val="1"/>
      <w:numFmt w:val="bullet"/>
      <w:lvlText w:val="•"/>
      <w:lvlJc w:val="left"/>
      <w:pPr>
        <w:tabs>
          <w:tab w:val="num" w:pos="2160"/>
        </w:tabs>
        <w:ind w:left="2160" w:hanging="360"/>
      </w:pPr>
      <w:rPr>
        <w:rFonts w:ascii="Arial" w:hAnsi="Arial" w:hint="default"/>
      </w:rPr>
    </w:lvl>
    <w:lvl w:ilvl="3" w:tplc="A33EFB16" w:tentative="1">
      <w:start w:val="1"/>
      <w:numFmt w:val="bullet"/>
      <w:lvlText w:val="•"/>
      <w:lvlJc w:val="left"/>
      <w:pPr>
        <w:tabs>
          <w:tab w:val="num" w:pos="2880"/>
        </w:tabs>
        <w:ind w:left="2880" w:hanging="360"/>
      </w:pPr>
      <w:rPr>
        <w:rFonts w:ascii="Arial" w:hAnsi="Arial" w:hint="default"/>
      </w:rPr>
    </w:lvl>
    <w:lvl w:ilvl="4" w:tplc="02A001F2" w:tentative="1">
      <w:start w:val="1"/>
      <w:numFmt w:val="bullet"/>
      <w:lvlText w:val="•"/>
      <w:lvlJc w:val="left"/>
      <w:pPr>
        <w:tabs>
          <w:tab w:val="num" w:pos="3600"/>
        </w:tabs>
        <w:ind w:left="3600" w:hanging="360"/>
      </w:pPr>
      <w:rPr>
        <w:rFonts w:ascii="Arial" w:hAnsi="Arial" w:hint="default"/>
      </w:rPr>
    </w:lvl>
    <w:lvl w:ilvl="5" w:tplc="0E145EBA" w:tentative="1">
      <w:start w:val="1"/>
      <w:numFmt w:val="bullet"/>
      <w:lvlText w:val="•"/>
      <w:lvlJc w:val="left"/>
      <w:pPr>
        <w:tabs>
          <w:tab w:val="num" w:pos="4320"/>
        </w:tabs>
        <w:ind w:left="4320" w:hanging="360"/>
      </w:pPr>
      <w:rPr>
        <w:rFonts w:ascii="Arial" w:hAnsi="Arial" w:hint="default"/>
      </w:rPr>
    </w:lvl>
    <w:lvl w:ilvl="6" w:tplc="8ADC8C74" w:tentative="1">
      <w:start w:val="1"/>
      <w:numFmt w:val="bullet"/>
      <w:lvlText w:val="•"/>
      <w:lvlJc w:val="left"/>
      <w:pPr>
        <w:tabs>
          <w:tab w:val="num" w:pos="5040"/>
        </w:tabs>
        <w:ind w:left="5040" w:hanging="360"/>
      </w:pPr>
      <w:rPr>
        <w:rFonts w:ascii="Arial" w:hAnsi="Arial" w:hint="default"/>
      </w:rPr>
    </w:lvl>
    <w:lvl w:ilvl="7" w:tplc="ACC212A6" w:tentative="1">
      <w:start w:val="1"/>
      <w:numFmt w:val="bullet"/>
      <w:lvlText w:val="•"/>
      <w:lvlJc w:val="left"/>
      <w:pPr>
        <w:tabs>
          <w:tab w:val="num" w:pos="5760"/>
        </w:tabs>
        <w:ind w:left="5760" w:hanging="360"/>
      </w:pPr>
      <w:rPr>
        <w:rFonts w:ascii="Arial" w:hAnsi="Arial" w:hint="default"/>
      </w:rPr>
    </w:lvl>
    <w:lvl w:ilvl="8" w:tplc="E4064DE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0C2098"/>
    <w:multiLevelType w:val="hybridMultilevel"/>
    <w:tmpl w:val="3E8A9EAE"/>
    <w:lvl w:ilvl="0" w:tplc="F3E07530">
      <w:start w:val="1"/>
      <w:numFmt w:val="bullet"/>
      <w:lvlText w:val="•"/>
      <w:lvlJc w:val="left"/>
      <w:pPr>
        <w:tabs>
          <w:tab w:val="num" w:pos="720"/>
        </w:tabs>
        <w:ind w:left="720" w:hanging="360"/>
      </w:pPr>
      <w:rPr>
        <w:rFonts w:ascii="Arial" w:hAnsi="Arial" w:hint="default"/>
      </w:rPr>
    </w:lvl>
    <w:lvl w:ilvl="1" w:tplc="32C06B8C" w:tentative="1">
      <w:start w:val="1"/>
      <w:numFmt w:val="bullet"/>
      <w:lvlText w:val="•"/>
      <w:lvlJc w:val="left"/>
      <w:pPr>
        <w:tabs>
          <w:tab w:val="num" w:pos="1440"/>
        </w:tabs>
        <w:ind w:left="1440" w:hanging="360"/>
      </w:pPr>
      <w:rPr>
        <w:rFonts w:ascii="Arial" w:hAnsi="Arial" w:hint="default"/>
      </w:rPr>
    </w:lvl>
    <w:lvl w:ilvl="2" w:tplc="74E02DB8" w:tentative="1">
      <w:start w:val="1"/>
      <w:numFmt w:val="bullet"/>
      <w:lvlText w:val="•"/>
      <w:lvlJc w:val="left"/>
      <w:pPr>
        <w:tabs>
          <w:tab w:val="num" w:pos="2160"/>
        </w:tabs>
        <w:ind w:left="2160" w:hanging="360"/>
      </w:pPr>
      <w:rPr>
        <w:rFonts w:ascii="Arial" w:hAnsi="Arial" w:hint="default"/>
      </w:rPr>
    </w:lvl>
    <w:lvl w:ilvl="3" w:tplc="56F8CABE" w:tentative="1">
      <w:start w:val="1"/>
      <w:numFmt w:val="bullet"/>
      <w:lvlText w:val="•"/>
      <w:lvlJc w:val="left"/>
      <w:pPr>
        <w:tabs>
          <w:tab w:val="num" w:pos="2880"/>
        </w:tabs>
        <w:ind w:left="2880" w:hanging="360"/>
      </w:pPr>
      <w:rPr>
        <w:rFonts w:ascii="Arial" w:hAnsi="Arial" w:hint="default"/>
      </w:rPr>
    </w:lvl>
    <w:lvl w:ilvl="4" w:tplc="735AE56A" w:tentative="1">
      <w:start w:val="1"/>
      <w:numFmt w:val="bullet"/>
      <w:lvlText w:val="•"/>
      <w:lvlJc w:val="left"/>
      <w:pPr>
        <w:tabs>
          <w:tab w:val="num" w:pos="3600"/>
        </w:tabs>
        <w:ind w:left="3600" w:hanging="360"/>
      </w:pPr>
      <w:rPr>
        <w:rFonts w:ascii="Arial" w:hAnsi="Arial" w:hint="default"/>
      </w:rPr>
    </w:lvl>
    <w:lvl w:ilvl="5" w:tplc="968A95C4" w:tentative="1">
      <w:start w:val="1"/>
      <w:numFmt w:val="bullet"/>
      <w:lvlText w:val="•"/>
      <w:lvlJc w:val="left"/>
      <w:pPr>
        <w:tabs>
          <w:tab w:val="num" w:pos="4320"/>
        </w:tabs>
        <w:ind w:left="4320" w:hanging="360"/>
      </w:pPr>
      <w:rPr>
        <w:rFonts w:ascii="Arial" w:hAnsi="Arial" w:hint="default"/>
      </w:rPr>
    </w:lvl>
    <w:lvl w:ilvl="6" w:tplc="0902CE84" w:tentative="1">
      <w:start w:val="1"/>
      <w:numFmt w:val="bullet"/>
      <w:lvlText w:val="•"/>
      <w:lvlJc w:val="left"/>
      <w:pPr>
        <w:tabs>
          <w:tab w:val="num" w:pos="5040"/>
        </w:tabs>
        <w:ind w:left="5040" w:hanging="360"/>
      </w:pPr>
      <w:rPr>
        <w:rFonts w:ascii="Arial" w:hAnsi="Arial" w:hint="default"/>
      </w:rPr>
    </w:lvl>
    <w:lvl w:ilvl="7" w:tplc="568A6D12" w:tentative="1">
      <w:start w:val="1"/>
      <w:numFmt w:val="bullet"/>
      <w:lvlText w:val="•"/>
      <w:lvlJc w:val="left"/>
      <w:pPr>
        <w:tabs>
          <w:tab w:val="num" w:pos="5760"/>
        </w:tabs>
        <w:ind w:left="5760" w:hanging="360"/>
      </w:pPr>
      <w:rPr>
        <w:rFonts w:ascii="Arial" w:hAnsi="Arial" w:hint="default"/>
      </w:rPr>
    </w:lvl>
    <w:lvl w:ilvl="8" w:tplc="B9AEF4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123319"/>
    <w:multiLevelType w:val="hybridMultilevel"/>
    <w:tmpl w:val="EC041C12"/>
    <w:lvl w:ilvl="0" w:tplc="3C6078C2">
      <w:start w:val="1"/>
      <w:numFmt w:val="bullet"/>
      <w:lvlText w:val="•"/>
      <w:lvlJc w:val="left"/>
      <w:pPr>
        <w:tabs>
          <w:tab w:val="num" w:pos="720"/>
        </w:tabs>
        <w:ind w:left="720" w:hanging="360"/>
      </w:pPr>
      <w:rPr>
        <w:rFonts w:ascii="Arial" w:hAnsi="Arial" w:hint="default"/>
      </w:rPr>
    </w:lvl>
    <w:lvl w:ilvl="1" w:tplc="40E8554A" w:tentative="1">
      <w:start w:val="1"/>
      <w:numFmt w:val="bullet"/>
      <w:lvlText w:val="•"/>
      <w:lvlJc w:val="left"/>
      <w:pPr>
        <w:tabs>
          <w:tab w:val="num" w:pos="1440"/>
        </w:tabs>
        <w:ind w:left="1440" w:hanging="360"/>
      </w:pPr>
      <w:rPr>
        <w:rFonts w:ascii="Arial" w:hAnsi="Arial" w:hint="default"/>
      </w:rPr>
    </w:lvl>
    <w:lvl w:ilvl="2" w:tplc="666484C8" w:tentative="1">
      <w:start w:val="1"/>
      <w:numFmt w:val="bullet"/>
      <w:lvlText w:val="•"/>
      <w:lvlJc w:val="left"/>
      <w:pPr>
        <w:tabs>
          <w:tab w:val="num" w:pos="2160"/>
        </w:tabs>
        <w:ind w:left="2160" w:hanging="360"/>
      </w:pPr>
      <w:rPr>
        <w:rFonts w:ascii="Arial" w:hAnsi="Arial" w:hint="default"/>
      </w:rPr>
    </w:lvl>
    <w:lvl w:ilvl="3" w:tplc="8D50C124" w:tentative="1">
      <w:start w:val="1"/>
      <w:numFmt w:val="bullet"/>
      <w:lvlText w:val="•"/>
      <w:lvlJc w:val="left"/>
      <w:pPr>
        <w:tabs>
          <w:tab w:val="num" w:pos="2880"/>
        </w:tabs>
        <w:ind w:left="2880" w:hanging="360"/>
      </w:pPr>
      <w:rPr>
        <w:rFonts w:ascii="Arial" w:hAnsi="Arial" w:hint="default"/>
      </w:rPr>
    </w:lvl>
    <w:lvl w:ilvl="4" w:tplc="330235D6" w:tentative="1">
      <w:start w:val="1"/>
      <w:numFmt w:val="bullet"/>
      <w:lvlText w:val="•"/>
      <w:lvlJc w:val="left"/>
      <w:pPr>
        <w:tabs>
          <w:tab w:val="num" w:pos="3600"/>
        </w:tabs>
        <w:ind w:left="3600" w:hanging="360"/>
      </w:pPr>
      <w:rPr>
        <w:rFonts w:ascii="Arial" w:hAnsi="Arial" w:hint="default"/>
      </w:rPr>
    </w:lvl>
    <w:lvl w:ilvl="5" w:tplc="D76E3B68" w:tentative="1">
      <w:start w:val="1"/>
      <w:numFmt w:val="bullet"/>
      <w:lvlText w:val="•"/>
      <w:lvlJc w:val="left"/>
      <w:pPr>
        <w:tabs>
          <w:tab w:val="num" w:pos="4320"/>
        </w:tabs>
        <w:ind w:left="4320" w:hanging="360"/>
      </w:pPr>
      <w:rPr>
        <w:rFonts w:ascii="Arial" w:hAnsi="Arial" w:hint="default"/>
      </w:rPr>
    </w:lvl>
    <w:lvl w:ilvl="6" w:tplc="686EA0D4" w:tentative="1">
      <w:start w:val="1"/>
      <w:numFmt w:val="bullet"/>
      <w:lvlText w:val="•"/>
      <w:lvlJc w:val="left"/>
      <w:pPr>
        <w:tabs>
          <w:tab w:val="num" w:pos="5040"/>
        </w:tabs>
        <w:ind w:left="5040" w:hanging="360"/>
      </w:pPr>
      <w:rPr>
        <w:rFonts w:ascii="Arial" w:hAnsi="Arial" w:hint="default"/>
      </w:rPr>
    </w:lvl>
    <w:lvl w:ilvl="7" w:tplc="7642355C" w:tentative="1">
      <w:start w:val="1"/>
      <w:numFmt w:val="bullet"/>
      <w:lvlText w:val="•"/>
      <w:lvlJc w:val="left"/>
      <w:pPr>
        <w:tabs>
          <w:tab w:val="num" w:pos="5760"/>
        </w:tabs>
        <w:ind w:left="5760" w:hanging="360"/>
      </w:pPr>
      <w:rPr>
        <w:rFonts w:ascii="Arial" w:hAnsi="Arial" w:hint="default"/>
      </w:rPr>
    </w:lvl>
    <w:lvl w:ilvl="8" w:tplc="68A2AE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953527"/>
    <w:multiLevelType w:val="hybridMultilevel"/>
    <w:tmpl w:val="9E44122C"/>
    <w:lvl w:ilvl="0" w:tplc="AA24A292">
      <w:start w:val="1"/>
      <w:numFmt w:val="bullet"/>
      <w:lvlText w:val="•"/>
      <w:lvlJc w:val="left"/>
      <w:pPr>
        <w:tabs>
          <w:tab w:val="num" w:pos="720"/>
        </w:tabs>
        <w:ind w:left="720" w:hanging="360"/>
      </w:pPr>
      <w:rPr>
        <w:rFonts w:ascii="Arial" w:hAnsi="Arial" w:hint="default"/>
      </w:rPr>
    </w:lvl>
    <w:lvl w:ilvl="1" w:tplc="2E5CFE08" w:tentative="1">
      <w:start w:val="1"/>
      <w:numFmt w:val="bullet"/>
      <w:lvlText w:val="•"/>
      <w:lvlJc w:val="left"/>
      <w:pPr>
        <w:tabs>
          <w:tab w:val="num" w:pos="1440"/>
        </w:tabs>
        <w:ind w:left="1440" w:hanging="360"/>
      </w:pPr>
      <w:rPr>
        <w:rFonts w:ascii="Arial" w:hAnsi="Arial" w:hint="default"/>
      </w:rPr>
    </w:lvl>
    <w:lvl w:ilvl="2" w:tplc="31FE362E" w:tentative="1">
      <w:start w:val="1"/>
      <w:numFmt w:val="bullet"/>
      <w:lvlText w:val="•"/>
      <w:lvlJc w:val="left"/>
      <w:pPr>
        <w:tabs>
          <w:tab w:val="num" w:pos="2160"/>
        </w:tabs>
        <w:ind w:left="2160" w:hanging="360"/>
      </w:pPr>
      <w:rPr>
        <w:rFonts w:ascii="Arial" w:hAnsi="Arial" w:hint="default"/>
      </w:rPr>
    </w:lvl>
    <w:lvl w:ilvl="3" w:tplc="125E12CA" w:tentative="1">
      <w:start w:val="1"/>
      <w:numFmt w:val="bullet"/>
      <w:lvlText w:val="•"/>
      <w:lvlJc w:val="left"/>
      <w:pPr>
        <w:tabs>
          <w:tab w:val="num" w:pos="2880"/>
        </w:tabs>
        <w:ind w:left="2880" w:hanging="360"/>
      </w:pPr>
      <w:rPr>
        <w:rFonts w:ascii="Arial" w:hAnsi="Arial" w:hint="default"/>
      </w:rPr>
    </w:lvl>
    <w:lvl w:ilvl="4" w:tplc="1BDC2CB8" w:tentative="1">
      <w:start w:val="1"/>
      <w:numFmt w:val="bullet"/>
      <w:lvlText w:val="•"/>
      <w:lvlJc w:val="left"/>
      <w:pPr>
        <w:tabs>
          <w:tab w:val="num" w:pos="3600"/>
        </w:tabs>
        <w:ind w:left="3600" w:hanging="360"/>
      </w:pPr>
      <w:rPr>
        <w:rFonts w:ascii="Arial" w:hAnsi="Arial" w:hint="default"/>
      </w:rPr>
    </w:lvl>
    <w:lvl w:ilvl="5" w:tplc="1E446BA6" w:tentative="1">
      <w:start w:val="1"/>
      <w:numFmt w:val="bullet"/>
      <w:lvlText w:val="•"/>
      <w:lvlJc w:val="left"/>
      <w:pPr>
        <w:tabs>
          <w:tab w:val="num" w:pos="4320"/>
        </w:tabs>
        <w:ind w:left="4320" w:hanging="360"/>
      </w:pPr>
      <w:rPr>
        <w:rFonts w:ascii="Arial" w:hAnsi="Arial" w:hint="default"/>
      </w:rPr>
    </w:lvl>
    <w:lvl w:ilvl="6" w:tplc="547EE826" w:tentative="1">
      <w:start w:val="1"/>
      <w:numFmt w:val="bullet"/>
      <w:lvlText w:val="•"/>
      <w:lvlJc w:val="left"/>
      <w:pPr>
        <w:tabs>
          <w:tab w:val="num" w:pos="5040"/>
        </w:tabs>
        <w:ind w:left="5040" w:hanging="360"/>
      </w:pPr>
      <w:rPr>
        <w:rFonts w:ascii="Arial" w:hAnsi="Arial" w:hint="default"/>
      </w:rPr>
    </w:lvl>
    <w:lvl w:ilvl="7" w:tplc="8AA8DF94" w:tentative="1">
      <w:start w:val="1"/>
      <w:numFmt w:val="bullet"/>
      <w:lvlText w:val="•"/>
      <w:lvlJc w:val="left"/>
      <w:pPr>
        <w:tabs>
          <w:tab w:val="num" w:pos="5760"/>
        </w:tabs>
        <w:ind w:left="5760" w:hanging="360"/>
      </w:pPr>
      <w:rPr>
        <w:rFonts w:ascii="Arial" w:hAnsi="Arial" w:hint="default"/>
      </w:rPr>
    </w:lvl>
    <w:lvl w:ilvl="8" w:tplc="DD2C6B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F47FC6"/>
    <w:multiLevelType w:val="hybridMultilevel"/>
    <w:tmpl w:val="4DB69AF0"/>
    <w:lvl w:ilvl="0" w:tplc="57282F94">
      <w:start w:val="1"/>
      <w:numFmt w:val="bullet"/>
      <w:lvlText w:val="•"/>
      <w:lvlJc w:val="left"/>
      <w:pPr>
        <w:tabs>
          <w:tab w:val="num" w:pos="720"/>
        </w:tabs>
        <w:ind w:left="720" w:hanging="360"/>
      </w:pPr>
      <w:rPr>
        <w:rFonts w:ascii="Arial" w:hAnsi="Arial" w:hint="default"/>
      </w:rPr>
    </w:lvl>
    <w:lvl w:ilvl="1" w:tplc="9C38BF32" w:tentative="1">
      <w:start w:val="1"/>
      <w:numFmt w:val="bullet"/>
      <w:lvlText w:val="•"/>
      <w:lvlJc w:val="left"/>
      <w:pPr>
        <w:tabs>
          <w:tab w:val="num" w:pos="1440"/>
        </w:tabs>
        <w:ind w:left="1440" w:hanging="360"/>
      </w:pPr>
      <w:rPr>
        <w:rFonts w:ascii="Arial" w:hAnsi="Arial" w:hint="default"/>
      </w:rPr>
    </w:lvl>
    <w:lvl w:ilvl="2" w:tplc="7A10337A" w:tentative="1">
      <w:start w:val="1"/>
      <w:numFmt w:val="bullet"/>
      <w:lvlText w:val="•"/>
      <w:lvlJc w:val="left"/>
      <w:pPr>
        <w:tabs>
          <w:tab w:val="num" w:pos="2160"/>
        </w:tabs>
        <w:ind w:left="2160" w:hanging="360"/>
      </w:pPr>
      <w:rPr>
        <w:rFonts w:ascii="Arial" w:hAnsi="Arial" w:hint="default"/>
      </w:rPr>
    </w:lvl>
    <w:lvl w:ilvl="3" w:tplc="178C9AC0" w:tentative="1">
      <w:start w:val="1"/>
      <w:numFmt w:val="bullet"/>
      <w:lvlText w:val="•"/>
      <w:lvlJc w:val="left"/>
      <w:pPr>
        <w:tabs>
          <w:tab w:val="num" w:pos="2880"/>
        </w:tabs>
        <w:ind w:left="2880" w:hanging="360"/>
      </w:pPr>
      <w:rPr>
        <w:rFonts w:ascii="Arial" w:hAnsi="Arial" w:hint="default"/>
      </w:rPr>
    </w:lvl>
    <w:lvl w:ilvl="4" w:tplc="2EC0F292" w:tentative="1">
      <w:start w:val="1"/>
      <w:numFmt w:val="bullet"/>
      <w:lvlText w:val="•"/>
      <w:lvlJc w:val="left"/>
      <w:pPr>
        <w:tabs>
          <w:tab w:val="num" w:pos="3600"/>
        </w:tabs>
        <w:ind w:left="3600" w:hanging="360"/>
      </w:pPr>
      <w:rPr>
        <w:rFonts w:ascii="Arial" w:hAnsi="Arial" w:hint="default"/>
      </w:rPr>
    </w:lvl>
    <w:lvl w:ilvl="5" w:tplc="95E02B5A" w:tentative="1">
      <w:start w:val="1"/>
      <w:numFmt w:val="bullet"/>
      <w:lvlText w:val="•"/>
      <w:lvlJc w:val="left"/>
      <w:pPr>
        <w:tabs>
          <w:tab w:val="num" w:pos="4320"/>
        </w:tabs>
        <w:ind w:left="4320" w:hanging="360"/>
      </w:pPr>
      <w:rPr>
        <w:rFonts w:ascii="Arial" w:hAnsi="Arial" w:hint="default"/>
      </w:rPr>
    </w:lvl>
    <w:lvl w:ilvl="6" w:tplc="9D541A30" w:tentative="1">
      <w:start w:val="1"/>
      <w:numFmt w:val="bullet"/>
      <w:lvlText w:val="•"/>
      <w:lvlJc w:val="left"/>
      <w:pPr>
        <w:tabs>
          <w:tab w:val="num" w:pos="5040"/>
        </w:tabs>
        <w:ind w:left="5040" w:hanging="360"/>
      </w:pPr>
      <w:rPr>
        <w:rFonts w:ascii="Arial" w:hAnsi="Arial" w:hint="default"/>
      </w:rPr>
    </w:lvl>
    <w:lvl w:ilvl="7" w:tplc="EE7227AC" w:tentative="1">
      <w:start w:val="1"/>
      <w:numFmt w:val="bullet"/>
      <w:lvlText w:val="•"/>
      <w:lvlJc w:val="left"/>
      <w:pPr>
        <w:tabs>
          <w:tab w:val="num" w:pos="5760"/>
        </w:tabs>
        <w:ind w:left="5760" w:hanging="360"/>
      </w:pPr>
      <w:rPr>
        <w:rFonts w:ascii="Arial" w:hAnsi="Arial" w:hint="default"/>
      </w:rPr>
    </w:lvl>
    <w:lvl w:ilvl="8" w:tplc="484AAF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BD2955"/>
    <w:multiLevelType w:val="hybridMultilevel"/>
    <w:tmpl w:val="27DEF962"/>
    <w:lvl w:ilvl="0" w:tplc="FFFFFFFF">
      <w:start w:val="1"/>
      <w:numFmt w:val="bullet"/>
      <w:pStyle w:val="spaced6"/>
      <w:lvlText w:val="•"/>
      <w:lvlJc w:val="left"/>
      <w:pPr>
        <w:tabs>
          <w:tab w:val="num" w:pos="720"/>
        </w:tabs>
        <w:ind w:left="720" w:hanging="360"/>
      </w:pPr>
      <w:rPr>
        <w:rFonts w:ascii="Arial" w:hAnsi="Arial" w:hint="default"/>
      </w:rPr>
    </w:lvl>
    <w:lvl w:ilvl="1" w:tplc="710C5800">
      <w:start w:val="1"/>
      <w:numFmt w:val="bullet"/>
      <w:lvlText w:val="•"/>
      <w:lvlJc w:val="left"/>
      <w:pPr>
        <w:tabs>
          <w:tab w:val="num" w:pos="1440"/>
        </w:tabs>
        <w:ind w:left="1440" w:hanging="360"/>
      </w:pPr>
      <w:rPr>
        <w:rFonts w:ascii="Arial" w:hAnsi="Arial" w:hint="default"/>
      </w:rPr>
    </w:lvl>
    <w:lvl w:ilvl="2" w:tplc="7A9E675E">
      <w:start w:val="1"/>
      <w:numFmt w:val="bullet"/>
      <w:lvlText w:val="•"/>
      <w:lvlJc w:val="left"/>
      <w:pPr>
        <w:tabs>
          <w:tab w:val="num" w:pos="2160"/>
        </w:tabs>
        <w:ind w:left="2160" w:hanging="360"/>
      </w:pPr>
      <w:rPr>
        <w:rFonts w:ascii="Arial" w:hAnsi="Arial" w:hint="default"/>
      </w:rPr>
    </w:lvl>
    <w:lvl w:ilvl="3" w:tplc="F7E828DC" w:tentative="1">
      <w:start w:val="1"/>
      <w:numFmt w:val="bullet"/>
      <w:lvlText w:val="•"/>
      <w:lvlJc w:val="left"/>
      <w:pPr>
        <w:tabs>
          <w:tab w:val="num" w:pos="2880"/>
        </w:tabs>
        <w:ind w:left="2880" w:hanging="360"/>
      </w:pPr>
      <w:rPr>
        <w:rFonts w:ascii="Arial" w:hAnsi="Arial" w:hint="default"/>
      </w:rPr>
    </w:lvl>
    <w:lvl w:ilvl="4" w:tplc="C3AAF986" w:tentative="1">
      <w:start w:val="1"/>
      <w:numFmt w:val="bullet"/>
      <w:lvlText w:val="•"/>
      <w:lvlJc w:val="left"/>
      <w:pPr>
        <w:tabs>
          <w:tab w:val="num" w:pos="3600"/>
        </w:tabs>
        <w:ind w:left="3600" w:hanging="360"/>
      </w:pPr>
      <w:rPr>
        <w:rFonts w:ascii="Arial" w:hAnsi="Arial" w:hint="default"/>
      </w:rPr>
    </w:lvl>
    <w:lvl w:ilvl="5" w:tplc="2EAE1716" w:tentative="1">
      <w:start w:val="1"/>
      <w:numFmt w:val="bullet"/>
      <w:lvlText w:val="•"/>
      <w:lvlJc w:val="left"/>
      <w:pPr>
        <w:tabs>
          <w:tab w:val="num" w:pos="4320"/>
        </w:tabs>
        <w:ind w:left="4320" w:hanging="360"/>
      </w:pPr>
      <w:rPr>
        <w:rFonts w:ascii="Arial" w:hAnsi="Arial" w:hint="default"/>
      </w:rPr>
    </w:lvl>
    <w:lvl w:ilvl="6" w:tplc="F602351C" w:tentative="1">
      <w:start w:val="1"/>
      <w:numFmt w:val="bullet"/>
      <w:lvlText w:val="•"/>
      <w:lvlJc w:val="left"/>
      <w:pPr>
        <w:tabs>
          <w:tab w:val="num" w:pos="5040"/>
        </w:tabs>
        <w:ind w:left="5040" w:hanging="360"/>
      </w:pPr>
      <w:rPr>
        <w:rFonts w:ascii="Arial" w:hAnsi="Arial" w:hint="default"/>
      </w:rPr>
    </w:lvl>
    <w:lvl w:ilvl="7" w:tplc="C7685BC2" w:tentative="1">
      <w:start w:val="1"/>
      <w:numFmt w:val="bullet"/>
      <w:lvlText w:val="•"/>
      <w:lvlJc w:val="left"/>
      <w:pPr>
        <w:tabs>
          <w:tab w:val="num" w:pos="5760"/>
        </w:tabs>
        <w:ind w:left="5760" w:hanging="360"/>
      </w:pPr>
      <w:rPr>
        <w:rFonts w:ascii="Arial" w:hAnsi="Arial" w:hint="default"/>
      </w:rPr>
    </w:lvl>
    <w:lvl w:ilvl="8" w:tplc="763AF8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571822"/>
    <w:multiLevelType w:val="hybridMultilevel"/>
    <w:tmpl w:val="111A8B7A"/>
    <w:lvl w:ilvl="0" w:tplc="6EF895FE">
      <w:start w:val="1"/>
      <w:numFmt w:val="bullet"/>
      <w:lvlText w:val="•"/>
      <w:lvlJc w:val="left"/>
      <w:pPr>
        <w:tabs>
          <w:tab w:val="num" w:pos="720"/>
        </w:tabs>
        <w:ind w:left="720" w:hanging="360"/>
      </w:pPr>
      <w:rPr>
        <w:rFonts w:ascii="Arial" w:hAnsi="Arial" w:hint="default"/>
      </w:rPr>
    </w:lvl>
    <w:lvl w:ilvl="1" w:tplc="B8D2F3EC" w:tentative="1">
      <w:start w:val="1"/>
      <w:numFmt w:val="bullet"/>
      <w:lvlText w:val="•"/>
      <w:lvlJc w:val="left"/>
      <w:pPr>
        <w:tabs>
          <w:tab w:val="num" w:pos="1440"/>
        </w:tabs>
        <w:ind w:left="1440" w:hanging="360"/>
      </w:pPr>
      <w:rPr>
        <w:rFonts w:ascii="Arial" w:hAnsi="Arial" w:hint="default"/>
      </w:rPr>
    </w:lvl>
    <w:lvl w:ilvl="2" w:tplc="6C6A8ECE" w:tentative="1">
      <w:start w:val="1"/>
      <w:numFmt w:val="bullet"/>
      <w:lvlText w:val="•"/>
      <w:lvlJc w:val="left"/>
      <w:pPr>
        <w:tabs>
          <w:tab w:val="num" w:pos="2160"/>
        </w:tabs>
        <w:ind w:left="2160" w:hanging="360"/>
      </w:pPr>
      <w:rPr>
        <w:rFonts w:ascii="Arial" w:hAnsi="Arial" w:hint="default"/>
      </w:rPr>
    </w:lvl>
    <w:lvl w:ilvl="3" w:tplc="FFE0CB5C" w:tentative="1">
      <w:start w:val="1"/>
      <w:numFmt w:val="bullet"/>
      <w:lvlText w:val="•"/>
      <w:lvlJc w:val="left"/>
      <w:pPr>
        <w:tabs>
          <w:tab w:val="num" w:pos="2880"/>
        </w:tabs>
        <w:ind w:left="2880" w:hanging="360"/>
      </w:pPr>
      <w:rPr>
        <w:rFonts w:ascii="Arial" w:hAnsi="Arial" w:hint="default"/>
      </w:rPr>
    </w:lvl>
    <w:lvl w:ilvl="4" w:tplc="3474D3DE" w:tentative="1">
      <w:start w:val="1"/>
      <w:numFmt w:val="bullet"/>
      <w:lvlText w:val="•"/>
      <w:lvlJc w:val="left"/>
      <w:pPr>
        <w:tabs>
          <w:tab w:val="num" w:pos="3600"/>
        </w:tabs>
        <w:ind w:left="3600" w:hanging="360"/>
      </w:pPr>
      <w:rPr>
        <w:rFonts w:ascii="Arial" w:hAnsi="Arial" w:hint="default"/>
      </w:rPr>
    </w:lvl>
    <w:lvl w:ilvl="5" w:tplc="943C29B0" w:tentative="1">
      <w:start w:val="1"/>
      <w:numFmt w:val="bullet"/>
      <w:lvlText w:val="•"/>
      <w:lvlJc w:val="left"/>
      <w:pPr>
        <w:tabs>
          <w:tab w:val="num" w:pos="4320"/>
        </w:tabs>
        <w:ind w:left="4320" w:hanging="360"/>
      </w:pPr>
      <w:rPr>
        <w:rFonts w:ascii="Arial" w:hAnsi="Arial" w:hint="default"/>
      </w:rPr>
    </w:lvl>
    <w:lvl w:ilvl="6" w:tplc="8EC839CA" w:tentative="1">
      <w:start w:val="1"/>
      <w:numFmt w:val="bullet"/>
      <w:lvlText w:val="•"/>
      <w:lvlJc w:val="left"/>
      <w:pPr>
        <w:tabs>
          <w:tab w:val="num" w:pos="5040"/>
        </w:tabs>
        <w:ind w:left="5040" w:hanging="360"/>
      </w:pPr>
      <w:rPr>
        <w:rFonts w:ascii="Arial" w:hAnsi="Arial" w:hint="default"/>
      </w:rPr>
    </w:lvl>
    <w:lvl w:ilvl="7" w:tplc="6194EB8C" w:tentative="1">
      <w:start w:val="1"/>
      <w:numFmt w:val="bullet"/>
      <w:lvlText w:val="•"/>
      <w:lvlJc w:val="left"/>
      <w:pPr>
        <w:tabs>
          <w:tab w:val="num" w:pos="5760"/>
        </w:tabs>
        <w:ind w:left="5760" w:hanging="360"/>
      </w:pPr>
      <w:rPr>
        <w:rFonts w:ascii="Arial" w:hAnsi="Arial" w:hint="default"/>
      </w:rPr>
    </w:lvl>
    <w:lvl w:ilvl="8" w:tplc="1862BAD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F53FB3"/>
    <w:multiLevelType w:val="hybridMultilevel"/>
    <w:tmpl w:val="DAA6C34C"/>
    <w:lvl w:ilvl="0" w:tplc="AE2C567E">
      <w:start w:val="1"/>
      <w:numFmt w:val="bullet"/>
      <w:lvlText w:val="•"/>
      <w:lvlJc w:val="left"/>
      <w:pPr>
        <w:tabs>
          <w:tab w:val="num" w:pos="720"/>
        </w:tabs>
        <w:ind w:left="720" w:hanging="360"/>
      </w:pPr>
      <w:rPr>
        <w:rFonts w:ascii="Arial" w:hAnsi="Arial" w:hint="default"/>
      </w:rPr>
    </w:lvl>
    <w:lvl w:ilvl="1" w:tplc="843426A2" w:tentative="1">
      <w:start w:val="1"/>
      <w:numFmt w:val="bullet"/>
      <w:lvlText w:val="•"/>
      <w:lvlJc w:val="left"/>
      <w:pPr>
        <w:tabs>
          <w:tab w:val="num" w:pos="1440"/>
        </w:tabs>
        <w:ind w:left="1440" w:hanging="360"/>
      </w:pPr>
      <w:rPr>
        <w:rFonts w:ascii="Arial" w:hAnsi="Arial" w:hint="default"/>
      </w:rPr>
    </w:lvl>
    <w:lvl w:ilvl="2" w:tplc="6556FDBE" w:tentative="1">
      <w:start w:val="1"/>
      <w:numFmt w:val="bullet"/>
      <w:lvlText w:val="•"/>
      <w:lvlJc w:val="left"/>
      <w:pPr>
        <w:tabs>
          <w:tab w:val="num" w:pos="2160"/>
        </w:tabs>
        <w:ind w:left="2160" w:hanging="360"/>
      </w:pPr>
      <w:rPr>
        <w:rFonts w:ascii="Arial" w:hAnsi="Arial" w:hint="default"/>
      </w:rPr>
    </w:lvl>
    <w:lvl w:ilvl="3" w:tplc="0CC2F46C" w:tentative="1">
      <w:start w:val="1"/>
      <w:numFmt w:val="bullet"/>
      <w:lvlText w:val="•"/>
      <w:lvlJc w:val="left"/>
      <w:pPr>
        <w:tabs>
          <w:tab w:val="num" w:pos="2880"/>
        </w:tabs>
        <w:ind w:left="2880" w:hanging="360"/>
      </w:pPr>
      <w:rPr>
        <w:rFonts w:ascii="Arial" w:hAnsi="Arial" w:hint="default"/>
      </w:rPr>
    </w:lvl>
    <w:lvl w:ilvl="4" w:tplc="9D9C1AEA" w:tentative="1">
      <w:start w:val="1"/>
      <w:numFmt w:val="bullet"/>
      <w:lvlText w:val="•"/>
      <w:lvlJc w:val="left"/>
      <w:pPr>
        <w:tabs>
          <w:tab w:val="num" w:pos="3600"/>
        </w:tabs>
        <w:ind w:left="3600" w:hanging="360"/>
      </w:pPr>
      <w:rPr>
        <w:rFonts w:ascii="Arial" w:hAnsi="Arial" w:hint="default"/>
      </w:rPr>
    </w:lvl>
    <w:lvl w:ilvl="5" w:tplc="F6B8A0D2" w:tentative="1">
      <w:start w:val="1"/>
      <w:numFmt w:val="bullet"/>
      <w:lvlText w:val="•"/>
      <w:lvlJc w:val="left"/>
      <w:pPr>
        <w:tabs>
          <w:tab w:val="num" w:pos="4320"/>
        </w:tabs>
        <w:ind w:left="4320" w:hanging="360"/>
      </w:pPr>
      <w:rPr>
        <w:rFonts w:ascii="Arial" w:hAnsi="Arial" w:hint="default"/>
      </w:rPr>
    </w:lvl>
    <w:lvl w:ilvl="6" w:tplc="0B8A2CEE" w:tentative="1">
      <w:start w:val="1"/>
      <w:numFmt w:val="bullet"/>
      <w:lvlText w:val="•"/>
      <w:lvlJc w:val="left"/>
      <w:pPr>
        <w:tabs>
          <w:tab w:val="num" w:pos="5040"/>
        </w:tabs>
        <w:ind w:left="5040" w:hanging="360"/>
      </w:pPr>
      <w:rPr>
        <w:rFonts w:ascii="Arial" w:hAnsi="Arial" w:hint="default"/>
      </w:rPr>
    </w:lvl>
    <w:lvl w:ilvl="7" w:tplc="F69E94F4" w:tentative="1">
      <w:start w:val="1"/>
      <w:numFmt w:val="bullet"/>
      <w:lvlText w:val="•"/>
      <w:lvlJc w:val="left"/>
      <w:pPr>
        <w:tabs>
          <w:tab w:val="num" w:pos="5760"/>
        </w:tabs>
        <w:ind w:left="5760" w:hanging="360"/>
      </w:pPr>
      <w:rPr>
        <w:rFonts w:ascii="Arial" w:hAnsi="Arial" w:hint="default"/>
      </w:rPr>
    </w:lvl>
    <w:lvl w:ilvl="8" w:tplc="DA9C0AB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065010"/>
    <w:multiLevelType w:val="hybridMultilevel"/>
    <w:tmpl w:val="86F27130"/>
    <w:lvl w:ilvl="0" w:tplc="ABE28556">
      <w:start w:val="1"/>
      <w:numFmt w:val="bullet"/>
      <w:lvlText w:val=""/>
      <w:lvlJc w:val="left"/>
      <w:pPr>
        <w:tabs>
          <w:tab w:val="num" w:pos="720"/>
        </w:tabs>
        <w:ind w:left="720" w:hanging="360"/>
      </w:pPr>
      <w:rPr>
        <w:rFonts w:ascii="Symbol" w:hAnsi="Symbol" w:hint="default"/>
      </w:rPr>
    </w:lvl>
    <w:lvl w:ilvl="1" w:tplc="CF2C5400" w:tentative="1">
      <w:start w:val="1"/>
      <w:numFmt w:val="bullet"/>
      <w:lvlText w:val=""/>
      <w:lvlJc w:val="left"/>
      <w:pPr>
        <w:tabs>
          <w:tab w:val="num" w:pos="1440"/>
        </w:tabs>
        <w:ind w:left="1440" w:hanging="360"/>
      </w:pPr>
      <w:rPr>
        <w:rFonts w:ascii="Symbol" w:hAnsi="Symbol" w:hint="default"/>
      </w:rPr>
    </w:lvl>
    <w:lvl w:ilvl="2" w:tplc="1DFEE2BC" w:tentative="1">
      <w:start w:val="1"/>
      <w:numFmt w:val="bullet"/>
      <w:lvlText w:val=""/>
      <w:lvlJc w:val="left"/>
      <w:pPr>
        <w:tabs>
          <w:tab w:val="num" w:pos="2160"/>
        </w:tabs>
        <w:ind w:left="2160" w:hanging="360"/>
      </w:pPr>
      <w:rPr>
        <w:rFonts w:ascii="Symbol" w:hAnsi="Symbol" w:hint="default"/>
      </w:rPr>
    </w:lvl>
    <w:lvl w:ilvl="3" w:tplc="F73A120C" w:tentative="1">
      <w:start w:val="1"/>
      <w:numFmt w:val="bullet"/>
      <w:lvlText w:val=""/>
      <w:lvlJc w:val="left"/>
      <w:pPr>
        <w:tabs>
          <w:tab w:val="num" w:pos="2880"/>
        </w:tabs>
        <w:ind w:left="2880" w:hanging="360"/>
      </w:pPr>
      <w:rPr>
        <w:rFonts w:ascii="Symbol" w:hAnsi="Symbol" w:hint="default"/>
      </w:rPr>
    </w:lvl>
    <w:lvl w:ilvl="4" w:tplc="C5D88AC8" w:tentative="1">
      <w:start w:val="1"/>
      <w:numFmt w:val="bullet"/>
      <w:lvlText w:val=""/>
      <w:lvlJc w:val="left"/>
      <w:pPr>
        <w:tabs>
          <w:tab w:val="num" w:pos="3600"/>
        </w:tabs>
        <w:ind w:left="3600" w:hanging="360"/>
      </w:pPr>
      <w:rPr>
        <w:rFonts w:ascii="Symbol" w:hAnsi="Symbol" w:hint="default"/>
      </w:rPr>
    </w:lvl>
    <w:lvl w:ilvl="5" w:tplc="82A8CADA" w:tentative="1">
      <w:start w:val="1"/>
      <w:numFmt w:val="bullet"/>
      <w:lvlText w:val=""/>
      <w:lvlJc w:val="left"/>
      <w:pPr>
        <w:tabs>
          <w:tab w:val="num" w:pos="4320"/>
        </w:tabs>
        <w:ind w:left="4320" w:hanging="360"/>
      </w:pPr>
      <w:rPr>
        <w:rFonts w:ascii="Symbol" w:hAnsi="Symbol" w:hint="default"/>
      </w:rPr>
    </w:lvl>
    <w:lvl w:ilvl="6" w:tplc="9BB04300" w:tentative="1">
      <w:start w:val="1"/>
      <w:numFmt w:val="bullet"/>
      <w:lvlText w:val=""/>
      <w:lvlJc w:val="left"/>
      <w:pPr>
        <w:tabs>
          <w:tab w:val="num" w:pos="5040"/>
        </w:tabs>
        <w:ind w:left="5040" w:hanging="360"/>
      </w:pPr>
      <w:rPr>
        <w:rFonts w:ascii="Symbol" w:hAnsi="Symbol" w:hint="default"/>
      </w:rPr>
    </w:lvl>
    <w:lvl w:ilvl="7" w:tplc="CD641E30" w:tentative="1">
      <w:start w:val="1"/>
      <w:numFmt w:val="bullet"/>
      <w:lvlText w:val=""/>
      <w:lvlJc w:val="left"/>
      <w:pPr>
        <w:tabs>
          <w:tab w:val="num" w:pos="5760"/>
        </w:tabs>
        <w:ind w:left="5760" w:hanging="360"/>
      </w:pPr>
      <w:rPr>
        <w:rFonts w:ascii="Symbol" w:hAnsi="Symbol" w:hint="default"/>
      </w:rPr>
    </w:lvl>
    <w:lvl w:ilvl="8" w:tplc="8C20124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A4071C"/>
    <w:multiLevelType w:val="hybridMultilevel"/>
    <w:tmpl w:val="F2067CF8"/>
    <w:lvl w:ilvl="0" w:tplc="A0FC8B24">
      <w:start w:val="1"/>
      <w:numFmt w:val="bullet"/>
      <w:lvlText w:val="•"/>
      <w:lvlJc w:val="left"/>
      <w:pPr>
        <w:tabs>
          <w:tab w:val="num" w:pos="720"/>
        </w:tabs>
        <w:ind w:left="720" w:hanging="360"/>
      </w:pPr>
      <w:rPr>
        <w:rFonts w:ascii="Arial" w:hAnsi="Arial" w:hint="default"/>
      </w:rPr>
    </w:lvl>
    <w:lvl w:ilvl="1" w:tplc="679E71EE" w:tentative="1">
      <w:start w:val="1"/>
      <w:numFmt w:val="bullet"/>
      <w:lvlText w:val="•"/>
      <w:lvlJc w:val="left"/>
      <w:pPr>
        <w:tabs>
          <w:tab w:val="num" w:pos="1440"/>
        </w:tabs>
        <w:ind w:left="1440" w:hanging="360"/>
      </w:pPr>
      <w:rPr>
        <w:rFonts w:ascii="Arial" w:hAnsi="Arial" w:hint="default"/>
      </w:rPr>
    </w:lvl>
    <w:lvl w:ilvl="2" w:tplc="3A4CC850" w:tentative="1">
      <w:start w:val="1"/>
      <w:numFmt w:val="bullet"/>
      <w:lvlText w:val="•"/>
      <w:lvlJc w:val="left"/>
      <w:pPr>
        <w:tabs>
          <w:tab w:val="num" w:pos="2160"/>
        </w:tabs>
        <w:ind w:left="2160" w:hanging="360"/>
      </w:pPr>
      <w:rPr>
        <w:rFonts w:ascii="Arial" w:hAnsi="Arial" w:hint="default"/>
      </w:rPr>
    </w:lvl>
    <w:lvl w:ilvl="3" w:tplc="3A8CA0CC" w:tentative="1">
      <w:start w:val="1"/>
      <w:numFmt w:val="bullet"/>
      <w:lvlText w:val="•"/>
      <w:lvlJc w:val="left"/>
      <w:pPr>
        <w:tabs>
          <w:tab w:val="num" w:pos="2880"/>
        </w:tabs>
        <w:ind w:left="2880" w:hanging="360"/>
      </w:pPr>
      <w:rPr>
        <w:rFonts w:ascii="Arial" w:hAnsi="Arial" w:hint="default"/>
      </w:rPr>
    </w:lvl>
    <w:lvl w:ilvl="4" w:tplc="610A5988" w:tentative="1">
      <w:start w:val="1"/>
      <w:numFmt w:val="bullet"/>
      <w:lvlText w:val="•"/>
      <w:lvlJc w:val="left"/>
      <w:pPr>
        <w:tabs>
          <w:tab w:val="num" w:pos="3600"/>
        </w:tabs>
        <w:ind w:left="3600" w:hanging="360"/>
      </w:pPr>
      <w:rPr>
        <w:rFonts w:ascii="Arial" w:hAnsi="Arial" w:hint="default"/>
      </w:rPr>
    </w:lvl>
    <w:lvl w:ilvl="5" w:tplc="173A4C2E" w:tentative="1">
      <w:start w:val="1"/>
      <w:numFmt w:val="bullet"/>
      <w:lvlText w:val="•"/>
      <w:lvlJc w:val="left"/>
      <w:pPr>
        <w:tabs>
          <w:tab w:val="num" w:pos="4320"/>
        </w:tabs>
        <w:ind w:left="4320" w:hanging="360"/>
      </w:pPr>
      <w:rPr>
        <w:rFonts w:ascii="Arial" w:hAnsi="Arial" w:hint="default"/>
      </w:rPr>
    </w:lvl>
    <w:lvl w:ilvl="6" w:tplc="FB7C8F34" w:tentative="1">
      <w:start w:val="1"/>
      <w:numFmt w:val="bullet"/>
      <w:lvlText w:val="•"/>
      <w:lvlJc w:val="left"/>
      <w:pPr>
        <w:tabs>
          <w:tab w:val="num" w:pos="5040"/>
        </w:tabs>
        <w:ind w:left="5040" w:hanging="360"/>
      </w:pPr>
      <w:rPr>
        <w:rFonts w:ascii="Arial" w:hAnsi="Arial" w:hint="default"/>
      </w:rPr>
    </w:lvl>
    <w:lvl w:ilvl="7" w:tplc="2E5E34EE" w:tentative="1">
      <w:start w:val="1"/>
      <w:numFmt w:val="bullet"/>
      <w:lvlText w:val="•"/>
      <w:lvlJc w:val="left"/>
      <w:pPr>
        <w:tabs>
          <w:tab w:val="num" w:pos="5760"/>
        </w:tabs>
        <w:ind w:left="5760" w:hanging="360"/>
      </w:pPr>
      <w:rPr>
        <w:rFonts w:ascii="Arial" w:hAnsi="Arial" w:hint="default"/>
      </w:rPr>
    </w:lvl>
    <w:lvl w:ilvl="8" w:tplc="DE5055F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E96C41"/>
    <w:multiLevelType w:val="hybridMultilevel"/>
    <w:tmpl w:val="903261F2"/>
    <w:lvl w:ilvl="0" w:tplc="098470DC">
      <w:start w:val="1"/>
      <w:numFmt w:val="bullet"/>
      <w:lvlText w:val="•"/>
      <w:lvlJc w:val="left"/>
      <w:pPr>
        <w:tabs>
          <w:tab w:val="num" w:pos="720"/>
        </w:tabs>
        <w:ind w:left="720" w:hanging="360"/>
      </w:pPr>
      <w:rPr>
        <w:rFonts w:ascii="Arial" w:hAnsi="Arial" w:hint="default"/>
      </w:rPr>
    </w:lvl>
    <w:lvl w:ilvl="1" w:tplc="26AAA1C6" w:tentative="1">
      <w:start w:val="1"/>
      <w:numFmt w:val="bullet"/>
      <w:lvlText w:val="•"/>
      <w:lvlJc w:val="left"/>
      <w:pPr>
        <w:tabs>
          <w:tab w:val="num" w:pos="1440"/>
        </w:tabs>
        <w:ind w:left="1440" w:hanging="360"/>
      </w:pPr>
      <w:rPr>
        <w:rFonts w:ascii="Arial" w:hAnsi="Arial" w:hint="default"/>
      </w:rPr>
    </w:lvl>
    <w:lvl w:ilvl="2" w:tplc="B55E5B82" w:tentative="1">
      <w:start w:val="1"/>
      <w:numFmt w:val="bullet"/>
      <w:lvlText w:val="•"/>
      <w:lvlJc w:val="left"/>
      <w:pPr>
        <w:tabs>
          <w:tab w:val="num" w:pos="2160"/>
        </w:tabs>
        <w:ind w:left="2160" w:hanging="360"/>
      </w:pPr>
      <w:rPr>
        <w:rFonts w:ascii="Arial" w:hAnsi="Arial" w:hint="default"/>
      </w:rPr>
    </w:lvl>
    <w:lvl w:ilvl="3" w:tplc="2076B73A" w:tentative="1">
      <w:start w:val="1"/>
      <w:numFmt w:val="bullet"/>
      <w:lvlText w:val="•"/>
      <w:lvlJc w:val="left"/>
      <w:pPr>
        <w:tabs>
          <w:tab w:val="num" w:pos="2880"/>
        </w:tabs>
        <w:ind w:left="2880" w:hanging="360"/>
      </w:pPr>
      <w:rPr>
        <w:rFonts w:ascii="Arial" w:hAnsi="Arial" w:hint="default"/>
      </w:rPr>
    </w:lvl>
    <w:lvl w:ilvl="4" w:tplc="C0E6D95C" w:tentative="1">
      <w:start w:val="1"/>
      <w:numFmt w:val="bullet"/>
      <w:lvlText w:val="•"/>
      <w:lvlJc w:val="left"/>
      <w:pPr>
        <w:tabs>
          <w:tab w:val="num" w:pos="3600"/>
        </w:tabs>
        <w:ind w:left="3600" w:hanging="360"/>
      </w:pPr>
      <w:rPr>
        <w:rFonts w:ascii="Arial" w:hAnsi="Arial" w:hint="default"/>
      </w:rPr>
    </w:lvl>
    <w:lvl w:ilvl="5" w:tplc="3DC2A54A" w:tentative="1">
      <w:start w:val="1"/>
      <w:numFmt w:val="bullet"/>
      <w:lvlText w:val="•"/>
      <w:lvlJc w:val="left"/>
      <w:pPr>
        <w:tabs>
          <w:tab w:val="num" w:pos="4320"/>
        </w:tabs>
        <w:ind w:left="4320" w:hanging="360"/>
      </w:pPr>
      <w:rPr>
        <w:rFonts w:ascii="Arial" w:hAnsi="Arial" w:hint="default"/>
      </w:rPr>
    </w:lvl>
    <w:lvl w:ilvl="6" w:tplc="846CB2BA" w:tentative="1">
      <w:start w:val="1"/>
      <w:numFmt w:val="bullet"/>
      <w:lvlText w:val="•"/>
      <w:lvlJc w:val="left"/>
      <w:pPr>
        <w:tabs>
          <w:tab w:val="num" w:pos="5040"/>
        </w:tabs>
        <w:ind w:left="5040" w:hanging="360"/>
      </w:pPr>
      <w:rPr>
        <w:rFonts w:ascii="Arial" w:hAnsi="Arial" w:hint="default"/>
      </w:rPr>
    </w:lvl>
    <w:lvl w:ilvl="7" w:tplc="182255CE" w:tentative="1">
      <w:start w:val="1"/>
      <w:numFmt w:val="bullet"/>
      <w:lvlText w:val="•"/>
      <w:lvlJc w:val="left"/>
      <w:pPr>
        <w:tabs>
          <w:tab w:val="num" w:pos="5760"/>
        </w:tabs>
        <w:ind w:left="5760" w:hanging="360"/>
      </w:pPr>
      <w:rPr>
        <w:rFonts w:ascii="Arial" w:hAnsi="Arial" w:hint="default"/>
      </w:rPr>
    </w:lvl>
    <w:lvl w:ilvl="8" w:tplc="566E17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221B53"/>
    <w:multiLevelType w:val="hybridMultilevel"/>
    <w:tmpl w:val="0F34A64C"/>
    <w:lvl w:ilvl="0" w:tplc="3B3A6D34">
      <w:start w:val="1"/>
      <w:numFmt w:val="bullet"/>
      <w:lvlText w:val="•"/>
      <w:lvlJc w:val="left"/>
      <w:pPr>
        <w:tabs>
          <w:tab w:val="num" w:pos="720"/>
        </w:tabs>
        <w:ind w:left="720" w:hanging="360"/>
      </w:pPr>
      <w:rPr>
        <w:rFonts w:ascii="Arial" w:hAnsi="Arial" w:hint="default"/>
      </w:rPr>
    </w:lvl>
    <w:lvl w:ilvl="1" w:tplc="ECD2DEA2" w:tentative="1">
      <w:start w:val="1"/>
      <w:numFmt w:val="bullet"/>
      <w:lvlText w:val="•"/>
      <w:lvlJc w:val="left"/>
      <w:pPr>
        <w:tabs>
          <w:tab w:val="num" w:pos="1440"/>
        </w:tabs>
        <w:ind w:left="1440" w:hanging="360"/>
      </w:pPr>
      <w:rPr>
        <w:rFonts w:ascii="Arial" w:hAnsi="Arial" w:hint="default"/>
      </w:rPr>
    </w:lvl>
    <w:lvl w:ilvl="2" w:tplc="9F449B84" w:tentative="1">
      <w:start w:val="1"/>
      <w:numFmt w:val="bullet"/>
      <w:lvlText w:val="•"/>
      <w:lvlJc w:val="left"/>
      <w:pPr>
        <w:tabs>
          <w:tab w:val="num" w:pos="2160"/>
        </w:tabs>
        <w:ind w:left="2160" w:hanging="360"/>
      </w:pPr>
      <w:rPr>
        <w:rFonts w:ascii="Arial" w:hAnsi="Arial" w:hint="default"/>
      </w:rPr>
    </w:lvl>
    <w:lvl w:ilvl="3" w:tplc="AE4C347A" w:tentative="1">
      <w:start w:val="1"/>
      <w:numFmt w:val="bullet"/>
      <w:lvlText w:val="•"/>
      <w:lvlJc w:val="left"/>
      <w:pPr>
        <w:tabs>
          <w:tab w:val="num" w:pos="2880"/>
        </w:tabs>
        <w:ind w:left="2880" w:hanging="360"/>
      </w:pPr>
      <w:rPr>
        <w:rFonts w:ascii="Arial" w:hAnsi="Arial" w:hint="default"/>
      </w:rPr>
    </w:lvl>
    <w:lvl w:ilvl="4" w:tplc="762A9B48" w:tentative="1">
      <w:start w:val="1"/>
      <w:numFmt w:val="bullet"/>
      <w:lvlText w:val="•"/>
      <w:lvlJc w:val="left"/>
      <w:pPr>
        <w:tabs>
          <w:tab w:val="num" w:pos="3600"/>
        </w:tabs>
        <w:ind w:left="3600" w:hanging="360"/>
      </w:pPr>
      <w:rPr>
        <w:rFonts w:ascii="Arial" w:hAnsi="Arial" w:hint="default"/>
      </w:rPr>
    </w:lvl>
    <w:lvl w:ilvl="5" w:tplc="8C9A7A56" w:tentative="1">
      <w:start w:val="1"/>
      <w:numFmt w:val="bullet"/>
      <w:lvlText w:val="•"/>
      <w:lvlJc w:val="left"/>
      <w:pPr>
        <w:tabs>
          <w:tab w:val="num" w:pos="4320"/>
        </w:tabs>
        <w:ind w:left="4320" w:hanging="360"/>
      </w:pPr>
      <w:rPr>
        <w:rFonts w:ascii="Arial" w:hAnsi="Arial" w:hint="default"/>
      </w:rPr>
    </w:lvl>
    <w:lvl w:ilvl="6" w:tplc="BDEC88EA" w:tentative="1">
      <w:start w:val="1"/>
      <w:numFmt w:val="bullet"/>
      <w:lvlText w:val="•"/>
      <w:lvlJc w:val="left"/>
      <w:pPr>
        <w:tabs>
          <w:tab w:val="num" w:pos="5040"/>
        </w:tabs>
        <w:ind w:left="5040" w:hanging="360"/>
      </w:pPr>
      <w:rPr>
        <w:rFonts w:ascii="Arial" w:hAnsi="Arial" w:hint="default"/>
      </w:rPr>
    </w:lvl>
    <w:lvl w:ilvl="7" w:tplc="E918D8C6" w:tentative="1">
      <w:start w:val="1"/>
      <w:numFmt w:val="bullet"/>
      <w:lvlText w:val="•"/>
      <w:lvlJc w:val="left"/>
      <w:pPr>
        <w:tabs>
          <w:tab w:val="num" w:pos="5760"/>
        </w:tabs>
        <w:ind w:left="5760" w:hanging="360"/>
      </w:pPr>
      <w:rPr>
        <w:rFonts w:ascii="Arial" w:hAnsi="Arial" w:hint="default"/>
      </w:rPr>
    </w:lvl>
    <w:lvl w:ilvl="8" w:tplc="C3DC72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805582"/>
    <w:multiLevelType w:val="hybridMultilevel"/>
    <w:tmpl w:val="66D44A0A"/>
    <w:lvl w:ilvl="0" w:tplc="EA8A57B2">
      <w:start w:val="1"/>
      <w:numFmt w:val="bullet"/>
      <w:lvlText w:val="•"/>
      <w:lvlJc w:val="left"/>
      <w:pPr>
        <w:tabs>
          <w:tab w:val="num" w:pos="720"/>
        </w:tabs>
        <w:ind w:left="720" w:hanging="360"/>
      </w:pPr>
      <w:rPr>
        <w:rFonts w:ascii="Arial" w:hAnsi="Arial" w:hint="default"/>
      </w:rPr>
    </w:lvl>
    <w:lvl w:ilvl="1" w:tplc="ACA4B346" w:tentative="1">
      <w:start w:val="1"/>
      <w:numFmt w:val="bullet"/>
      <w:lvlText w:val="•"/>
      <w:lvlJc w:val="left"/>
      <w:pPr>
        <w:tabs>
          <w:tab w:val="num" w:pos="1440"/>
        </w:tabs>
        <w:ind w:left="1440" w:hanging="360"/>
      </w:pPr>
      <w:rPr>
        <w:rFonts w:ascii="Arial" w:hAnsi="Arial" w:hint="default"/>
      </w:rPr>
    </w:lvl>
    <w:lvl w:ilvl="2" w:tplc="14B608DC" w:tentative="1">
      <w:start w:val="1"/>
      <w:numFmt w:val="bullet"/>
      <w:lvlText w:val="•"/>
      <w:lvlJc w:val="left"/>
      <w:pPr>
        <w:tabs>
          <w:tab w:val="num" w:pos="2160"/>
        </w:tabs>
        <w:ind w:left="2160" w:hanging="360"/>
      </w:pPr>
      <w:rPr>
        <w:rFonts w:ascii="Arial" w:hAnsi="Arial" w:hint="default"/>
      </w:rPr>
    </w:lvl>
    <w:lvl w:ilvl="3" w:tplc="415A8628" w:tentative="1">
      <w:start w:val="1"/>
      <w:numFmt w:val="bullet"/>
      <w:lvlText w:val="•"/>
      <w:lvlJc w:val="left"/>
      <w:pPr>
        <w:tabs>
          <w:tab w:val="num" w:pos="2880"/>
        </w:tabs>
        <w:ind w:left="2880" w:hanging="360"/>
      </w:pPr>
      <w:rPr>
        <w:rFonts w:ascii="Arial" w:hAnsi="Arial" w:hint="default"/>
      </w:rPr>
    </w:lvl>
    <w:lvl w:ilvl="4" w:tplc="573CFFF2" w:tentative="1">
      <w:start w:val="1"/>
      <w:numFmt w:val="bullet"/>
      <w:lvlText w:val="•"/>
      <w:lvlJc w:val="left"/>
      <w:pPr>
        <w:tabs>
          <w:tab w:val="num" w:pos="3600"/>
        </w:tabs>
        <w:ind w:left="3600" w:hanging="360"/>
      </w:pPr>
      <w:rPr>
        <w:rFonts w:ascii="Arial" w:hAnsi="Arial" w:hint="default"/>
      </w:rPr>
    </w:lvl>
    <w:lvl w:ilvl="5" w:tplc="7F28C948" w:tentative="1">
      <w:start w:val="1"/>
      <w:numFmt w:val="bullet"/>
      <w:lvlText w:val="•"/>
      <w:lvlJc w:val="left"/>
      <w:pPr>
        <w:tabs>
          <w:tab w:val="num" w:pos="4320"/>
        </w:tabs>
        <w:ind w:left="4320" w:hanging="360"/>
      </w:pPr>
      <w:rPr>
        <w:rFonts w:ascii="Arial" w:hAnsi="Arial" w:hint="default"/>
      </w:rPr>
    </w:lvl>
    <w:lvl w:ilvl="6" w:tplc="59E65B40" w:tentative="1">
      <w:start w:val="1"/>
      <w:numFmt w:val="bullet"/>
      <w:lvlText w:val="•"/>
      <w:lvlJc w:val="left"/>
      <w:pPr>
        <w:tabs>
          <w:tab w:val="num" w:pos="5040"/>
        </w:tabs>
        <w:ind w:left="5040" w:hanging="360"/>
      </w:pPr>
      <w:rPr>
        <w:rFonts w:ascii="Arial" w:hAnsi="Arial" w:hint="default"/>
      </w:rPr>
    </w:lvl>
    <w:lvl w:ilvl="7" w:tplc="40F8DE86" w:tentative="1">
      <w:start w:val="1"/>
      <w:numFmt w:val="bullet"/>
      <w:lvlText w:val="•"/>
      <w:lvlJc w:val="left"/>
      <w:pPr>
        <w:tabs>
          <w:tab w:val="num" w:pos="5760"/>
        </w:tabs>
        <w:ind w:left="5760" w:hanging="360"/>
      </w:pPr>
      <w:rPr>
        <w:rFonts w:ascii="Arial" w:hAnsi="Arial" w:hint="default"/>
      </w:rPr>
    </w:lvl>
    <w:lvl w:ilvl="8" w:tplc="3CE226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83493C"/>
    <w:multiLevelType w:val="hybridMultilevel"/>
    <w:tmpl w:val="A24CC2D8"/>
    <w:lvl w:ilvl="0" w:tplc="88408D1C">
      <w:start w:val="1"/>
      <w:numFmt w:val="bullet"/>
      <w:lvlText w:val="•"/>
      <w:lvlJc w:val="left"/>
      <w:pPr>
        <w:tabs>
          <w:tab w:val="num" w:pos="720"/>
        </w:tabs>
        <w:ind w:left="720" w:hanging="360"/>
      </w:pPr>
      <w:rPr>
        <w:rFonts w:ascii="Arial" w:hAnsi="Arial" w:hint="default"/>
      </w:rPr>
    </w:lvl>
    <w:lvl w:ilvl="1" w:tplc="020E5278" w:tentative="1">
      <w:start w:val="1"/>
      <w:numFmt w:val="bullet"/>
      <w:lvlText w:val="•"/>
      <w:lvlJc w:val="left"/>
      <w:pPr>
        <w:tabs>
          <w:tab w:val="num" w:pos="1440"/>
        </w:tabs>
        <w:ind w:left="1440" w:hanging="360"/>
      </w:pPr>
      <w:rPr>
        <w:rFonts w:ascii="Arial" w:hAnsi="Arial" w:hint="default"/>
      </w:rPr>
    </w:lvl>
    <w:lvl w:ilvl="2" w:tplc="4EE07FB6" w:tentative="1">
      <w:start w:val="1"/>
      <w:numFmt w:val="bullet"/>
      <w:lvlText w:val="•"/>
      <w:lvlJc w:val="left"/>
      <w:pPr>
        <w:tabs>
          <w:tab w:val="num" w:pos="2160"/>
        </w:tabs>
        <w:ind w:left="2160" w:hanging="360"/>
      </w:pPr>
      <w:rPr>
        <w:rFonts w:ascii="Arial" w:hAnsi="Arial" w:hint="default"/>
      </w:rPr>
    </w:lvl>
    <w:lvl w:ilvl="3" w:tplc="011839E6" w:tentative="1">
      <w:start w:val="1"/>
      <w:numFmt w:val="bullet"/>
      <w:lvlText w:val="•"/>
      <w:lvlJc w:val="left"/>
      <w:pPr>
        <w:tabs>
          <w:tab w:val="num" w:pos="2880"/>
        </w:tabs>
        <w:ind w:left="2880" w:hanging="360"/>
      </w:pPr>
      <w:rPr>
        <w:rFonts w:ascii="Arial" w:hAnsi="Arial" w:hint="default"/>
      </w:rPr>
    </w:lvl>
    <w:lvl w:ilvl="4" w:tplc="7CB23476" w:tentative="1">
      <w:start w:val="1"/>
      <w:numFmt w:val="bullet"/>
      <w:lvlText w:val="•"/>
      <w:lvlJc w:val="left"/>
      <w:pPr>
        <w:tabs>
          <w:tab w:val="num" w:pos="3600"/>
        </w:tabs>
        <w:ind w:left="3600" w:hanging="360"/>
      </w:pPr>
      <w:rPr>
        <w:rFonts w:ascii="Arial" w:hAnsi="Arial" w:hint="default"/>
      </w:rPr>
    </w:lvl>
    <w:lvl w:ilvl="5" w:tplc="F6CECC4C" w:tentative="1">
      <w:start w:val="1"/>
      <w:numFmt w:val="bullet"/>
      <w:lvlText w:val="•"/>
      <w:lvlJc w:val="left"/>
      <w:pPr>
        <w:tabs>
          <w:tab w:val="num" w:pos="4320"/>
        </w:tabs>
        <w:ind w:left="4320" w:hanging="360"/>
      </w:pPr>
      <w:rPr>
        <w:rFonts w:ascii="Arial" w:hAnsi="Arial" w:hint="default"/>
      </w:rPr>
    </w:lvl>
    <w:lvl w:ilvl="6" w:tplc="F41674C4" w:tentative="1">
      <w:start w:val="1"/>
      <w:numFmt w:val="bullet"/>
      <w:lvlText w:val="•"/>
      <w:lvlJc w:val="left"/>
      <w:pPr>
        <w:tabs>
          <w:tab w:val="num" w:pos="5040"/>
        </w:tabs>
        <w:ind w:left="5040" w:hanging="360"/>
      </w:pPr>
      <w:rPr>
        <w:rFonts w:ascii="Arial" w:hAnsi="Arial" w:hint="default"/>
      </w:rPr>
    </w:lvl>
    <w:lvl w:ilvl="7" w:tplc="F29021E2" w:tentative="1">
      <w:start w:val="1"/>
      <w:numFmt w:val="bullet"/>
      <w:lvlText w:val="•"/>
      <w:lvlJc w:val="left"/>
      <w:pPr>
        <w:tabs>
          <w:tab w:val="num" w:pos="5760"/>
        </w:tabs>
        <w:ind w:left="5760" w:hanging="360"/>
      </w:pPr>
      <w:rPr>
        <w:rFonts w:ascii="Arial" w:hAnsi="Arial" w:hint="default"/>
      </w:rPr>
    </w:lvl>
    <w:lvl w:ilvl="8" w:tplc="2A905A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B90260"/>
    <w:multiLevelType w:val="hybridMultilevel"/>
    <w:tmpl w:val="7A3CF146"/>
    <w:lvl w:ilvl="0" w:tplc="9E780B86">
      <w:start w:val="1"/>
      <w:numFmt w:val="bullet"/>
      <w:lvlText w:val="•"/>
      <w:lvlJc w:val="left"/>
      <w:pPr>
        <w:tabs>
          <w:tab w:val="num" w:pos="720"/>
        </w:tabs>
        <w:ind w:left="720" w:hanging="360"/>
      </w:pPr>
      <w:rPr>
        <w:rFonts w:ascii="Arial" w:hAnsi="Arial" w:hint="default"/>
      </w:rPr>
    </w:lvl>
    <w:lvl w:ilvl="1" w:tplc="8E0AA962" w:tentative="1">
      <w:start w:val="1"/>
      <w:numFmt w:val="bullet"/>
      <w:lvlText w:val="•"/>
      <w:lvlJc w:val="left"/>
      <w:pPr>
        <w:tabs>
          <w:tab w:val="num" w:pos="1440"/>
        </w:tabs>
        <w:ind w:left="1440" w:hanging="360"/>
      </w:pPr>
      <w:rPr>
        <w:rFonts w:ascii="Arial" w:hAnsi="Arial" w:hint="default"/>
      </w:rPr>
    </w:lvl>
    <w:lvl w:ilvl="2" w:tplc="8CAE7B72" w:tentative="1">
      <w:start w:val="1"/>
      <w:numFmt w:val="bullet"/>
      <w:lvlText w:val="•"/>
      <w:lvlJc w:val="left"/>
      <w:pPr>
        <w:tabs>
          <w:tab w:val="num" w:pos="2160"/>
        </w:tabs>
        <w:ind w:left="2160" w:hanging="360"/>
      </w:pPr>
      <w:rPr>
        <w:rFonts w:ascii="Arial" w:hAnsi="Arial" w:hint="default"/>
      </w:rPr>
    </w:lvl>
    <w:lvl w:ilvl="3" w:tplc="35927996" w:tentative="1">
      <w:start w:val="1"/>
      <w:numFmt w:val="bullet"/>
      <w:lvlText w:val="•"/>
      <w:lvlJc w:val="left"/>
      <w:pPr>
        <w:tabs>
          <w:tab w:val="num" w:pos="2880"/>
        </w:tabs>
        <w:ind w:left="2880" w:hanging="360"/>
      </w:pPr>
      <w:rPr>
        <w:rFonts w:ascii="Arial" w:hAnsi="Arial" w:hint="default"/>
      </w:rPr>
    </w:lvl>
    <w:lvl w:ilvl="4" w:tplc="ED764B76" w:tentative="1">
      <w:start w:val="1"/>
      <w:numFmt w:val="bullet"/>
      <w:lvlText w:val="•"/>
      <w:lvlJc w:val="left"/>
      <w:pPr>
        <w:tabs>
          <w:tab w:val="num" w:pos="3600"/>
        </w:tabs>
        <w:ind w:left="3600" w:hanging="360"/>
      </w:pPr>
      <w:rPr>
        <w:rFonts w:ascii="Arial" w:hAnsi="Arial" w:hint="default"/>
      </w:rPr>
    </w:lvl>
    <w:lvl w:ilvl="5" w:tplc="7590B548" w:tentative="1">
      <w:start w:val="1"/>
      <w:numFmt w:val="bullet"/>
      <w:lvlText w:val="•"/>
      <w:lvlJc w:val="left"/>
      <w:pPr>
        <w:tabs>
          <w:tab w:val="num" w:pos="4320"/>
        </w:tabs>
        <w:ind w:left="4320" w:hanging="360"/>
      </w:pPr>
      <w:rPr>
        <w:rFonts w:ascii="Arial" w:hAnsi="Arial" w:hint="default"/>
      </w:rPr>
    </w:lvl>
    <w:lvl w:ilvl="6" w:tplc="1C426AC2" w:tentative="1">
      <w:start w:val="1"/>
      <w:numFmt w:val="bullet"/>
      <w:lvlText w:val="•"/>
      <w:lvlJc w:val="left"/>
      <w:pPr>
        <w:tabs>
          <w:tab w:val="num" w:pos="5040"/>
        </w:tabs>
        <w:ind w:left="5040" w:hanging="360"/>
      </w:pPr>
      <w:rPr>
        <w:rFonts w:ascii="Arial" w:hAnsi="Arial" w:hint="default"/>
      </w:rPr>
    </w:lvl>
    <w:lvl w:ilvl="7" w:tplc="358A3B00" w:tentative="1">
      <w:start w:val="1"/>
      <w:numFmt w:val="bullet"/>
      <w:lvlText w:val="•"/>
      <w:lvlJc w:val="left"/>
      <w:pPr>
        <w:tabs>
          <w:tab w:val="num" w:pos="5760"/>
        </w:tabs>
        <w:ind w:left="5760" w:hanging="360"/>
      </w:pPr>
      <w:rPr>
        <w:rFonts w:ascii="Arial" w:hAnsi="Arial" w:hint="default"/>
      </w:rPr>
    </w:lvl>
    <w:lvl w:ilvl="8" w:tplc="B9EAC0E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A31384"/>
    <w:multiLevelType w:val="hybridMultilevel"/>
    <w:tmpl w:val="DE9A4326"/>
    <w:lvl w:ilvl="0" w:tplc="AF224DC6">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6AE3B7B"/>
    <w:multiLevelType w:val="hybridMultilevel"/>
    <w:tmpl w:val="4DEE39B6"/>
    <w:lvl w:ilvl="0" w:tplc="47E0D7CE">
      <w:start w:val="1"/>
      <w:numFmt w:val="bullet"/>
      <w:lvlText w:val="•"/>
      <w:lvlJc w:val="left"/>
      <w:pPr>
        <w:tabs>
          <w:tab w:val="num" w:pos="720"/>
        </w:tabs>
        <w:ind w:left="720" w:hanging="360"/>
      </w:pPr>
      <w:rPr>
        <w:rFonts w:ascii="Arial" w:hAnsi="Arial" w:hint="default"/>
      </w:rPr>
    </w:lvl>
    <w:lvl w:ilvl="1" w:tplc="9CA02D94" w:tentative="1">
      <w:start w:val="1"/>
      <w:numFmt w:val="bullet"/>
      <w:lvlText w:val="•"/>
      <w:lvlJc w:val="left"/>
      <w:pPr>
        <w:tabs>
          <w:tab w:val="num" w:pos="1440"/>
        </w:tabs>
        <w:ind w:left="1440" w:hanging="360"/>
      </w:pPr>
      <w:rPr>
        <w:rFonts w:ascii="Arial" w:hAnsi="Arial" w:hint="default"/>
      </w:rPr>
    </w:lvl>
    <w:lvl w:ilvl="2" w:tplc="CEFC3C46" w:tentative="1">
      <w:start w:val="1"/>
      <w:numFmt w:val="bullet"/>
      <w:lvlText w:val="•"/>
      <w:lvlJc w:val="left"/>
      <w:pPr>
        <w:tabs>
          <w:tab w:val="num" w:pos="2160"/>
        </w:tabs>
        <w:ind w:left="2160" w:hanging="360"/>
      </w:pPr>
      <w:rPr>
        <w:rFonts w:ascii="Arial" w:hAnsi="Arial" w:hint="default"/>
      </w:rPr>
    </w:lvl>
    <w:lvl w:ilvl="3" w:tplc="DC703A1C" w:tentative="1">
      <w:start w:val="1"/>
      <w:numFmt w:val="bullet"/>
      <w:lvlText w:val="•"/>
      <w:lvlJc w:val="left"/>
      <w:pPr>
        <w:tabs>
          <w:tab w:val="num" w:pos="2880"/>
        </w:tabs>
        <w:ind w:left="2880" w:hanging="360"/>
      </w:pPr>
      <w:rPr>
        <w:rFonts w:ascii="Arial" w:hAnsi="Arial" w:hint="default"/>
      </w:rPr>
    </w:lvl>
    <w:lvl w:ilvl="4" w:tplc="AD74B8B0" w:tentative="1">
      <w:start w:val="1"/>
      <w:numFmt w:val="bullet"/>
      <w:lvlText w:val="•"/>
      <w:lvlJc w:val="left"/>
      <w:pPr>
        <w:tabs>
          <w:tab w:val="num" w:pos="3600"/>
        </w:tabs>
        <w:ind w:left="3600" w:hanging="360"/>
      </w:pPr>
      <w:rPr>
        <w:rFonts w:ascii="Arial" w:hAnsi="Arial" w:hint="default"/>
      </w:rPr>
    </w:lvl>
    <w:lvl w:ilvl="5" w:tplc="BB8A3474" w:tentative="1">
      <w:start w:val="1"/>
      <w:numFmt w:val="bullet"/>
      <w:lvlText w:val="•"/>
      <w:lvlJc w:val="left"/>
      <w:pPr>
        <w:tabs>
          <w:tab w:val="num" w:pos="4320"/>
        </w:tabs>
        <w:ind w:left="4320" w:hanging="360"/>
      </w:pPr>
      <w:rPr>
        <w:rFonts w:ascii="Arial" w:hAnsi="Arial" w:hint="default"/>
      </w:rPr>
    </w:lvl>
    <w:lvl w:ilvl="6" w:tplc="936E739E" w:tentative="1">
      <w:start w:val="1"/>
      <w:numFmt w:val="bullet"/>
      <w:lvlText w:val="•"/>
      <w:lvlJc w:val="left"/>
      <w:pPr>
        <w:tabs>
          <w:tab w:val="num" w:pos="5040"/>
        </w:tabs>
        <w:ind w:left="5040" w:hanging="360"/>
      </w:pPr>
      <w:rPr>
        <w:rFonts w:ascii="Arial" w:hAnsi="Arial" w:hint="default"/>
      </w:rPr>
    </w:lvl>
    <w:lvl w:ilvl="7" w:tplc="0FE4F616" w:tentative="1">
      <w:start w:val="1"/>
      <w:numFmt w:val="bullet"/>
      <w:lvlText w:val="•"/>
      <w:lvlJc w:val="left"/>
      <w:pPr>
        <w:tabs>
          <w:tab w:val="num" w:pos="5760"/>
        </w:tabs>
        <w:ind w:left="5760" w:hanging="360"/>
      </w:pPr>
      <w:rPr>
        <w:rFonts w:ascii="Arial" w:hAnsi="Arial" w:hint="default"/>
      </w:rPr>
    </w:lvl>
    <w:lvl w:ilvl="8" w:tplc="3692DA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F368E9"/>
    <w:multiLevelType w:val="hybridMultilevel"/>
    <w:tmpl w:val="18C00544"/>
    <w:lvl w:ilvl="0" w:tplc="5B229E58">
      <w:start w:val="1"/>
      <w:numFmt w:val="bullet"/>
      <w:lvlText w:val="•"/>
      <w:lvlJc w:val="left"/>
      <w:pPr>
        <w:tabs>
          <w:tab w:val="num" w:pos="720"/>
        </w:tabs>
        <w:ind w:left="720" w:hanging="360"/>
      </w:pPr>
      <w:rPr>
        <w:rFonts w:ascii="Arial" w:hAnsi="Arial" w:hint="default"/>
      </w:rPr>
    </w:lvl>
    <w:lvl w:ilvl="1" w:tplc="1520BB0E" w:tentative="1">
      <w:start w:val="1"/>
      <w:numFmt w:val="bullet"/>
      <w:lvlText w:val="•"/>
      <w:lvlJc w:val="left"/>
      <w:pPr>
        <w:tabs>
          <w:tab w:val="num" w:pos="1440"/>
        </w:tabs>
        <w:ind w:left="1440" w:hanging="360"/>
      </w:pPr>
      <w:rPr>
        <w:rFonts w:ascii="Arial" w:hAnsi="Arial" w:hint="default"/>
      </w:rPr>
    </w:lvl>
    <w:lvl w:ilvl="2" w:tplc="AA3ADD90" w:tentative="1">
      <w:start w:val="1"/>
      <w:numFmt w:val="bullet"/>
      <w:lvlText w:val="•"/>
      <w:lvlJc w:val="left"/>
      <w:pPr>
        <w:tabs>
          <w:tab w:val="num" w:pos="2160"/>
        </w:tabs>
        <w:ind w:left="2160" w:hanging="360"/>
      </w:pPr>
      <w:rPr>
        <w:rFonts w:ascii="Arial" w:hAnsi="Arial" w:hint="default"/>
      </w:rPr>
    </w:lvl>
    <w:lvl w:ilvl="3" w:tplc="8804A7F4" w:tentative="1">
      <w:start w:val="1"/>
      <w:numFmt w:val="bullet"/>
      <w:lvlText w:val="•"/>
      <w:lvlJc w:val="left"/>
      <w:pPr>
        <w:tabs>
          <w:tab w:val="num" w:pos="2880"/>
        </w:tabs>
        <w:ind w:left="2880" w:hanging="360"/>
      </w:pPr>
      <w:rPr>
        <w:rFonts w:ascii="Arial" w:hAnsi="Arial" w:hint="default"/>
      </w:rPr>
    </w:lvl>
    <w:lvl w:ilvl="4" w:tplc="D016662A" w:tentative="1">
      <w:start w:val="1"/>
      <w:numFmt w:val="bullet"/>
      <w:lvlText w:val="•"/>
      <w:lvlJc w:val="left"/>
      <w:pPr>
        <w:tabs>
          <w:tab w:val="num" w:pos="3600"/>
        </w:tabs>
        <w:ind w:left="3600" w:hanging="360"/>
      </w:pPr>
      <w:rPr>
        <w:rFonts w:ascii="Arial" w:hAnsi="Arial" w:hint="default"/>
      </w:rPr>
    </w:lvl>
    <w:lvl w:ilvl="5" w:tplc="C724401E" w:tentative="1">
      <w:start w:val="1"/>
      <w:numFmt w:val="bullet"/>
      <w:lvlText w:val="•"/>
      <w:lvlJc w:val="left"/>
      <w:pPr>
        <w:tabs>
          <w:tab w:val="num" w:pos="4320"/>
        </w:tabs>
        <w:ind w:left="4320" w:hanging="360"/>
      </w:pPr>
      <w:rPr>
        <w:rFonts w:ascii="Arial" w:hAnsi="Arial" w:hint="default"/>
      </w:rPr>
    </w:lvl>
    <w:lvl w:ilvl="6" w:tplc="36D4BD78" w:tentative="1">
      <w:start w:val="1"/>
      <w:numFmt w:val="bullet"/>
      <w:lvlText w:val="•"/>
      <w:lvlJc w:val="left"/>
      <w:pPr>
        <w:tabs>
          <w:tab w:val="num" w:pos="5040"/>
        </w:tabs>
        <w:ind w:left="5040" w:hanging="360"/>
      </w:pPr>
      <w:rPr>
        <w:rFonts w:ascii="Arial" w:hAnsi="Arial" w:hint="default"/>
      </w:rPr>
    </w:lvl>
    <w:lvl w:ilvl="7" w:tplc="357E6D22" w:tentative="1">
      <w:start w:val="1"/>
      <w:numFmt w:val="bullet"/>
      <w:lvlText w:val="•"/>
      <w:lvlJc w:val="left"/>
      <w:pPr>
        <w:tabs>
          <w:tab w:val="num" w:pos="5760"/>
        </w:tabs>
        <w:ind w:left="5760" w:hanging="360"/>
      </w:pPr>
      <w:rPr>
        <w:rFonts w:ascii="Arial" w:hAnsi="Arial" w:hint="default"/>
      </w:rPr>
    </w:lvl>
    <w:lvl w:ilvl="8" w:tplc="354882F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B401DD"/>
    <w:multiLevelType w:val="hybridMultilevel"/>
    <w:tmpl w:val="73F2901E"/>
    <w:lvl w:ilvl="0" w:tplc="4E1E4C9C">
      <w:start w:val="1"/>
      <w:numFmt w:val="bullet"/>
      <w:lvlText w:val="•"/>
      <w:lvlJc w:val="left"/>
      <w:pPr>
        <w:tabs>
          <w:tab w:val="num" w:pos="720"/>
        </w:tabs>
        <w:ind w:left="720" w:hanging="360"/>
      </w:pPr>
      <w:rPr>
        <w:rFonts w:ascii="Arial" w:hAnsi="Arial" w:hint="default"/>
      </w:rPr>
    </w:lvl>
    <w:lvl w:ilvl="1" w:tplc="96408BE6" w:tentative="1">
      <w:start w:val="1"/>
      <w:numFmt w:val="bullet"/>
      <w:lvlText w:val="•"/>
      <w:lvlJc w:val="left"/>
      <w:pPr>
        <w:tabs>
          <w:tab w:val="num" w:pos="1440"/>
        </w:tabs>
        <w:ind w:left="1440" w:hanging="360"/>
      </w:pPr>
      <w:rPr>
        <w:rFonts w:ascii="Arial" w:hAnsi="Arial" w:hint="default"/>
      </w:rPr>
    </w:lvl>
    <w:lvl w:ilvl="2" w:tplc="57CEDD7E" w:tentative="1">
      <w:start w:val="1"/>
      <w:numFmt w:val="bullet"/>
      <w:lvlText w:val="•"/>
      <w:lvlJc w:val="left"/>
      <w:pPr>
        <w:tabs>
          <w:tab w:val="num" w:pos="2160"/>
        </w:tabs>
        <w:ind w:left="2160" w:hanging="360"/>
      </w:pPr>
      <w:rPr>
        <w:rFonts w:ascii="Arial" w:hAnsi="Arial" w:hint="default"/>
      </w:rPr>
    </w:lvl>
    <w:lvl w:ilvl="3" w:tplc="BA502102" w:tentative="1">
      <w:start w:val="1"/>
      <w:numFmt w:val="bullet"/>
      <w:lvlText w:val="•"/>
      <w:lvlJc w:val="left"/>
      <w:pPr>
        <w:tabs>
          <w:tab w:val="num" w:pos="2880"/>
        </w:tabs>
        <w:ind w:left="2880" w:hanging="360"/>
      </w:pPr>
      <w:rPr>
        <w:rFonts w:ascii="Arial" w:hAnsi="Arial" w:hint="default"/>
      </w:rPr>
    </w:lvl>
    <w:lvl w:ilvl="4" w:tplc="9AE23C28" w:tentative="1">
      <w:start w:val="1"/>
      <w:numFmt w:val="bullet"/>
      <w:lvlText w:val="•"/>
      <w:lvlJc w:val="left"/>
      <w:pPr>
        <w:tabs>
          <w:tab w:val="num" w:pos="3600"/>
        </w:tabs>
        <w:ind w:left="3600" w:hanging="360"/>
      </w:pPr>
      <w:rPr>
        <w:rFonts w:ascii="Arial" w:hAnsi="Arial" w:hint="default"/>
      </w:rPr>
    </w:lvl>
    <w:lvl w:ilvl="5" w:tplc="1F80C9B8" w:tentative="1">
      <w:start w:val="1"/>
      <w:numFmt w:val="bullet"/>
      <w:lvlText w:val="•"/>
      <w:lvlJc w:val="left"/>
      <w:pPr>
        <w:tabs>
          <w:tab w:val="num" w:pos="4320"/>
        </w:tabs>
        <w:ind w:left="4320" w:hanging="360"/>
      </w:pPr>
      <w:rPr>
        <w:rFonts w:ascii="Arial" w:hAnsi="Arial" w:hint="default"/>
      </w:rPr>
    </w:lvl>
    <w:lvl w:ilvl="6" w:tplc="32A8D426" w:tentative="1">
      <w:start w:val="1"/>
      <w:numFmt w:val="bullet"/>
      <w:lvlText w:val="•"/>
      <w:lvlJc w:val="left"/>
      <w:pPr>
        <w:tabs>
          <w:tab w:val="num" w:pos="5040"/>
        </w:tabs>
        <w:ind w:left="5040" w:hanging="360"/>
      </w:pPr>
      <w:rPr>
        <w:rFonts w:ascii="Arial" w:hAnsi="Arial" w:hint="default"/>
      </w:rPr>
    </w:lvl>
    <w:lvl w:ilvl="7" w:tplc="2BF0FC3A" w:tentative="1">
      <w:start w:val="1"/>
      <w:numFmt w:val="bullet"/>
      <w:lvlText w:val="•"/>
      <w:lvlJc w:val="left"/>
      <w:pPr>
        <w:tabs>
          <w:tab w:val="num" w:pos="5760"/>
        </w:tabs>
        <w:ind w:left="5760" w:hanging="360"/>
      </w:pPr>
      <w:rPr>
        <w:rFonts w:ascii="Arial" w:hAnsi="Arial" w:hint="default"/>
      </w:rPr>
    </w:lvl>
    <w:lvl w:ilvl="8" w:tplc="F1E2188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C841A64"/>
    <w:multiLevelType w:val="hybridMultilevel"/>
    <w:tmpl w:val="364C49C0"/>
    <w:lvl w:ilvl="0" w:tplc="D966C14C">
      <w:start w:val="1"/>
      <w:numFmt w:val="bullet"/>
      <w:lvlText w:val="•"/>
      <w:lvlJc w:val="left"/>
      <w:pPr>
        <w:tabs>
          <w:tab w:val="num" w:pos="720"/>
        </w:tabs>
        <w:ind w:left="720" w:hanging="360"/>
      </w:pPr>
      <w:rPr>
        <w:rFonts w:ascii="Arial" w:hAnsi="Arial" w:hint="default"/>
      </w:rPr>
    </w:lvl>
    <w:lvl w:ilvl="1" w:tplc="01A4585E" w:tentative="1">
      <w:start w:val="1"/>
      <w:numFmt w:val="bullet"/>
      <w:lvlText w:val="•"/>
      <w:lvlJc w:val="left"/>
      <w:pPr>
        <w:tabs>
          <w:tab w:val="num" w:pos="1440"/>
        </w:tabs>
        <w:ind w:left="1440" w:hanging="360"/>
      </w:pPr>
      <w:rPr>
        <w:rFonts w:ascii="Arial" w:hAnsi="Arial" w:hint="default"/>
      </w:rPr>
    </w:lvl>
    <w:lvl w:ilvl="2" w:tplc="689CB25E" w:tentative="1">
      <w:start w:val="1"/>
      <w:numFmt w:val="bullet"/>
      <w:lvlText w:val="•"/>
      <w:lvlJc w:val="left"/>
      <w:pPr>
        <w:tabs>
          <w:tab w:val="num" w:pos="2160"/>
        </w:tabs>
        <w:ind w:left="2160" w:hanging="360"/>
      </w:pPr>
      <w:rPr>
        <w:rFonts w:ascii="Arial" w:hAnsi="Arial" w:hint="default"/>
      </w:rPr>
    </w:lvl>
    <w:lvl w:ilvl="3" w:tplc="2F682138" w:tentative="1">
      <w:start w:val="1"/>
      <w:numFmt w:val="bullet"/>
      <w:lvlText w:val="•"/>
      <w:lvlJc w:val="left"/>
      <w:pPr>
        <w:tabs>
          <w:tab w:val="num" w:pos="2880"/>
        </w:tabs>
        <w:ind w:left="2880" w:hanging="360"/>
      </w:pPr>
      <w:rPr>
        <w:rFonts w:ascii="Arial" w:hAnsi="Arial" w:hint="default"/>
      </w:rPr>
    </w:lvl>
    <w:lvl w:ilvl="4" w:tplc="AE929D06" w:tentative="1">
      <w:start w:val="1"/>
      <w:numFmt w:val="bullet"/>
      <w:lvlText w:val="•"/>
      <w:lvlJc w:val="left"/>
      <w:pPr>
        <w:tabs>
          <w:tab w:val="num" w:pos="3600"/>
        </w:tabs>
        <w:ind w:left="3600" w:hanging="360"/>
      </w:pPr>
      <w:rPr>
        <w:rFonts w:ascii="Arial" w:hAnsi="Arial" w:hint="default"/>
      </w:rPr>
    </w:lvl>
    <w:lvl w:ilvl="5" w:tplc="8E5A9B0A" w:tentative="1">
      <w:start w:val="1"/>
      <w:numFmt w:val="bullet"/>
      <w:lvlText w:val="•"/>
      <w:lvlJc w:val="left"/>
      <w:pPr>
        <w:tabs>
          <w:tab w:val="num" w:pos="4320"/>
        </w:tabs>
        <w:ind w:left="4320" w:hanging="360"/>
      </w:pPr>
      <w:rPr>
        <w:rFonts w:ascii="Arial" w:hAnsi="Arial" w:hint="default"/>
      </w:rPr>
    </w:lvl>
    <w:lvl w:ilvl="6" w:tplc="594071AA" w:tentative="1">
      <w:start w:val="1"/>
      <w:numFmt w:val="bullet"/>
      <w:lvlText w:val="•"/>
      <w:lvlJc w:val="left"/>
      <w:pPr>
        <w:tabs>
          <w:tab w:val="num" w:pos="5040"/>
        </w:tabs>
        <w:ind w:left="5040" w:hanging="360"/>
      </w:pPr>
      <w:rPr>
        <w:rFonts w:ascii="Arial" w:hAnsi="Arial" w:hint="default"/>
      </w:rPr>
    </w:lvl>
    <w:lvl w:ilvl="7" w:tplc="0A72FBF0" w:tentative="1">
      <w:start w:val="1"/>
      <w:numFmt w:val="bullet"/>
      <w:lvlText w:val="•"/>
      <w:lvlJc w:val="left"/>
      <w:pPr>
        <w:tabs>
          <w:tab w:val="num" w:pos="5760"/>
        </w:tabs>
        <w:ind w:left="5760" w:hanging="360"/>
      </w:pPr>
      <w:rPr>
        <w:rFonts w:ascii="Arial" w:hAnsi="Arial" w:hint="default"/>
      </w:rPr>
    </w:lvl>
    <w:lvl w:ilvl="8" w:tplc="B6BA6E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E711A00"/>
    <w:multiLevelType w:val="hybridMultilevel"/>
    <w:tmpl w:val="390C016C"/>
    <w:lvl w:ilvl="0" w:tplc="F4B41ED6">
      <w:start w:val="1"/>
      <w:numFmt w:val="bullet"/>
      <w:lvlText w:val="•"/>
      <w:lvlJc w:val="left"/>
      <w:pPr>
        <w:tabs>
          <w:tab w:val="num" w:pos="720"/>
        </w:tabs>
        <w:ind w:left="720" w:hanging="360"/>
      </w:pPr>
      <w:rPr>
        <w:rFonts w:ascii="Arial" w:hAnsi="Arial" w:hint="default"/>
      </w:rPr>
    </w:lvl>
    <w:lvl w:ilvl="1" w:tplc="58201CE2" w:tentative="1">
      <w:start w:val="1"/>
      <w:numFmt w:val="bullet"/>
      <w:lvlText w:val="•"/>
      <w:lvlJc w:val="left"/>
      <w:pPr>
        <w:tabs>
          <w:tab w:val="num" w:pos="1440"/>
        </w:tabs>
        <w:ind w:left="1440" w:hanging="360"/>
      </w:pPr>
      <w:rPr>
        <w:rFonts w:ascii="Arial" w:hAnsi="Arial" w:hint="default"/>
      </w:rPr>
    </w:lvl>
    <w:lvl w:ilvl="2" w:tplc="5242FF22" w:tentative="1">
      <w:start w:val="1"/>
      <w:numFmt w:val="bullet"/>
      <w:lvlText w:val="•"/>
      <w:lvlJc w:val="left"/>
      <w:pPr>
        <w:tabs>
          <w:tab w:val="num" w:pos="2160"/>
        </w:tabs>
        <w:ind w:left="2160" w:hanging="360"/>
      </w:pPr>
      <w:rPr>
        <w:rFonts w:ascii="Arial" w:hAnsi="Arial" w:hint="default"/>
      </w:rPr>
    </w:lvl>
    <w:lvl w:ilvl="3" w:tplc="62EA1F88" w:tentative="1">
      <w:start w:val="1"/>
      <w:numFmt w:val="bullet"/>
      <w:lvlText w:val="•"/>
      <w:lvlJc w:val="left"/>
      <w:pPr>
        <w:tabs>
          <w:tab w:val="num" w:pos="2880"/>
        </w:tabs>
        <w:ind w:left="2880" w:hanging="360"/>
      </w:pPr>
      <w:rPr>
        <w:rFonts w:ascii="Arial" w:hAnsi="Arial" w:hint="default"/>
      </w:rPr>
    </w:lvl>
    <w:lvl w:ilvl="4" w:tplc="06ECE15E" w:tentative="1">
      <w:start w:val="1"/>
      <w:numFmt w:val="bullet"/>
      <w:lvlText w:val="•"/>
      <w:lvlJc w:val="left"/>
      <w:pPr>
        <w:tabs>
          <w:tab w:val="num" w:pos="3600"/>
        </w:tabs>
        <w:ind w:left="3600" w:hanging="360"/>
      </w:pPr>
      <w:rPr>
        <w:rFonts w:ascii="Arial" w:hAnsi="Arial" w:hint="default"/>
      </w:rPr>
    </w:lvl>
    <w:lvl w:ilvl="5" w:tplc="8F202D0C" w:tentative="1">
      <w:start w:val="1"/>
      <w:numFmt w:val="bullet"/>
      <w:lvlText w:val="•"/>
      <w:lvlJc w:val="left"/>
      <w:pPr>
        <w:tabs>
          <w:tab w:val="num" w:pos="4320"/>
        </w:tabs>
        <w:ind w:left="4320" w:hanging="360"/>
      </w:pPr>
      <w:rPr>
        <w:rFonts w:ascii="Arial" w:hAnsi="Arial" w:hint="default"/>
      </w:rPr>
    </w:lvl>
    <w:lvl w:ilvl="6" w:tplc="86D05792" w:tentative="1">
      <w:start w:val="1"/>
      <w:numFmt w:val="bullet"/>
      <w:lvlText w:val="•"/>
      <w:lvlJc w:val="left"/>
      <w:pPr>
        <w:tabs>
          <w:tab w:val="num" w:pos="5040"/>
        </w:tabs>
        <w:ind w:left="5040" w:hanging="360"/>
      </w:pPr>
      <w:rPr>
        <w:rFonts w:ascii="Arial" w:hAnsi="Arial" w:hint="default"/>
      </w:rPr>
    </w:lvl>
    <w:lvl w:ilvl="7" w:tplc="046615CC" w:tentative="1">
      <w:start w:val="1"/>
      <w:numFmt w:val="bullet"/>
      <w:lvlText w:val="•"/>
      <w:lvlJc w:val="left"/>
      <w:pPr>
        <w:tabs>
          <w:tab w:val="num" w:pos="5760"/>
        </w:tabs>
        <w:ind w:left="5760" w:hanging="360"/>
      </w:pPr>
      <w:rPr>
        <w:rFonts w:ascii="Arial" w:hAnsi="Arial" w:hint="default"/>
      </w:rPr>
    </w:lvl>
    <w:lvl w:ilvl="8" w:tplc="78DAAE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092453B"/>
    <w:multiLevelType w:val="hybridMultilevel"/>
    <w:tmpl w:val="3AE0365A"/>
    <w:lvl w:ilvl="0" w:tplc="8B26B6E8">
      <w:start w:val="1"/>
      <w:numFmt w:val="bullet"/>
      <w:lvlText w:val="•"/>
      <w:lvlJc w:val="left"/>
      <w:pPr>
        <w:tabs>
          <w:tab w:val="num" w:pos="720"/>
        </w:tabs>
        <w:ind w:left="720" w:hanging="360"/>
      </w:pPr>
      <w:rPr>
        <w:rFonts w:ascii="Arial" w:hAnsi="Arial" w:hint="default"/>
      </w:rPr>
    </w:lvl>
    <w:lvl w:ilvl="1" w:tplc="59E8A19A" w:tentative="1">
      <w:start w:val="1"/>
      <w:numFmt w:val="bullet"/>
      <w:lvlText w:val="•"/>
      <w:lvlJc w:val="left"/>
      <w:pPr>
        <w:tabs>
          <w:tab w:val="num" w:pos="1440"/>
        </w:tabs>
        <w:ind w:left="1440" w:hanging="360"/>
      </w:pPr>
      <w:rPr>
        <w:rFonts w:ascii="Arial" w:hAnsi="Arial" w:hint="default"/>
      </w:rPr>
    </w:lvl>
    <w:lvl w:ilvl="2" w:tplc="1AB6FFF0" w:tentative="1">
      <w:start w:val="1"/>
      <w:numFmt w:val="bullet"/>
      <w:lvlText w:val="•"/>
      <w:lvlJc w:val="left"/>
      <w:pPr>
        <w:tabs>
          <w:tab w:val="num" w:pos="2160"/>
        </w:tabs>
        <w:ind w:left="2160" w:hanging="360"/>
      </w:pPr>
      <w:rPr>
        <w:rFonts w:ascii="Arial" w:hAnsi="Arial" w:hint="default"/>
      </w:rPr>
    </w:lvl>
    <w:lvl w:ilvl="3" w:tplc="45B0F6C8" w:tentative="1">
      <w:start w:val="1"/>
      <w:numFmt w:val="bullet"/>
      <w:lvlText w:val="•"/>
      <w:lvlJc w:val="left"/>
      <w:pPr>
        <w:tabs>
          <w:tab w:val="num" w:pos="2880"/>
        </w:tabs>
        <w:ind w:left="2880" w:hanging="360"/>
      </w:pPr>
      <w:rPr>
        <w:rFonts w:ascii="Arial" w:hAnsi="Arial" w:hint="default"/>
      </w:rPr>
    </w:lvl>
    <w:lvl w:ilvl="4" w:tplc="DC5A2BCE" w:tentative="1">
      <w:start w:val="1"/>
      <w:numFmt w:val="bullet"/>
      <w:lvlText w:val="•"/>
      <w:lvlJc w:val="left"/>
      <w:pPr>
        <w:tabs>
          <w:tab w:val="num" w:pos="3600"/>
        </w:tabs>
        <w:ind w:left="3600" w:hanging="360"/>
      </w:pPr>
      <w:rPr>
        <w:rFonts w:ascii="Arial" w:hAnsi="Arial" w:hint="default"/>
      </w:rPr>
    </w:lvl>
    <w:lvl w:ilvl="5" w:tplc="F718058E" w:tentative="1">
      <w:start w:val="1"/>
      <w:numFmt w:val="bullet"/>
      <w:lvlText w:val="•"/>
      <w:lvlJc w:val="left"/>
      <w:pPr>
        <w:tabs>
          <w:tab w:val="num" w:pos="4320"/>
        </w:tabs>
        <w:ind w:left="4320" w:hanging="360"/>
      </w:pPr>
      <w:rPr>
        <w:rFonts w:ascii="Arial" w:hAnsi="Arial" w:hint="default"/>
      </w:rPr>
    </w:lvl>
    <w:lvl w:ilvl="6" w:tplc="825C9A5A" w:tentative="1">
      <w:start w:val="1"/>
      <w:numFmt w:val="bullet"/>
      <w:lvlText w:val="•"/>
      <w:lvlJc w:val="left"/>
      <w:pPr>
        <w:tabs>
          <w:tab w:val="num" w:pos="5040"/>
        </w:tabs>
        <w:ind w:left="5040" w:hanging="360"/>
      </w:pPr>
      <w:rPr>
        <w:rFonts w:ascii="Arial" w:hAnsi="Arial" w:hint="default"/>
      </w:rPr>
    </w:lvl>
    <w:lvl w:ilvl="7" w:tplc="DA9E6C44" w:tentative="1">
      <w:start w:val="1"/>
      <w:numFmt w:val="bullet"/>
      <w:lvlText w:val="•"/>
      <w:lvlJc w:val="left"/>
      <w:pPr>
        <w:tabs>
          <w:tab w:val="num" w:pos="5760"/>
        </w:tabs>
        <w:ind w:left="5760" w:hanging="360"/>
      </w:pPr>
      <w:rPr>
        <w:rFonts w:ascii="Arial" w:hAnsi="Arial" w:hint="default"/>
      </w:rPr>
    </w:lvl>
    <w:lvl w:ilvl="8" w:tplc="D4FE9D3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EC32FF"/>
    <w:multiLevelType w:val="hybridMultilevel"/>
    <w:tmpl w:val="40461952"/>
    <w:lvl w:ilvl="0" w:tplc="A81A69D6">
      <w:start w:val="1"/>
      <w:numFmt w:val="bullet"/>
      <w:lvlText w:val="•"/>
      <w:lvlJc w:val="left"/>
      <w:pPr>
        <w:tabs>
          <w:tab w:val="num" w:pos="720"/>
        </w:tabs>
        <w:ind w:left="720" w:hanging="360"/>
      </w:pPr>
      <w:rPr>
        <w:rFonts w:ascii="Arial" w:hAnsi="Arial" w:hint="default"/>
      </w:rPr>
    </w:lvl>
    <w:lvl w:ilvl="1" w:tplc="D144D622" w:tentative="1">
      <w:start w:val="1"/>
      <w:numFmt w:val="bullet"/>
      <w:lvlText w:val="•"/>
      <w:lvlJc w:val="left"/>
      <w:pPr>
        <w:tabs>
          <w:tab w:val="num" w:pos="1440"/>
        </w:tabs>
        <w:ind w:left="1440" w:hanging="360"/>
      </w:pPr>
      <w:rPr>
        <w:rFonts w:ascii="Arial" w:hAnsi="Arial" w:hint="default"/>
      </w:rPr>
    </w:lvl>
    <w:lvl w:ilvl="2" w:tplc="5830978E" w:tentative="1">
      <w:start w:val="1"/>
      <w:numFmt w:val="bullet"/>
      <w:lvlText w:val="•"/>
      <w:lvlJc w:val="left"/>
      <w:pPr>
        <w:tabs>
          <w:tab w:val="num" w:pos="2160"/>
        </w:tabs>
        <w:ind w:left="2160" w:hanging="360"/>
      </w:pPr>
      <w:rPr>
        <w:rFonts w:ascii="Arial" w:hAnsi="Arial" w:hint="default"/>
      </w:rPr>
    </w:lvl>
    <w:lvl w:ilvl="3" w:tplc="CFEE63A6" w:tentative="1">
      <w:start w:val="1"/>
      <w:numFmt w:val="bullet"/>
      <w:lvlText w:val="•"/>
      <w:lvlJc w:val="left"/>
      <w:pPr>
        <w:tabs>
          <w:tab w:val="num" w:pos="2880"/>
        </w:tabs>
        <w:ind w:left="2880" w:hanging="360"/>
      </w:pPr>
      <w:rPr>
        <w:rFonts w:ascii="Arial" w:hAnsi="Arial" w:hint="default"/>
      </w:rPr>
    </w:lvl>
    <w:lvl w:ilvl="4" w:tplc="5F78F50A" w:tentative="1">
      <w:start w:val="1"/>
      <w:numFmt w:val="bullet"/>
      <w:lvlText w:val="•"/>
      <w:lvlJc w:val="left"/>
      <w:pPr>
        <w:tabs>
          <w:tab w:val="num" w:pos="3600"/>
        </w:tabs>
        <w:ind w:left="3600" w:hanging="360"/>
      </w:pPr>
      <w:rPr>
        <w:rFonts w:ascii="Arial" w:hAnsi="Arial" w:hint="default"/>
      </w:rPr>
    </w:lvl>
    <w:lvl w:ilvl="5" w:tplc="11B0D7B2" w:tentative="1">
      <w:start w:val="1"/>
      <w:numFmt w:val="bullet"/>
      <w:lvlText w:val="•"/>
      <w:lvlJc w:val="left"/>
      <w:pPr>
        <w:tabs>
          <w:tab w:val="num" w:pos="4320"/>
        </w:tabs>
        <w:ind w:left="4320" w:hanging="360"/>
      </w:pPr>
      <w:rPr>
        <w:rFonts w:ascii="Arial" w:hAnsi="Arial" w:hint="default"/>
      </w:rPr>
    </w:lvl>
    <w:lvl w:ilvl="6" w:tplc="82F67A56" w:tentative="1">
      <w:start w:val="1"/>
      <w:numFmt w:val="bullet"/>
      <w:lvlText w:val="•"/>
      <w:lvlJc w:val="left"/>
      <w:pPr>
        <w:tabs>
          <w:tab w:val="num" w:pos="5040"/>
        </w:tabs>
        <w:ind w:left="5040" w:hanging="360"/>
      </w:pPr>
      <w:rPr>
        <w:rFonts w:ascii="Arial" w:hAnsi="Arial" w:hint="default"/>
      </w:rPr>
    </w:lvl>
    <w:lvl w:ilvl="7" w:tplc="CA14EB08" w:tentative="1">
      <w:start w:val="1"/>
      <w:numFmt w:val="bullet"/>
      <w:lvlText w:val="•"/>
      <w:lvlJc w:val="left"/>
      <w:pPr>
        <w:tabs>
          <w:tab w:val="num" w:pos="5760"/>
        </w:tabs>
        <w:ind w:left="5760" w:hanging="360"/>
      </w:pPr>
      <w:rPr>
        <w:rFonts w:ascii="Arial" w:hAnsi="Arial" w:hint="default"/>
      </w:rPr>
    </w:lvl>
    <w:lvl w:ilvl="8" w:tplc="0FDCA5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1062B9D"/>
    <w:multiLevelType w:val="hybridMultilevel"/>
    <w:tmpl w:val="E6504A10"/>
    <w:lvl w:ilvl="0" w:tplc="D250F7CA">
      <w:start w:val="1"/>
      <w:numFmt w:val="bullet"/>
      <w:lvlText w:val="•"/>
      <w:lvlJc w:val="left"/>
      <w:pPr>
        <w:tabs>
          <w:tab w:val="num" w:pos="720"/>
        </w:tabs>
        <w:ind w:left="720" w:hanging="360"/>
      </w:pPr>
      <w:rPr>
        <w:rFonts w:ascii="Arial" w:hAnsi="Arial" w:hint="default"/>
      </w:rPr>
    </w:lvl>
    <w:lvl w:ilvl="1" w:tplc="CA4C7D60" w:tentative="1">
      <w:start w:val="1"/>
      <w:numFmt w:val="bullet"/>
      <w:lvlText w:val="•"/>
      <w:lvlJc w:val="left"/>
      <w:pPr>
        <w:tabs>
          <w:tab w:val="num" w:pos="1440"/>
        </w:tabs>
        <w:ind w:left="1440" w:hanging="360"/>
      </w:pPr>
      <w:rPr>
        <w:rFonts w:ascii="Arial" w:hAnsi="Arial" w:hint="default"/>
      </w:rPr>
    </w:lvl>
    <w:lvl w:ilvl="2" w:tplc="3126D7FE" w:tentative="1">
      <w:start w:val="1"/>
      <w:numFmt w:val="bullet"/>
      <w:lvlText w:val="•"/>
      <w:lvlJc w:val="left"/>
      <w:pPr>
        <w:tabs>
          <w:tab w:val="num" w:pos="2160"/>
        </w:tabs>
        <w:ind w:left="2160" w:hanging="360"/>
      </w:pPr>
      <w:rPr>
        <w:rFonts w:ascii="Arial" w:hAnsi="Arial" w:hint="default"/>
      </w:rPr>
    </w:lvl>
    <w:lvl w:ilvl="3" w:tplc="B8BC96A8" w:tentative="1">
      <w:start w:val="1"/>
      <w:numFmt w:val="bullet"/>
      <w:lvlText w:val="•"/>
      <w:lvlJc w:val="left"/>
      <w:pPr>
        <w:tabs>
          <w:tab w:val="num" w:pos="2880"/>
        </w:tabs>
        <w:ind w:left="2880" w:hanging="360"/>
      </w:pPr>
      <w:rPr>
        <w:rFonts w:ascii="Arial" w:hAnsi="Arial" w:hint="default"/>
      </w:rPr>
    </w:lvl>
    <w:lvl w:ilvl="4" w:tplc="343EAE9E" w:tentative="1">
      <w:start w:val="1"/>
      <w:numFmt w:val="bullet"/>
      <w:lvlText w:val="•"/>
      <w:lvlJc w:val="left"/>
      <w:pPr>
        <w:tabs>
          <w:tab w:val="num" w:pos="3600"/>
        </w:tabs>
        <w:ind w:left="3600" w:hanging="360"/>
      </w:pPr>
      <w:rPr>
        <w:rFonts w:ascii="Arial" w:hAnsi="Arial" w:hint="default"/>
      </w:rPr>
    </w:lvl>
    <w:lvl w:ilvl="5" w:tplc="613CD844" w:tentative="1">
      <w:start w:val="1"/>
      <w:numFmt w:val="bullet"/>
      <w:lvlText w:val="•"/>
      <w:lvlJc w:val="left"/>
      <w:pPr>
        <w:tabs>
          <w:tab w:val="num" w:pos="4320"/>
        </w:tabs>
        <w:ind w:left="4320" w:hanging="360"/>
      </w:pPr>
      <w:rPr>
        <w:rFonts w:ascii="Arial" w:hAnsi="Arial" w:hint="default"/>
      </w:rPr>
    </w:lvl>
    <w:lvl w:ilvl="6" w:tplc="31285744" w:tentative="1">
      <w:start w:val="1"/>
      <w:numFmt w:val="bullet"/>
      <w:lvlText w:val="•"/>
      <w:lvlJc w:val="left"/>
      <w:pPr>
        <w:tabs>
          <w:tab w:val="num" w:pos="5040"/>
        </w:tabs>
        <w:ind w:left="5040" w:hanging="360"/>
      </w:pPr>
      <w:rPr>
        <w:rFonts w:ascii="Arial" w:hAnsi="Arial" w:hint="default"/>
      </w:rPr>
    </w:lvl>
    <w:lvl w:ilvl="7" w:tplc="2F7C00B8" w:tentative="1">
      <w:start w:val="1"/>
      <w:numFmt w:val="bullet"/>
      <w:lvlText w:val="•"/>
      <w:lvlJc w:val="left"/>
      <w:pPr>
        <w:tabs>
          <w:tab w:val="num" w:pos="5760"/>
        </w:tabs>
        <w:ind w:left="5760" w:hanging="360"/>
      </w:pPr>
      <w:rPr>
        <w:rFonts w:ascii="Arial" w:hAnsi="Arial" w:hint="default"/>
      </w:rPr>
    </w:lvl>
    <w:lvl w:ilvl="8" w:tplc="CDF836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724E69"/>
    <w:multiLevelType w:val="hybridMultilevel"/>
    <w:tmpl w:val="D3863818"/>
    <w:lvl w:ilvl="0" w:tplc="7A0CA95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85767F"/>
    <w:multiLevelType w:val="hybridMultilevel"/>
    <w:tmpl w:val="86E2F29C"/>
    <w:lvl w:ilvl="0" w:tplc="13E2245E">
      <w:start w:val="1"/>
      <w:numFmt w:val="bullet"/>
      <w:lvlText w:val="•"/>
      <w:lvlJc w:val="left"/>
      <w:pPr>
        <w:tabs>
          <w:tab w:val="num" w:pos="720"/>
        </w:tabs>
        <w:ind w:left="720" w:hanging="360"/>
      </w:pPr>
      <w:rPr>
        <w:rFonts w:ascii="Arial" w:hAnsi="Arial" w:hint="default"/>
      </w:rPr>
    </w:lvl>
    <w:lvl w:ilvl="1" w:tplc="78D86932" w:tentative="1">
      <w:start w:val="1"/>
      <w:numFmt w:val="bullet"/>
      <w:lvlText w:val="•"/>
      <w:lvlJc w:val="left"/>
      <w:pPr>
        <w:tabs>
          <w:tab w:val="num" w:pos="1440"/>
        </w:tabs>
        <w:ind w:left="1440" w:hanging="360"/>
      </w:pPr>
      <w:rPr>
        <w:rFonts w:ascii="Arial" w:hAnsi="Arial" w:hint="default"/>
      </w:rPr>
    </w:lvl>
    <w:lvl w:ilvl="2" w:tplc="FB12A7C2" w:tentative="1">
      <w:start w:val="1"/>
      <w:numFmt w:val="bullet"/>
      <w:lvlText w:val="•"/>
      <w:lvlJc w:val="left"/>
      <w:pPr>
        <w:tabs>
          <w:tab w:val="num" w:pos="2160"/>
        </w:tabs>
        <w:ind w:left="2160" w:hanging="360"/>
      </w:pPr>
      <w:rPr>
        <w:rFonts w:ascii="Arial" w:hAnsi="Arial" w:hint="default"/>
      </w:rPr>
    </w:lvl>
    <w:lvl w:ilvl="3" w:tplc="5C386BFA" w:tentative="1">
      <w:start w:val="1"/>
      <w:numFmt w:val="bullet"/>
      <w:lvlText w:val="•"/>
      <w:lvlJc w:val="left"/>
      <w:pPr>
        <w:tabs>
          <w:tab w:val="num" w:pos="2880"/>
        </w:tabs>
        <w:ind w:left="2880" w:hanging="360"/>
      </w:pPr>
      <w:rPr>
        <w:rFonts w:ascii="Arial" w:hAnsi="Arial" w:hint="default"/>
      </w:rPr>
    </w:lvl>
    <w:lvl w:ilvl="4" w:tplc="F34A2402" w:tentative="1">
      <w:start w:val="1"/>
      <w:numFmt w:val="bullet"/>
      <w:lvlText w:val="•"/>
      <w:lvlJc w:val="left"/>
      <w:pPr>
        <w:tabs>
          <w:tab w:val="num" w:pos="3600"/>
        </w:tabs>
        <w:ind w:left="3600" w:hanging="360"/>
      </w:pPr>
      <w:rPr>
        <w:rFonts w:ascii="Arial" w:hAnsi="Arial" w:hint="default"/>
      </w:rPr>
    </w:lvl>
    <w:lvl w:ilvl="5" w:tplc="BB9027B6" w:tentative="1">
      <w:start w:val="1"/>
      <w:numFmt w:val="bullet"/>
      <w:lvlText w:val="•"/>
      <w:lvlJc w:val="left"/>
      <w:pPr>
        <w:tabs>
          <w:tab w:val="num" w:pos="4320"/>
        </w:tabs>
        <w:ind w:left="4320" w:hanging="360"/>
      </w:pPr>
      <w:rPr>
        <w:rFonts w:ascii="Arial" w:hAnsi="Arial" w:hint="default"/>
      </w:rPr>
    </w:lvl>
    <w:lvl w:ilvl="6" w:tplc="F40E5F28" w:tentative="1">
      <w:start w:val="1"/>
      <w:numFmt w:val="bullet"/>
      <w:lvlText w:val="•"/>
      <w:lvlJc w:val="left"/>
      <w:pPr>
        <w:tabs>
          <w:tab w:val="num" w:pos="5040"/>
        </w:tabs>
        <w:ind w:left="5040" w:hanging="360"/>
      </w:pPr>
      <w:rPr>
        <w:rFonts w:ascii="Arial" w:hAnsi="Arial" w:hint="default"/>
      </w:rPr>
    </w:lvl>
    <w:lvl w:ilvl="7" w:tplc="191000C2" w:tentative="1">
      <w:start w:val="1"/>
      <w:numFmt w:val="bullet"/>
      <w:lvlText w:val="•"/>
      <w:lvlJc w:val="left"/>
      <w:pPr>
        <w:tabs>
          <w:tab w:val="num" w:pos="5760"/>
        </w:tabs>
        <w:ind w:left="5760" w:hanging="360"/>
      </w:pPr>
      <w:rPr>
        <w:rFonts w:ascii="Arial" w:hAnsi="Arial" w:hint="default"/>
      </w:rPr>
    </w:lvl>
    <w:lvl w:ilvl="8" w:tplc="8FDA1E2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3E4A13"/>
    <w:multiLevelType w:val="hybridMultilevel"/>
    <w:tmpl w:val="E3F602AE"/>
    <w:lvl w:ilvl="0" w:tplc="349493C8">
      <w:start w:val="1"/>
      <w:numFmt w:val="decimal"/>
      <w:lvlText w:val="%1."/>
      <w:lvlJc w:val="left"/>
      <w:pPr>
        <w:tabs>
          <w:tab w:val="num" w:pos="720"/>
        </w:tabs>
        <w:ind w:left="720" w:hanging="360"/>
      </w:pPr>
    </w:lvl>
    <w:lvl w:ilvl="1" w:tplc="F7D8A266" w:tentative="1">
      <w:start w:val="1"/>
      <w:numFmt w:val="decimal"/>
      <w:lvlText w:val="%2."/>
      <w:lvlJc w:val="left"/>
      <w:pPr>
        <w:tabs>
          <w:tab w:val="num" w:pos="1440"/>
        </w:tabs>
        <w:ind w:left="1440" w:hanging="360"/>
      </w:pPr>
    </w:lvl>
    <w:lvl w:ilvl="2" w:tplc="C7B2A0BE" w:tentative="1">
      <w:start w:val="1"/>
      <w:numFmt w:val="decimal"/>
      <w:lvlText w:val="%3."/>
      <w:lvlJc w:val="left"/>
      <w:pPr>
        <w:tabs>
          <w:tab w:val="num" w:pos="2160"/>
        </w:tabs>
        <w:ind w:left="2160" w:hanging="360"/>
      </w:pPr>
    </w:lvl>
    <w:lvl w:ilvl="3" w:tplc="3BF47462" w:tentative="1">
      <w:start w:val="1"/>
      <w:numFmt w:val="decimal"/>
      <w:lvlText w:val="%4."/>
      <w:lvlJc w:val="left"/>
      <w:pPr>
        <w:tabs>
          <w:tab w:val="num" w:pos="2880"/>
        </w:tabs>
        <w:ind w:left="2880" w:hanging="360"/>
      </w:pPr>
    </w:lvl>
    <w:lvl w:ilvl="4" w:tplc="706A2096" w:tentative="1">
      <w:start w:val="1"/>
      <w:numFmt w:val="decimal"/>
      <w:lvlText w:val="%5."/>
      <w:lvlJc w:val="left"/>
      <w:pPr>
        <w:tabs>
          <w:tab w:val="num" w:pos="3600"/>
        </w:tabs>
        <w:ind w:left="3600" w:hanging="360"/>
      </w:pPr>
    </w:lvl>
    <w:lvl w:ilvl="5" w:tplc="9B42BF60" w:tentative="1">
      <w:start w:val="1"/>
      <w:numFmt w:val="decimal"/>
      <w:lvlText w:val="%6."/>
      <w:lvlJc w:val="left"/>
      <w:pPr>
        <w:tabs>
          <w:tab w:val="num" w:pos="4320"/>
        </w:tabs>
        <w:ind w:left="4320" w:hanging="360"/>
      </w:pPr>
    </w:lvl>
    <w:lvl w:ilvl="6" w:tplc="4F2822E2" w:tentative="1">
      <w:start w:val="1"/>
      <w:numFmt w:val="decimal"/>
      <w:lvlText w:val="%7."/>
      <w:lvlJc w:val="left"/>
      <w:pPr>
        <w:tabs>
          <w:tab w:val="num" w:pos="5040"/>
        </w:tabs>
        <w:ind w:left="5040" w:hanging="360"/>
      </w:pPr>
    </w:lvl>
    <w:lvl w:ilvl="7" w:tplc="C33081DC" w:tentative="1">
      <w:start w:val="1"/>
      <w:numFmt w:val="decimal"/>
      <w:lvlText w:val="%8."/>
      <w:lvlJc w:val="left"/>
      <w:pPr>
        <w:tabs>
          <w:tab w:val="num" w:pos="5760"/>
        </w:tabs>
        <w:ind w:left="5760" w:hanging="360"/>
      </w:pPr>
    </w:lvl>
    <w:lvl w:ilvl="8" w:tplc="558A0B0A" w:tentative="1">
      <w:start w:val="1"/>
      <w:numFmt w:val="decimal"/>
      <w:lvlText w:val="%9."/>
      <w:lvlJc w:val="left"/>
      <w:pPr>
        <w:tabs>
          <w:tab w:val="num" w:pos="6480"/>
        </w:tabs>
        <w:ind w:left="6480" w:hanging="360"/>
      </w:pPr>
    </w:lvl>
  </w:abstractNum>
  <w:abstractNum w:abstractNumId="38" w15:restartNumberingAfterBreak="0">
    <w:nsid w:val="56D574C6"/>
    <w:multiLevelType w:val="hybridMultilevel"/>
    <w:tmpl w:val="58ECA882"/>
    <w:lvl w:ilvl="0" w:tplc="FB302E50">
      <w:start w:val="1"/>
      <w:numFmt w:val="bullet"/>
      <w:lvlText w:val="•"/>
      <w:lvlJc w:val="left"/>
      <w:pPr>
        <w:tabs>
          <w:tab w:val="num" w:pos="720"/>
        </w:tabs>
        <w:ind w:left="720" w:hanging="360"/>
      </w:pPr>
      <w:rPr>
        <w:rFonts w:ascii="Arial" w:hAnsi="Arial" w:hint="default"/>
      </w:rPr>
    </w:lvl>
    <w:lvl w:ilvl="1" w:tplc="30BE72E4" w:tentative="1">
      <w:start w:val="1"/>
      <w:numFmt w:val="bullet"/>
      <w:lvlText w:val="•"/>
      <w:lvlJc w:val="left"/>
      <w:pPr>
        <w:tabs>
          <w:tab w:val="num" w:pos="1440"/>
        </w:tabs>
        <w:ind w:left="1440" w:hanging="360"/>
      </w:pPr>
      <w:rPr>
        <w:rFonts w:ascii="Arial" w:hAnsi="Arial" w:hint="default"/>
      </w:rPr>
    </w:lvl>
    <w:lvl w:ilvl="2" w:tplc="FD820BBC" w:tentative="1">
      <w:start w:val="1"/>
      <w:numFmt w:val="bullet"/>
      <w:lvlText w:val="•"/>
      <w:lvlJc w:val="left"/>
      <w:pPr>
        <w:tabs>
          <w:tab w:val="num" w:pos="2160"/>
        </w:tabs>
        <w:ind w:left="2160" w:hanging="360"/>
      </w:pPr>
      <w:rPr>
        <w:rFonts w:ascii="Arial" w:hAnsi="Arial" w:hint="default"/>
      </w:rPr>
    </w:lvl>
    <w:lvl w:ilvl="3" w:tplc="722096F4" w:tentative="1">
      <w:start w:val="1"/>
      <w:numFmt w:val="bullet"/>
      <w:lvlText w:val="•"/>
      <w:lvlJc w:val="left"/>
      <w:pPr>
        <w:tabs>
          <w:tab w:val="num" w:pos="2880"/>
        </w:tabs>
        <w:ind w:left="2880" w:hanging="360"/>
      </w:pPr>
      <w:rPr>
        <w:rFonts w:ascii="Arial" w:hAnsi="Arial" w:hint="default"/>
      </w:rPr>
    </w:lvl>
    <w:lvl w:ilvl="4" w:tplc="A746B216" w:tentative="1">
      <w:start w:val="1"/>
      <w:numFmt w:val="bullet"/>
      <w:lvlText w:val="•"/>
      <w:lvlJc w:val="left"/>
      <w:pPr>
        <w:tabs>
          <w:tab w:val="num" w:pos="3600"/>
        </w:tabs>
        <w:ind w:left="3600" w:hanging="360"/>
      </w:pPr>
      <w:rPr>
        <w:rFonts w:ascii="Arial" w:hAnsi="Arial" w:hint="default"/>
      </w:rPr>
    </w:lvl>
    <w:lvl w:ilvl="5" w:tplc="8A78BADE" w:tentative="1">
      <w:start w:val="1"/>
      <w:numFmt w:val="bullet"/>
      <w:lvlText w:val="•"/>
      <w:lvlJc w:val="left"/>
      <w:pPr>
        <w:tabs>
          <w:tab w:val="num" w:pos="4320"/>
        </w:tabs>
        <w:ind w:left="4320" w:hanging="360"/>
      </w:pPr>
      <w:rPr>
        <w:rFonts w:ascii="Arial" w:hAnsi="Arial" w:hint="default"/>
      </w:rPr>
    </w:lvl>
    <w:lvl w:ilvl="6" w:tplc="47B440E0" w:tentative="1">
      <w:start w:val="1"/>
      <w:numFmt w:val="bullet"/>
      <w:lvlText w:val="•"/>
      <w:lvlJc w:val="left"/>
      <w:pPr>
        <w:tabs>
          <w:tab w:val="num" w:pos="5040"/>
        </w:tabs>
        <w:ind w:left="5040" w:hanging="360"/>
      </w:pPr>
      <w:rPr>
        <w:rFonts w:ascii="Arial" w:hAnsi="Arial" w:hint="default"/>
      </w:rPr>
    </w:lvl>
    <w:lvl w:ilvl="7" w:tplc="4DF878AA" w:tentative="1">
      <w:start w:val="1"/>
      <w:numFmt w:val="bullet"/>
      <w:lvlText w:val="•"/>
      <w:lvlJc w:val="left"/>
      <w:pPr>
        <w:tabs>
          <w:tab w:val="num" w:pos="5760"/>
        </w:tabs>
        <w:ind w:left="5760" w:hanging="360"/>
      </w:pPr>
      <w:rPr>
        <w:rFonts w:ascii="Arial" w:hAnsi="Arial" w:hint="default"/>
      </w:rPr>
    </w:lvl>
    <w:lvl w:ilvl="8" w:tplc="A7B07C5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7EC2E4B"/>
    <w:multiLevelType w:val="hybridMultilevel"/>
    <w:tmpl w:val="510A6BE8"/>
    <w:lvl w:ilvl="0" w:tplc="0832D6C4">
      <w:start w:val="1"/>
      <w:numFmt w:val="bullet"/>
      <w:lvlText w:val="•"/>
      <w:lvlJc w:val="left"/>
      <w:pPr>
        <w:tabs>
          <w:tab w:val="num" w:pos="720"/>
        </w:tabs>
        <w:ind w:left="720" w:hanging="360"/>
      </w:pPr>
      <w:rPr>
        <w:rFonts w:ascii="Arial" w:hAnsi="Arial" w:hint="default"/>
      </w:rPr>
    </w:lvl>
    <w:lvl w:ilvl="1" w:tplc="AA365EBA" w:tentative="1">
      <w:start w:val="1"/>
      <w:numFmt w:val="bullet"/>
      <w:lvlText w:val="•"/>
      <w:lvlJc w:val="left"/>
      <w:pPr>
        <w:tabs>
          <w:tab w:val="num" w:pos="1440"/>
        </w:tabs>
        <w:ind w:left="1440" w:hanging="360"/>
      </w:pPr>
      <w:rPr>
        <w:rFonts w:ascii="Arial" w:hAnsi="Arial" w:hint="default"/>
      </w:rPr>
    </w:lvl>
    <w:lvl w:ilvl="2" w:tplc="6AC455A8" w:tentative="1">
      <w:start w:val="1"/>
      <w:numFmt w:val="bullet"/>
      <w:lvlText w:val="•"/>
      <w:lvlJc w:val="left"/>
      <w:pPr>
        <w:tabs>
          <w:tab w:val="num" w:pos="2160"/>
        </w:tabs>
        <w:ind w:left="2160" w:hanging="360"/>
      </w:pPr>
      <w:rPr>
        <w:rFonts w:ascii="Arial" w:hAnsi="Arial" w:hint="default"/>
      </w:rPr>
    </w:lvl>
    <w:lvl w:ilvl="3" w:tplc="8062B93A" w:tentative="1">
      <w:start w:val="1"/>
      <w:numFmt w:val="bullet"/>
      <w:lvlText w:val="•"/>
      <w:lvlJc w:val="left"/>
      <w:pPr>
        <w:tabs>
          <w:tab w:val="num" w:pos="2880"/>
        </w:tabs>
        <w:ind w:left="2880" w:hanging="360"/>
      </w:pPr>
      <w:rPr>
        <w:rFonts w:ascii="Arial" w:hAnsi="Arial" w:hint="default"/>
      </w:rPr>
    </w:lvl>
    <w:lvl w:ilvl="4" w:tplc="8DF0C166" w:tentative="1">
      <w:start w:val="1"/>
      <w:numFmt w:val="bullet"/>
      <w:lvlText w:val="•"/>
      <w:lvlJc w:val="left"/>
      <w:pPr>
        <w:tabs>
          <w:tab w:val="num" w:pos="3600"/>
        </w:tabs>
        <w:ind w:left="3600" w:hanging="360"/>
      </w:pPr>
      <w:rPr>
        <w:rFonts w:ascii="Arial" w:hAnsi="Arial" w:hint="default"/>
      </w:rPr>
    </w:lvl>
    <w:lvl w:ilvl="5" w:tplc="E870D3E6" w:tentative="1">
      <w:start w:val="1"/>
      <w:numFmt w:val="bullet"/>
      <w:lvlText w:val="•"/>
      <w:lvlJc w:val="left"/>
      <w:pPr>
        <w:tabs>
          <w:tab w:val="num" w:pos="4320"/>
        </w:tabs>
        <w:ind w:left="4320" w:hanging="360"/>
      </w:pPr>
      <w:rPr>
        <w:rFonts w:ascii="Arial" w:hAnsi="Arial" w:hint="default"/>
      </w:rPr>
    </w:lvl>
    <w:lvl w:ilvl="6" w:tplc="9D2AEE70" w:tentative="1">
      <w:start w:val="1"/>
      <w:numFmt w:val="bullet"/>
      <w:lvlText w:val="•"/>
      <w:lvlJc w:val="left"/>
      <w:pPr>
        <w:tabs>
          <w:tab w:val="num" w:pos="5040"/>
        </w:tabs>
        <w:ind w:left="5040" w:hanging="360"/>
      </w:pPr>
      <w:rPr>
        <w:rFonts w:ascii="Arial" w:hAnsi="Arial" w:hint="default"/>
      </w:rPr>
    </w:lvl>
    <w:lvl w:ilvl="7" w:tplc="CCEE49AA" w:tentative="1">
      <w:start w:val="1"/>
      <w:numFmt w:val="bullet"/>
      <w:lvlText w:val="•"/>
      <w:lvlJc w:val="left"/>
      <w:pPr>
        <w:tabs>
          <w:tab w:val="num" w:pos="5760"/>
        </w:tabs>
        <w:ind w:left="5760" w:hanging="360"/>
      </w:pPr>
      <w:rPr>
        <w:rFonts w:ascii="Arial" w:hAnsi="Arial" w:hint="default"/>
      </w:rPr>
    </w:lvl>
    <w:lvl w:ilvl="8" w:tplc="6A86F79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CFF6D1A"/>
    <w:multiLevelType w:val="hybridMultilevel"/>
    <w:tmpl w:val="B9E62B4C"/>
    <w:lvl w:ilvl="0" w:tplc="680E7692">
      <w:start w:val="1"/>
      <w:numFmt w:val="bullet"/>
      <w:lvlText w:val="•"/>
      <w:lvlJc w:val="left"/>
      <w:pPr>
        <w:tabs>
          <w:tab w:val="num" w:pos="720"/>
        </w:tabs>
        <w:ind w:left="720" w:hanging="360"/>
      </w:pPr>
      <w:rPr>
        <w:rFonts w:ascii="Arial" w:hAnsi="Arial" w:hint="default"/>
      </w:rPr>
    </w:lvl>
    <w:lvl w:ilvl="1" w:tplc="20247250" w:tentative="1">
      <w:start w:val="1"/>
      <w:numFmt w:val="bullet"/>
      <w:lvlText w:val="•"/>
      <w:lvlJc w:val="left"/>
      <w:pPr>
        <w:tabs>
          <w:tab w:val="num" w:pos="1440"/>
        </w:tabs>
        <w:ind w:left="1440" w:hanging="360"/>
      </w:pPr>
      <w:rPr>
        <w:rFonts w:ascii="Arial" w:hAnsi="Arial" w:hint="default"/>
      </w:rPr>
    </w:lvl>
    <w:lvl w:ilvl="2" w:tplc="DFDA453E" w:tentative="1">
      <w:start w:val="1"/>
      <w:numFmt w:val="bullet"/>
      <w:lvlText w:val="•"/>
      <w:lvlJc w:val="left"/>
      <w:pPr>
        <w:tabs>
          <w:tab w:val="num" w:pos="2160"/>
        </w:tabs>
        <w:ind w:left="2160" w:hanging="360"/>
      </w:pPr>
      <w:rPr>
        <w:rFonts w:ascii="Arial" w:hAnsi="Arial" w:hint="default"/>
      </w:rPr>
    </w:lvl>
    <w:lvl w:ilvl="3" w:tplc="B4FCB912" w:tentative="1">
      <w:start w:val="1"/>
      <w:numFmt w:val="bullet"/>
      <w:lvlText w:val="•"/>
      <w:lvlJc w:val="left"/>
      <w:pPr>
        <w:tabs>
          <w:tab w:val="num" w:pos="2880"/>
        </w:tabs>
        <w:ind w:left="2880" w:hanging="360"/>
      </w:pPr>
      <w:rPr>
        <w:rFonts w:ascii="Arial" w:hAnsi="Arial" w:hint="default"/>
      </w:rPr>
    </w:lvl>
    <w:lvl w:ilvl="4" w:tplc="8CFC199C" w:tentative="1">
      <w:start w:val="1"/>
      <w:numFmt w:val="bullet"/>
      <w:lvlText w:val="•"/>
      <w:lvlJc w:val="left"/>
      <w:pPr>
        <w:tabs>
          <w:tab w:val="num" w:pos="3600"/>
        </w:tabs>
        <w:ind w:left="3600" w:hanging="360"/>
      </w:pPr>
      <w:rPr>
        <w:rFonts w:ascii="Arial" w:hAnsi="Arial" w:hint="default"/>
      </w:rPr>
    </w:lvl>
    <w:lvl w:ilvl="5" w:tplc="E160AA44" w:tentative="1">
      <w:start w:val="1"/>
      <w:numFmt w:val="bullet"/>
      <w:lvlText w:val="•"/>
      <w:lvlJc w:val="left"/>
      <w:pPr>
        <w:tabs>
          <w:tab w:val="num" w:pos="4320"/>
        </w:tabs>
        <w:ind w:left="4320" w:hanging="360"/>
      </w:pPr>
      <w:rPr>
        <w:rFonts w:ascii="Arial" w:hAnsi="Arial" w:hint="default"/>
      </w:rPr>
    </w:lvl>
    <w:lvl w:ilvl="6" w:tplc="6ED44946" w:tentative="1">
      <w:start w:val="1"/>
      <w:numFmt w:val="bullet"/>
      <w:lvlText w:val="•"/>
      <w:lvlJc w:val="left"/>
      <w:pPr>
        <w:tabs>
          <w:tab w:val="num" w:pos="5040"/>
        </w:tabs>
        <w:ind w:left="5040" w:hanging="360"/>
      </w:pPr>
      <w:rPr>
        <w:rFonts w:ascii="Arial" w:hAnsi="Arial" w:hint="default"/>
      </w:rPr>
    </w:lvl>
    <w:lvl w:ilvl="7" w:tplc="6178C9A8" w:tentative="1">
      <w:start w:val="1"/>
      <w:numFmt w:val="bullet"/>
      <w:lvlText w:val="•"/>
      <w:lvlJc w:val="left"/>
      <w:pPr>
        <w:tabs>
          <w:tab w:val="num" w:pos="5760"/>
        </w:tabs>
        <w:ind w:left="5760" w:hanging="360"/>
      </w:pPr>
      <w:rPr>
        <w:rFonts w:ascii="Arial" w:hAnsi="Arial" w:hint="default"/>
      </w:rPr>
    </w:lvl>
    <w:lvl w:ilvl="8" w:tplc="BC9AFBA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DC238EA"/>
    <w:multiLevelType w:val="hybridMultilevel"/>
    <w:tmpl w:val="49F8427C"/>
    <w:lvl w:ilvl="0" w:tplc="F326A91A">
      <w:start w:val="1"/>
      <w:numFmt w:val="bullet"/>
      <w:lvlText w:val=""/>
      <w:lvlJc w:val="left"/>
      <w:pPr>
        <w:tabs>
          <w:tab w:val="num" w:pos="720"/>
        </w:tabs>
        <w:ind w:left="720" w:hanging="360"/>
      </w:pPr>
      <w:rPr>
        <w:rFonts w:ascii="Symbol" w:hAnsi="Symbol" w:hint="default"/>
      </w:rPr>
    </w:lvl>
    <w:lvl w:ilvl="1" w:tplc="F00CB3DC" w:tentative="1">
      <w:start w:val="1"/>
      <w:numFmt w:val="bullet"/>
      <w:lvlText w:val=""/>
      <w:lvlJc w:val="left"/>
      <w:pPr>
        <w:tabs>
          <w:tab w:val="num" w:pos="1440"/>
        </w:tabs>
        <w:ind w:left="1440" w:hanging="360"/>
      </w:pPr>
      <w:rPr>
        <w:rFonts w:ascii="Symbol" w:hAnsi="Symbol" w:hint="default"/>
      </w:rPr>
    </w:lvl>
    <w:lvl w:ilvl="2" w:tplc="9880036A" w:tentative="1">
      <w:start w:val="1"/>
      <w:numFmt w:val="bullet"/>
      <w:lvlText w:val=""/>
      <w:lvlJc w:val="left"/>
      <w:pPr>
        <w:tabs>
          <w:tab w:val="num" w:pos="2160"/>
        </w:tabs>
        <w:ind w:left="2160" w:hanging="360"/>
      </w:pPr>
      <w:rPr>
        <w:rFonts w:ascii="Symbol" w:hAnsi="Symbol" w:hint="default"/>
      </w:rPr>
    </w:lvl>
    <w:lvl w:ilvl="3" w:tplc="6570D0AA" w:tentative="1">
      <w:start w:val="1"/>
      <w:numFmt w:val="bullet"/>
      <w:lvlText w:val=""/>
      <w:lvlJc w:val="left"/>
      <w:pPr>
        <w:tabs>
          <w:tab w:val="num" w:pos="2880"/>
        </w:tabs>
        <w:ind w:left="2880" w:hanging="360"/>
      </w:pPr>
      <w:rPr>
        <w:rFonts w:ascii="Symbol" w:hAnsi="Symbol" w:hint="default"/>
      </w:rPr>
    </w:lvl>
    <w:lvl w:ilvl="4" w:tplc="8DC40E82" w:tentative="1">
      <w:start w:val="1"/>
      <w:numFmt w:val="bullet"/>
      <w:lvlText w:val=""/>
      <w:lvlJc w:val="left"/>
      <w:pPr>
        <w:tabs>
          <w:tab w:val="num" w:pos="3600"/>
        </w:tabs>
        <w:ind w:left="3600" w:hanging="360"/>
      </w:pPr>
      <w:rPr>
        <w:rFonts w:ascii="Symbol" w:hAnsi="Symbol" w:hint="default"/>
      </w:rPr>
    </w:lvl>
    <w:lvl w:ilvl="5" w:tplc="D43C7890" w:tentative="1">
      <w:start w:val="1"/>
      <w:numFmt w:val="bullet"/>
      <w:lvlText w:val=""/>
      <w:lvlJc w:val="left"/>
      <w:pPr>
        <w:tabs>
          <w:tab w:val="num" w:pos="4320"/>
        </w:tabs>
        <w:ind w:left="4320" w:hanging="360"/>
      </w:pPr>
      <w:rPr>
        <w:rFonts w:ascii="Symbol" w:hAnsi="Symbol" w:hint="default"/>
      </w:rPr>
    </w:lvl>
    <w:lvl w:ilvl="6" w:tplc="BD9ED90C" w:tentative="1">
      <w:start w:val="1"/>
      <w:numFmt w:val="bullet"/>
      <w:lvlText w:val=""/>
      <w:lvlJc w:val="left"/>
      <w:pPr>
        <w:tabs>
          <w:tab w:val="num" w:pos="5040"/>
        </w:tabs>
        <w:ind w:left="5040" w:hanging="360"/>
      </w:pPr>
      <w:rPr>
        <w:rFonts w:ascii="Symbol" w:hAnsi="Symbol" w:hint="default"/>
      </w:rPr>
    </w:lvl>
    <w:lvl w:ilvl="7" w:tplc="5D723E74" w:tentative="1">
      <w:start w:val="1"/>
      <w:numFmt w:val="bullet"/>
      <w:lvlText w:val=""/>
      <w:lvlJc w:val="left"/>
      <w:pPr>
        <w:tabs>
          <w:tab w:val="num" w:pos="5760"/>
        </w:tabs>
        <w:ind w:left="5760" w:hanging="360"/>
      </w:pPr>
      <w:rPr>
        <w:rFonts w:ascii="Symbol" w:hAnsi="Symbol" w:hint="default"/>
      </w:rPr>
    </w:lvl>
    <w:lvl w:ilvl="8" w:tplc="55D6866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2DC4F87"/>
    <w:multiLevelType w:val="hybridMultilevel"/>
    <w:tmpl w:val="44C6F1B8"/>
    <w:lvl w:ilvl="0" w:tplc="DAB4ABEE">
      <w:start w:val="1"/>
      <w:numFmt w:val="bullet"/>
      <w:lvlText w:val="•"/>
      <w:lvlJc w:val="left"/>
      <w:pPr>
        <w:tabs>
          <w:tab w:val="num" w:pos="720"/>
        </w:tabs>
        <w:ind w:left="720" w:hanging="360"/>
      </w:pPr>
      <w:rPr>
        <w:rFonts w:ascii="Arial" w:hAnsi="Arial" w:hint="default"/>
      </w:rPr>
    </w:lvl>
    <w:lvl w:ilvl="1" w:tplc="40C8C41C" w:tentative="1">
      <w:start w:val="1"/>
      <w:numFmt w:val="bullet"/>
      <w:lvlText w:val="•"/>
      <w:lvlJc w:val="left"/>
      <w:pPr>
        <w:tabs>
          <w:tab w:val="num" w:pos="1440"/>
        </w:tabs>
        <w:ind w:left="1440" w:hanging="360"/>
      </w:pPr>
      <w:rPr>
        <w:rFonts w:ascii="Arial" w:hAnsi="Arial" w:hint="default"/>
      </w:rPr>
    </w:lvl>
    <w:lvl w:ilvl="2" w:tplc="DC3EBD2C" w:tentative="1">
      <w:start w:val="1"/>
      <w:numFmt w:val="bullet"/>
      <w:lvlText w:val="•"/>
      <w:lvlJc w:val="left"/>
      <w:pPr>
        <w:tabs>
          <w:tab w:val="num" w:pos="2160"/>
        </w:tabs>
        <w:ind w:left="2160" w:hanging="360"/>
      </w:pPr>
      <w:rPr>
        <w:rFonts w:ascii="Arial" w:hAnsi="Arial" w:hint="default"/>
      </w:rPr>
    </w:lvl>
    <w:lvl w:ilvl="3" w:tplc="B8621E32" w:tentative="1">
      <w:start w:val="1"/>
      <w:numFmt w:val="bullet"/>
      <w:lvlText w:val="•"/>
      <w:lvlJc w:val="left"/>
      <w:pPr>
        <w:tabs>
          <w:tab w:val="num" w:pos="2880"/>
        </w:tabs>
        <w:ind w:left="2880" w:hanging="360"/>
      </w:pPr>
      <w:rPr>
        <w:rFonts w:ascii="Arial" w:hAnsi="Arial" w:hint="default"/>
      </w:rPr>
    </w:lvl>
    <w:lvl w:ilvl="4" w:tplc="C63EE030" w:tentative="1">
      <w:start w:val="1"/>
      <w:numFmt w:val="bullet"/>
      <w:lvlText w:val="•"/>
      <w:lvlJc w:val="left"/>
      <w:pPr>
        <w:tabs>
          <w:tab w:val="num" w:pos="3600"/>
        </w:tabs>
        <w:ind w:left="3600" w:hanging="360"/>
      </w:pPr>
      <w:rPr>
        <w:rFonts w:ascii="Arial" w:hAnsi="Arial" w:hint="default"/>
      </w:rPr>
    </w:lvl>
    <w:lvl w:ilvl="5" w:tplc="221AB942" w:tentative="1">
      <w:start w:val="1"/>
      <w:numFmt w:val="bullet"/>
      <w:lvlText w:val="•"/>
      <w:lvlJc w:val="left"/>
      <w:pPr>
        <w:tabs>
          <w:tab w:val="num" w:pos="4320"/>
        </w:tabs>
        <w:ind w:left="4320" w:hanging="360"/>
      </w:pPr>
      <w:rPr>
        <w:rFonts w:ascii="Arial" w:hAnsi="Arial" w:hint="default"/>
      </w:rPr>
    </w:lvl>
    <w:lvl w:ilvl="6" w:tplc="9074306A" w:tentative="1">
      <w:start w:val="1"/>
      <w:numFmt w:val="bullet"/>
      <w:lvlText w:val="•"/>
      <w:lvlJc w:val="left"/>
      <w:pPr>
        <w:tabs>
          <w:tab w:val="num" w:pos="5040"/>
        </w:tabs>
        <w:ind w:left="5040" w:hanging="360"/>
      </w:pPr>
      <w:rPr>
        <w:rFonts w:ascii="Arial" w:hAnsi="Arial" w:hint="default"/>
      </w:rPr>
    </w:lvl>
    <w:lvl w:ilvl="7" w:tplc="ADDAF626" w:tentative="1">
      <w:start w:val="1"/>
      <w:numFmt w:val="bullet"/>
      <w:lvlText w:val="•"/>
      <w:lvlJc w:val="left"/>
      <w:pPr>
        <w:tabs>
          <w:tab w:val="num" w:pos="5760"/>
        </w:tabs>
        <w:ind w:left="5760" w:hanging="360"/>
      </w:pPr>
      <w:rPr>
        <w:rFonts w:ascii="Arial" w:hAnsi="Arial" w:hint="default"/>
      </w:rPr>
    </w:lvl>
    <w:lvl w:ilvl="8" w:tplc="D1A8A5F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2DF5355"/>
    <w:multiLevelType w:val="hybridMultilevel"/>
    <w:tmpl w:val="774293DC"/>
    <w:lvl w:ilvl="0" w:tplc="CB6EF0D4">
      <w:start w:val="1"/>
      <w:numFmt w:val="bullet"/>
      <w:lvlText w:val="•"/>
      <w:lvlJc w:val="left"/>
      <w:pPr>
        <w:tabs>
          <w:tab w:val="num" w:pos="720"/>
        </w:tabs>
        <w:ind w:left="720" w:hanging="360"/>
      </w:pPr>
      <w:rPr>
        <w:rFonts w:ascii="Arial" w:hAnsi="Arial" w:hint="default"/>
      </w:rPr>
    </w:lvl>
    <w:lvl w:ilvl="1" w:tplc="97122DA8">
      <w:numFmt w:val="bullet"/>
      <w:lvlText w:val="•"/>
      <w:lvlJc w:val="left"/>
      <w:pPr>
        <w:tabs>
          <w:tab w:val="num" w:pos="1440"/>
        </w:tabs>
        <w:ind w:left="1440" w:hanging="360"/>
      </w:pPr>
      <w:rPr>
        <w:rFonts w:ascii="Arial" w:hAnsi="Arial" w:hint="default"/>
      </w:rPr>
    </w:lvl>
    <w:lvl w:ilvl="2" w:tplc="EFE83BFC" w:tentative="1">
      <w:start w:val="1"/>
      <w:numFmt w:val="bullet"/>
      <w:lvlText w:val="•"/>
      <w:lvlJc w:val="left"/>
      <w:pPr>
        <w:tabs>
          <w:tab w:val="num" w:pos="2160"/>
        </w:tabs>
        <w:ind w:left="2160" w:hanging="360"/>
      </w:pPr>
      <w:rPr>
        <w:rFonts w:ascii="Arial" w:hAnsi="Arial" w:hint="default"/>
      </w:rPr>
    </w:lvl>
    <w:lvl w:ilvl="3" w:tplc="81E0D4CC" w:tentative="1">
      <w:start w:val="1"/>
      <w:numFmt w:val="bullet"/>
      <w:lvlText w:val="•"/>
      <w:lvlJc w:val="left"/>
      <w:pPr>
        <w:tabs>
          <w:tab w:val="num" w:pos="2880"/>
        </w:tabs>
        <w:ind w:left="2880" w:hanging="360"/>
      </w:pPr>
      <w:rPr>
        <w:rFonts w:ascii="Arial" w:hAnsi="Arial" w:hint="default"/>
      </w:rPr>
    </w:lvl>
    <w:lvl w:ilvl="4" w:tplc="2EF01BBE" w:tentative="1">
      <w:start w:val="1"/>
      <w:numFmt w:val="bullet"/>
      <w:lvlText w:val="•"/>
      <w:lvlJc w:val="left"/>
      <w:pPr>
        <w:tabs>
          <w:tab w:val="num" w:pos="3600"/>
        </w:tabs>
        <w:ind w:left="3600" w:hanging="360"/>
      </w:pPr>
      <w:rPr>
        <w:rFonts w:ascii="Arial" w:hAnsi="Arial" w:hint="default"/>
      </w:rPr>
    </w:lvl>
    <w:lvl w:ilvl="5" w:tplc="B310DCD0" w:tentative="1">
      <w:start w:val="1"/>
      <w:numFmt w:val="bullet"/>
      <w:lvlText w:val="•"/>
      <w:lvlJc w:val="left"/>
      <w:pPr>
        <w:tabs>
          <w:tab w:val="num" w:pos="4320"/>
        </w:tabs>
        <w:ind w:left="4320" w:hanging="360"/>
      </w:pPr>
      <w:rPr>
        <w:rFonts w:ascii="Arial" w:hAnsi="Arial" w:hint="default"/>
      </w:rPr>
    </w:lvl>
    <w:lvl w:ilvl="6" w:tplc="BE229628" w:tentative="1">
      <w:start w:val="1"/>
      <w:numFmt w:val="bullet"/>
      <w:lvlText w:val="•"/>
      <w:lvlJc w:val="left"/>
      <w:pPr>
        <w:tabs>
          <w:tab w:val="num" w:pos="5040"/>
        </w:tabs>
        <w:ind w:left="5040" w:hanging="360"/>
      </w:pPr>
      <w:rPr>
        <w:rFonts w:ascii="Arial" w:hAnsi="Arial" w:hint="default"/>
      </w:rPr>
    </w:lvl>
    <w:lvl w:ilvl="7" w:tplc="FC026292" w:tentative="1">
      <w:start w:val="1"/>
      <w:numFmt w:val="bullet"/>
      <w:lvlText w:val="•"/>
      <w:lvlJc w:val="left"/>
      <w:pPr>
        <w:tabs>
          <w:tab w:val="num" w:pos="5760"/>
        </w:tabs>
        <w:ind w:left="5760" w:hanging="360"/>
      </w:pPr>
      <w:rPr>
        <w:rFonts w:ascii="Arial" w:hAnsi="Arial" w:hint="default"/>
      </w:rPr>
    </w:lvl>
    <w:lvl w:ilvl="8" w:tplc="DBCA674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4101584"/>
    <w:multiLevelType w:val="hybridMultilevel"/>
    <w:tmpl w:val="2ECC91E6"/>
    <w:lvl w:ilvl="0" w:tplc="92845C4A">
      <w:start w:val="1"/>
      <w:numFmt w:val="bullet"/>
      <w:lvlText w:val="•"/>
      <w:lvlJc w:val="left"/>
      <w:pPr>
        <w:tabs>
          <w:tab w:val="num" w:pos="720"/>
        </w:tabs>
        <w:ind w:left="720" w:hanging="360"/>
      </w:pPr>
      <w:rPr>
        <w:rFonts w:ascii="Arial" w:hAnsi="Arial" w:hint="default"/>
      </w:rPr>
    </w:lvl>
    <w:lvl w:ilvl="1" w:tplc="F0B4E034" w:tentative="1">
      <w:start w:val="1"/>
      <w:numFmt w:val="bullet"/>
      <w:lvlText w:val="•"/>
      <w:lvlJc w:val="left"/>
      <w:pPr>
        <w:tabs>
          <w:tab w:val="num" w:pos="1440"/>
        </w:tabs>
        <w:ind w:left="1440" w:hanging="360"/>
      </w:pPr>
      <w:rPr>
        <w:rFonts w:ascii="Arial" w:hAnsi="Arial" w:hint="default"/>
      </w:rPr>
    </w:lvl>
    <w:lvl w:ilvl="2" w:tplc="D76CC762" w:tentative="1">
      <w:start w:val="1"/>
      <w:numFmt w:val="bullet"/>
      <w:lvlText w:val="•"/>
      <w:lvlJc w:val="left"/>
      <w:pPr>
        <w:tabs>
          <w:tab w:val="num" w:pos="2160"/>
        </w:tabs>
        <w:ind w:left="2160" w:hanging="360"/>
      </w:pPr>
      <w:rPr>
        <w:rFonts w:ascii="Arial" w:hAnsi="Arial" w:hint="default"/>
      </w:rPr>
    </w:lvl>
    <w:lvl w:ilvl="3" w:tplc="75E4105E" w:tentative="1">
      <w:start w:val="1"/>
      <w:numFmt w:val="bullet"/>
      <w:lvlText w:val="•"/>
      <w:lvlJc w:val="left"/>
      <w:pPr>
        <w:tabs>
          <w:tab w:val="num" w:pos="2880"/>
        </w:tabs>
        <w:ind w:left="2880" w:hanging="360"/>
      </w:pPr>
      <w:rPr>
        <w:rFonts w:ascii="Arial" w:hAnsi="Arial" w:hint="default"/>
      </w:rPr>
    </w:lvl>
    <w:lvl w:ilvl="4" w:tplc="3B382DE2" w:tentative="1">
      <w:start w:val="1"/>
      <w:numFmt w:val="bullet"/>
      <w:lvlText w:val="•"/>
      <w:lvlJc w:val="left"/>
      <w:pPr>
        <w:tabs>
          <w:tab w:val="num" w:pos="3600"/>
        </w:tabs>
        <w:ind w:left="3600" w:hanging="360"/>
      </w:pPr>
      <w:rPr>
        <w:rFonts w:ascii="Arial" w:hAnsi="Arial" w:hint="default"/>
      </w:rPr>
    </w:lvl>
    <w:lvl w:ilvl="5" w:tplc="B5E6E65A" w:tentative="1">
      <w:start w:val="1"/>
      <w:numFmt w:val="bullet"/>
      <w:lvlText w:val="•"/>
      <w:lvlJc w:val="left"/>
      <w:pPr>
        <w:tabs>
          <w:tab w:val="num" w:pos="4320"/>
        </w:tabs>
        <w:ind w:left="4320" w:hanging="360"/>
      </w:pPr>
      <w:rPr>
        <w:rFonts w:ascii="Arial" w:hAnsi="Arial" w:hint="default"/>
      </w:rPr>
    </w:lvl>
    <w:lvl w:ilvl="6" w:tplc="A348747C" w:tentative="1">
      <w:start w:val="1"/>
      <w:numFmt w:val="bullet"/>
      <w:lvlText w:val="•"/>
      <w:lvlJc w:val="left"/>
      <w:pPr>
        <w:tabs>
          <w:tab w:val="num" w:pos="5040"/>
        </w:tabs>
        <w:ind w:left="5040" w:hanging="360"/>
      </w:pPr>
      <w:rPr>
        <w:rFonts w:ascii="Arial" w:hAnsi="Arial" w:hint="default"/>
      </w:rPr>
    </w:lvl>
    <w:lvl w:ilvl="7" w:tplc="2F80A104" w:tentative="1">
      <w:start w:val="1"/>
      <w:numFmt w:val="bullet"/>
      <w:lvlText w:val="•"/>
      <w:lvlJc w:val="left"/>
      <w:pPr>
        <w:tabs>
          <w:tab w:val="num" w:pos="5760"/>
        </w:tabs>
        <w:ind w:left="5760" w:hanging="360"/>
      </w:pPr>
      <w:rPr>
        <w:rFonts w:ascii="Arial" w:hAnsi="Arial" w:hint="default"/>
      </w:rPr>
    </w:lvl>
    <w:lvl w:ilvl="8" w:tplc="AEF47B2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7310A95"/>
    <w:multiLevelType w:val="hybridMultilevel"/>
    <w:tmpl w:val="520E4C66"/>
    <w:lvl w:ilvl="0" w:tplc="38A6856C">
      <w:start w:val="1"/>
      <w:numFmt w:val="bullet"/>
      <w:lvlText w:val="•"/>
      <w:lvlJc w:val="left"/>
      <w:pPr>
        <w:tabs>
          <w:tab w:val="num" w:pos="720"/>
        </w:tabs>
        <w:ind w:left="720" w:hanging="360"/>
      </w:pPr>
      <w:rPr>
        <w:rFonts w:ascii="Arial" w:hAnsi="Arial" w:hint="default"/>
      </w:rPr>
    </w:lvl>
    <w:lvl w:ilvl="1" w:tplc="1CF66784" w:tentative="1">
      <w:start w:val="1"/>
      <w:numFmt w:val="bullet"/>
      <w:lvlText w:val="•"/>
      <w:lvlJc w:val="left"/>
      <w:pPr>
        <w:tabs>
          <w:tab w:val="num" w:pos="1440"/>
        </w:tabs>
        <w:ind w:left="1440" w:hanging="360"/>
      </w:pPr>
      <w:rPr>
        <w:rFonts w:ascii="Arial" w:hAnsi="Arial" w:hint="default"/>
      </w:rPr>
    </w:lvl>
    <w:lvl w:ilvl="2" w:tplc="9BE0515C" w:tentative="1">
      <w:start w:val="1"/>
      <w:numFmt w:val="bullet"/>
      <w:lvlText w:val="•"/>
      <w:lvlJc w:val="left"/>
      <w:pPr>
        <w:tabs>
          <w:tab w:val="num" w:pos="2160"/>
        </w:tabs>
        <w:ind w:left="2160" w:hanging="360"/>
      </w:pPr>
      <w:rPr>
        <w:rFonts w:ascii="Arial" w:hAnsi="Arial" w:hint="default"/>
      </w:rPr>
    </w:lvl>
    <w:lvl w:ilvl="3" w:tplc="BE1E2A48" w:tentative="1">
      <w:start w:val="1"/>
      <w:numFmt w:val="bullet"/>
      <w:lvlText w:val="•"/>
      <w:lvlJc w:val="left"/>
      <w:pPr>
        <w:tabs>
          <w:tab w:val="num" w:pos="2880"/>
        </w:tabs>
        <w:ind w:left="2880" w:hanging="360"/>
      </w:pPr>
      <w:rPr>
        <w:rFonts w:ascii="Arial" w:hAnsi="Arial" w:hint="default"/>
      </w:rPr>
    </w:lvl>
    <w:lvl w:ilvl="4" w:tplc="8A52FB36" w:tentative="1">
      <w:start w:val="1"/>
      <w:numFmt w:val="bullet"/>
      <w:lvlText w:val="•"/>
      <w:lvlJc w:val="left"/>
      <w:pPr>
        <w:tabs>
          <w:tab w:val="num" w:pos="3600"/>
        </w:tabs>
        <w:ind w:left="3600" w:hanging="360"/>
      </w:pPr>
      <w:rPr>
        <w:rFonts w:ascii="Arial" w:hAnsi="Arial" w:hint="default"/>
      </w:rPr>
    </w:lvl>
    <w:lvl w:ilvl="5" w:tplc="0E4CFEFE" w:tentative="1">
      <w:start w:val="1"/>
      <w:numFmt w:val="bullet"/>
      <w:lvlText w:val="•"/>
      <w:lvlJc w:val="left"/>
      <w:pPr>
        <w:tabs>
          <w:tab w:val="num" w:pos="4320"/>
        </w:tabs>
        <w:ind w:left="4320" w:hanging="360"/>
      </w:pPr>
      <w:rPr>
        <w:rFonts w:ascii="Arial" w:hAnsi="Arial" w:hint="default"/>
      </w:rPr>
    </w:lvl>
    <w:lvl w:ilvl="6" w:tplc="ECE49328" w:tentative="1">
      <w:start w:val="1"/>
      <w:numFmt w:val="bullet"/>
      <w:lvlText w:val="•"/>
      <w:lvlJc w:val="left"/>
      <w:pPr>
        <w:tabs>
          <w:tab w:val="num" w:pos="5040"/>
        </w:tabs>
        <w:ind w:left="5040" w:hanging="360"/>
      </w:pPr>
      <w:rPr>
        <w:rFonts w:ascii="Arial" w:hAnsi="Arial" w:hint="default"/>
      </w:rPr>
    </w:lvl>
    <w:lvl w:ilvl="7" w:tplc="F2868EA4" w:tentative="1">
      <w:start w:val="1"/>
      <w:numFmt w:val="bullet"/>
      <w:lvlText w:val="•"/>
      <w:lvlJc w:val="left"/>
      <w:pPr>
        <w:tabs>
          <w:tab w:val="num" w:pos="5760"/>
        </w:tabs>
        <w:ind w:left="5760" w:hanging="360"/>
      </w:pPr>
      <w:rPr>
        <w:rFonts w:ascii="Arial" w:hAnsi="Arial" w:hint="default"/>
      </w:rPr>
    </w:lvl>
    <w:lvl w:ilvl="8" w:tplc="8B84E4E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7F16778"/>
    <w:multiLevelType w:val="hybridMultilevel"/>
    <w:tmpl w:val="8D381228"/>
    <w:lvl w:ilvl="0" w:tplc="C896BE32">
      <w:start w:val="1"/>
      <w:numFmt w:val="bullet"/>
      <w:lvlText w:val="•"/>
      <w:lvlJc w:val="left"/>
      <w:pPr>
        <w:tabs>
          <w:tab w:val="num" w:pos="720"/>
        </w:tabs>
        <w:ind w:left="720" w:hanging="360"/>
      </w:pPr>
      <w:rPr>
        <w:rFonts w:ascii="Arial" w:hAnsi="Arial" w:hint="default"/>
      </w:rPr>
    </w:lvl>
    <w:lvl w:ilvl="1" w:tplc="2FF65808" w:tentative="1">
      <w:start w:val="1"/>
      <w:numFmt w:val="bullet"/>
      <w:lvlText w:val="•"/>
      <w:lvlJc w:val="left"/>
      <w:pPr>
        <w:tabs>
          <w:tab w:val="num" w:pos="1440"/>
        </w:tabs>
        <w:ind w:left="1440" w:hanging="360"/>
      </w:pPr>
      <w:rPr>
        <w:rFonts w:ascii="Arial" w:hAnsi="Arial" w:hint="default"/>
      </w:rPr>
    </w:lvl>
    <w:lvl w:ilvl="2" w:tplc="C128D6C6" w:tentative="1">
      <w:start w:val="1"/>
      <w:numFmt w:val="bullet"/>
      <w:lvlText w:val="•"/>
      <w:lvlJc w:val="left"/>
      <w:pPr>
        <w:tabs>
          <w:tab w:val="num" w:pos="2160"/>
        </w:tabs>
        <w:ind w:left="2160" w:hanging="360"/>
      </w:pPr>
      <w:rPr>
        <w:rFonts w:ascii="Arial" w:hAnsi="Arial" w:hint="default"/>
      </w:rPr>
    </w:lvl>
    <w:lvl w:ilvl="3" w:tplc="0CD81726" w:tentative="1">
      <w:start w:val="1"/>
      <w:numFmt w:val="bullet"/>
      <w:lvlText w:val="•"/>
      <w:lvlJc w:val="left"/>
      <w:pPr>
        <w:tabs>
          <w:tab w:val="num" w:pos="2880"/>
        </w:tabs>
        <w:ind w:left="2880" w:hanging="360"/>
      </w:pPr>
      <w:rPr>
        <w:rFonts w:ascii="Arial" w:hAnsi="Arial" w:hint="default"/>
      </w:rPr>
    </w:lvl>
    <w:lvl w:ilvl="4" w:tplc="65FAC62C" w:tentative="1">
      <w:start w:val="1"/>
      <w:numFmt w:val="bullet"/>
      <w:lvlText w:val="•"/>
      <w:lvlJc w:val="left"/>
      <w:pPr>
        <w:tabs>
          <w:tab w:val="num" w:pos="3600"/>
        </w:tabs>
        <w:ind w:left="3600" w:hanging="360"/>
      </w:pPr>
      <w:rPr>
        <w:rFonts w:ascii="Arial" w:hAnsi="Arial" w:hint="default"/>
      </w:rPr>
    </w:lvl>
    <w:lvl w:ilvl="5" w:tplc="27764AB8" w:tentative="1">
      <w:start w:val="1"/>
      <w:numFmt w:val="bullet"/>
      <w:lvlText w:val="•"/>
      <w:lvlJc w:val="left"/>
      <w:pPr>
        <w:tabs>
          <w:tab w:val="num" w:pos="4320"/>
        </w:tabs>
        <w:ind w:left="4320" w:hanging="360"/>
      </w:pPr>
      <w:rPr>
        <w:rFonts w:ascii="Arial" w:hAnsi="Arial" w:hint="default"/>
      </w:rPr>
    </w:lvl>
    <w:lvl w:ilvl="6" w:tplc="FE4C3FD6" w:tentative="1">
      <w:start w:val="1"/>
      <w:numFmt w:val="bullet"/>
      <w:lvlText w:val="•"/>
      <w:lvlJc w:val="left"/>
      <w:pPr>
        <w:tabs>
          <w:tab w:val="num" w:pos="5040"/>
        </w:tabs>
        <w:ind w:left="5040" w:hanging="360"/>
      </w:pPr>
      <w:rPr>
        <w:rFonts w:ascii="Arial" w:hAnsi="Arial" w:hint="default"/>
      </w:rPr>
    </w:lvl>
    <w:lvl w:ilvl="7" w:tplc="4BF0B6E0" w:tentative="1">
      <w:start w:val="1"/>
      <w:numFmt w:val="bullet"/>
      <w:lvlText w:val="•"/>
      <w:lvlJc w:val="left"/>
      <w:pPr>
        <w:tabs>
          <w:tab w:val="num" w:pos="5760"/>
        </w:tabs>
        <w:ind w:left="5760" w:hanging="360"/>
      </w:pPr>
      <w:rPr>
        <w:rFonts w:ascii="Arial" w:hAnsi="Arial" w:hint="default"/>
      </w:rPr>
    </w:lvl>
    <w:lvl w:ilvl="8" w:tplc="2820CFA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90F2BF5"/>
    <w:multiLevelType w:val="hybridMultilevel"/>
    <w:tmpl w:val="4352237A"/>
    <w:lvl w:ilvl="0" w:tplc="61F094D0">
      <w:start w:val="1"/>
      <w:numFmt w:val="bullet"/>
      <w:lvlText w:val="•"/>
      <w:lvlJc w:val="left"/>
      <w:pPr>
        <w:tabs>
          <w:tab w:val="num" w:pos="720"/>
        </w:tabs>
        <w:ind w:left="720" w:hanging="360"/>
      </w:pPr>
      <w:rPr>
        <w:rFonts w:ascii="Arial" w:hAnsi="Arial" w:hint="default"/>
      </w:rPr>
    </w:lvl>
    <w:lvl w:ilvl="1" w:tplc="6D62CDDE" w:tentative="1">
      <w:start w:val="1"/>
      <w:numFmt w:val="bullet"/>
      <w:lvlText w:val="•"/>
      <w:lvlJc w:val="left"/>
      <w:pPr>
        <w:tabs>
          <w:tab w:val="num" w:pos="1440"/>
        </w:tabs>
        <w:ind w:left="1440" w:hanging="360"/>
      </w:pPr>
      <w:rPr>
        <w:rFonts w:ascii="Arial" w:hAnsi="Arial" w:hint="default"/>
      </w:rPr>
    </w:lvl>
    <w:lvl w:ilvl="2" w:tplc="3C3E8D90" w:tentative="1">
      <w:start w:val="1"/>
      <w:numFmt w:val="bullet"/>
      <w:lvlText w:val="•"/>
      <w:lvlJc w:val="left"/>
      <w:pPr>
        <w:tabs>
          <w:tab w:val="num" w:pos="2160"/>
        </w:tabs>
        <w:ind w:left="2160" w:hanging="360"/>
      </w:pPr>
      <w:rPr>
        <w:rFonts w:ascii="Arial" w:hAnsi="Arial" w:hint="default"/>
      </w:rPr>
    </w:lvl>
    <w:lvl w:ilvl="3" w:tplc="5AFAC242" w:tentative="1">
      <w:start w:val="1"/>
      <w:numFmt w:val="bullet"/>
      <w:lvlText w:val="•"/>
      <w:lvlJc w:val="left"/>
      <w:pPr>
        <w:tabs>
          <w:tab w:val="num" w:pos="2880"/>
        </w:tabs>
        <w:ind w:left="2880" w:hanging="360"/>
      </w:pPr>
      <w:rPr>
        <w:rFonts w:ascii="Arial" w:hAnsi="Arial" w:hint="default"/>
      </w:rPr>
    </w:lvl>
    <w:lvl w:ilvl="4" w:tplc="1466EEF0" w:tentative="1">
      <w:start w:val="1"/>
      <w:numFmt w:val="bullet"/>
      <w:lvlText w:val="•"/>
      <w:lvlJc w:val="left"/>
      <w:pPr>
        <w:tabs>
          <w:tab w:val="num" w:pos="3600"/>
        </w:tabs>
        <w:ind w:left="3600" w:hanging="360"/>
      </w:pPr>
      <w:rPr>
        <w:rFonts w:ascii="Arial" w:hAnsi="Arial" w:hint="default"/>
      </w:rPr>
    </w:lvl>
    <w:lvl w:ilvl="5" w:tplc="FBE07E0C" w:tentative="1">
      <w:start w:val="1"/>
      <w:numFmt w:val="bullet"/>
      <w:lvlText w:val="•"/>
      <w:lvlJc w:val="left"/>
      <w:pPr>
        <w:tabs>
          <w:tab w:val="num" w:pos="4320"/>
        </w:tabs>
        <w:ind w:left="4320" w:hanging="360"/>
      </w:pPr>
      <w:rPr>
        <w:rFonts w:ascii="Arial" w:hAnsi="Arial" w:hint="default"/>
      </w:rPr>
    </w:lvl>
    <w:lvl w:ilvl="6" w:tplc="288CDFB0" w:tentative="1">
      <w:start w:val="1"/>
      <w:numFmt w:val="bullet"/>
      <w:lvlText w:val="•"/>
      <w:lvlJc w:val="left"/>
      <w:pPr>
        <w:tabs>
          <w:tab w:val="num" w:pos="5040"/>
        </w:tabs>
        <w:ind w:left="5040" w:hanging="360"/>
      </w:pPr>
      <w:rPr>
        <w:rFonts w:ascii="Arial" w:hAnsi="Arial" w:hint="default"/>
      </w:rPr>
    </w:lvl>
    <w:lvl w:ilvl="7" w:tplc="0A362422" w:tentative="1">
      <w:start w:val="1"/>
      <w:numFmt w:val="bullet"/>
      <w:lvlText w:val="•"/>
      <w:lvlJc w:val="left"/>
      <w:pPr>
        <w:tabs>
          <w:tab w:val="num" w:pos="5760"/>
        </w:tabs>
        <w:ind w:left="5760" w:hanging="360"/>
      </w:pPr>
      <w:rPr>
        <w:rFonts w:ascii="Arial" w:hAnsi="Arial" w:hint="default"/>
      </w:rPr>
    </w:lvl>
    <w:lvl w:ilvl="8" w:tplc="6F2E9DA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9A4175B"/>
    <w:multiLevelType w:val="hybridMultilevel"/>
    <w:tmpl w:val="79B0DD5E"/>
    <w:lvl w:ilvl="0" w:tplc="239A4D86">
      <w:start w:val="1"/>
      <w:numFmt w:val="bullet"/>
      <w:lvlText w:val="•"/>
      <w:lvlJc w:val="left"/>
      <w:pPr>
        <w:tabs>
          <w:tab w:val="num" w:pos="720"/>
        </w:tabs>
        <w:ind w:left="720" w:hanging="360"/>
      </w:pPr>
      <w:rPr>
        <w:rFonts w:ascii="Arial" w:hAnsi="Arial" w:hint="default"/>
      </w:rPr>
    </w:lvl>
    <w:lvl w:ilvl="1" w:tplc="7FC6648C" w:tentative="1">
      <w:start w:val="1"/>
      <w:numFmt w:val="bullet"/>
      <w:lvlText w:val="•"/>
      <w:lvlJc w:val="left"/>
      <w:pPr>
        <w:tabs>
          <w:tab w:val="num" w:pos="1440"/>
        </w:tabs>
        <w:ind w:left="1440" w:hanging="360"/>
      </w:pPr>
      <w:rPr>
        <w:rFonts w:ascii="Arial" w:hAnsi="Arial" w:hint="default"/>
      </w:rPr>
    </w:lvl>
    <w:lvl w:ilvl="2" w:tplc="CB9E15EE" w:tentative="1">
      <w:start w:val="1"/>
      <w:numFmt w:val="bullet"/>
      <w:lvlText w:val="•"/>
      <w:lvlJc w:val="left"/>
      <w:pPr>
        <w:tabs>
          <w:tab w:val="num" w:pos="2160"/>
        </w:tabs>
        <w:ind w:left="2160" w:hanging="360"/>
      </w:pPr>
      <w:rPr>
        <w:rFonts w:ascii="Arial" w:hAnsi="Arial" w:hint="default"/>
      </w:rPr>
    </w:lvl>
    <w:lvl w:ilvl="3" w:tplc="93F0D6EC" w:tentative="1">
      <w:start w:val="1"/>
      <w:numFmt w:val="bullet"/>
      <w:lvlText w:val="•"/>
      <w:lvlJc w:val="left"/>
      <w:pPr>
        <w:tabs>
          <w:tab w:val="num" w:pos="2880"/>
        </w:tabs>
        <w:ind w:left="2880" w:hanging="360"/>
      </w:pPr>
      <w:rPr>
        <w:rFonts w:ascii="Arial" w:hAnsi="Arial" w:hint="default"/>
      </w:rPr>
    </w:lvl>
    <w:lvl w:ilvl="4" w:tplc="C0E80EC8" w:tentative="1">
      <w:start w:val="1"/>
      <w:numFmt w:val="bullet"/>
      <w:lvlText w:val="•"/>
      <w:lvlJc w:val="left"/>
      <w:pPr>
        <w:tabs>
          <w:tab w:val="num" w:pos="3600"/>
        </w:tabs>
        <w:ind w:left="3600" w:hanging="360"/>
      </w:pPr>
      <w:rPr>
        <w:rFonts w:ascii="Arial" w:hAnsi="Arial" w:hint="default"/>
      </w:rPr>
    </w:lvl>
    <w:lvl w:ilvl="5" w:tplc="871228DC" w:tentative="1">
      <w:start w:val="1"/>
      <w:numFmt w:val="bullet"/>
      <w:lvlText w:val="•"/>
      <w:lvlJc w:val="left"/>
      <w:pPr>
        <w:tabs>
          <w:tab w:val="num" w:pos="4320"/>
        </w:tabs>
        <w:ind w:left="4320" w:hanging="360"/>
      </w:pPr>
      <w:rPr>
        <w:rFonts w:ascii="Arial" w:hAnsi="Arial" w:hint="default"/>
      </w:rPr>
    </w:lvl>
    <w:lvl w:ilvl="6" w:tplc="CC74F79A" w:tentative="1">
      <w:start w:val="1"/>
      <w:numFmt w:val="bullet"/>
      <w:lvlText w:val="•"/>
      <w:lvlJc w:val="left"/>
      <w:pPr>
        <w:tabs>
          <w:tab w:val="num" w:pos="5040"/>
        </w:tabs>
        <w:ind w:left="5040" w:hanging="360"/>
      </w:pPr>
      <w:rPr>
        <w:rFonts w:ascii="Arial" w:hAnsi="Arial" w:hint="default"/>
      </w:rPr>
    </w:lvl>
    <w:lvl w:ilvl="7" w:tplc="82DA7B46" w:tentative="1">
      <w:start w:val="1"/>
      <w:numFmt w:val="bullet"/>
      <w:lvlText w:val="•"/>
      <w:lvlJc w:val="left"/>
      <w:pPr>
        <w:tabs>
          <w:tab w:val="num" w:pos="5760"/>
        </w:tabs>
        <w:ind w:left="5760" w:hanging="360"/>
      </w:pPr>
      <w:rPr>
        <w:rFonts w:ascii="Arial" w:hAnsi="Arial" w:hint="default"/>
      </w:rPr>
    </w:lvl>
    <w:lvl w:ilvl="8" w:tplc="CC2647C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B572DB8"/>
    <w:multiLevelType w:val="hybridMultilevel"/>
    <w:tmpl w:val="261A060E"/>
    <w:lvl w:ilvl="0" w:tplc="FFFFFFFF">
      <w:start w:val="1"/>
      <w:numFmt w:val="bullet"/>
      <w:lvlText w:val="•"/>
      <w:lvlJc w:val="left"/>
      <w:pPr>
        <w:ind w:left="720" w:hanging="360"/>
      </w:pPr>
      <w:rPr>
        <w:rFonts w:ascii="Arial" w:hAnsi="Arial" w:hint="default"/>
      </w:rPr>
    </w:lvl>
    <w:lvl w:ilvl="1" w:tplc="AF224DC6">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0617713"/>
    <w:multiLevelType w:val="hybridMultilevel"/>
    <w:tmpl w:val="C8A612AA"/>
    <w:lvl w:ilvl="0" w:tplc="5BE6E20E">
      <w:start w:val="1"/>
      <w:numFmt w:val="bullet"/>
      <w:lvlText w:val="o"/>
      <w:lvlJc w:val="left"/>
      <w:pPr>
        <w:tabs>
          <w:tab w:val="num" w:pos="720"/>
        </w:tabs>
        <w:ind w:left="720" w:hanging="360"/>
      </w:pPr>
      <w:rPr>
        <w:rFonts w:ascii="Courier New" w:hAnsi="Courier New" w:hint="default"/>
      </w:rPr>
    </w:lvl>
    <w:lvl w:ilvl="1" w:tplc="EE469EDA" w:tentative="1">
      <w:start w:val="1"/>
      <w:numFmt w:val="bullet"/>
      <w:lvlText w:val="o"/>
      <w:lvlJc w:val="left"/>
      <w:pPr>
        <w:tabs>
          <w:tab w:val="num" w:pos="1440"/>
        </w:tabs>
        <w:ind w:left="1440" w:hanging="360"/>
      </w:pPr>
      <w:rPr>
        <w:rFonts w:ascii="Courier New" w:hAnsi="Courier New" w:hint="default"/>
      </w:rPr>
    </w:lvl>
    <w:lvl w:ilvl="2" w:tplc="BBC65512" w:tentative="1">
      <w:start w:val="1"/>
      <w:numFmt w:val="bullet"/>
      <w:lvlText w:val="o"/>
      <w:lvlJc w:val="left"/>
      <w:pPr>
        <w:tabs>
          <w:tab w:val="num" w:pos="2160"/>
        </w:tabs>
        <w:ind w:left="2160" w:hanging="360"/>
      </w:pPr>
      <w:rPr>
        <w:rFonts w:ascii="Courier New" w:hAnsi="Courier New" w:hint="default"/>
      </w:rPr>
    </w:lvl>
    <w:lvl w:ilvl="3" w:tplc="2BB6406A" w:tentative="1">
      <w:start w:val="1"/>
      <w:numFmt w:val="bullet"/>
      <w:lvlText w:val="o"/>
      <w:lvlJc w:val="left"/>
      <w:pPr>
        <w:tabs>
          <w:tab w:val="num" w:pos="2880"/>
        </w:tabs>
        <w:ind w:left="2880" w:hanging="360"/>
      </w:pPr>
      <w:rPr>
        <w:rFonts w:ascii="Courier New" w:hAnsi="Courier New" w:hint="default"/>
      </w:rPr>
    </w:lvl>
    <w:lvl w:ilvl="4" w:tplc="872AD74A" w:tentative="1">
      <w:start w:val="1"/>
      <w:numFmt w:val="bullet"/>
      <w:lvlText w:val="o"/>
      <w:lvlJc w:val="left"/>
      <w:pPr>
        <w:tabs>
          <w:tab w:val="num" w:pos="3600"/>
        </w:tabs>
        <w:ind w:left="3600" w:hanging="360"/>
      </w:pPr>
      <w:rPr>
        <w:rFonts w:ascii="Courier New" w:hAnsi="Courier New" w:hint="default"/>
      </w:rPr>
    </w:lvl>
    <w:lvl w:ilvl="5" w:tplc="EC04EB2E" w:tentative="1">
      <w:start w:val="1"/>
      <w:numFmt w:val="bullet"/>
      <w:lvlText w:val="o"/>
      <w:lvlJc w:val="left"/>
      <w:pPr>
        <w:tabs>
          <w:tab w:val="num" w:pos="4320"/>
        </w:tabs>
        <w:ind w:left="4320" w:hanging="360"/>
      </w:pPr>
      <w:rPr>
        <w:rFonts w:ascii="Courier New" w:hAnsi="Courier New" w:hint="default"/>
      </w:rPr>
    </w:lvl>
    <w:lvl w:ilvl="6" w:tplc="0AE422E8" w:tentative="1">
      <w:start w:val="1"/>
      <w:numFmt w:val="bullet"/>
      <w:lvlText w:val="o"/>
      <w:lvlJc w:val="left"/>
      <w:pPr>
        <w:tabs>
          <w:tab w:val="num" w:pos="5040"/>
        </w:tabs>
        <w:ind w:left="5040" w:hanging="360"/>
      </w:pPr>
      <w:rPr>
        <w:rFonts w:ascii="Courier New" w:hAnsi="Courier New" w:hint="default"/>
      </w:rPr>
    </w:lvl>
    <w:lvl w:ilvl="7" w:tplc="9A40FC20" w:tentative="1">
      <w:start w:val="1"/>
      <w:numFmt w:val="bullet"/>
      <w:lvlText w:val="o"/>
      <w:lvlJc w:val="left"/>
      <w:pPr>
        <w:tabs>
          <w:tab w:val="num" w:pos="5760"/>
        </w:tabs>
        <w:ind w:left="5760" w:hanging="360"/>
      </w:pPr>
      <w:rPr>
        <w:rFonts w:ascii="Courier New" w:hAnsi="Courier New" w:hint="default"/>
      </w:rPr>
    </w:lvl>
    <w:lvl w:ilvl="8" w:tplc="04382F6A" w:tentative="1">
      <w:start w:val="1"/>
      <w:numFmt w:val="bullet"/>
      <w:lvlText w:val="o"/>
      <w:lvlJc w:val="left"/>
      <w:pPr>
        <w:tabs>
          <w:tab w:val="num" w:pos="6480"/>
        </w:tabs>
        <w:ind w:left="6480" w:hanging="360"/>
      </w:pPr>
      <w:rPr>
        <w:rFonts w:ascii="Courier New" w:hAnsi="Courier New" w:hint="default"/>
      </w:rPr>
    </w:lvl>
  </w:abstractNum>
  <w:abstractNum w:abstractNumId="51" w15:restartNumberingAfterBreak="0">
    <w:nsid w:val="723826F5"/>
    <w:multiLevelType w:val="hybridMultilevel"/>
    <w:tmpl w:val="7354F566"/>
    <w:lvl w:ilvl="0" w:tplc="0950A5D0">
      <w:start w:val="1"/>
      <w:numFmt w:val="bullet"/>
      <w:lvlText w:val="•"/>
      <w:lvlJc w:val="left"/>
      <w:pPr>
        <w:tabs>
          <w:tab w:val="num" w:pos="720"/>
        </w:tabs>
        <w:ind w:left="720" w:hanging="360"/>
      </w:pPr>
      <w:rPr>
        <w:rFonts w:ascii="Arial" w:hAnsi="Arial" w:hint="default"/>
      </w:rPr>
    </w:lvl>
    <w:lvl w:ilvl="1" w:tplc="8D289850" w:tentative="1">
      <w:start w:val="1"/>
      <w:numFmt w:val="bullet"/>
      <w:lvlText w:val="•"/>
      <w:lvlJc w:val="left"/>
      <w:pPr>
        <w:tabs>
          <w:tab w:val="num" w:pos="1440"/>
        </w:tabs>
        <w:ind w:left="1440" w:hanging="360"/>
      </w:pPr>
      <w:rPr>
        <w:rFonts w:ascii="Arial" w:hAnsi="Arial" w:hint="default"/>
      </w:rPr>
    </w:lvl>
    <w:lvl w:ilvl="2" w:tplc="B7F0E39C" w:tentative="1">
      <w:start w:val="1"/>
      <w:numFmt w:val="bullet"/>
      <w:lvlText w:val="•"/>
      <w:lvlJc w:val="left"/>
      <w:pPr>
        <w:tabs>
          <w:tab w:val="num" w:pos="2160"/>
        </w:tabs>
        <w:ind w:left="2160" w:hanging="360"/>
      </w:pPr>
      <w:rPr>
        <w:rFonts w:ascii="Arial" w:hAnsi="Arial" w:hint="default"/>
      </w:rPr>
    </w:lvl>
    <w:lvl w:ilvl="3" w:tplc="847ACF40" w:tentative="1">
      <w:start w:val="1"/>
      <w:numFmt w:val="bullet"/>
      <w:lvlText w:val="•"/>
      <w:lvlJc w:val="left"/>
      <w:pPr>
        <w:tabs>
          <w:tab w:val="num" w:pos="2880"/>
        </w:tabs>
        <w:ind w:left="2880" w:hanging="360"/>
      </w:pPr>
      <w:rPr>
        <w:rFonts w:ascii="Arial" w:hAnsi="Arial" w:hint="default"/>
      </w:rPr>
    </w:lvl>
    <w:lvl w:ilvl="4" w:tplc="56CAFDE8" w:tentative="1">
      <w:start w:val="1"/>
      <w:numFmt w:val="bullet"/>
      <w:lvlText w:val="•"/>
      <w:lvlJc w:val="left"/>
      <w:pPr>
        <w:tabs>
          <w:tab w:val="num" w:pos="3600"/>
        </w:tabs>
        <w:ind w:left="3600" w:hanging="360"/>
      </w:pPr>
      <w:rPr>
        <w:rFonts w:ascii="Arial" w:hAnsi="Arial" w:hint="default"/>
      </w:rPr>
    </w:lvl>
    <w:lvl w:ilvl="5" w:tplc="6C6E156A" w:tentative="1">
      <w:start w:val="1"/>
      <w:numFmt w:val="bullet"/>
      <w:lvlText w:val="•"/>
      <w:lvlJc w:val="left"/>
      <w:pPr>
        <w:tabs>
          <w:tab w:val="num" w:pos="4320"/>
        </w:tabs>
        <w:ind w:left="4320" w:hanging="360"/>
      </w:pPr>
      <w:rPr>
        <w:rFonts w:ascii="Arial" w:hAnsi="Arial" w:hint="default"/>
      </w:rPr>
    </w:lvl>
    <w:lvl w:ilvl="6" w:tplc="C864490A" w:tentative="1">
      <w:start w:val="1"/>
      <w:numFmt w:val="bullet"/>
      <w:lvlText w:val="•"/>
      <w:lvlJc w:val="left"/>
      <w:pPr>
        <w:tabs>
          <w:tab w:val="num" w:pos="5040"/>
        </w:tabs>
        <w:ind w:left="5040" w:hanging="360"/>
      </w:pPr>
      <w:rPr>
        <w:rFonts w:ascii="Arial" w:hAnsi="Arial" w:hint="default"/>
      </w:rPr>
    </w:lvl>
    <w:lvl w:ilvl="7" w:tplc="943894C4" w:tentative="1">
      <w:start w:val="1"/>
      <w:numFmt w:val="bullet"/>
      <w:lvlText w:val="•"/>
      <w:lvlJc w:val="left"/>
      <w:pPr>
        <w:tabs>
          <w:tab w:val="num" w:pos="5760"/>
        </w:tabs>
        <w:ind w:left="5760" w:hanging="360"/>
      </w:pPr>
      <w:rPr>
        <w:rFonts w:ascii="Arial" w:hAnsi="Arial" w:hint="default"/>
      </w:rPr>
    </w:lvl>
    <w:lvl w:ilvl="8" w:tplc="B68CA8B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BFB3137"/>
    <w:multiLevelType w:val="hybridMultilevel"/>
    <w:tmpl w:val="91B089BC"/>
    <w:lvl w:ilvl="0" w:tplc="70724D10">
      <w:start w:val="1"/>
      <w:numFmt w:val="bullet"/>
      <w:lvlText w:val="•"/>
      <w:lvlJc w:val="left"/>
      <w:pPr>
        <w:tabs>
          <w:tab w:val="num" w:pos="720"/>
        </w:tabs>
        <w:ind w:left="720" w:hanging="360"/>
      </w:pPr>
      <w:rPr>
        <w:rFonts w:ascii="Arial" w:hAnsi="Arial" w:hint="default"/>
      </w:rPr>
    </w:lvl>
    <w:lvl w:ilvl="1" w:tplc="B922E21C" w:tentative="1">
      <w:start w:val="1"/>
      <w:numFmt w:val="bullet"/>
      <w:lvlText w:val="•"/>
      <w:lvlJc w:val="left"/>
      <w:pPr>
        <w:tabs>
          <w:tab w:val="num" w:pos="1440"/>
        </w:tabs>
        <w:ind w:left="1440" w:hanging="360"/>
      </w:pPr>
      <w:rPr>
        <w:rFonts w:ascii="Arial" w:hAnsi="Arial" w:hint="default"/>
      </w:rPr>
    </w:lvl>
    <w:lvl w:ilvl="2" w:tplc="E3A25E76" w:tentative="1">
      <w:start w:val="1"/>
      <w:numFmt w:val="bullet"/>
      <w:lvlText w:val="•"/>
      <w:lvlJc w:val="left"/>
      <w:pPr>
        <w:tabs>
          <w:tab w:val="num" w:pos="2160"/>
        </w:tabs>
        <w:ind w:left="2160" w:hanging="360"/>
      </w:pPr>
      <w:rPr>
        <w:rFonts w:ascii="Arial" w:hAnsi="Arial" w:hint="default"/>
      </w:rPr>
    </w:lvl>
    <w:lvl w:ilvl="3" w:tplc="60645B1A" w:tentative="1">
      <w:start w:val="1"/>
      <w:numFmt w:val="bullet"/>
      <w:lvlText w:val="•"/>
      <w:lvlJc w:val="left"/>
      <w:pPr>
        <w:tabs>
          <w:tab w:val="num" w:pos="2880"/>
        </w:tabs>
        <w:ind w:left="2880" w:hanging="360"/>
      </w:pPr>
      <w:rPr>
        <w:rFonts w:ascii="Arial" w:hAnsi="Arial" w:hint="default"/>
      </w:rPr>
    </w:lvl>
    <w:lvl w:ilvl="4" w:tplc="863C3F3E" w:tentative="1">
      <w:start w:val="1"/>
      <w:numFmt w:val="bullet"/>
      <w:lvlText w:val="•"/>
      <w:lvlJc w:val="left"/>
      <w:pPr>
        <w:tabs>
          <w:tab w:val="num" w:pos="3600"/>
        </w:tabs>
        <w:ind w:left="3600" w:hanging="360"/>
      </w:pPr>
      <w:rPr>
        <w:rFonts w:ascii="Arial" w:hAnsi="Arial" w:hint="default"/>
      </w:rPr>
    </w:lvl>
    <w:lvl w:ilvl="5" w:tplc="C2220F04" w:tentative="1">
      <w:start w:val="1"/>
      <w:numFmt w:val="bullet"/>
      <w:lvlText w:val="•"/>
      <w:lvlJc w:val="left"/>
      <w:pPr>
        <w:tabs>
          <w:tab w:val="num" w:pos="4320"/>
        </w:tabs>
        <w:ind w:left="4320" w:hanging="360"/>
      </w:pPr>
      <w:rPr>
        <w:rFonts w:ascii="Arial" w:hAnsi="Arial" w:hint="default"/>
      </w:rPr>
    </w:lvl>
    <w:lvl w:ilvl="6" w:tplc="6204BD32" w:tentative="1">
      <w:start w:val="1"/>
      <w:numFmt w:val="bullet"/>
      <w:lvlText w:val="•"/>
      <w:lvlJc w:val="left"/>
      <w:pPr>
        <w:tabs>
          <w:tab w:val="num" w:pos="5040"/>
        </w:tabs>
        <w:ind w:left="5040" w:hanging="360"/>
      </w:pPr>
      <w:rPr>
        <w:rFonts w:ascii="Arial" w:hAnsi="Arial" w:hint="default"/>
      </w:rPr>
    </w:lvl>
    <w:lvl w:ilvl="7" w:tplc="DBB2DC3A" w:tentative="1">
      <w:start w:val="1"/>
      <w:numFmt w:val="bullet"/>
      <w:lvlText w:val="•"/>
      <w:lvlJc w:val="left"/>
      <w:pPr>
        <w:tabs>
          <w:tab w:val="num" w:pos="5760"/>
        </w:tabs>
        <w:ind w:left="5760" w:hanging="360"/>
      </w:pPr>
      <w:rPr>
        <w:rFonts w:ascii="Arial" w:hAnsi="Arial" w:hint="default"/>
      </w:rPr>
    </w:lvl>
    <w:lvl w:ilvl="8" w:tplc="547EBDA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C896DA8"/>
    <w:multiLevelType w:val="hybridMultilevel"/>
    <w:tmpl w:val="161EC54C"/>
    <w:lvl w:ilvl="0" w:tplc="A9BC1226">
      <w:start w:val="1"/>
      <w:numFmt w:val="bullet"/>
      <w:lvlText w:val="•"/>
      <w:lvlJc w:val="left"/>
      <w:pPr>
        <w:tabs>
          <w:tab w:val="num" w:pos="720"/>
        </w:tabs>
        <w:ind w:left="720" w:hanging="360"/>
      </w:pPr>
      <w:rPr>
        <w:rFonts w:ascii="Arial" w:hAnsi="Arial" w:hint="default"/>
      </w:rPr>
    </w:lvl>
    <w:lvl w:ilvl="1" w:tplc="7974F652" w:tentative="1">
      <w:start w:val="1"/>
      <w:numFmt w:val="bullet"/>
      <w:lvlText w:val="•"/>
      <w:lvlJc w:val="left"/>
      <w:pPr>
        <w:tabs>
          <w:tab w:val="num" w:pos="1440"/>
        </w:tabs>
        <w:ind w:left="1440" w:hanging="360"/>
      </w:pPr>
      <w:rPr>
        <w:rFonts w:ascii="Arial" w:hAnsi="Arial" w:hint="default"/>
      </w:rPr>
    </w:lvl>
    <w:lvl w:ilvl="2" w:tplc="68F03656" w:tentative="1">
      <w:start w:val="1"/>
      <w:numFmt w:val="bullet"/>
      <w:lvlText w:val="•"/>
      <w:lvlJc w:val="left"/>
      <w:pPr>
        <w:tabs>
          <w:tab w:val="num" w:pos="2160"/>
        </w:tabs>
        <w:ind w:left="2160" w:hanging="360"/>
      </w:pPr>
      <w:rPr>
        <w:rFonts w:ascii="Arial" w:hAnsi="Arial" w:hint="default"/>
      </w:rPr>
    </w:lvl>
    <w:lvl w:ilvl="3" w:tplc="DE8084F4" w:tentative="1">
      <w:start w:val="1"/>
      <w:numFmt w:val="bullet"/>
      <w:lvlText w:val="•"/>
      <w:lvlJc w:val="left"/>
      <w:pPr>
        <w:tabs>
          <w:tab w:val="num" w:pos="2880"/>
        </w:tabs>
        <w:ind w:left="2880" w:hanging="360"/>
      </w:pPr>
      <w:rPr>
        <w:rFonts w:ascii="Arial" w:hAnsi="Arial" w:hint="default"/>
      </w:rPr>
    </w:lvl>
    <w:lvl w:ilvl="4" w:tplc="1E3C5838" w:tentative="1">
      <w:start w:val="1"/>
      <w:numFmt w:val="bullet"/>
      <w:lvlText w:val="•"/>
      <w:lvlJc w:val="left"/>
      <w:pPr>
        <w:tabs>
          <w:tab w:val="num" w:pos="3600"/>
        </w:tabs>
        <w:ind w:left="3600" w:hanging="360"/>
      </w:pPr>
      <w:rPr>
        <w:rFonts w:ascii="Arial" w:hAnsi="Arial" w:hint="default"/>
      </w:rPr>
    </w:lvl>
    <w:lvl w:ilvl="5" w:tplc="B1F0C822" w:tentative="1">
      <w:start w:val="1"/>
      <w:numFmt w:val="bullet"/>
      <w:lvlText w:val="•"/>
      <w:lvlJc w:val="left"/>
      <w:pPr>
        <w:tabs>
          <w:tab w:val="num" w:pos="4320"/>
        </w:tabs>
        <w:ind w:left="4320" w:hanging="360"/>
      </w:pPr>
      <w:rPr>
        <w:rFonts w:ascii="Arial" w:hAnsi="Arial" w:hint="default"/>
      </w:rPr>
    </w:lvl>
    <w:lvl w:ilvl="6" w:tplc="398C0582" w:tentative="1">
      <w:start w:val="1"/>
      <w:numFmt w:val="bullet"/>
      <w:lvlText w:val="•"/>
      <w:lvlJc w:val="left"/>
      <w:pPr>
        <w:tabs>
          <w:tab w:val="num" w:pos="5040"/>
        </w:tabs>
        <w:ind w:left="5040" w:hanging="360"/>
      </w:pPr>
      <w:rPr>
        <w:rFonts w:ascii="Arial" w:hAnsi="Arial" w:hint="default"/>
      </w:rPr>
    </w:lvl>
    <w:lvl w:ilvl="7" w:tplc="99C0FB9E" w:tentative="1">
      <w:start w:val="1"/>
      <w:numFmt w:val="bullet"/>
      <w:lvlText w:val="•"/>
      <w:lvlJc w:val="left"/>
      <w:pPr>
        <w:tabs>
          <w:tab w:val="num" w:pos="5760"/>
        </w:tabs>
        <w:ind w:left="5760" w:hanging="360"/>
      </w:pPr>
      <w:rPr>
        <w:rFonts w:ascii="Arial" w:hAnsi="Arial" w:hint="default"/>
      </w:rPr>
    </w:lvl>
    <w:lvl w:ilvl="8" w:tplc="9328E6E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D4D439E"/>
    <w:multiLevelType w:val="hybridMultilevel"/>
    <w:tmpl w:val="71D20CDA"/>
    <w:lvl w:ilvl="0" w:tplc="631A6D64">
      <w:start w:val="1"/>
      <w:numFmt w:val="bullet"/>
      <w:lvlText w:val=""/>
      <w:lvlJc w:val="left"/>
      <w:pPr>
        <w:tabs>
          <w:tab w:val="num" w:pos="720"/>
        </w:tabs>
        <w:ind w:left="720" w:hanging="360"/>
      </w:pPr>
      <w:rPr>
        <w:rFonts w:ascii="Symbol" w:hAnsi="Symbol" w:hint="default"/>
      </w:rPr>
    </w:lvl>
    <w:lvl w:ilvl="1" w:tplc="1674A3CA" w:tentative="1">
      <w:start w:val="1"/>
      <w:numFmt w:val="bullet"/>
      <w:lvlText w:val=""/>
      <w:lvlJc w:val="left"/>
      <w:pPr>
        <w:tabs>
          <w:tab w:val="num" w:pos="1440"/>
        </w:tabs>
        <w:ind w:left="1440" w:hanging="360"/>
      </w:pPr>
      <w:rPr>
        <w:rFonts w:ascii="Symbol" w:hAnsi="Symbol" w:hint="default"/>
      </w:rPr>
    </w:lvl>
    <w:lvl w:ilvl="2" w:tplc="F1C6CA2E" w:tentative="1">
      <w:start w:val="1"/>
      <w:numFmt w:val="bullet"/>
      <w:lvlText w:val=""/>
      <w:lvlJc w:val="left"/>
      <w:pPr>
        <w:tabs>
          <w:tab w:val="num" w:pos="2160"/>
        </w:tabs>
        <w:ind w:left="2160" w:hanging="360"/>
      </w:pPr>
      <w:rPr>
        <w:rFonts w:ascii="Symbol" w:hAnsi="Symbol" w:hint="default"/>
      </w:rPr>
    </w:lvl>
    <w:lvl w:ilvl="3" w:tplc="DE90FE7E" w:tentative="1">
      <w:start w:val="1"/>
      <w:numFmt w:val="bullet"/>
      <w:lvlText w:val=""/>
      <w:lvlJc w:val="left"/>
      <w:pPr>
        <w:tabs>
          <w:tab w:val="num" w:pos="2880"/>
        </w:tabs>
        <w:ind w:left="2880" w:hanging="360"/>
      </w:pPr>
      <w:rPr>
        <w:rFonts w:ascii="Symbol" w:hAnsi="Symbol" w:hint="default"/>
      </w:rPr>
    </w:lvl>
    <w:lvl w:ilvl="4" w:tplc="BEC8B014" w:tentative="1">
      <w:start w:val="1"/>
      <w:numFmt w:val="bullet"/>
      <w:lvlText w:val=""/>
      <w:lvlJc w:val="left"/>
      <w:pPr>
        <w:tabs>
          <w:tab w:val="num" w:pos="3600"/>
        </w:tabs>
        <w:ind w:left="3600" w:hanging="360"/>
      </w:pPr>
      <w:rPr>
        <w:rFonts w:ascii="Symbol" w:hAnsi="Symbol" w:hint="default"/>
      </w:rPr>
    </w:lvl>
    <w:lvl w:ilvl="5" w:tplc="9F924F56" w:tentative="1">
      <w:start w:val="1"/>
      <w:numFmt w:val="bullet"/>
      <w:lvlText w:val=""/>
      <w:lvlJc w:val="left"/>
      <w:pPr>
        <w:tabs>
          <w:tab w:val="num" w:pos="4320"/>
        </w:tabs>
        <w:ind w:left="4320" w:hanging="360"/>
      </w:pPr>
      <w:rPr>
        <w:rFonts w:ascii="Symbol" w:hAnsi="Symbol" w:hint="default"/>
      </w:rPr>
    </w:lvl>
    <w:lvl w:ilvl="6" w:tplc="1F6828DA" w:tentative="1">
      <w:start w:val="1"/>
      <w:numFmt w:val="bullet"/>
      <w:lvlText w:val=""/>
      <w:lvlJc w:val="left"/>
      <w:pPr>
        <w:tabs>
          <w:tab w:val="num" w:pos="5040"/>
        </w:tabs>
        <w:ind w:left="5040" w:hanging="360"/>
      </w:pPr>
      <w:rPr>
        <w:rFonts w:ascii="Symbol" w:hAnsi="Symbol" w:hint="default"/>
      </w:rPr>
    </w:lvl>
    <w:lvl w:ilvl="7" w:tplc="BF52539A" w:tentative="1">
      <w:start w:val="1"/>
      <w:numFmt w:val="bullet"/>
      <w:lvlText w:val=""/>
      <w:lvlJc w:val="left"/>
      <w:pPr>
        <w:tabs>
          <w:tab w:val="num" w:pos="5760"/>
        </w:tabs>
        <w:ind w:left="5760" w:hanging="360"/>
      </w:pPr>
      <w:rPr>
        <w:rFonts w:ascii="Symbol" w:hAnsi="Symbol" w:hint="default"/>
      </w:rPr>
    </w:lvl>
    <w:lvl w:ilvl="8" w:tplc="ABF43A60"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7D5502A6"/>
    <w:multiLevelType w:val="hybridMultilevel"/>
    <w:tmpl w:val="7316B4DC"/>
    <w:lvl w:ilvl="0" w:tplc="D8B8A91E">
      <w:start w:val="1"/>
      <w:numFmt w:val="bullet"/>
      <w:lvlText w:val="•"/>
      <w:lvlJc w:val="left"/>
      <w:pPr>
        <w:tabs>
          <w:tab w:val="num" w:pos="360"/>
        </w:tabs>
        <w:ind w:left="360" w:hanging="360"/>
      </w:pPr>
      <w:rPr>
        <w:rFonts w:ascii="Arial" w:hAnsi="Arial" w:hint="default"/>
      </w:rPr>
    </w:lvl>
    <w:lvl w:ilvl="1" w:tplc="6F5EDA68" w:tentative="1">
      <w:start w:val="1"/>
      <w:numFmt w:val="bullet"/>
      <w:lvlText w:val="•"/>
      <w:lvlJc w:val="left"/>
      <w:pPr>
        <w:tabs>
          <w:tab w:val="num" w:pos="1080"/>
        </w:tabs>
        <w:ind w:left="1080" w:hanging="360"/>
      </w:pPr>
      <w:rPr>
        <w:rFonts w:ascii="Arial" w:hAnsi="Arial" w:hint="default"/>
      </w:rPr>
    </w:lvl>
    <w:lvl w:ilvl="2" w:tplc="64020CD4" w:tentative="1">
      <w:start w:val="1"/>
      <w:numFmt w:val="bullet"/>
      <w:lvlText w:val="•"/>
      <w:lvlJc w:val="left"/>
      <w:pPr>
        <w:tabs>
          <w:tab w:val="num" w:pos="1800"/>
        </w:tabs>
        <w:ind w:left="1800" w:hanging="360"/>
      </w:pPr>
      <w:rPr>
        <w:rFonts w:ascii="Arial" w:hAnsi="Arial" w:hint="default"/>
      </w:rPr>
    </w:lvl>
    <w:lvl w:ilvl="3" w:tplc="9F0AD220" w:tentative="1">
      <w:start w:val="1"/>
      <w:numFmt w:val="bullet"/>
      <w:lvlText w:val="•"/>
      <w:lvlJc w:val="left"/>
      <w:pPr>
        <w:tabs>
          <w:tab w:val="num" w:pos="2520"/>
        </w:tabs>
        <w:ind w:left="2520" w:hanging="360"/>
      </w:pPr>
      <w:rPr>
        <w:rFonts w:ascii="Arial" w:hAnsi="Arial" w:hint="default"/>
      </w:rPr>
    </w:lvl>
    <w:lvl w:ilvl="4" w:tplc="95AEBF86" w:tentative="1">
      <w:start w:val="1"/>
      <w:numFmt w:val="bullet"/>
      <w:lvlText w:val="•"/>
      <w:lvlJc w:val="left"/>
      <w:pPr>
        <w:tabs>
          <w:tab w:val="num" w:pos="3240"/>
        </w:tabs>
        <w:ind w:left="3240" w:hanging="360"/>
      </w:pPr>
      <w:rPr>
        <w:rFonts w:ascii="Arial" w:hAnsi="Arial" w:hint="default"/>
      </w:rPr>
    </w:lvl>
    <w:lvl w:ilvl="5" w:tplc="FE464F8A" w:tentative="1">
      <w:start w:val="1"/>
      <w:numFmt w:val="bullet"/>
      <w:lvlText w:val="•"/>
      <w:lvlJc w:val="left"/>
      <w:pPr>
        <w:tabs>
          <w:tab w:val="num" w:pos="3960"/>
        </w:tabs>
        <w:ind w:left="3960" w:hanging="360"/>
      </w:pPr>
      <w:rPr>
        <w:rFonts w:ascii="Arial" w:hAnsi="Arial" w:hint="default"/>
      </w:rPr>
    </w:lvl>
    <w:lvl w:ilvl="6" w:tplc="ED6619FC" w:tentative="1">
      <w:start w:val="1"/>
      <w:numFmt w:val="bullet"/>
      <w:lvlText w:val="•"/>
      <w:lvlJc w:val="left"/>
      <w:pPr>
        <w:tabs>
          <w:tab w:val="num" w:pos="4680"/>
        </w:tabs>
        <w:ind w:left="4680" w:hanging="360"/>
      </w:pPr>
      <w:rPr>
        <w:rFonts w:ascii="Arial" w:hAnsi="Arial" w:hint="default"/>
      </w:rPr>
    </w:lvl>
    <w:lvl w:ilvl="7" w:tplc="4394DDF6" w:tentative="1">
      <w:start w:val="1"/>
      <w:numFmt w:val="bullet"/>
      <w:lvlText w:val="•"/>
      <w:lvlJc w:val="left"/>
      <w:pPr>
        <w:tabs>
          <w:tab w:val="num" w:pos="5400"/>
        </w:tabs>
        <w:ind w:left="5400" w:hanging="360"/>
      </w:pPr>
      <w:rPr>
        <w:rFonts w:ascii="Arial" w:hAnsi="Arial" w:hint="default"/>
      </w:rPr>
    </w:lvl>
    <w:lvl w:ilvl="8" w:tplc="DF44E66C" w:tentative="1">
      <w:start w:val="1"/>
      <w:numFmt w:val="bullet"/>
      <w:lvlText w:val="•"/>
      <w:lvlJc w:val="left"/>
      <w:pPr>
        <w:tabs>
          <w:tab w:val="num" w:pos="6120"/>
        </w:tabs>
        <w:ind w:left="6120" w:hanging="360"/>
      </w:pPr>
      <w:rPr>
        <w:rFonts w:ascii="Arial" w:hAnsi="Arial" w:hint="default"/>
      </w:rPr>
    </w:lvl>
  </w:abstractNum>
  <w:num w:numId="1" w16cid:durableId="500896007">
    <w:abstractNumId w:val="2"/>
  </w:num>
  <w:num w:numId="2" w16cid:durableId="1848444683">
    <w:abstractNumId w:val="52"/>
  </w:num>
  <w:num w:numId="3" w16cid:durableId="1881361008">
    <w:abstractNumId w:val="6"/>
  </w:num>
  <w:num w:numId="4" w16cid:durableId="2034921062">
    <w:abstractNumId w:val="16"/>
  </w:num>
  <w:num w:numId="5" w16cid:durableId="337465916">
    <w:abstractNumId w:val="15"/>
  </w:num>
  <w:num w:numId="6" w16cid:durableId="526260559">
    <w:abstractNumId w:val="24"/>
  </w:num>
  <w:num w:numId="7" w16cid:durableId="1190025752">
    <w:abstractNumId w:val="3"/>
  </w:num>
  <w:num w:numId="8" w16cid:durableId="2094466336">
    <w:abstractNumId w:val="27"/>
  </w:num>
  <w:num w:numId="9" w16cid:durableId="1829323978">
    <w:abstractNumId w:val="46"/>
  </w:num>
  <w:num w:numId="10" w16cid:durableId="1460150652">
    <w:abstractNumId w:val="31"/>
  </w:num>
  <w:num w:numId="11" w16cid:durableId="218983484">
    <w:abstractNumId w:val="48"/>
  </w:num>
  <w:num w:numId="12" w16cid:durableId="53551865">
    <w:abstractNumId w:val="11"/>
  </w:num>
  <w:num w:numId="13" w16cid:durableId="2036301254">
    <w:abstractNumId w:val="33"/>
  </w:num>
  <w:num w:numId="14" w16cid:durableId="639650317">
    <w:abstractNumId w:val="47"/>
  </w:num>
  <w:num w:numId="15" w16cid:durableId="2025279668">
    <w:abstractNumId w:val="35"/>
  </w:num>
  <w:num w:numId="16" w16cid:durableId="1606041414">
    <w:abstractNumId w:val="10"/>
  </w:num>
  <w:num w:numId="17" w16cid:durableId="1671902931">
    <w:abstractNumId w:val="44"/>
  </w:num>
  <w:num w:numId="18" w16cid:durableId="205683886">
    <w:abstractNumId w:val="22"/>
  </w:num>
  <w:num w:numId="19" w16cid:durableId="1791901536">
    <w:abstractNumId w:val="42"/>
  </w:num>
  <w:num w:numId="20" w16cid:durableId="85344331">
    <w:abstractNumId w:val="34"/>
  </w:num>
  <w:num w:numId="21" w16cid:durableId="1258126833">
    <w:abstractNumId w:val="21"/>
  </w:num>
  <w:num w:numId="22" w16cid:durableId="1389722442">
    <w:abstractNumId w:val="9"/>
  </w:num>
  <w:num w:numId="23" w16cid:durableId="341510391">
    <w:abstractNumId w:val="53"/>
  </w:num>
  <w:num w:numId="24" w16cid:durableId="1396471631">
    <w:abstractNumId w:val="40"/>
  </w:num>
  <w:num w:numId="25" w16cid:durableId="1368795602">
    <w:abstractNumId w:val="20"/>
  </w:num>
  <w:num w:numId="26" w16cid:durableId="569652841">
    <w:abstractNumId w:val="1"/>
  </w:num>
  <w:num w:numId="27" w16cid:durableId="521817678">
    <w:abstractNumId w:val="4"/>
  </w:num>
  <w:num w:numId="28" w16cid:durableId="225730649">
    <w:abstractNumId w:val="18"/>
  </w:num>
  <w:num w:numId="29" w16cid:durableId="1760638468">
    <w:abstractNumId w:val="32"/>
  </w:num>
  <w:num w:numId="30" w16cid:durableId="1689597558">
    <w:abstractNumId w:val="17"/>
  </w:num>
  <w:num w:numId="31" w16cid:durableId="120803422">
    <w:abstractNumId w:val="36"/>
  </w:num>
  <w:num w:numId="32" w16cid:durableId="697588629">
    <w:abstractNumId w:val="5"/>
  </w:num>
  <w:num w:numId="33" w16cid:durableId="915283945">
    <w:abstractNumId w:val="12"/>
  </w:num>
  <w:num w:numId="34" w16cid:durableId="1712802373">
    <w:abstractNumId w:val="50"/>
  </w:num>
  <w:num w:numId="35" w16cid:durableId="77603499">
    <w:abstractNumId w:val="37"/>
  </w:num>
  <w:num w:numId="36" w16cid:durableId="1190417735">
    <w:abstractNumId w:val="54"/>
  </w:num>
  <w:num w:numId="37" w16cid:durableId="1055785090">
    <w:abstractNumId w:val="41"/>
  </w:num>
  <w:num w:numId="38" w16cid:durableId="1858347873">
    <w:abstractNumId w:val="19"/>
  </w:num>
  <w:num w:numId="39" w16cid:durableId="601302663">
    <w:abstractNumId w:val="14"/>
  </w:num>
  <w:num w:numId="40" w16cid:durableId="1397225">
    <w:abstractNumId w:val="39"/>
  </w:num>
  <w:num w:numId="41" w16cid:durableId="239750389">
    <w:abstractNumId w:val="8"/>
  </w:num>
  <w:num w:numId="42" w16cid:durableId="509223323">
    <w:abstractNumId w:val="13"/>
  </w:num>
  <w:num w:numId="43" w16cid:durableId="1889293000">
    <w:abstractNumId w:val="45"/>
  </w:num>
  <w:num w:numId="44" w16cid:durableId="336733586">
    <w:abstractNumId w:val="30"/>
  </w:num>
  <w:num w:numId="45" w16cid:durableId="937715603">
    <w:abstractNumId w:val="38"/>
  </w:num>
  <w:num w:numId="46" w16cid:durableId="1442410009">
    <w:abstractNumId w:val="28"/>
  </w:num>
  <w:num w:numId="47" w16cid:durableId="824467692">
    <w:abstractNumId w:val="55"/>
  </w:num>
  <w:num w:numId="48" w16cid:durableId="1250508010">
    <w:abstractNumId w:val="25"/>
  </w:num>
  <w:num w:numId="49" w16cid:durableId="942301172">
    <w:abstractNumId w:val="23"/>
  </w:num>
  <w:num w:numId="50" w16cid:durableId="1380477983">
    <w:abstractNumId w:val="0"/>
  </w:num>
  <w:num w:numId="51" w16cid:durableId="1086457849">
    <w:abstractNumId w:val="51"/>
  </w:num>
  <w:num w:numId="52" w16cid:durableId="971442415">
    <w:abstractNumId w:val="29"/>
  </w:num>
  <w:num w:numId="53" w16cid:durableId="886724110">
    <w:abstractNumId w:val="43"/>
  </w:num>
  <w:num w:numId="54" w16cid:durableId="1945188031">
    <w:abstractNumId w:val="26"/>
  </w:num>
  <w:num w:numId="55" w16cid:durableId="409351755">
    <w:abstractNumId w:val="49"/>
  </w:num>
  <w:num w:numId="56" w16cid:durableId="790443850">
    <w:abstractNumId w:val="16"/>
  </w:num>
  <w:num w:numId="57" w16cid:durableId="358505878">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9C9"/>
    <w:rsid w:val="00000BE4"/>
    <w:rsid w:val="00002B0C"/>
    <w:rsid w:val="00003211"/>
    <w:rsid w:val="0000348A"/>
    <w:rsid w:val="00004804"/>
    <w:rsid w:val="000053CC"/>
    <w:rsid w:val="000053F4"/>
    <w:rsid w:val="000073E6"/>
    <w:rsid w:val="000110E8"/>
    <w:rsid w:val="00011AFF"/>
    <w:rsid w:val="00014643"/>
    <w:rsid w:val="00014BE5"/>
    <w:rsid w:val="00014ED0"/>
    <w:rsid w:val="00015035"/>
    <w:rsid w:val="000179A6"/>
    <w:rsid w:val="000200F0"/>
    <w:rsid w:val="00022326"/>
    <w:rsid w:val="00023F3F"/>
    <w:rsid w:val="0002407A"/>
    <w:rsid w:val="00025173"/>
    <w:rsid w:val="0002587E"/>
    <w:rsid w:val="0002693B"/>
    <w:rsid w:val="00030644"/>
    <w:rsid w:val="00032500"/>
    <w:rsid w:val="000350C2"/>
    <w:rsid w:val="00035D8C"/>
    <w:rsid w:val="00035DEF"/>
    <w:rsid w:val="00036BF7"/>
    <w:rsid w:val="00036C64"/>
    <w:rsid w:val="00042408"/>
    <w:rsid w:val="00042FB8"/>
    <w:rsid w:val="00043318"/>
    <w:rsid w:val="00043689"/>
    <w:rsid w:val="00043A4F"/>
    <w:rsid w:val="00046DDD"/>
    <w:rsid w:val="000514E1"/>
    <w:rsid w:val="00051C8E"/>
    <w:rsid w:val="00052A7D"/>
    <w:rsid w:val="00053294"/>
    <w:rsid w:val="00053369"/>
    <w:rsid w:val="00054E2D"/>
    <w:rsid w:val="00055D64"/>
    <w:rsid w:val="00056BD0"/>
    <w:rsid w:val="00063CEB"/>
    <w:rsid w:val="00063CED"/>
    <w:rsid w:val="00064105"/>
    <w:rsid w:val="00066007"/>
    <w:rsid w:val="00066245"/>
    <w:rsid w:val="000664D7"/>
    <w:rsid w:val="00070F4D"/>
    <w:rsid w:val="00071300"/>
    <w:rsid w:val="00071AFE"/>
    <w:rsid w:val="00071E75"/>
    <w:rsid w:val="00077296"/>
    <w:rsid w:val="00083E33"/>
    <w:rsid w:val="0008565D"/>
    <w:rsid w:val="00086AB0"/>
    <w:rsid w:val="00086E3C"/>
    <w:rsid w:val="00087671"/>
    <w:rsid w:val="000904AA"/>
    <w:rsid w:val="000907C2"/>
    <w:rsid w:val="00091602"/>
    <w:rsid w:val="00091FE6"/>
    <w:rsid w:val="0009246D"/>
    <w:rsid w:val="00092687"/>
    <w:rsid w:val="00092850"/>
    <w:rsid w:val="00094D04"/>
    <w:rsid w:val="00097533"/>
    <w:rsid w:val="000A11D9"/>
    <w:rsid w:val="000A18A8"/>
    <w:rsid w:val="000A1C42"/>
    <w:rsid w:val="000A384E"/>
    <w:rsid w:val="000A3A19"/>
    <w:rsid w:val="000A3E8C"/>
    <w:rsid w:val="000A4CED"/>
    <w:rsid w:val="000A5583"/>
    <w:rsid w:val="000A5C68"/>
    <w:rsid w:val="000A5E2C"/>
    <w:rsid w:val="000A5FB0"/>
    <w:rsid w:val="000B08A5"/>
    <w:rsid w:val="000B0AD1"/>
    <w:rsid w:val="000B0FBD"/>
    <w:rsid w:val="000B1CAF"/>
    <w:rsid w:val="000B2B37"/>
    <w:rsid w:val="000B2F96"/>
    <w:rsid w:val="000B438F"/>
    <w:rsid w:val="000B4549"/>
    <w:rsid w:val="000B4791"/>
    <w:rsid w:val="000B6AB5"/>
    <w:rsid w:val="000B6D07"/>
    <w:rsid w:val="000B6E81"/>
    <w:rsid w:val="000C39DE"/>
    <w:rsid w:val="000C6E6D"/>
    <w:rsid w:val="000D16D0"/>
    <w:rsid w:val="000D1B0A"/>
    <w:rsid w:val="000D26D4"/>
    <w:rsid w:val="000D2EF8"/>
    <w:rsid w:val="000D2FC5"/>
    <w:rsid w:val="000D335B"/>
    <w:rsid w:val="000D4FEA"/>
    <w:rsid w:val="000D5779"/>
    <w:rsid w:val="000D65DA"/>
    <w:rsid w:val="000D6B39"/>
    <w:rsid w:val="000D7327"/>
    <w:rsid w:val="000D77F3"/>
    <w:rsid w:val="000E153D"/>
    <w:rsid w:val="000E245D"/>
    <w:rsid w:val="000E2784"/>
    <w:rsid w:val="000E6D61"/>
    <w:rsid w:val="000E7A03"/>
    <w:rsid w:val="000F0853"/>
    <w:rsid w:val="000F2688"/>
    <w:rsid w:val="000F3D9D"/>
    <w:rsid w:val="000F437E"/>
    <w:rsid w:val="000F4CB9"/>
    <w:rsid w:val="000F5253"/>
    <w:rsid w:val="000F630E"/>
    <w:rsid w:val="000F6AC4"/>
    <w:rsid w:val="00103607"/>
    <w:rsid w:val="0010441D"/>
    <w:rsid w:val="00105D3B"/>
    <w:rsid w:val="001067E9"/>
    <w:rsid w:val="00107E37"/>
    <w:rsid w:val="00110E6E"/>
    <w:rsid w:val="00111213"/>
    <w:rsid w:val="0011315F"/>
    <w:rsid w:val="00114B31"/>
    <w:rsid w:val="00116C8A"/>
    <w:rsid w:val="0011728C"/>
    <w:rsid w:val="001174AF"/>
    <w:rsid w:val="00120CA7"/>
    <w:rsid w:val="00121A79"/>
    <w:rsid w:val="001224CF"/>
    <w:rsid w:val="00122968"/>
    <w:rsid w:val="00123721"/>
    <w:rsid w:val="001237A2"/>
    <w:rsid w:val="0012386B"/>
    <w:rsid w:val="001245E4"/>
    <w:rsid w:val="001249C1"/>
    <w:rsid w:val="0012584F"/>
    <w:rsid w:val="00130310"/>
    <w:rsid w:val="00130538"/>
    <w:rsid w:val="00130DF3"/>
    <w:rsid w:val="00131470"/>
    <w:rsid w:val="00132773"/>
    <w:rsid w:val="00133F9A"/>
    <w:rsid w:val="00134196"/>
    <w:rsid w:val="00137E0C"/>
    <w:rsid w:val="0014076F"/>
    <w:rsid w:val="00141F7D"/>
    <w:rsid w:val="00142B31"/>
    <w:rsid w:val="00142DF5"/>
    <w:rsid w:val="00143EBD"/>
    <w:rsid w:val="00145223"/>
    <w:rsid w:val="0014609C"/>
    <w:rsid w:val="00147F76"/>
    <w:rsid w:val="00150C17"/>
    <w:rsid w:val="00151E16"/>
    <w:rsid w:val="001536A7"/>
    <w:rsid w:val="00153DE6"/>
    <w:rsid w:val="00154018"/>
    <w:rsid w:val="0015426D"/>
    <w:rsid w:val="00156145"/>
    <w:rsid w:val="00156E88"/>
    <w:rsid w:val="00157551"/>
    <w:rsid w:val="0015777B"/>
    <w:rsid w:val="0016072F"/>
    <w:rsid w:val="0016095F"/>
    <w:rsid w:val="001621D3"/>
    <w:rsid w:val="0016286F"/>
    <w:rsid w:val="001634AB"/>
    <w:rsid w:val="00163E25"/>
    <w:rsid w:val="00164532"/>
    <w:rsid w:val="00164CFE"/>
    <w:rsid w:val="00165FC1"/>
    <w:rsid w:val="001669F3"/>
    <w:rsid w:val="001675CD"/>
    <w:rsid w:val="0017096C"/>
    <w:rsid w:val="00171016"/>
    <w:rsid w:val="00171E88"/>
    <w:rsid w:val="00175030"/>
    <w:rsid w:val="0017574F"/>
    <w:rsid w:val="00177875"/>
    <w:rsid w:val="00177F84"/>
    <w:rsid w:val="00180828"/>
    <w:rsid w:val="001814B1"/>
    <w:rsid w:val="0018531D"/>
    <w:rsid w:val="00185661"/>
    <w:rsid w:val="00185E11"/>
    <w:rsid w:val="001871CA"/>
    <w:rsid w:val="00187757"/>
    <w:rsid w:val="00190899"/>
    <w:rsid w:val="0019090D"/>
    <w:rsid w:val="0019102D"/>
    <w:rsid w:val="00191482"/>
    <w:rsid w:val="00191C83"/>
    <w:rsid w:val="0019219C"/>
    <w:rsid w:val="001940FA"/>
    <w:rsid w:val="00194574"/>
    <w:rsid w:val="001971D1"/>
    <w:rsid w:val="00197D2D"/>
    <w:rsid w:val="00197F14"/>
    <w:rsid w:val="001A0C82"/>
    <w:rsid w:val="001A0DC6"/>
    <w:rsid w:val="001A0F48"/>
    <w:rsid w:val="001A0F6A"/>
    <w:rsid w:val="001A1087"/>
    <w:rsid w:val="001A1316"/>
    <w:rsid w:val="001A34BC"/>
    <w:rsid w:val="001A56F5"/>
    <w:rsid w:val="001B177F"/>
    <w:rsid w:val="001B2037"/>
    <w:rsid w:val="001B3FC3"/>
    <w:rsid w:val="001B4470"/>
    <w:rsid w:val="001B508C"/>
    <w:rsid w:val="001B5971"/>
    <w:rsid w:val="001B6BB5"/>
    <w:rsid w:val="001B71F6"/>
    <w:rsid w:val="001C0C2C"/>
    <w:rsid w:val="001C0CC3"/>
    <w:rsid w:val="001C267C"/>
    <w:rsid w:val="001C3866"/>
    <w:rsid w:val="001C393D"/>
    <w:rsid w:val="001C4B32"/>
    <w:rsid w:val="001C50D6"/>
    <w:rsid w:val="001C5946"/>
    <w:rsid w:val="001C6531"/>
    <w:rsid w:val="001D14CF"/>
    <w:rsid w:val="001D25B9"/>
    <w:rsid w:val="001D624E"/>
    <w:rsid w:val="001D6365"/>
    <w:rsid w:val="001D6A38"/>
    <w:rsid w:val="001E1465"/>
    <w:rsid w:val="001E1EE5"/>
    <w:rsid w:val="001E7E1F"/>
    <w:rsid w:val="001F1951"/>
    <w:rsid w:val="001F35E0"/>
    <w:rsid w:val="001F4397"/>
    <w:rsid w:val="001F578F"/>
    <w:rsid w:val="001F62CE"/>
    <w:rsid w:val="001F75D4"/>
    <w:rsid w:val="00200267"/>
    <w:rsid w:val="002030DC"/>
    <w:rsid w:val="0020329A"/>
    <w:rsid w:val="0020375F"/>
    <w:rsid w:val="0020525A"/>
    <w:rsid w:val="002058A6"/>
    <w:rsid w:val="00206282"/>
    <w:rsid w:val="002066CC"/>
    <w:rsid w:val="00206AB4"/>
    <w:rsid w:val="00207CA5"/>
    <w:rsid w:val="00211C0E"/>
    <w:rsid w:val="00211C97"/>
    <w:rsid w:val="0021239E"/>
    <w:rsid w:val="0021455C"/>
    <w:rsid w:val="00214D30"/>
    <w:rsid w:val="00214F95"/>
    <w:rsid w:val="00214FB4"/>
    <w:rsid w:val="002150C2"/>
    <w:rsid w:val="00215F8D"/>
    <w:rsid w:val="0021696C"/>
    <w:rsid w:val="00217F6A"/>
    <w:rsid w:val="00221086"/>
    <w:rsid w:val="00222644"/>
    <w:rsid w:val="002228C5"/>
    <w:rsid w:val="00222C94"/>
    <w:rsid w:val="00222D42"/>
    <w:rsid w:val="00222FD0"/>
    <w:rsid w:val="00231CB7"/>
    <w:rsid w:val="00232ECF"/>
    <w:rsid w:val="0023383D"/>
    <w:rsid w:val="00234003"/>
    <w:rsid w:val="002345E6"/>
    <w:rsid w:val="00234A46"/>
    <w:rsid w:val="00234CB0"/>
    <w:rsid w:val="00234D05"/>
    <w:rsid w:val="00234D07"/>
    <w:rsid w:val="00236415"/>
    <w:rsid w:val="00236598"/>
    <w:rsid w:val="002368EF"/>
    <w:rsid w:val="00236A51"/>
    <w:rsid w:val="002377A1"/>
    <w:rsid w:val="00237F47"/>
    <w:rsid w:val="00241626"/>
    <w:rsid w:val="002430AD"/>
    <w:rsid w:val="002451C1"/>
    <w:rsid w:val="0024542E"/>
    <w:rsid w:val="00245A2D"/>
    <w:rsid w:val="002501A4"/>
    <w:rsid w:val="00251693"/>
    <w:rsid w:val="00251EFD"/>
    <w:rsid w:val="002545BF"/>
    <w:rsid w:val="00256E7D"/>
    <w:rsid w:val="00256F80"/>
    <w:rsid w:val="00257222"/>
    <w:rsid w:val="002573E3"/>
    <w:rsid w:val="00260CE7"/>
    <w:rsid w:val="00261017"/>
    <w:rsid w:val="00261ED0"/>
    <w:rsid w:val="00265838"/>
    <w:rsid w:val="00266307"/>
    <w:rsid w:val="0026784F"/>
    <w:rsid w:val="002702C2"/>
    <w:rsid w:val="00270F3E"/>
    <w:rsid w:val="00271362"/>
    <w:rsid w:val="002719F7"/>
    <w:rsid w:val="00271FB7"/>
    <w:rsid w:val="00272044"/>
    <w:rsid w:val="002735AE"/>
    <w:rsid w:val="00273AA0"/>
    <w:rsid w:val="00275321"/>
    <w:rsid w:val="002757C7"/>
    <w:rsid w:val="00275BD1"/>
    <w:rsid w:val="002773B4"/>
    <w:rsid w:val="00277715"/>
    <w:rsid w:val="00277CC2"/>
    <w:rsid w:val="0028027F"/>
    <w:rsid w:val="0028065E"/>
    <w:rsid w:val="00280C95"/>
    <w:rsid w:val="0028157B"/>
    <w:rsid w:val="00284254"/>
    <w:rsid w:val="00285320"/>
    <w:rsid w:val="002867DD"/>
    <w:rsid w:val="00286FD5"/>
    <w:rsid w:val="00286FF2"/>
    <w:rsid w:val="00287776"/>
    <w:rsid w:val="00287D29"/>
    <w:rsid w:val="0029252C"/>
    <w:rsid w:val="0029275A"/>
    <w:rsid w:val="0029303B"/>
    <w:rsid w:val="0029344E"/>
    <w:rsid w:val="002973BB"/>
    <w:rsid w:val="002A1E98"/>
    <w:rsid w:val="002A1FC2"/>
    <w:rsid w:val="002A3125"/>
    <w:rsid w:val="002A4E50"/>
    <w:rsid w:val="002A4F13"/>
    <w:rsid w:val="002A540E"/>
    <w:rsid w:val="002A56A3"/>
    <w:rsid w:val="002A5AB1"/>
    <w:rsid w:val="002A6982"/>
    <w:rsid w:val="002A7781"/>
    <w:rsid w:val="002B0047"/>
    <w:rsid w:val="002B0353"/>
    <w:rsid w:val="002B2910"/>
    <w:rsid w:val="002B2FC5"/>
    <w:rsid w:val="002B4BE9"/>
    <w:rsid w:val="002B798F"/>
    <w:rsid w:val="002B7E3D"/>
    <w:rsid w:val="002C44D9"/>
    <w:rsid w:val="002C4A5C"/>
    <w:rsid w:val="002C4A99"/>
    <w:rsid w:val="002C69A7"/>
    <w:rsid w:val="002C7145"/>
    <w:rsid w:val="002C7E66"/>
    <w:rsid w:val="002D0838"/>
    <w:rsid w:val="002D214C"/>
    <w:rsid w:val="002D2F1B"/>
    <w:rsid w:val="002D391D"/>
    <w:rsid w:val="002D434C"/>
    <w:rsid w:val="002D4533"/>
    <w:rsid w:val="002D506E"/>
    <w:rsid w:val="002D5591"/>
    <w:rsid w:val="002D6738"/>
    <w:rsid w:val="002D76FB"/>
    <w:rsid w:val="002E127B"/>
    <w:rsid w:val="002E1E42"/>
    <w:rsid w:val="002E3AFB"/>
    <w:rsid w:val="002E4382"/>
    <w:rsid w:val="002E4792"/>
    <w:rsid w:val="002E6023"/>
    <w:rsid w:val="002F08AF"/>
    <w:rsid w:val="002F0DC6"/>
    <w:rsid w:val="002F142C"/>
    <w:rsid w:val="002F1A14"/>
    <w:rsid w:val="002F1CA2"/>
    <w:rsid w:val="002F2BF1"/>
    <w:rsid w:val="002F3E44"/>
    <w:rsid w:val="002F4CF7"/>
    <w:rsid w:val="002F4D14"/>
    <w:rsid w:val="002F56FF"/>
    <w:rsid w:val="002F5A9B"/>
    <w:rsid w:val="002F63B3"/>
    <w:rsid w:val="003003CB"/>
    <w:rsid w:val="00300C05"/>
    <w:rsid w:val="00301485"/>
    <w:rsid w:val="003014B5"/>
    <w:rsid w:val="00304BD9"/>
    <w:rsid w:val="003069EF"/>
    <w:rsid w:val="0030794B"/>
    <w:rsid w:val="00311A1C"/>
    <w:rsid w:val="00313B24"/>
    <w:rsid w:val="0031456B"/>
    <w:rsid w:val="00314F0F"/>
    <w:rsid w:val="00315154"/>
    <w:rsid w:val="00320193"/>
    <w:rsid w:val="003218BE"/>
    <w:rsid w:val="00322119"/>
    <w:rsid w:val="00323316"/>
    <w:rsid w:val="00324F9A"/>
    <w:rsid w:val="0032566D"/>
    <w:rsid w:val="00325797"/>
    <w:rsid w:val="00326F0E"/>
    <w:rsid w:val="00327312"/>
    <w:rsid w:val="00330E7A"/>
    <w:rsid w:val="00332A85"/>
    <w:rsid w:val="00332D9B"/>
    <w:rsid w:val="00332E54"/>
    <w:rsid w:val="0033479D"/>
    <w:rsid w:val="003376B6"/>
    <w:rsid w:val="00341DA5"/>
    <w:rsid w:val="00343475"/>
    <w:rsid w:val="00343DE5"/>
    <w:rsid w:val="00343F88"/>
    <w:rsid w:val="00345095"/>
    <w:rsid w:val="00345AC9"/>
    <w:rsid w:val="00347A64"/>
    <w:rsid w:val="0034C06C"/>
    <w:rsid w:val="00351205"/>
    <w:rsid w:val="003512AD"/>
    <w:rsid w:val="00351ADB"/>
    <w:rsid w:val="00351B81"/>
    <w:rsid w:val="003525C3"/>
    <w:rsid w:val="0035302A"/>
    <w:rsid w:val="00353EEC"/>
    <w:rsid w:val="00354919"/>
    <w:rsid w:val="00355036"/>
    <w:rsid w:val="00355E97"/>
    <w:rsid w:val="00360DBB"/>
    <w:rsid w:val="00361338"/>
    <w:rsid w:val="00361CBF"/>
    <w:rsid w:val="00361F93"/>
    <w:rsid w:val="00362F3E"/>
    <w:rsid w:val="003638C5"/>
    <w:rsid w:val="0036655D"/>
    <w:rsid w:val="00367412"/>
    <w:rsid w:val="0037007D"/>
    <w:rsid w:val="003709C9"/>
    <w:rsid w:val="00374060"/>
    <w:rsid w:val="00374E8F"/>
    <w:rsid w:val="00375190"/>
    <w:rsid w:val="003752EC"/>
    <w:rsid w:val="0037583F"/>
    <w:rsid w:val="0037768C"/>
    <w:rsid w:val="00380915"/>
    <w:rsid w:val="00380BE8"/>
    <w:rsid w:val="0038194A"/>
    <w:rsid w:val="00381E6F"/>
    <w:rsid w:val="00381EB0"/>
    <w:rsid w:val="003829C9"/>
    <w:rsid w:val="00382E2F"/>
    <w:rsid w:val="00383146"/>
    <w:rsid w:val="00383CB6"/>
    <w:rsid w:val="003840D2"/>
    <w:rsid w:val="0038476C"/>
    <w:rsid w:val="00386072"/>
    <w:rsid w:val="003871EF"/>
    <w:rsid w:val="00387DCB"/>
    <w:rsid w:val="00391D95"/>
    <w:rsid w:val="003933D5"/>
    <w:rsid w:val="003939E3"/>
    <w:rsid w:val="0039431A"/>
    <w:rsid w:val="00394B72"/>
    <w:rsid w:val="00396A0A"/>
    <w:rsid w:val="00396B62"/>
    <w:rsid w:val="0039769D"/>
    <w:rsid w:val="00397A43"/>
    <w:rsid w:val="003A0962"/>
    <w:rsid w:val="003A2BDE"/>
    <w:rsid w:val="003A2E69"/>
    <w:rsid w:val="003A307F"/>
    <w:rsid w:val="003A5171"/>
    <w:rsid w:val="003A60FD"/>
    <w:rsid w:val="003A6561"/>
    <w:rsid w:val="003B0BB0"/>
    <w:rsid w:val="003B53AA"/>
    <w:rsid w:val="003B54D3"/>
    <w:rsid w:val="003B5E4D"/>
    <w:rsid w:val="003B7AB3"/>
    <w:rsid w:val="003B7E85"/>
    <w:rsid w:val="003B7ED3"/>
    <w:rsid w:val="003C07CE"/>
    <w:rsid w:val="003C4EB4"/>
    <w:rsid w:val="003D0661"/>
    <w:rsid w:val="003D0DF3"/>
    <w:rsid w:val="003D23AD"/>
    <w:rsid w:val="003D5874"/>
    <w:rsid w:val="003D5936"/>
    <w:rsid w:val="003D5DFC"/>
    <w:rsid w:val="003D6549"/>
    <w:rsid w:val="003D6F9D"/>
    <w:rsid w:val="003D731E"/>
    <w:rsid w:val="003E0E9E"/>
    <w:rsid w:val="003E12D9"/>
    <w:rsid w:val="003E3455"/>
    <w:rsid w:val="003E36A1"/>
    <w:rsid w:val="003E3DBC"/>
    <w:rsid w:val="003E3F32"/>
    <w:rsid w:val="003E412A"/>
    <w:rsid w:val="003E59B8"/>
    <w:rsid w:val="003E6026"/>
    <w:rsid w:val="003E6885"/>
    <w:rsid w:val="003E6DB6"/>
    <w:rsid w:val="003E6DF5"/>
    <w:rsid w:val="003E7A61"/>
    <w:rsid w:val="003F0CCD"/>
    <w:rsid w:val="003F16F3"/>
    <w:rsid w:val="003F2176"/>
    <w:rsid w:val="003F2B84"/>
    <w:rsid w:val="003F31B3"/>
    <w:rsid w:val="003F5AF8"/>
    <w:rsid w:val="003F6DFF"/>
    <w:rsid w:val="003F75CA"/>
    <w:rsid w:val="003F78DE"/>
    <w:rsid w:val="003F7FDE"/>
    <w:rsid w:val="0040030E"/>
    <w:rsid w:val="00401015"/>
    <w:rsid w:val="00402CB5"/>
    <w:rsid w:val="00402F20"/>
    <w:rsid w:val="00406549"/>
    <w:rsid w:val="004119A9"/>
    <w:rsid w:val="0041212A"/>
    <w:rsid w:val="00413B55"/>
    <w:rsid w:val="004157FD"/>
    <w:rsid w:val="00416802"/>
    <w:rsid w:val="004175CA"/>
    <w:rsid w:val="0042019A"/>
    <w:rsid w:val="00421211"/>
    <w:rsid w:val="004215B6"/>
    <w:rsid w:val="004223EF"/>
    <w:rsid w:val="0042B85B"/>
    <w:rsid w:val="0043025A"/>
    <w:rsid w:val="0043139E"/>
    <w:rsid w:val="00432CA3"/>
    <w:rsid w:val="00434615"/>
    <w:rsid w:val="004360BF"/>
    <w:rsid w:val="00437D52"/>
    <w:rsid w:val="00441EA6"/>
    <w:rsid w:val="004421C2"/>
    <w:rsid w:val="00444501"/>
    <w:rsid w:val="00445394"/>
    <w:rsid w:val="00446A17"/>
    <w:rsid w:val="00447C80"/>
    <w:rsid w:val="0045085C"/>
    <w:rsid w:val="00450F6F"/>
    <w:rsid w:val="00452D7D"/>
    <w:rsid w:val="00453319"/>
    <w:rsid w:val="00453889"/>
    <w:rsid w:val="00453B60"/>
    <w:rsid w:val="00454D29"/>
    <w:rsid w:val="00454FCA"/>
    <w:rsid w:val="00455338"/>
    <w:rsid w:val="00457489"/>
    <w:rsid w:val="00457DBA"/>
    <w:rsid w:val="00457E9D"/>
    <w:rsid w:val="004605EA"/>
    <w:rsid w:val="004608DB"/>
    <w:rsid w:val="00460A1A"/>
    <w:rsid w:val="00461488"/>
    <w:rsid w:val="00461A8D"/>
    <w:rsid w:val="00462096"/>
    <w:rsid w:val="004623E2"/>
    <w:rsid w:val="00463C40"/>
    <w:rsid w:val="00463F4B"/>
    <w:rsid w:val="00464251"/>
    <w:rsid w:val="00464482"/>
    <w:rsid w:val="00464CB0"/>
    <w:rsid w:val="004701A7"/>
    <w:rsid w:val="0047028C"/>
    <w:rsid w:val="00471ED5"/>
    <w:rsid w:val="004741F4"/>
    <w:rsid w:val="00475C31"/>
    <w:rsid w:val="00475F9C"/>
    <w:rsid w:val="00476273"/>
    <w:rsid w:val="00477AD7"/>
    <w:rsid w:val="004822C5"/>
    <w:rsid w:val="00482306"/>
    <w:rsid w:val="004829C1"/>
    <w:rsid w:val="00484A47"/>
    <w:rsid w:val="004874B3"/>
    <w:rsid w:val="0048788D"/>
    <w:rsid w:val="004879B7"/>
    <w:rsid w:val="00490168"/>
    <w:rsid w:val="004901A0"/>
    <w:rsid w:val="00490D70"/>
    <w:rsid w:val="00492728"/>
    <w:rsid w:val="0049365A"/>
    <w:rsid w:val="004936C8"/>
    <w:rsid w:val="00493EE8"/>
    <w:rsid w:val="0049506C"/>
    <w:rsid w:val="00495615"/>
    <w:rsid w:val="00496D3D"/>
    <w:rsid w:val="004A0B8E"/>
    <w:rsid w:val="004A0D89"/>
    <w:rsid w:val="004A3323"/>
    <w:rsid w:val="004A3781"/>
    <w:rsid w:val="004A4694"/>
    <w:rsid w:val="004A59E1"/>
    <w:rsid w:val="004A5FD5"/>
    <w:rsid w:val="004A664F"/>
    <w:rsid w:val="004B13B3"/>
    <w:rsid w:val="004B2E80"/>
    <w:rsid w:val="004B5823"/>
    <w:rsid w:val="004B78C8"/>
    <w:rsid w:val="004C001C"/>
    <w:rsid w:val="004C17F0"/>
    <w:rsid w:val="004C23C6"/>
    <w:rsid w:val="004C354C"/>
    <w:rsid w:val="004C3766"/>
    <w:rsid w:val="004C3A27"/>
    <w:rsid w:val="004C5066"/>
    <w:rsid w:val="004C5349"/>
    <w:rsid w:val="004C739F"/>
    <w:rsid w:val="004C786E"/>
    <w:rsid w:val="004D0324"/>
    <w:rsid w:val="004D0B2E"/>
    <w:rsid w:val="004D18A7"/>
    <w:rsid w:val="004D28A6"/>
    <w:rsid w:val="004D2C08"/>
    <w:rsid w:val="004D3188"/>
    <w:rsid w:val="004D5B45"/>
    <w:rsid w:val="004D5C8E"/>
    <w:rsid w:val="004E0142"/>
    <w:rsid w:val="004E258A"/>
    <w:rsid w:val="004E5B5B"/>
    <w:rsid w:val="004E64FD"/>
    <w:rsid w:val="004E75C6"/>
    <w:rsid w:val="004F1D2F"/>
    <w:rsid w:val="004F63D2"/>
    <w:rsid w:val="004F77E8"/>
    <w:rsid w:val="00501B76"/>
    <w:rsid w:val="00502CF7"/>
    <w:rsid w:val="00502E80"/>
    <w:rsid w:val="00504BE5"/>
    <w:rsid w:val="00505AEA"/>
    <w:rsid w:val="00505D7C"/>
    <w:rsid w:val="00512073"/>
    <w:rsid w:val="005123F4"/>
    <w:rsid w:val="00513844"/>
    <w:rsid w:val="00513A40"/>
    <w:rsid w:val="0052111B"/>
    <w:rsid w:val="005230C4"/>
    <w:rsid w:val="00525105"/>
    <w:rsid w:val="0052512A"/>
    <w:rsid w:val="005258B1"/>
    <w:rsid w:val="005269DC"/>
    <w:rsid w:val="00530A6E"/>
    <w:rsid w:val="005331D4"/>
    <w:rsid w:val="00533254"/>
    <w:rsid w:val="005339E8"/>
    <w:rsid w:val="00533BCA"/>
    <w:rsid w:val="00533FF0"/>
    <w:rsid w:val="00534AD9"/>
    <w:rsid w:val="005351A4"/>
    <w:rsid w:val="00535830"/>
    <w:rsid w:val="00535F39"/>
    <w:rsid w:val="00536CD0"/>
    <w:rsid w:val="00540C4B"/>
    <w:rsid w:val="00541011"/>
    <w:rsid w:val="005437A4"/>
    <w:rsid w:val="005438E9"/>
    <w:rsid w:val="00547AA9"/>
    <w:rsid w:val="00550872"/>
    <w:rsid w:val="00550A6B"/>
    <w:rsid w:val="005521F8"/>
    <w:rsid w:val="005538A2"/>
    <w:rsid w:val="00553AE8"/>
    <w:rsid w:val="005546E3"/>
    <w:rsid w:val="00555C78"/>
    <w:rsid w:val="00557B37"/>
    <w:rsid w:val="00561356"/>
    <w:rsid w:val="00561B22"/>
    <w:rsid w:val="00561CF3"/>
    <w:rsid w:val="00563EC3"/>
    <w:rsid w:val="00564297"/>
    <w:rsid w:val="0056532F"/>
    <w:rsid w:val="00565739"/>
    <w:rsid w:val="00565A43"/>
    <w:rsid w:val="00566AE2"/>
    <w:rsid w:val="00567F5A"/>
    <w:rsid w:val="00571428"/>
    <w:rsid w:val="00572CA7"/>
    <w:rsid w:val="00575FF8"/>
    <w:rsid w:val="00576160"/>
    <w:rsid w:val="00576365"/>
    <w:rsid w:val="00577197"/>
    <w:rsid w:val="005776EF"/>
    <w:rsid w:val="00583193"/>
    <w:rsid w:val="005833F8"/>
    <w:rsid w:val="0058516E"/>
    <w:rsid w:val="0058572A"/>
    <w:rsid w:val="00587E4D"/>
    <w:rsid w:val="005908A1"/>
    <w:rsid w:val="00591904"/>
    <w:rsid w:val="0059506D"/>
    <w:rsid w:val="005962B4"/>
    <w:rsid w:val="0059656B"/>
    <w:rsid w:val="005A0A7C"/>
    <w:rsid w:val="005A0F44"/>
    <w:rsid w:val="005A3165"/>
    <w:rsid w:val="005A417D"/>
    <w:rsid w:val="005A43F9"/>
    <w:rsid w:val="005A47E0"/>
    <w:rsid w:val="005A5442"/>
    <w:rsid w:val="005A59A4"/>
    <w:rsid w:val="005A601F"/>
    <w:rsid w:val="005A7E98"/>
    <w:rsid w:val="005A7F2D"/>
    <w:rsid w:val="005B0A6B"/>
    <w:rsid w:val="005B2750"/>
    <w:rsid w:val="005B3D80"/>
    <w:rsid w:val="005B439D"/>
    <w:rsid w:val="005B48EB"/>
    <w:rsid w:val="005B4958"/>
    <w:rsid w:val="005B5541"/>
    <w:rsid w:val="005B6A0B"/>
    <w:rsid w:val="005B7769"/>
    <w:rsid w:val="005C00C9"/>
    <w:rsid w:val="005C0D98"/>
    <w:rsid w:val="005C21E1"/>
    <w:rsid w:val="005C2751"/>
    <w:rsid w:val="005C6590"/>
    <w:rsid w:val="005C6985"/>
    <w:rsid w:val="005C76AC"/>
    <w:rsid w:val="005C76AD"/>
    <w:rsid w:val="005C7A2B"/>
    <w:rsid w:val="005D0D4B"/>
    <w:rsid w:val="005D12E1"/>
    <w:rsid w:val="005D1FD3"/>
    <w:rsid w:val="005D2F27"/>
    <w:rsid w:val="005D38C1"/>
    <w:rsid w:val="005D43AB"/>
    <w:rsid w:val="005D49B5"/>
    <w:rsid w:val="005D5941"/>
    <w:rsid w:val="005D6F5C"/>
    <w:rsid w:val="005E1CF4"/>
    <w:rsid w:val="005E3164"/>
    <w:rsid w:val="005E335F"/>
    <w:rsid w:val="005EF8B8"/>
    <w:rsid w:val="005F03D7"/>
    <w:rsid w:val="005F36B4"/>
    <w:rsid w:val="005F3C73"/>
    <w:rsid w:val="005F43A8"/>
    <w:rsid w:val="005F47D4"/>
    <w:rsid w:val="005F5E23"/>
    <w:rsid w:val="005F6247"/>
    <w:rsid w:val="005F7194"/>
    <w:rsid w:val="0060036C"/>
    <w:rsid w:val="006003E9"/>
    <w:rsid w:val="00600750"/>
    <w:rsid w:val="00605DBF"/>
    <w:rsid w:val="00607719"/>
    <w:rsid w:val="006107DC"/>
    <w:rsid w:val="00610B08"/>
    <w:rsid w:val="00610DEE"/>
    <w:rsid w:val="006114A0"/>
    <w:rsid w:val="00611EC4"/>
    <w:rsid w:val="006121E0"/>
    <w:rsid w:val="006151F8"/>
    <w:rsid w:val="006179E0"/>
    <w:rsid w:val="00617E61"/>
    <w:rsid w:val="00622083"/>
    <w:rsid w:val="0062414A"/>
    <w:rsid w:val="00625EF8"/>
    <w:rsid w:val="0062690B"/>
    <w:rsid w:val="00627C6E"/>
    <w:rsid w:val="00630D73"/>
    <w:rsid w:val="00631650"/>
    <w:rsid w:val="00631DE8"/>
    <w:rsid w:val="006337C3"/>
    <w:rsid w:val="00633E07"/>
    <w:rsid w:val="00634173"/>
    <w:rsid w:val="00634810"/>
    <w:rsid w:val="006361D5"/>
    <w:rsid w:val="0063712D"/>
    <w:rsid w:val="0063715D"/>
    <w:rsid w:val="006412B4"/>
    <w:rsid w:val="006421DB"/>
    <w:rsid w:val="00642883"/>
    <w:rsid w:val="006430E3"/>
    <w:rsid w:val="006433A3"/>
    <w:rsid w:val="00643910"/>
    <w:rsid w:val="00643F50"/>
    <w:rsid w:val="00646A41"/>
    <w:rsid w:val="00647E95"/>
    <w:rsid w:val="00650571"/>
    <w:rsid w:val="00652B88"/>
    <w:rsid w:val="00653C81"/>
    <w:rsid w:val="00654066"/>
    <w:rsid w:val="00654CD3"/>
    <w:rsid w:val="00655094"/>
    <w:rsid w:val="00655D05"/>
    <w:rsid w:val="0065669D"/>
    <w:rsid w:val="006572B2"/>
    <w:rsid w:val="006579E3"/>
    <w:rsid w:val="00661C6E"/>
    <w:rsid w:val="00663153"/>
    <w:rsid w:val="00664524"/>
    <w:rsid w:val="0066502B"/>
    <w:rsid w:val="006652FF"/>
    <w:rsid w:val="00666097"/>
    <w:rsid w:val="0066656A"/>
    <w:rsid w:val="0066680A"/>
    <w:rsid w:val="00666FED"/>
    <w:rsid w:val="00670CC5"/>
    <w:rsid w:val="00671F97"/>
    <w:rsid w:val="006720C5"/>
    <w:rsid w:val="00677B00"/>
    <w:rsid w:val="00677BF3"/>
    <w:rsid w:val="00677D3A"/>
    <w:rsid w:val="00681D74"/>
    <w:rsid w:val="00682539"/>
    <w:rsid w:val="00682CD6"/>
    <w:rsid w:val="00686294"/>
    <w:rsid w:val="00687930"/>
    <w:rsid w:val="00690F7D"/>
    <w:rsid w:val="00691630"/>
    <w:rsid w:val="006916B2"/>
    <w:rsid w:val="00691728"/>
    <w:rsid w:val="00691ABC"/>
    <w:rsid w:val="006927A2"/>
    <w:rsid w:val="00692C8A"/>
    <w:rsid w:val="00694FDD"/>
    <w:rsid w:val="00696870"/>
    <w:rsid w:val="00697529"/>
    <w:rsid w:val="006975E3"/>
    <w:rsid w:val="0069CE68"/>
    <w:rsid w:val="006A1FE0"/>
    <w:rsid w:val="006A2E85"/>
    <w:rsid w:val="006A488E"/>
    <w:rsid w:val="006A58AF"/>
    <w:rsid w:val="006A66EE"/>
    <w:rsid w:val="006A7BF8"/>
    <w:rsid w:val="006AFA18"/>
    <w:rsid w:val="006B043E"/>
    <w:rsid w:val="006B2B98"/>
    <w:rsid w:val="006B382D"/>
    <w:rsid w:val="006B3BE3"/>
    <w:rsid w:val="006B419D"/>
    <w:rsid w:val="006B6062"/>
    <w:rsid w:val="006BD574"/>
    <w:rsid w:val="006C0272"/>
    <w:rsid w:val="006C160D"/>
    <w:rsid w:val="006C21FE"/>
    <w:rsid w:val="006C2768"/>
    <w:rsid w:val="006C27F9"/>
    <w:rsid w:val="006C333A"/>
    <w:rsid w:val="006C371C"/>
    <w:rsid w:val="006C487D"/>
    <w:rsid w:val="006C5AEB"/>
    <w:rsid w:val="006C6780"/>
    <w:rsid w:val="006C7C46"/>
    <w:rsid w:val="006D0167"/>
    <w:rsid w:val="006D0911"/>
    <w:rsid w:val="006D0E0B"/>
    <w:rsid w:val="006D0FF9"/>
    <w:rsid w:val="006D1179"/>
    <w:rsid w:val="006D2297"/>
    <w:rsid w:val="006D33F1"/>
    <w:rsid w:val="006D3557"/>
    <w:rsid w:val="006D3D30"/>
    <w:rsid w:val="006D6172"/>
    <w:rsid w:val="006D7701"/>
    <w:rsid w:val="006D7A32"/>
    <w:rsid w:val="006E17E9"/>
    <w:rsid w:val="006E1BC5"/>
    <w:rsid w:val="006E2B9B"/>
    <w:rsid w:val="006E2F14"/>
    <w:rsid w:val="006E3BB6"/>
    <w:rsid w:val="006E4ED2"/>
    <w:rsid w:val="006E50AC"/>
    <w:rsid w:val="006E7421"/>
    <w:rsid w:val="006F1BFF"/>
    <w:rsid w:val="006F2DC4"/>
    <w:rsid w:val="006F2F5C"/>
    <w:rsid w:val="006F4424"/>
    <w:rsid w:val="006F7AE6"/>
    <w:rsid w:val="006F7DC4"/>
    <w:rsid w:val="00700167"/>
    <w:rsid w:val="00700A7D"/>
    <w:rsid w:val="00702358"/>
    <w:rsid w:val="00705B9B"/>
    <w:rsid w:val="00705D32"/>
    <w:rsid w:val="00705DCA"/>
    <w:rsid w:val="00706568"/>
    <w:rsid w:val="00707452"/>
    <w:rsid w:val="00710B58"/>
    <w:rsid w:val="0071150A"/>
    <w:rsid w:val="00714280"/>
    <w:rsid w:val="007157A3"/>
    <w:rsid w:val="00716040"/>
    <w:rsid w:val="00716850"/>
    <w:rsid w:val="0071795E"/>
    <w:rsid w:val="0072033B"/>
    <w:rsid w:val="00720984"/>
    <w:rsid w:val="007210F2"/>
    <w:rsid w:val="007248DD"/>
    <w:rsid w:val="00726221"/>
    <w:rsid w:val="00727470"/>
    <w:rsid w:val="00731208"/>
    <w:rsid w:val="007315D2"/>
    <w:rsid w:val="00731912"/>
    <w:rsid w:val="0073367D"/>
    <w:rsid w:val="00734C00"/>
    <w:rsid w:val="00735E5F"/>
    <w:rsid w:val="007402A7"/>
    <w:rsid w:val="00740E0E"/>
    <w:rsid w:val="00741A96"/>
    <w:rsid w:val="0074251C"/>
    <w:rsid w:val="00742832"/>
    <w:rsid w:val="00742DE9"/>
    <w:rsid w:val="00743BE0"/>
    <w:rsid w:val="00743F99"/>
    <w:rsid w:val="00744259"/>
    <w:rsid w:val="00745971"/>
    <w:rsid w:val="00745E9F"/>
    <w:rsid w:val="00746547"/>
    <w:rsid w:val="00746622"/>
    <w:rsid w:val="007476F0"/>
    <w:rsid w:val="00747C45"/>
    <w:rsid w:val="00747E2E"/>
    <w:rsid w:val="00751A0B"/>
    <w:rsid w:val="007523A8"/>
    <w:rsid w:val="00752877"/>
    <w:rsid w:val="00752D89"/>
    <w:rsid w:val="007533AF"/>
    <w:rsid w:val="00753579"/>
    <w:rsid w:val="00756101"/>
    <w:rsid w:val="007561C9"/>
    <w:rsid w:val="00756444"/>
    <w:rsid w:val="0075730D"/>
    <w:rsid w:val="007610F9"/>
    <w:rsid w:val="00761256"/>
    <w:rsid w:val="00761347"/>
    <w:rsid w:val="007614DA"/>
    <w:rsid w:val="0076271E"/>
    <w:rsid w:val="00763D06"/>
    <w:rsid w:val="00764E12"/>
    <w:rsid w:val="00764EFB"/>
    <w:rsid w:val="007654BD"/>
    <w:rsid w:val="00765B84"/>
    <w:rsid w:val="00771817"/>
    <w:rsid w:val="00772377"/>
    <w:rsid w:val="00775ABA"/>
    <w:rsid w:val="00777804"/>
    <w:rsid w:val="0077A37A"/>
    <w:rsid w:val="007809C3"/>
    <w:rsid w:val="00782008"/>
    <w:rsid w:val="0078211B"/>
    <w:rsid w:val="00784DE0"/>
    <w:rsid w:val="0078654E"/>
    <w:rsid w:val="0079078B"/>
    <w:rsid w:val="0079089D"/>
    <w:rsid w:val="00791AD8"/>
    <w:rsid w:val="00791D95"/>
    <w:rsid w:val="007931F7"/>
    <w:rsid w:val="00794545"/>
    <w:rsid w:val="00794731"/>
    <w:rsid w:val="00794A1E"/>
    <w:rsid w:val="007950D8"/>
    <w:rsid w:val="007965B6"/>
    <w:rsid w:val="007A18D2"/>
    <w:rsid w:val="007A191B"/>
    <w:rsid w:val="007A1D0E"/>
    <w:rsid w:val="007A1D86"/>
    <w:rsid w:val="007A2402"/>
    <w:rsid w:val="007A2BDD"/>
    <w:rsid w:val="007A3497"/>
    <w:rsid w:val="007A36CD"/>
    <w:rsid w:val="007A4099"/>
    <w:rsid w:val="007A443A"/>
    <w:rsid w:val="007A59FD"/>
    <w:rsid w:val="007A5BDE"/>
    <w:rsid w:val="007A6916"/>
    <w:rsid w:val="007B0328"/>
    <w:rsid w:val="007B0E8F"/>
    <w:rsid w:val="007B3E9D"/>
    <w:rsid w:val="007B4414"/>
    <w:rsid w:val="007B4722"/>
    <w:rsid w:val="007B479B"/>
    <w:rsid w:val="007B4FDD"/>
    <w:rsid w:val="007B526C"/>
    <w:rsid w:val="007B5654"/>
    <w:rsid w:val="007B5B16"/>
    <w:rsid w:val="007B5DD1"/>
    <w:rsid w:val="007B78D6"/>
    <w:rsid w:val="007C0590"/>
    <w:rsid w:val="007C06A7"/>
    <w:rsid w:val="007C073D"/>
    <w:rsid w:val="007C143B"/>
    <w:rsid w:val="007C21F1"/>
    <w:rsid w:val="007C287F"/>
    <w:rsid w:val="007C2B4D"/>
    <w:rsid w:val="007C2C42"/>
    <w:rsid w:val="007C45CE"/>
    <w:rsid w:val="007C5F47"/>
    <w:rsid w:val="007C6152"/>
    <w:rsid w:val="007C71EF"/>
    <w:rsid w:val="007C7499"/>
    <w:rsid w:val="007C7E4D"/>
    <w:rsid w:val="007C8071"/>
    <w:rsid w:val="007D207E"/>
    <w:rsid w:val="007D74BB"/>
    <w:rsid w:val="007D7D3E"/>
    <w:rsid w:val="007D7E86"/>
    <w:rsid w:val="007E0C4B"/>
    <w:rsid w:val="007E21AE"/>
    <w:rsid w:val="007E2523"/>
    <w:rsid w:val="007E3833"/>
    <w:rsid w:val="007E4B32"/>
    <w:rsid w:val="007E659D"/>
    <w:rsid w:val="007E6C74"/>
    <w:rsid w:val="007F1AD8"/>
    <w:rsid w:val="007F2338"/>
    <w:rsid w:val="007F37FD"/>
    <w:rsid w:val="007F48DA"/>
    <w:rsid w:val="007F4F6F"/>
    <w:rsid w:val="007F6E33"/>
    <w:rsid w:val="007F6EE7"/>
    <w:rsid w:val="007F785E"/>
    <w:rsid w:val="007F7CEF"/>
    <w:rsid w:val="008003F4"/>
    <w:rsid w:val="00800869"/>
    <w:rsid w:val="00803CE1"/>
    <w:rsid w:val="008073A9"/>
    <w:rsid w:val="008078A9"/>
    <w:rsid w:val="00807B5A"/>
    <w:rsid w:val="00807D9E"/>
    <w:rsid w:val="00807EA3"/>
    <w:rsid w:val="00811816"/>
    <w:rsid w:val="00812E99"/>
    <w:rsid w:val="008132AB"/>
    <w:rsid w:val="00813324"/>
    <w:rsid w:val="00814535"/>
    <w:rsid w:val="00815735"/>
    <w:rsid w:val="00815AD8"/>
    <w:rsid w:val="008161C1"/>
    <w:rsid w:val="00817429"/>
    <w:rsid w:val="008203AA"/>
    <w:rsid w:val="008204F2"/>
    <w:rsid w:val="00820C08"/>
    <w:rsid w:val="00822DA1"/>
    <w:rsid w:val="00824CBF"/>
    <w:rsid w:val="00826D4E"/>
    <w:rsid w:val="0082793A"/>
    <w:rsid w:val="00827F6C"/>
    <w:rsid w:val="008312F6"/>
    <w:rsid w:val="00831970"/>
    <w:rsid w:val="008330B6"/>
    <w:rsid w:val="0083492E"/>
    <w:rsid w:val="0083E613"/>
    <w:rsid w:val="008405B7"/>
    <w:rsid w:val="0084104B"/>
    <w:rsid w:val="008422CE"/>
    <w:rsid w:val="00843018"/>
    <w:rsid w:val="00843B67"/>
    <w:rsid w:val="008446F7"/>
    <w:rsid w:val="00845B50"/>
    <w:rsid w:val="00847A2D"/>
    <w:rsid w:val="008513AD"/>
    <w:rsid w:val="00854B5E"/>
    <w:rsid w:val="00854CA9"/>
    <w:rsid w:val="00854E59"/>
    <w:rsid w:val="00856B39"/>
    <w:rsid w:val="00856EF7"/>
    <w:rsid w:val="00857148"/>
    <w:rsid w:val="008572F8"/>
    <w:rsid w:val="00857728"/>
    <w:rsid w:val="00857A5D"/>
    <w:rsid w:val="0085FBB7"/>
    <w:rsid w:val="008612FB"/>
    <w:rsid w:val="00861964"/>
    <w:rsid w:val="008619CA"/>
    <w:rsid w:val="00861F06"/>
    <w:rsid w:val="00862679"/>
    <w:rsid w:val="008644A2"/>
    <w:rsid w:val="00865514"/>
    <w:rsid w:val="00865A5C"/>
    <w:rsid w:val="008661A2"/>
    <w:rsid w:val="00866D2B"/>
    <w:rsid w:val="00867689"/>
    <w:rsid w:val="00867BF4"/>
    <w:rsid w:val="00867D81"/>
    <w:rsid w:val="00871702"/>
    <w:rsid w:val="00871E4E"/>
    <w:rsid w:val="00872B36"/>
    <w:rsid w:val="00872CB7"/>
    <w:rsid w:val="00872F25"/>
    <w:rsid w:val="008731D1"/>
    <w:rsid w:val="00873496"/>
    <w:rsid w:val="00873F34"/>
    <w:rsid w:val="00875D11"/>
    <w:rsid w:val="00881099"/>
    <w:rsid w:val="00883213"/>
    <w:rsid w:val="00883902"/>
    <w:rsid w:val="00886449"/>
    <w:rsid w:val="008873FD"/>
    <w:rsid w:val="00890E05"/>
    <w:rsid w:val="0089109E"/>
    <w:rsid w:val="00891464"/>
    <w:rsid w:val="00893A89"/>
    <w:rsid w:val="008954F8"/>
    <w:rsid w:val="00897142"/>
    <w:rsid w:val="0089727A"/>
    <w:rsid w:val="008A29B3"/>
    <w:rsid w:val="008A3035"/>
    <w:rsid w:val="008A33CC"/>
    <w:rsid w:val="008A4DFF"/>
    <w:rsid w:val="008A780B"/>
    <w:rsid w:val="008B07F5"/>
    <w:rsid w:val="008B215C"/>
    <w:rsid w:val="008B2807"/>
    <w:rsid w:val="008B2F77"/>
    <w:rsid w:val="008B3A59"/>
    <w:rsid w:val="008B4190"/>
    <w:rsid w:val="008C4B34"/>
    <w:rsid w:val="008D0F2F"/>
    <w:rsid w:val="008D1978"/>
    <w:rsid w:val="008D2315"/>
    <w:rsid w:val="008D2969"/>
    <w:rsid w:val="008D60A7"/>
    <w:rsid w:val="008D7DF5"/>
    <w:rsid w:val="008E0170"/>
    <w:rsid w:val="008E043D"/>
    <w:rsid w:val="008E42CF"/>
    <w:rsid w:val="008E4393"/>
    <w:rsid w:val="008E5A0B"/>
    <w:rsid w:val="008E637A"/>
    <w:rsid w:val="008E7075"/>
    <w:rsid w:val="008E7809"/>
    <w:rsid w:val="008E7B59"/>
    <w:rsid w:val="008E7BF7"/>
    <w:rsid w:val="008F1B8E"/>
    <w:rsid w:val="008F66D0"/>
    <w:rsid w:val="008F7577"/>
    <w:rsid w:val="009002E4"/>
    <w:rsid w:val="009008A5"/>
    <w:rsid w:val="00902767"/>
    <w:rsid w:val="00905ED7"/>
    <w:rsid w:val="00905F8B"/>
    <w:rsid w:val="00906AD9"/>
    <w:rsid w:val="0090725E"/>
    <w:rsid w:val="00910182"/>
    <w:rsid w:val="00910A47"/>
    <w:rsid w:val="0091121A"/>
    <w:rsid w:val="00911AF7"/>
    <w:rsid w:val="00915631"/>
    <w:rsid w:val="00917840"/>
    <w:rsid w:val="009213F7"/>
    <w:rsid w:val="00921589"/>
    <w:rsid w:val="009232CF"/>
    <w:rsid w:val="00923529"/>
    <w:rsid w:val="00923D7E"/>
    <w:rsid w:val="0092531E"/>
    <w:rsid w:val="00933BC9"/>
    <w:rsid w:val="009342E6"/>
    <w:rsid w:val="00935DD5"/>
    <w:rsid w:val="00936271"/>
    <w:rsid w:val="00936487"/>
    <w:rsid w:val="00936EBA"/>
    <w:rsid w:val="009370FC"/>
    <w:rsid w:val="009378D7"/>
    <w:rsid w:val="009408D5"/>
    <w:rsid w:val="00940951"/>
    <w:rsid w:val="009410EE"/>
    <w:rsid w:val="00942766"/>
    <w:rsid w:val="00942C56"/>
    <w:rsid w:val="009439F5"/>
    <w:rsid w:val="00943F3E"/>
    <w:rsid w:val="009445EB"/>
    <w:rsid w:val="00944E60"/>
    <w:rsid w:val="00946176"/>
    <w:rsid w:val="009461B1"/>
    <w:rsid w:val="009463AC"/>
    <w:rsid w:val="00946DC3"/>
    <w:rsid w:val="00946EE0"/>
    <w:rsid w:val="00947031"/>
    <w:rsid w:val="00950050"/>
    <w:rsid w:val="00951147"/>
    <w:rsid w:val="00951B87"/>
    <w:rsid w:val="0095267C"/>
    <w:rsid w:val="009531B8"/>
    <w:rsid w:val="00953585"/>
    <w:rsid w:val="0095391C"/>
    <w:rsid w:val="009548F4"/>
    <w:rsid w:val="009568B8"/>
    <w:rsid w:val="00957474"/>
    <w:rsid w:val="00957C3F"/>
    <w:rsid w:val="00957D7D"/>
    <w:rsid w:val="00957EE9"/>
    <w:rsid w:val="00960192"/>
    <w:rsid w:val="009605F3"/>
    <w:rsid w:val="00960602"/>
    <w:rsid w:val="00963644"/>
    <w:rsid w:val="009661AD"/>
    <w:rsid w:val="00966380"/>
    <w:rsid w:val="0096685B"/>
    <w:rsid w:val="00967359"/>
    <w:rsid w:val="0097057E"/>
    <w:rsid w:val="00970A78"/>
    <w:rsid w:val="0097178E"/>
    <w:rsid w:val="00972C95"/>
    <w:rsid w:val="00973582"/>
    <w:rsid w:val="00973E25"/>
    <w:rsid w:val="00974AAC"/>
    <w:rsid w:val="009753FA"/>
    <w:rsid w:val="00976BEE"/>
    <w:rsid w:val="00977793"/>
    <w:rsid w:val="009777DB"/>
    <w:rsid w:val="00980B31"/>
    <w:rsid w:val="009839C2"/>
    <w:rsid w:val="009843A9"/>
    <w:rsid w:val="00986826"/>
    <w:rsid w:val="00986958"/>
    <w:rsid w:val="0098752F"/>
    <w:rsid w:val="00987EC3"/>
    <w:rsid w:val="00991A6F"/>
    <w:rsid w:val="00992143"/>
    <w:rsid w:val="0099245F"/>
    <w:rsid w:val="00992F88"/>
    <w:rsid w:val="00993B19"/>
    <w:rsid w:val="009947A6"/>
    <w:rsid w:val="0099554D"/>
    <w:rsid w:val="00996E95"/>
    <w:rsid w:val="00997D8C"/>
    <w:rsid w:val="009A06E1"/>
    <w:rsid w:val="009A07B5"/>
    <w:rsid w:val="009A0E52"/>
    <w:rsid w:val="009A123A"/>
    <w:rsid w:val="009A4138"/>
    <w:rsid w:val="009A5867"/>
    <w:rsid w:val="009A6CA6"/>
    <w:rsid w:val="009B1FD9"/>
    <w:rsid w:val="009B2163"/>
    <w:rsid w:val="009B3356"/>
    <w:rsid w:val="009B4050"/>
    <w:rsid w:val="009B5E0F"/>
    <w:rsid w:val="009B6483"/>
    <w:rsid w:val="009B65EA"/>
    <w:rsid w:val="009BA0A4"/>
    <w:rsid w:val="009C0D92"/>
    <w:rsid w:val="009C152D"/>
    <w:rsid w:val="009C32E7"/>
    <w:rsid w:val="009C34B0"/>
    <w:rsid w:val="009C3796"/>
    <w:rsid w:val="009C41BE"/>
    <w:rsid w:val="009C4AB9"/>
    <w:rsid w:val="009C4C59"/>
    <w:rsid w:val="009C700D"/>
    <w:rsid w:val="009C7936"/>
    <w:rsid w:val="009D06B7"/>
    <w:rsid w:val="009D0F7C"/>
    <w:rsid w:val="009D128C"/>
    <w:rsid w:val="009D17ED"/>
    <w:rsid w:val="009D2625"/>
    <w:rsid w:val="009D39DE"/>
    <w:rsid w:val="009D5633"/>
    <w:rsid w:val="009E2659"/>
    <w:rsid w:val="009E3E87"/>
    <w:rsid w:val="009E4B9F"/>
    <w:rsid w:val="009E6026"/>
    <w:rsid w:val="009E7856"/>
    <w:rsid w:val="009F1852"/>
    <w:rsid w:val="009F391B"/>
    <w:rsid w:val="009F3B0A"/>
    <w:rsid w:val="009F4A60"/>
    <w:rsid w:val="009F52F6"/>
    <w:rsid w:val="009F536F"/>
    <w:rsid w:val="009F59B7"/>
    <w:rsid w:val="009F5B94"/>
    <w:rsid w:val="009F6F19"/>
    <w:rsid w:val="009F6F5A"/>
    <w:rsid w:val="009F709C"/>
    <w:rsid w:val="009F74AC"/>
    <w:rsid w:val="009F76C4"/>
    <w:rsid w:val="009F7B63"/>
    <w:rsid w:val="009F7C6D"/>
    <w:rsid w:val="00A0025B"/>
    <w:rsid w:val="00A010D9"/>
    <w:rsid w:val="00A0174C"/>
    <w:rsid w:val="00A0186C"/>
    <w:rsid w:val="00A0213C"/>
    <w:rsid w:val="00A0215B"/>
    <w:rsid w:val="00A02DEE"/>
    <w:rsid w:val="00A02F60"/>
    <w:rsid w:val="00A038CF"/>
    <w:rsid w:val="00A045AB"/>
    <w:rsid w:val="00A0517B"/>
    <w:rsid w:val="00A0634E"/>
    <w:rsid w:val="00A067BD"/>
    <w:rsid w:val="00A06CAB"/>
    <w:rsid w:val="00A06DDD"/>
    <w:rsid w:val="00A074BD"/>
    <w:rsid w:val="00A106B1"/>
    <w:rsid w:val="00A140ED"/>
    <w:rsid w:val="00A141E6"/>
    <w:rsid w:val="00A15528"/>
    <w:rsid w:val="00A15827"/>
    <w:rsid w:val="00A16D22"/>
    <w:rsid w:val="00A17A90"/>
    <w:rsid w:val="00A21445"/>
    <w:rsid w:val="00A22BBE"/>
    <w:rsid w:val="00A2586D"/>
    <w:rsid w:val="00A25951"/>
    <w:rsid w:val="00A307C2"/>
    <w:rsid w:val="00A318DC"/>
    <w:rsid w:val="00A32304"/>
    <w:rsid w:val="00A356F2"/>
    <w:rsid w:val="00A35BB8"/>
    <w:rsid w:val="00A360E9"/>
    <w:rsid w:val="00A367C0"/>
    <w:rsid w:val="00A40DB9"/>
    <w:rsid w:val="00A42C29"/>
    <w:rsid w:val="00A453A5"/>
    <w:rsid w:val="00A46845"/>
    <w:rsid w:val="00A5099A"/>
    <w:rsid w:val="00A55829"/>
    <w:rsid w:val="00A617C4"/>
    <w:rsid w:val="00A62371"/>
    <w:rsid w:val="00A65BFB"/>
    <w:rsid w:val="00A6710A"/>
    <w:rsid w:val="00A67A73"/>
    <w:rsid w:val="00A704D0"/>
    <w:rsid w:val="00A7169C"/>
    <w:rsid w:val="00A72EA7"/>
    <w:rsid w:val="00A7334B"/>
    <w:rsid w:val="00A73735"/>
    <w:rsid w:val="00A73A94"/>
    <w:rsid w:val="00A7401D"/>
    <w:rsid w:val="00A74AFB"/>
    <w:rsid w:val="00A751C6"/>
    <w:rsid w:val="00A75228"/>
    <w:rsid w:val="00A75326"/>
    <w:rsid w:val="00A75DC0"/>
    <w:rsid w:val="00A76A8B"/>
    <w:rsid w:val="00A76BD6"/>
    <w:rsid w:val="00A778A5"/>
    <w:rsid w:val="00A8056A"/>
    <w:rsid w:val="00A82C27"/>
    <w:rsid w:val="00A85A6E"/>
    <w:rsid w:val="00A85C6D"/>
    <w:rsid w:val="00A85E73"/>
    <w:rsid w:val="00A8743D"/>
    <w:rsid w:val="00A94183"/>
    <w:rsid w:val="00A95DB2"/>
    <w:rsid w:val="00A96570"/>
    <w:rsid w:val="00A97A4F"/>
    <w:rsid w:val="00A97C2C"/>
    <w:rsid w:val="00AA0382"/>
    <w:rsid w:val="00AA08AF"/>
    <w:rsid w:val="00AA0E36"/>
    <w:rsid w:val="00AA12DC"/>
    <w:rsid w:val="00AA15B6"/>
    <w:rsid w:val="00AA2234"/>
    <w:rsid w:val="00AA2304"/>
    <w:rsid w:val="00AA479D"/>
    <w:rsid w:val="00AA540A"/>
    <w:rsid w:val="00AA6657"/>
    <w:rsid w:val="00AA6A7E"/>
    <w:rsid w:val="00AA6B63"/>
    <w:rsid w:val="00AA7FFB"/>
    <w:rsid w:val="00AB00C9"/>
    <w:rsid w:val="00AB1B3C"/>
    <w:rsid w:val="00AB1EAF"/>
    <w:rsid w:val="00AB3582"/>
    <w:rsid w:val="00AB3F16"/>
    <w:rsid w:val="00AB4F8C"/>
    <w:rsid w:val="00AB534F"/>
    <w:rsid w:val="00AB66EC"/>
    <w:rsid w:val="00AC075B"/>
    <w:rsid w:val="00AC0D52"/>
    <w:rsid w:val="00AC2781"/>
    <w:rsid w:val="00AC303E"/>
    <w:rsid w:val="00AC415B"/>
    <w:rsid w:val="00AC4A50"/>
    <w:rsid w:val="00AC4B3F"/>
    <w:rsid w:val="00AC4EA3"/>
    <w:rsid w:val="00AC7C90"/>
    <w:rsid w:val="00ACEBFF"/>
    <w:rsid w:val="00AD0BF3"/>
    <w:rsid w:val="00AD0F13"/>
    <w:rsid w:val="00AD0F84"/>
    <w:rsid w:val="00AD6558"/>
    <w:rsid w:val="00AD6864"/>
    <w:rsid w:val="00AD68B8"/>
    <w:rsid w:val="00AD73AA"/>
    <w:rsid w:val="00AD7A7F"/>
    <w:rsid w:val="00AE29C3"/>
    <w:rsid w:val="00AE3188"/>
    <w:rsid w:val="00AE370E"/>
    <w:rsid w:val="00AE384F"/>
    <w:rsid w:val="00AE565A"/>
    <w:rsid w:val="00AE5CB1"/>
    <w:rsid w:val="00AE65DF"/>
    <w:rsid w:val="00AE72D1"/>
    <w:rsid w:val="00AF21B5"/>
    <w:rsid w:val="00AF4C7C"/>
    <w:rsid w:val="00AFBFB2"/>
    <w:rsid w:val="00B00BC7"/>
    <w:rsid w:val="00B01280"/>
    <w:rsid w:val="00B01A7D"/>
    <w:rsid w:val="00B031F1"/>
    <w:rsid w:val="00B03E54"/>
    <w:rsid w:val="00B04B9A"/>
    <w:rsid w:val="00B0598D"/>
    <w:rsid w:val="00B05C93"/>
    <w:rsid w:val="00B06AFC"/>
    <w:rsid w:val="00B07498"/>
    <w:rsid w:val="00B10C1D"/>
    <w:rsid w:val="00B11533"/>
    <w:rsid w:val="00B12D67"/>
    <w:rsid w:val="00B12F33"/>
    <w:rsid w:val="00B13945"/>
    <w:rsid w:val="00B145A3"/>
    <w:rsid w:val="00B1580A"/>
    <w:rsid w:val="00B15FBE"/>
    <w:rsid w:val="00B16435"/>
    <w:rsid w:val="00B16EB7"/>
    <w:rsid w:val="00B20329"/>
    <w:rsid w:val="00B20DAD"/>
    <w:rsid w:val="00B21D0E"/>
    <w:rsid w:val="00B22399"/>
    <w:rsid w:val="00B2380A"/>
    <w:rsid w:val="00B23D2E"/>
    <w:rsid w:val="00B25E9C"/>
    <w:rsid w:val="00B26C18"/>
    <w:rsid w:val="00B271F3"/>
    <w:rsid w:val="00B27C98"/>
    <w:rsid w:val="00B300E5"/>
    <w:rsid w:val="00B302F2"/>
    <w:rsid w:val="00B30384"/>
    <w:rsid w:val="00B31197"/>
    <w:rsid w:val="00B31642"/>
    <w:rsid w:val="00B319EF"/>
    <w:rsid w:val="00B31EE7"/>
    <w:rsid w:val="00B333F2"/>
    <w:rsid w:val="00B3346D"/>
    <w:rsid w:val="00B33A9A"/>
    <w:rsid w:val="00B33C8E"/>
    <w:rsid w:val="00B3553B"/>
    <w:rsid w:val="00B361E7"/>
    <w:rsid w:val="00B377E6"/>
    <w:rsid w:val="00B400E0"/>
    <w:rsid w:val="00B414C5"/>
    <w:rsid w:val="00B4171B"/>
    <w:rsid w:val="00B420C8"/>
    <w:rsid w:val="00B4275E"/>
    <w:rsid w:val="00B42779"/>
    <w:rsid w:val="00B4286F"/>
    <w:rsid w:val="00B431D4"/>
    <w:rsid w:val="00B4452B"/>
    <w:rsid w:val="00B45473"/>
    <w:rsid w:val="00B45553"/>
    <w:rsid w:val="00B458C0"/>
    <w:rsid w:val="00B45B47"/>
    <w:rsid w:val="00B45F15"/>
    <w:rsid w:val="00B50836"/>
    <w:rsid w:val="00B52124"/>
    <w:rsid w:val="00B53397"/>
    <w:rsid w:val="00B53A1C"/>
    <w:rsid w:val="00B53D9E"/>
    <w:rsid w:val="00B53EFB"/>
    <w:rsid w:val="00B549EC"/>
    <w:rsid w:val="00B5514E"/>
    <w:rsid w:val="00B55FE7"/>
    <w:rsid w:val="00B61CDB"/>
    <w:rsid w:val="00B62530"/>
    <w:rsid w:val="00B6400E"/>
    <w:rsid w:val="00B65027"/>
    <w:rsid w:val="00B66802"/>
    <w:rsid w:val="00B71529"/>
    <w:rsid w:val="00B7213F"/>
    <w:rsid w:val="00B731A4"/>
    <w:rsid w:val="00B7359F"/>
    <w:rsid w:val="00B73C75"/>
    <w:rsid w:val="00B746F1"/>
    <w:rsid w:val="00B7544F"/>
    <w:rsid w:val="00B77450"/>
    <w:rsid w:val="00B80CC2"/>
    <w:rsid w:val="00B81022"/>
    <w:rsid w:val="00B8157C"/>
    <w:rsid w:val="00B84CD0"/>
    <w:rsid w:val="00B85A72"/>
    <w:rsid w:val="00B85BD4"/>
    <w:rsid w:val="00B85D7E"/>
    <w:rsid w:val="00B87321"/>
    <w:rsid w:val="00B87580"/>
    <w:rsid w:val="00B87881"/>
    <w:rsid w:val="00B901A2"/>
    <w:rsid w:val="00B90DB7"/>
    <w:rsid w:val="00B91EA8"/>
    <w:rsid w:val="00B91EBF"/>
    <w:rsid w:val="00B92518"/>
    <w:rsid w:val="00B928D1"/>
    <w:rsid w:val="00B92C7D"/>
    <w:rsid w:val="00B944FB"/>
    <w:rsid w:val="00B94B0F"/>
    <w:rsid w:val="00B96DD6"/>
    <w:rsid w:val="00B96FF0"/>
    <w:rsid w:val="00B970D7"/>
    <w:rsid w:val="00B97ADA"/>
    <w:rsid w:val="00B97F6F"/>
    <w:rsid w:val="00BA0B92"/>
    <w:rsid w:val="00BA4102"/>
    <w:rsid w:val="00BA56B0"/>
    <w:rsid w:val="00BA7F33"/>
    <w:rsid w:val="00BB1D78"/>
    <w:rsid w:val="00BB1DAA"/>
    <w:rsid w:val="00BB2452"/>
    <w:rsid w:val="00BB4036"/>
    <w:rsid w:val="00BB5999"/>
    <w:rsid w:val="00BB5BE5"/>
    <w:rsid w:val="00BB7166"/>
    <w:rsid w:val="00BB7979"/>
    <w:rsid w:val="00BB7FD6"/>
    <w:rsid w:val="00BC079B"/>
    <w:rsid w:val="00BC11CE"/>
    <w:rsid w:val="00BC44A6"/>
    <w:rsid w:val="00BC45C4"/>
    <w:rsid w:val="00BC5EA5"/>
    <w:rsid w:val="00BC6329"/>
    <w:rsid w:val="00BC6358"/>
    <w:rsid w:val="00BC6BA5"/>
    <w:rsid w:val="00BC7657"/>
    <w:rsid w:val="00BD0039"/>
    <w:rsid w:val="00BD203A"/>
    <w:rsid w:val="00BD35AA"/>
    <w:rsid w:val="00BD5579"/>
    <w:rsid w:val="00BD5B4C"/>
    <w:rsid w:val="00BD61BF"/>
    <w:rsid w:val="00BE1401"/>
    <w:rsid w:val="00BE33A8"/>
    <w:rsid w:val="00BE48AB"/>
    <w:rsid w:val="00BE6E56"/>
    <w:rsid w:val="00BE6F43"/>
    <w:rsid w:val="00BF3DAC"/>
    <w:rsid w:val="00BF46A4"/>
    <w:rsid w:val="00BF4F32"/>
    <w:rsid w:val="00BF53BA"/>
    <w:rsid w:val="00BF5623"/>
    <w:rsid w:val="00BF564D"/>
    <w:rsid w:val="00BF5754"/>
    <w:rsid w:val="00BF5A65"/>
    <w:rsid w:val="00BF71C4"/>
    <w:rsid w:val="00BF756F"/>
    <w:rsid w:val="00C006D1"/>
    <w:rsid w:val="00C0085C"/>
    <w:rsid w:val="00C0153C"/>
    <w:rsid w:val="00C048F7"/>
    <w:rsid w:val="00C0520B"/>
    <w:rsid w:val="00C057F8"/>
    <w:rsid w:val="00C0707D"/>
    <w:rsid w:val="00C101E8"/>
    <w:rsid w:val="00C104F4"/>
    <w:rsid w:val="00C12AC1"/>
    <w:rsid w:val="00C15647"/>
    <w:rsid w:val="00C15FFB"/>
    <w:rsid w:val="00C16EE4"/>
    <w:rsid w:val="00C2115E"/>
    <w:rsid w:val="00C21824"/>
    <w:rsid w:val="00C2550E"/>
    <w:rsid w:val="00C271C0"/>
    <w:rsid w:val="00C272D5"/>
    <w:rsid w:val="00C3044E"/>
    <w:rsid w:val="00C31647"/>
    <w:rsid w:val="00C316D2"/>
    <w:rsid w:val="00C31AE2"/>
    <w:rsid w:val="00C31DFC"/>
    <w:rsid w:val="00C31F44"/>
    <w:rsid w:val="00C31F73"/>
    <w:rsid w:val="00C32603"/>
    <w:rsid w:val="00C34417"/>
    <w:rsid w:val="00C351E9"/>
    <w:rsid w:val="00C35D82"/>
    <w:rsid w:val="00C36198"/>
    <w:rsid w:val="00C36DEF"/>
    <w:rsid w:val="00C40C14"/>
    <w:rsid w:val="00C427D7"/>
    <w:rsid w:val="00C43196"/>
    <w:rsid w:val="00C432F0"/>
    <w:rsid w:val="00C433F3"/>
    <w:rsid w:val="00C43575"/>
    <w:rsid w:val="00C44371"/>
    <w:rsid w:val="00C44482"/>
    <w:rsid w:val="00C44FEB"/>
    <w:rsid w:val="00C45888"/>
    <w:rsid w:val="00C45916"/>
    <w:rsid w:val="00C47507"/>
    <w:rsid w:val="00C47E90"/>
    <w:rsid w:val="00C50B2F"/>
    <w:rsid w:val="00C53C4B"/>
    <w:rsid w:val="00C53EFD"/>
    <w:rsid w:val="00C54BDA"/>
    <w:rsid w:val="00C54DBB"/>
    <w:rsid w:val="00C54EC7"/>
    <w:rsid w:val="00C567AF"/>
    <w:rsid w:val="00C57226"/>
    <w:rsid w:val="00C57DD9"/>
    <w:rsid w:val="00C61583"/>
    <w:rsid w:val="00C61598"/>
    <w:rsid w:val="00C61E58"/>
    <w:rsid w:val="00C629DF"/>
    <w:rsid w:val="00C649F2"/>
    <w:rsid w:val="00C65548"/>
    <w:rsid w:val="00C7182C"/>
    <w:rsid w:val="00C72CD9"/>
    <w:rsid w:val="00C74EF4"/>
    <w:rsid w:val="00C755B1"/>
    <w:rsid w:val="00C766BF"/>
    <w:rsid w:val="00C77CC7"/>
    <w:rsid w:val="00C77D8A"/>
    <w:rsid w:val="00C77E18"/>
    <w:rsid w:val="00C80693"/>
    <w:rsid w:val="00C863F6"/>
    <w:rsid w:val="00C86831"/>
    <w:rsid w:val="00C90640"/>
    <w:rsid w:val="00C922E9"/>
    <w:rsid w:val="00C92A4F"/>
    <w:rsid w:val="00C96E6A"/>
    <w:rsid w:val="00CA0176"/>
    <w:rsid w:val="00CA3C88"/>
    <w:rsid w:val="00CA4563"/>
    <w:rsid w:val="00CA4EC7"/>
    <w:rsid w:val="00CA5767"/>
    <w:rsid w:val="00CB0E44"/>
    <w:rsid w:val="00CB15D6"/>
    <w:rsid w:val="00CB2519"/>
    <w:rsid w:val="00CB36D2"/>
    <w:rsid w:val="00CB4612"/>
    <w:rsid w:val="00CB6BB2"/>
    <w:rsid w:val="00CB6DF9"/>
    <w:rsid w:val="00CB75A1"/>
    <w:rsid w:val="00CC03C5"/>
    <w:rsid w:val="00CC046C"/>
    <w:rsid w:val="00CC2114"/>
    <w:rsid w:val="00CC2158"/>
    <w:rsid w:val="00CC2B76"/>
    <w:rsid w:val="00CC5291"/>
    <w:rsid w:val="00CC7C6C"/>
    <w:rsid w:val="00CD15F3"/>
    <w:rsid w:val="00CD26DB"/>
    <w:rsid w:val="00CD289B"/>
    <w:rsid w:val="00CD2B7E"/>
    <w:rsid w:val="00CD35C2"/>
    <w:rsid w:val="00CD4228"/>
    <w:rsid w:val="00CD706A"/>
    <w:rsid w:val="00CE121E"/>
    <w:rsid w:val="00CE1733"/>
    <w:rsid w:val="00CE5AED"/>
    <w:rsid w:val="00CE5FA7"/>
    <w:rsid w:val="00CE6C24"/>
    <w:rsid w:val="00CE6E9D"/>
    <w:rsid w:val="00CE7AFA"/>
    <w:rsid w:val="00CF0306"/>
    <w:rsid w:val="00CF1D0D"/>
    <w:rsid w:val="00CF1E08"/>
    <w:rsid w:val="00CF3288"/>
    <w:rsid w:val="00CF3951"/>
    <w:rsid w:val="00CF438C"/>
    <w:rsid w:val="00CF4D8F"/>
    <w:rsid w:val="00CF5BA6"/>
    <w:rsid w:val="00CF68F6"/>
    <w:rsid w:val="00D00A1D"/>
    <w:rsid w:val="00D00D50"/>
    <w:rsid w:val="00D0145B"/>
    <w:rsid w:val="00D0195F"/>
    <w:rsid w:val="00D02063"/>
    <w:rsid w:val="00D021BB"/>
    <w:rsid w:val="00D04E2D"/>
    <w:rsid w:val="00D05C84"/>
    <w:rsid w:val="00D06472"/>
    <w:rsid w:val="00D12A17"/>
    <w:rsid w:val="00D164C5"/>
    <w:rsid w:val="00D17BB3"/>
    <w:rsid w:val="00D21A11"/>
    <w:rsid w:val="00D230A1"/>
    <w:rsid w:val="00D24B88"/>
    <w:rsid w:val="00D25C01"/>
    <w:rsid w:val="00D26A15"/>
    <w:rsid w:val="00D31F12"/>
    <w:rsid w:val="00D32C30"/>
    <w:rsid w:val="00D33B8C"/>
    <w:rsid w:val="00D34EAF"/>
    <w:rsid w:val="00D3593C"/>
    <w:rsid w:val="00D35C56"/>
    <w:rsid w:val="00D35E58"/>
    <w:rsid w:val="00D3661F"/>
    <w:rsid w:val="00D371F1"/>
    <w:rsid w:val="00D40D7E"/>
    <w:rsid w:val="00D40EE5"/>
    <w:rsid w:val="00D4155B"/>
    <w:rsid w:val="00D41D33"/>
    <w:rsid w:val="00D438FE"/>
    <w:rsid w:val="00D471DB"/>
    <w:rsid w:val="00D471DD"/>
    <w:rsid w:val="00D475BF"/>
    <w:rsid w:val="00D47915"/>
    <w:rsid w:val="00D50B71"/>
    <w:rsid w:val="00D52709"/>
    <w:rsid w:val="00D54ABC"/>
    <w:rsid w:val="00D54B0E"/>
    <w:rsid w:val="00D54F98"/>
    <w:rsid w:val="00D56DD2"/>
    <w:rsid w:val="00D573B7"/>
    <w:rsid w:val="00D5781E"/>
    <w:rsid w:val="00D57F1F"/>
    <w:rsid w:val="00D61082"/>
    <w:rsid w:val="00D61C2B"/>
    <w:rsid w:val="00D62257"/>
    <w:rsid w:val="00D63020"/>
    <w:rsid w:val="00D631B8"/>
    <w:rsid w:val="00D63B06"/>
    <w:rsid w:val="00D651A0"/>
    <w:rsid w:val="00D667E7"/>
    <w:rsid w:val="00D66BA6"/>
    <w:rsid w:val="00D6746A"/>
    <w:rsid w:val="00D67B89"/>
    <w:rsid w:val="00D67BEB"/>
    <w:rsid w:val="00D71409"/>
    <w:rsid w:val="00D72319"/>
    <w:rsid w:val="00D72E10"/>
    <w:rsid w:val="00D731EE"/>
    <w:rsid w:val="00D734E0"/>
    <w:rsid w:val="00D75BD1"/>
    <w:rsid w:val="00D77145"/>
    <w:rsid w:val="00D81AD4"/>
    <w:rsid w:val="00D82B49"/>
    <w:rsid w:val="00D839FD"/>
    <w:rsid w:val="00D83CAC"/>
    <w:rsid w:val="00D8497E"/>
    <w:rsid w:val="00D860CA"/>
    <w:rsid w:val="00D86EA9"/>
    <w:rsid w:val="00D91CAB"/>
    <w:rsid w:val="00D93056"/>
    <w:rsid w:val="00D937DD"/>
    <w:rsid w:val="00D93E10"/>
    <w:rsid w:val="00D93EB3"/>
    <w:rsid w:val="00D94D00"/>
    <w:rsid w:val="00D95501"/>
    <w:rsid w:val="00D95E6A"/>
    <w:rsid w:val="00D95E98"/>
    <w:rsid w:val="00D96F48"/>
    <w:rsid w:val="00D97101"/>
    <w:rsid w:val="00D97B7D"/>
    <w:rsid w:val="00DA05FE"/>
    <w:rsid w:val="00DA0F41"/>
    <w:rsid w:val="00DA1584"/>
    <w:rsid w:val="00DA1D1C"/>
    <w:rsid w:val="00DA2278"/>
    <w:rsid w:val="00DA2B48"/>
    <w:rsid w:val="00DA2C21"/>
    <w:rsid w:val="00DA344A"/>
    <w:rsid w:val="00DA3473"/>
    <w:rsid w:val="00DA42E9"/>
    <w:rsid w:val="00DA65FC"/>
    <w:rsid w:val="00DA78C5"/>
    <w:rsid w:val="00DB00E2"/>
    <w:rsid w:val="00DB0813"/>
    <w:rsid w:val="00DB2AA6"/>
    <w:rsid w:val="00DB4D29"/>
    <w:rsid w:val="00DB65DD"/>
    <w:rsid w:val="00DB706E"/>
    <w:rsid w:val="00DB764B"/>
    <w:rsid w:val="00DC286C"/>
    <w:rsid w:val="00DC3E40"/>
    <w:rsid w:val="00DC57F2"/>
    <w:rsid w:val="00DC5F3D"/>
    <w:rsid w:val="00DD214A"/>
    <w:rsid w:val="00DD2533"/>
    <w:rsid w:val="00DD30AF"/>
    <w:rsid w:val="00DD386D"/>
    <w:rsid w:val="00DD42C0"/>
    <w:rsid w:val="00DD5D65"/>
    <w:rsid w:val="00DD6686"/>
    <w:rsid w:val="00DD7036"/>
    <w:rsid w:val="00DD78A5"/>
    <w:rsid w:val="00DD7D3A"/>
    <w:rsid w:val="00DE122C"/>
    <w:rsid w:val="00DE41AE"/>
    <w:rsid w:val="00DE4588"/>
    <w:rsid w:val="00DE5536"/>
    <w:rsid w:val="00DE5ADD"/>
    <w:rsid w:val="00DE7896"/>
    <w:rsid w:val="00DE7D5B"/>
    <w:rsid w:val="00DF0095"/>
    <w:rsid w:val="00DF1E02"/>
    <w:rsid w:val="00DF2756"/>
    <w:rsid w:val="00DF2C8E"/>
    <w:rsid w:val="00DF462E"/>
    <w:rsid w:val="00DF4A06"/>
    <w:rsid w:val="00DF4F77"/>
    <w:rsid w:val="00DF6E10"/>
    <w:rsid w:val="00DF6F09"/>
    <w:rsid w:val="00DF7194"/>
    <w:rsid w:val="00DF7F0D"/>
    <w:rsid w:val="00E00655"/>
    <w:rsid w:val="00E00B2D"/>
    <w:rsid w:val="00E012F0"/>
    <w:rsid w:val="00E04919"/>
    <w:rsid w:val="00E064DA"/>
    <w:rsid w:val="00E06529"/>
    <w:rsid w:val="00E071ED"/>
    <w:rsid w:val="00E1003D"/>
    <w:rsid w:val="00E10F40"/>
    <w:rsid w:val="00E11171"/>
    <w:rsid w:val="00E112BD"/>
    <w:rsid w:val="00E1143E"/>
    <w:rsid w:val="00E12065"/>
    <w:rsid w:val="00E13C20"/>
    <w:rsid w:val="00E14980"/>
    <w:rsid w:val="00E1705D"/>
    <w:rsid w:val="00E171E2"/>
    <w:rsid w:val="00E17210"/>
    <w:rsid w:val="00E20FF2"/>
    <w:rsid w:val="00E219D8"/>
    <w:rsid w:val="00E21ABB"/>
    <w:rsid w:val="00E22C91"/>
    <w:rsid w:val="00E25B04"/>
    <w:rsid w:val="00E27045"/>
    <w:rsid w:val="00E279BE"/>
    <w:rsid w:val="00E27A73"/>
    <w:rsid w:val="00E3068B"/>
    <w:rsid w:val="00E34560"/>
    <w:rsid w:val="00E3469C"/>
    <w:rsid w:val="00E35762"/>
    <w:rsid w:val="00E36E42"/>
    <w:rsid w:val="00E37594"/>
    <w:rsid w:val="00E376FE"/>
    <w:rsid w:val="00E37C38"/>
    <w:rsid w:val="00E40855"/>
    <w:rsid w:val="00E420FF"/>
    <w:rsid w:val="00E42FFA"/>
    <w:rsid w:val="00E5133C"/>
    <w:rsid w:val="00E52F6D"/>
    <w:rsid w:val="00E56F2C"/>
    <w:rsid w:val="00E615EA"/>
    <w:rsid w:val="00E617B9"/>
    <w:rsid w:val="00E629C3"/>
    <w:rsid w:val="00E63192"/>
    <w:rsid w:val="00E642EB"/>
    <w:rsid w:val="00E66348"/>
    <w:rsid w:val="00E73245"/>
    <w:rsid w:val="00E73C24"/>
    <w:rsid w:val="00E75CC6"/>
    <w:rsid w:val="00E76C6A"/>
    <w:rsid w:val="00E77D96"/>
    <w:rsid w:val="00E77F76"/>
    <w:rsid w:val="00E80EA6"/>
    <w:rsid w:val="00E817AD"/>
    <w:rsid w:val="00E82744"/>
    <w:rsid w:val="00E828A3"/>
    <w:rsid w:val="00E841D1"/>
    <w:rsid w:val="00E8508F"/>
    <w:rsid w:val="00E85D41"/>
    <w:rsid w:val="00E861A6"/>
    <w:rsid w:val="00E8762B"/>
    <w:rsid w:val="00E87AA7"/>
    <w:rsid w:val="00E9078B"/>
    <w:rsid w:val="00E91954"/>
    <w:rsid w:val="00E9323A"/>
    <w:rsid w:val="00E9327B"/>
    <w:rsid w:val="00E94559"/>
    <w:rsid w:val="00E9515F"/>
    <w:rsid w:val="00E95A81"/>
    <w:rsid w:val="00E966E3"/>
    <w:rsid w:val="00E96B1A"/>
    <w:rsid w:val="00EA09A0"/>
    <w:rsid w:val="00EA1A66"/>
    <w:rsid w:val="00EA2604"/>
    <w:rsid w:val="00EA2C5A"/>
    <w:rsid w:val="00EA41D8"/>
    <w:rsid w:val="00EA43E0"/>
    <w:rsid w:val="00EA542E"/>
    <w:rsid w:val="00EA5700"/>
    <w:rsid w:val="00EA7E9B"/>
    <w:rsid w:val="00EB02A0"/>
    <w:rsid w:val="00EB0415"/>
    <w:rsid w:val="00EB2A0B"/>
    <w:rsid w:val="00EB3044"/>
    <w:rsid w:val="00EB43F3"/>
    <w:rsid w:val="00EB4785"/>
    <w:rsid w:val="00EB6386"/>
    <w:rsid w:val="00EB655E"/>
    <w:rsid w:val="00EB7B06"/>
    <w:rsid w:val="00EC0EF6"/>
    <w:rsid w:val="00EC17EE"/>
    <w:rsid w:val="00EC1AAE"/>
    <w:rsid w:val="00EC1CF3"/>
    <w:rsid w:val="00EC40F0"/>
    <w:rsid w:val="00EC4996"/>
    <w:rsid w:val="00EC53A0"/>
    <w:rsid w:val="00EC5B33"/>
    <w:rsid w:val="00EC65B6"/>
    <w:rsid w:val="00EC6B28"/>
    <w:rsid w:val="00ED06EB"/>
    <w:rsid w:val="00ED17A2"/>
    <w:rsid w:val="00ED25CD"/>
    <w:rsid w:val="00ED2D42"/>
    <w:rsid w:val="00ED2E95"/>
    <w:rsid w:val="00ED67DC"/>
    <w:rsid w:val="00ED6CBF"/>
    <w:rsid w:val="00EE5CC7"/>
    <w:rsid w:val="00EE730D"/>
    <w:rsid w:val="00EE77D8"/>
    <w:rsid w:val="00EF0049"/>
    <w:rsid w:val="00EF05A6"/>
    <w:rsid w:val="00EF0983"/>
    <w:rsid w:val="00EF2A7B"/>
    <w:rsid w:val="00EF54AD"/>
    <w:rsid w:val="00EF5CE3"/>
    <w:rsid w:val="00EF7A23"/>
    <w:rsid w:val="00F0008F"/>
    <w:rsid w:val="00F008FD"/>
    <w:rsid w:val="00F00913"/>
    <w:rsid w:val="00F00B0A"/>
    <w:rsid w:val="00F00F15"/>
    <w:rsid w:val="00F022B3"/>
    <w:rsid w:val="00F049E8"/>
    <w:rsid w:val="00F0500C"/>
    <w:rsid w:val="00F05B8D"/>
    <w:rsid w:val="00F06AA8"/>
    <w:rsid w:val="00F06BCF"/>
    <w:rsid w:val="00F121E1"/>
    <w:rsid w:val="00F14E61"/>
    <w:rsid w:val="00F17973"/>
    <w:rsid w:val="00F17BA5"/>
    <w:rsid w:val="00F20347"/>
    <w:rsid w:val="00F2185B"/>
    <w:rsid w:val="00F22E17"/>
    <w:rsid w:val="00F235EF"/>
    <w:rsid w:val="00F23663"/>
    <w:rsid w:val="00F23D94"/>
    <w:rsid w:val="00F23FEC"/>
    <w:rsid w:val="00F2468D"/>
    <w:rsid w:val="00F25880"/>
    <w:rsid w:val="00F2712E"/>
    <w:rsid w:val="00F320E6"/>
    <w:rsid w:val="00F32554"/>
    <w:rsid w:val="00F33A37"/>
    <w:rsid w:val="00F345D5"/>
    <w:rsid w:val="00F34F50"/>
    <w:rsid w:val="00F35018"/>
    <w:rsid w:val="00F357C8"/>
    <w:rsid w:val="00F37E7B"/>
    <w:rsid w:val="00F37EC8"/>
    <w:rsid w:val="00F40598"/>
    <w:rsid w:val="00F43C85"/>
    <w:rsid w:val="00F446E3"/>
    <w:rsid w:val="00F446FA"/>
    <w:rsid w:val="00F45E42"/>
    <w:rsid w:val="00F47068"/>
    <w:rsid w:val="00F4773F"/>
    <w:rsid w:val="00F52F48"/>
    <w:rsid w:val="00F53395"/>
    <w:rsid w:val="00F54A63"/>
    <w:rsid w:val="00F55A75"/>
    <w:rsid w:val="00F576DF"/>
    <w:rsid w:val="00F57838"/>
    <w:rsid w:val="00F57ACA"/>
    <w:rsid w:val="00F6123C"/>
    <w:rsid w:val="00F6143F"/>
    <w:rsid w:val="00F65E62"/>
    <w:rsid w:val="00F66F6F"/>
    <w:rsid w:val="00F671EE"/>
    <w:rsid w:val="00F70127"/>
    <w:rsid w:val="00F712A4"/>
    <w:rsid w:val="00F715F6"/>
    <w:rsid w:val="00F716E7"/>
    <w:rsid w:val="00F7197F"/>
    <w:rsid w:val="00F72AE2"/>
    <w:rsid w:val="00F73920"/>
    <w:rsid w:val="00F73B74"/>
    <w:rsid w:val="00F7494C"/>
    <w:rsid w:val="00F75A48"/>
    <w:rsid w:val="00F75AB4"/>
    <w:rsid w:val="00F76111"/>
    <w:rsid w:val="00F76279"/>
    <w:rsid w:val="00F7720F"/>
    <w:rsid w:val="00F77C3D"/>
    <w:rsid w:val="00F80263"/>
    <w:rsid w:val="00F84E3A"/>
    <w:rsid w:val="00F84EDB"/>
    <w:rsid w:val="00F857EA"/>
    <w:rsid w:val="00F862B5"/>
    <w:rsid w:val="00F87288"/>
    <w:rsid w:val="00F8731D"/>
    <w:rsid w:val="00F87453"/>
    <w:rsid w:val="00F91B3A"/>
    <w:rsid w:val="00F93D26"/>
    <w:rsid w:val="00F94053"/>
    <w:rsid w:val="00F94CA4"/>
    <w:rsid w:val="00F9563A"/>
    <w:rsid w:val="00F95A1A"/>
    <w:rsid w:val="00F95EEE"/>
    <w:rsid w:val="00F96F88"/>
    <w:rsid w:val="00FA0BA4"/>
    <w:rsid w:val="00FA1409"/>
    <w:rsid w:val="00FA301B"/>
    <w:rsid w:val="00FA38E7"/>
    <w:rsid w:val="00FA5A23"/>
    <w:rsid w:val="00FA60CA"/>
    <w:rsid w:val="00FA71FF"/>
    <w:rsid w:val="00FA73E7"/>
    <w:rsid w:val="00FB12BF"/>
    <w:rsid w:val="00FB4F4F"/>
    <w:rsid w:val="00FC0547"/>
    <w:rsid w:val="00FC0D87"/>
    <w:rsid w:val="00FC2841"/>
    <w:rsid w:val="00FC4EF2"/>
    <w:rsid w:val="00FC670A"/>
    <w:rsid w:val="00FD0D7A"/>
    <w:rsid w:val="00FD30DB"/>
    <w:rsid w:val="00FD39F8"/>
    <w:rsid w:val="00FD3C90"/>
    <w:rsid w:val="00FD404B"/>
    <w:rsid w:val="00FD5BA5"/>
    <w:rsid w:val="00FD64F6"/>
    <w:rsid w:val="00FD716C"/>
    <w:rsid w:val="00FD7265"/>
    <w:rsid w:val="00FE0BC9"/>
    <w:rsid w:val="00FE0CB0"/>
    <w:rsid w:val="00FE1FFE"/>
    <w:rsid w:val="00FE4B10"/>
    <w:rsid w:val="00FE4D0D"/>
    <w:rsid w:val="00FE6A3B"/>
    <w:rsid w:val="00FE79A8"/>
    <w:rsid w:val="00FF18C7"/>
    <w:rsid w:val="00FF39A4"/>
    <w:rsid w:val="00FF4130"/>
    <w:rsid w:val="00FF4819"/>
    <w:rsid w:val="00FF50D0"/>
    <w:rsid w:val="00FF53C8"/>
    <w:rsid w:val="00FF5953"/>
    <w:rsid w:val="00FF5A97"/>
    <w:rsid w:val="00FF6102"/>
    <w:rsid w:val="00FF6766"/>
    <w:rsid w:val="00FF71B6"/>
    <w:rsid w:val="00FF7FCF"/>
    <w:rsid w:val="010012C2"/>
    <w:rsid w:val="011671AB"/>
    <w:rsid w:val="0124CD19"/>
    <w:rsid w:val="012EF5D2"/>
    <w:rsid w:val="0132DAD5"/>
    <w:rsid w:val="013323FF"/>
    <w:rsid w:val="013800EA"/>
    <w:rsid w:val="014C3172"/>
    <w:rsid w:val="015789E1"/>
    <w:rsid w:val="01612DC7"/>
    <w:rsid w:val="01713879"/>
    <w:rsid w:val="0177C537"/>
    <w:rsid w:val="019912A4"/>
    <w:rsid w:val="019A971B"/>
    <w:rsid w:val="019BE18B"/>
    <w:rsid w:val="019D6253"/>
    <w:rsid w:val="01AD5C39"/>
    <w:rsid w:val="01B7CE03"/>
    <w:rsid w:val="01B8F950"/>
    <w:rsid w:val="01B9F400"/>
    <w:rsid w:val="01BE3A5B"/>
    <w:rsid w:val="01C427D9"/>
    <w:rsid w:val="01C516CE"/>
    <w:rsid w:val="01C893BB"/>
    <w:rsid w:val="01CFF62B"/>
    <w:rsid w:val="01D75ADD"/>
    <w:rsid w:val="01DA6074"/>
    <w:rsid w:val="01E34E48"/>
    <w:rsid w:val="01ECF333"/>
    <w:rsid w:val="01EDC2F8"/>
    <w:rsid w:val="01F18BE3"/>
    <w:rsid w:val="01F3FD48"/>
    <w:rsid w:val="01F44FCF"/>
    <w:rsid w:val="01FA6DD7"/>
    <w:rsid w:val="0202A90C"/>
    <w:rsid w:val="021140B4"/>
    <w:rsid w:val="02302D19"/>
    <w:rsid w:val="0236651F"/>
    <w:rsid w:val="0237EF86"/>
    <w:rsid w:val="0258AF6E"/>
    <w:rsid w:val="02591996"/>
    <w:rsid w:val="025AB0DD"/>
    <w:rsid w:val="026B3EF8"/>
    <w:rsid w:val="0277F1F8"/>
    <w:rsid w:val="0278F438"/>
    <w:rsid w:val="027A0323"/>
    <w:rsid w:val="028090EB"/>
    <w:rsid w:val="02870D0E"/>
    <w:rsid w:val="02888166"/>
    <w:rsid w:val="028B4494"/>
    <w:rsid w:val="02A5212A"/>
    <w:rsid w:val="02B398CE"/>
    <w:rsid w:val="02B5D624"/>
    <w:rsid w:val="02B76670"/>
    <w:rsid w:val="02B8DB31"/>
    <w:rsid w:val="02C05AED"/>
    <w:rsid w:val="02C0C5D9"/>
    <w:rsid w:val="02C5521B"/>
    <w:rsid w:val="02DC5122"/>
    <w:rsid w:val="02EDB05C"/>
    <w:rsid w:val="02F9C0F7"/>
    <w:rsid w:val="02FF76C1"/>
    <w:rsid w:val="030093C2"/>
    <w:rsid w:val="0306C4BC"/>
    <w:rsid w:val="0309693E"/>
    <w:rsid w:val="030E3B6A"/>
    <w:rsid w:val="03151127"/>
    <w:rsid w:val="03188C39"/>
    <w:rsid w:val="0335A195"/>
    <w:rsid w:val="033B2D42"/>
    <w:rsid w:val="033B9F1A"/>
    <w:rsid w:val="034544F5"/>
    <w:rsid w:val="0345C484"/>
    <w:rsid w:val="0347D25B"/>
    <w:rsid w:val="034BCDF2"/>
    <w:rsid w:val="034C1BE5"/>
    <w:rsid w:val="034F3249"/>
    <w:rsid w:val="03738BC7"/>
    <w:rsid w:val="03765F4F"/>
    <w:rsid w:val="037C099A"/>
    <w:rsid w:val="0387E187"/>
    <w:rsid w:val="03A07919"/>
    <w:rsid w:val="03A3AD3B"/>
    <w:rsid w:val="03A3E503"/>
    <w:rsid w:val="03AB1108"/>
    <w:rsid w:val="03B211C5"/>
    <w:rsid w:val="03BF6F39"/>
    <w:rsid w:val="03C0E60B"/>
    <w:rsid w:val="03C12EBE"/>
    <w:rsid w:val="03C72162"/>
    <w:rsid w:val="03C9BCC8"/>
    <w:rsid w:val="03E03252"/>
    <w:rsid w:val="03E03EE3"/>
    <w:rsid w:val="03E0D8B8"/>
    <w:rsid w:val="03E17F97"/>
    <w:rsid w:val="03E3F3A8"/>
    <w:rsid w:val="03FE8A4E"/>
    <w:rsid w:val="0416B7B2"/>
    <w:rsid w:val="0421604F"/>
    <w:rsid w:val="04327102"/>
    <w:rsid w:val="04342D7E"/>
    <w:rsid w:val="043BB783"/>
    <w:rsid w:val="043F1077"/>
    <w:rsid w:val="0441C828"/>
    <w:rsid w:val="044CA903"/>
    <w:rsid w:val="044EB603"/>
    <w:rsid w:val="045BA480"/>
    <w:rsid w:val="0461BE4D"/>
    <w:rsid w:val="0476E83D"/>
    <w:rsid w:val="048119D1"/>
    <w:rsid w:val="048376FE"/>
    <w:rsid w:val="048E9E2B"/>
    <w:rsid w:val="048FD0BF"/>
    <w:rsid w:val="04926A58"/>
    <w:rsid w:val="04930184"/>
    <w:rsid w:val="04AF1550"/>
    <w:rsid w:val="04B89005"/>
    <w:rsid w:val="04C4D982"/>
    <w:rsid w:val="04D1F035"/>
    <w:rsid w:val="04D8B533"/>
    <w:rsid w:val="04DD39D2"/>
    <w:rsid w:val="04E19640"/>
    <w:rsid w:val="04EF8041"/>
    <w:rsid w:val="04F474AA"/>
    <w:rsid w:val="04FFA379"/>
    <w:rsid w:val="0514329E"/>
    <w:rsid w:val="051DF582"/>
    <w:rsid w:val="05220698"/>
    <w:rsid w:val="052B87D8"/>
    <w:rsid w:val="05371E89"/>
    <w:rsid w:val="053F0CA0"/>
    <w:rsid w:val="05414AE6"/>
    <w:rsid w:val="05466C08"/>
    <w:rsid w:val="054E00F4"/>
    <w:rsid w:val="054FD621"/>
    <w:rsid w:val="05555277"/>
    <w:rsid w:val="0563290E"/>
    <w:rsid w:val="056B006C"/>
    <w:rsid w:val="056B0148"/>
    <w:rsid w:val="05714CEA"/>
    <w:rsid w:val="0585AE94"/>
    <w:rsid w:val="058B30B9"/>
    <w:rsid w:val="05927CB8"/>
    <w:rsid w:val="0599A9FC"/>
    <w:rsid w:val="05AD93D1"/>
    <w:rsid w:val="05AF8235"/>
    <w:rsid w:val="05B0D774"/>
    <w:rsid w:val="05B12528"/>
    <w:rsid w:val="05B26093"/>
    <w:rsid w:val="05B27D4F"/>
    <w:rsid w:val="05B35231"/>
    <w:rsid w:val="05B71A9F"/>
    <w:rsid w:val="05B8DB78"/>
    <w:rsid w:val="05BF0B27"/>
    <w:rsid w:val="05C0256C"/>
    <w:rsid w:val="05C0B715"/>
    <w:rsid w:val="05C1F146"/>
    <w:rsid w:val="05D67821"/>
    <w:rsid w:val="05F02A81"/>
    <w:rsid w:val="060D2197"/>
    <w:rsid w:val="06243FD1"/>
    <w:rsid w:val="0630D13A"/>
    <w:rsid w:val="06313695"/>
    <w:rsid w:val="0633C337"/>
    <w:rsid w:val="063537B1"/>
    <w:rsid w:val="06383A42"/>
    <w:rsid w:val="0645A2F6"/>
    <w:rsid w:val="064E788A"/>
    <w:rsid w:val="065473AC"/>
    <w:rsid w:val="065E9BE7"/>
    <w:rsid w:val="0673F949"/>
    <w:rsid w:val="0686A0C1"/>
    <w:rsid w:val="0699BFAF"/>
    <w:rsid w:val="069F680A"/>
    <w:rsid w:val="06A358D9"/>
    <w:rsid w:val="06A3C928"/>
    <w:rsid w:val="06A75519"/>
    <w:rsid w:val="06B8DC0D"/>
    <w:rsid w:val="06D2F1C1"/>
    <w:rsid w:val="06D79E87"/>
    <w:rsid w:val="06F385C3"/>
    <w:rsid w:val="06F71881"/>
    <w:rsid w:val="06F99365"/>
    <w:rsid w:val="0701099E"/>
    <w:rsid w:val="0703147B"/>
    <w:rsid w:val="070BDCFA"/>
    <w:rsid w:val="071D188F"/>
    <w:rsid w:val="07205540"/>
    <w:rsid w:val="072A0602"/>
    <w:rsid w:val="072F2B0C"/>
    <w:rsid w:val="075637F7"/>
    <w:rsid w:val="07587931"/>
    <w:rsid w:val="075A26FE"/>
    <w:rsid w:val="075FAC71"/>
    <w:rsid w:val="076056DB"/>
    <w:rsid w:val="076D43FA"/>
    <w:rsid w:val="076DD1D0"/>
    <w:rsid w:val="076E531E"/>
    <w:rsid w:val="078DA559"/>
    <w:rsid w:val="07996353"/>
    <w:rsid w:val="07A7D1CF"/>
    <w:rsid w:val="07AE4C5C"/>
    <w:rsid w:val="07B4F43D"/>
    <w:rsid w:val="07C2C941"/>
    <w:rsid w:val="07C30FA2"/>
    <w:rsid w:val="07CB5C2D"/>
    <w:rsid w:val="07CBB9B1"/>
    <w:rsid w:val="07D73799"/>
    <w:rsid w:val="07E49689"/>
    <w:rsid w:val="07E65AF2"/>
    <w:rsid w:val="07F03C11"/>
    <w:rsid w:val="07F41B33"/>
    <w:rsid w:val="07F4DD07"/>
    <w:rsid w:val="07FC95EB"/>
    <w:rsid w:val="08062559"/>
    <w:rsid w:val="081AAF66"/>
    <w:rsid w:val="08239313"/>
    <w:rsid w:val="082F7B1A"/>
    <w:rsid w:val="08327E88"/>
    <w:rsid w:val="083645CC"/>
    <w:rsid w:val="083ABC2A"/>
    <w:rsid w:val="08647517"/>
    <w:rsid w:val="0864E958"/>
    <w:rsid w:val="086C5B18"/>
    <w:rsid w:val="086E51A6"/>
    <w:rsid w:val="086FA33E"/>
    <w:rsid w:val="0877A1FB"/>
    <w:rsid w:val="087A7731"/>
    <w:rsid w:val="088BAF70"/>
    <w:rsid w:val="08AD375B"/>
    <w:rsid w:val="08BD9BD7"/>
    <w:rsid w:val="08C2AA18"/>
    <w:rsid w:val="08CC0004"/>
    <w:rsid w:val="08CC7AB2"/>
    <w:rsid w:val="08D3C50B"/>
    <w:rsid w:val="08DF6E30"/>
    <w:rsid w:val="08E0EF11"/>
    <w:rsid w:val="08E0F303"/>
    <w:rsid w:val="0901193B"/>
    <w:rsid w:val="091054FB"/>
    <w:rsid w:val="09152F3D"/>
    <w:rsid w:val="09194971"/>
    <w:rsid w:val="091BD414"/>
    <w:rsid w:val="091F6D26"/>
    <w:rsid w:val="091F8CE5"/>
    <w:rsid w:val="09244F7D"/>
    <w:rsid w:val="092E1443"/>
    <w:rsid w:val="09316747"/>
    <w:rsid w:val="0936D874"/>
    <w:rsid w:val="09446D42"/>
    <w:rsid w:val="094AA75E"/>
    <w:rsid w:val="098100E7"/>
    <w:rsid w:val="09898913"/>
    <w:rsid w:val="0990E8BF"/>
    <w:rsid w:val="0993AB4A"/>
    <w:rsid w:val="09A0CB68"/>
    <w:rsid w:val="09AB0192"/>
    <w:rsid w:val="09B64C0C"/>
    <w:rsid w:val="09B8C992"/>
    <w:rsid w:val="09C1D18C"/>
    <w:rsid w:val="09E45969"/>
    <w:rsid w:val="09E4B702"/>
    <w:rsid w:val="09FB74ED"/>
    <w:rsid w:val="0A0439FF"/>
    <w:rsid w:val="0A09C163"/>
    <w:rsid w:val="0A12B912"/>
    <w:rsid w:val="0A1553E3"/>
    <w:rsid w:val="0A26059D"/>
    <w:rsid w:val="0A26B049"/>
    <w:rsid w:val="0A27E139"/>
    <w:rsid w:val="0A28A028"/>
    <w:rsid w:val="0A2FE011"/>
    <w:rsid w:val="0A348A29"/>
    <w:rsid w:val="0A47F220"/>
    <w:rsid w:val="0A4825D9"/>
    <w:rsid w:val="0A56753B"/>
    <w:rsid w:val="0A6535C7"/>
    <w:rsid w:val="0A668BA0"/>
    <w:rsid w:val="0A66CEE3"/>
    <w:rsid w:val="0A78DD74"/>
    <w:rsid w:val="0A7FB3FD"/>
    <w:rsid w:val="0A8276F4"/>
    <w:rsid w:val="0A8FDA9D"/>
    <w:rsid w:val="0A97BB3D"/>
    <w:rsid w:val="0A9DB4BD"/>
    <w:rsid w:val="0AA0C6D5"/>
    <w:rsid w:val="0AA7831B"/>
    <w:rsid w:val="0AA9010B"/>
    <w:rsid w:val="0AB20959"/>
    <w:rsid w:val="0AC132B8"/>
    <w:rsid w:val="0ACD9F99"/>
    <w:rsid w:val="0AD2AE3D"/>
    <w:rsid w:val="0ADA0B93"/>
    <w:rsid w:val="0AEBF772"/>
    <w:rsid w:val="0AECF5AC"/>
    <w:rsid w:val="0AEE8640"/>
    <w:rsid w:val="0AF7BCF6"/>
    <w:rsid w:val="0B3652EB"/>
    <w:rsid w:val="0B41ADC9"/>
    <w:rsid w:val="0B43D7AA"/>
    <w:rsid w:val="0B52610D"/>
    <w:rsid w:val="0B539433"/>
    <w:rsid w:val="0B5481C7"/>
    <w:rsid w:val="0B6FF30A"/>
    <w:rsid w:val="0B734C46"/>
    <w:rsid w:val="0B77371A"/>
    <w:rsid w:val="0B7BC287"/>
    <w:rsid w:val="0B899A3F"/>
    <w:rsid w:val="0B8D6CA8"/>
    <w:rsid w:val="0B9AA911"/>
    <w:rsid w:val="0B9E5EAC"/>
    <w:rsid w:val="0B9F649D"/>
    <w:rsid w:val="0BB0A8C2"/>
    <w:rsid w:val="0BB15E77"/>
    <w:rsid w:val="0BBBD550"/>
    <w:rsid w:val="0BC464B6"/>
    <w:rsid w:val="0BD54CAE"/>
    <w:rsid w:val="0BDA7600"/>
    <w:rsid w:val="0BE0B85D"/>
    <w:rsid w:val="0BF04875"/>
    <w:rsid w:val="0BFA4D3E"/>
    <w:rsid w:val="0BFEC643"/>
    <w:rsid w:val="0C03C1BA"/>
    <w:rsid w:val="0C157A0F"/>
    <w:rsid w:val="0C2717BC"/>
    <w:rsid w:val="0C3808FA"/>
    <w:rsid w:val="0C4B4A30"/>
    <w:rsid w:val="0C4BDA77"/>
    <w:rsid w:val="0C4E6CE7"/>
    <w:rsid w:val="0C508C46"/>
    <w:rsid w:val="0C55ED65"/>
    <w:rsid w:val="0C661689"/>
    <w:rsid w:val="0C6A4CA2"/>
    <w:rsid w:val="0C7BF858"/>
    <w:rsid w:val="0C801F7F"/>
    <w:rsid w:val="0C81F1FA"/>
    <w:rsid w:val="0C846B86"/>
    <w:rsid w:val="0C932FB7"/>
    <w:rsid w:val="0C9BDCC4"/>
    <w:rsid w:val="0CA6D967"/>
    <w:rsid w:val="0CACBB20"/>
    <w:rsid w:val="0CB2DB5A"/>
    <w:rsid w:val="0CB959FA"/>
    <w:rsid w:val="0CC95BEB"/>
    <w:rsid w:val="0CD576FF"/>
    <w:rsid w:val="0CD7C69F"/>
    <w:rsid w:val="0CEBC102"/>
    <w:rsid w:val="0CF1EE9E"/>
    <w:rsid w:val="0CF5205B"/>
    <w:rsid w:val="0D0F3B42"/>
    <w:rsid w:val="0D1CAA86"/>
    <w:rsid w:val="0D26C04C"/>
    <w:rsid w:val="0D290873"/>
    <w:rsid w:val="0D4770F5"/>
    <w:rsid w:val="0D47AE6D"/>
    <w:rsid w:val="0D5CA4C2"/>
    <w:rsid w:val="0D631780"/>
    <w:rsid w:val="0D687D12"/>
    <w:rsid w:val="0D68FAAE"/>
    <w:rsid w:val="0D69EAD1"/>
    <w:rsid w:val="0D71DAE2"/>
    <w:rsid w:val="0D8420FA"/>
    <w:rsid w:val="0D8EB85E"/>
    <w:rsid w:val="0D94E1C8"/>
    <w:rsid w:val="0D9A16AA"/>
    <w:rsid w:val="0D9ED4B1"/>
    <w:rsid w:val="0DA3D0A4"/>
    <w:rsid w:val="0DA8A31E"/>
    <w:rsid w:val="0DBFC8A0"/>
    <w:rsid w:val="0DD17533"/>
    <w:rsid w:val="0DD622A1"/>
    <w:rsid w:val="0DD81A36"/>
    <w:rsid w:val="0DD8F26A"/>
    <w:rsid w:val="0DED2AAD"/>
    <w:rsid w:val="0DEF2688"/>
    <w:rsid w:val="0DFCF73E"/>
    <w:rsid w:val="0E04C4CA"/>
    <w:rsid w:val="0E057A5A"/>
    <w:rsid w:val="0E0BF2EE"/>
    <w:rsid w:val="0E12F46D"/>
    <w:rsid w:val="0E1464B5"/>
    <w:rsid w:val="0E1D058C"/>
    <w:rsid w:val="0E23C5F5"/>
    <w:rsid w:val="0E2EDAA2"/>
    <w:rsid w:val="0E31E1F5"/>
    <w:rsid w:val="0E37481F"/>
    <w:rsid w:val="0E37D435"/>
    <w:rsid w:val="0E4D7AD1"/>
    <w:rsid w:val="0E545AB5"/>
    <w:rsid w:val="0E5EE664"/>
    <w:rsid w:val="0E5F4B5B"/>
    <w:rsid w:val="0E69730A"/>
    <w:rsid w:val="0E7A3D03"/>
    <w:rsid w:val="0E7E58C3"/>
    <w:rsid w:val="0E8050C3"/>
    <w:rsid w:val="0E81110F"/>
    <w:rsid w:val="0EA7F830"/>
    <w:rsid w:val="0ED187F5"/>
    <w:rsid w:val="0ED6048C"/>
    <w:rsid w:val="0EE53916"/>
    <w:rsid w:val="0EEF9188"/>
    <w:rsid w:val="0EF0007F"/>
    <w:rsid w:val="0F10C87F"/>
    <w:rsid w:val="0F1B7C75"/>
    <w:rsid w:val="0F30D63E"/>
    <w:rsid w:val="0F33EB2A"/>
    <w:rsid w:val="0F481FE5"/>
    <w:rsid w:val="0F4F7FFA"/>
    <w:rsid w:val="0F6AE13B"/>
    <w:rsid w:val="0F7DDC1A"/>
    <w:rsid w:val="0F819576"/>
    <w:rsid w:val="0F8FFF49"/>
    <w:rsid w:val="0F9276F0"/>
    <w:rsid w:val="0FA0055A"/>
    <w:rsid w:val="0FB89712"/>
    <w:rsid w:val="0FBC3274"/>
    <w:rsid w:val="0FBD81A7"/>
    <w:rsid w:val="0FC42BF2"/>
    <w:rsid w:val="0FC5FA5D"/>
    <w:rsid w:val="0FC76948"/>
    <w:rsid w:val="0FCC23BB"/>
    <w:rsid w:val="0FD55F9B"/>
    <w:rsid w:val="0FE2E178"/>
    <w:rsid w:val="0FE5D213"/>
    <w:rsid w:val="0FEAD9FF"/>
    <w:rsid w:val="0FFBACEC"/>
    <w:rsid w:val="10104B3F"/>
    <w:rsid w:val="10186272"/>
    <w:rsid w:val="101A6B3F"/>
    <w:rsid w:val="101D3224"/>
    <w:rsid w:val="1029F5E2"/>
    <w:rsid w:val="10533BC2"/>
    <w:rsid w:val="105C6B5D"/>
    <w:rsid w:val="105C7F44"/>
    <w:rsid w:val="106797B0"/>
    <w:rsid w:val="106E1D3C"/>
    <w:rsid w:val="1080B4F0"/>
    <w:rsid w:val="1081E694"/>
    <w:rsid w:val="1082EFDF"/>
    <w:rsid w:val="10873C65"/>
    <w:rsid w:val="108855C9"/>
    <w:rsid w:val="108B362E"/>
    <w:rsid w:val="108E3723"/>
    <w:rsid w:val="1091D35F"/>
    <w:rsid w:val="10939C4A"/>
    <w:rsid w:val="109D1827"/>
    <w:rsid w:val="10AD0D39"/>
    <w:rsid w:val="10B1910E"/>
    <w:rsid w:val="10B484A9"/>
    <w:rsid w:val="10BBE62B"/>
    <w:rsid w:val="10BC1E99"/>
    <w:rsid w:val="10BF2969"/>
    <w:rsid w:val="10C7E2C0"/>
    <w:rsid w:val="10D517E0"/>
    <w:rsid w:val="10DAF8D8"/>
    <w:rsid w:val="10DB7166"/>
    <w:rsid w:val="10EB5F9C"/>
    <w:rsid w:val="10F10B45"/>
    <w:rsid w:val="10F13AEF"/>
    <w:rsid w:val="1107BDDF"/>
    <w:rsid w:val="1107DB29"/>
    <w:rsid w:val="111CE9EB"/>
    <w:rsid w:val="112D1EAC"/>
    <w:rsid w:val="113337CD"/>
    <w:rsid w:val="113A2317"/>
    <w:rsid w:val="1145D9CD"/>
    <w:rsid w:val="11484C99"/>
    <w:rsid w:val="1149B4EF"/>
    <w:rsid w:val="11529EA9"/>
    <w:rsid w:val="115571A8"/>
    <w:rsid w:val="1159E4F9"/>
    <w:rsid w:val="115F02E5"/>
    <w:rsid w:val="1162BB86"/>
    <w:rsid w:val="1163AF49"/>
    <w:rsid w:val="116B7094"/>
    <w:rsid w:val="1176F4BE"/>
    <w:rsid w:val="11813B66"/>
    <w:rsid w:val="11996EA2"/>
    <w:rsid w:val="11A6D5A3"/>
    <w:rsid w:val="11A9DB46"/>
    <w:rsid w:val="11B53B4B"/>
    <w:rsid w:val="11B704BE"/>
    <w:rsid w:val="11C11CCB"/>
    <w:rsid w:val="11D185DE"/>
    <w:rsid w:val="11DCD11F"/>
    <w:rsid w:val="11E00A4E"/>
    <w:rsid w:val="11EA140D"/>
    <w:rsid w:val="11F012E7"/>
    <w:rsid w:val="11F83BBE"/>
    <w:rsid w:val="11FEF8D7"/>
    <w:rsid w:val="12025196"/>
    <w:rsid w:val="12127782"/>
    <w:rsid w:val="1218299F"/>
    <w:rsid w:val="1248D7EC"/>
    <w:rsid w:val="125A3926"/>
    <w:rsid w:val="125C3192"/>
    <w:rsid w:val="12746EB0"/>
    <w:rsid w:val="12805114"/>
    <w:rsid w:val="128FFF13"/>
    <w:rsid w:val="129C7ABC"/>
    <w:rsid w:val="12A659F2"/>
    <w:rsid w:val="12C069B8"/>
    <w:rsid w:val="12EC44DA"/>
    <w:rsid w:val="12ED10FA"/>
    <w:rsid w:val="12EF62D0"/>
    <w:rsid w:val="12F33AA1"/>
    <w:rsid w:val="12F83139"/>
    <w:rsid w:val="1307D689"/>
    <w:rsid w:val="130D811C"/>
    <w:rsid w:val="1314BA25"/>
    <w:rsid w:val="1326AAD8"/>
    <w:rsid w:val="1329F18A"/>
    <w:rsid w:val="133DA313"/>
    <w:rsid w:val="135122C4"/>
    <w:rsid w:val="13572214"/>
    <w:rsid w:val="13609444"/>
    <w:rsid w:val="136C4A48"/>
    <w:rsid w:val="137E00E0"/>
    <w:rsid w:val="137F1866"/>
    <w:rsid w:val="1381C349"/>
    <w:rsid w:val="13A2DCF2"/>
    <w:rsid w:val="13A30DCC"/>
    <w:rsid w:val="13B2A27D"/>
    <w:rsid w:val="13B5A7EA"/>
    <w:rsid w:val="13BCBF38"/>
    <w:rsid w:val="13C3592F"/>
    <w:rsid w:val="13CCFFC5"/>
    <w:rsid w:val="13CDE54B"/>
    <w:rsid w:val="13D5E6BE"/>
    <w:rsid w:val="13DE4B3F"/>
    <w:rsid w:val="13E0D991"/>
    <w:rsid w:val="13EE04F0"/>
    <w:rsid w:val="13F2DECB"/>
    <w:rsid w:val="13FAD0F7"/>
    <w:rsid w:val="14053E2C"/>
    <w:rsid w:val="140AA120"/>
    <w:rsid w:val="140C10BA"/>
    <w:rsid w:val="14169752"/>
    <w:rsid w:val="141ABBDB"/>
    <w:rsid w:val="141DB424"/>
    <w:rsid w:val="14217D49"/>
    <w:rsid w:val="144BFF4E"/>
    <w:rsid w:val="1468F149"/>
    <w:rsid w:val="146BF1D9"/>
    <w:rsid w:val="14819735"/>
    <w:rsid w:val="14854F8D"/>
    <w:rsid w:val="14856048"/>
    <w:rsid w:val="1492DCD9"/>
    <w:rsid w:val="14B262EC"/>
    <w:rsid w:val="14B97548"/>
    <w:rsid w:val="14BD5D5D"/>
    <w:rsid w:val="14C4E526"/>
    <w:rsid w:val="14C4F27A"/>
    <w:rsid w:val="14CF7DCD"/>
    <w:rsid w:val="14E1643F"/>
    <w:rsid w:val="14E2BF1B"/>
    <w:rsid w:val="14E9AFA0"/>
    <w:rsid w:val="14FED9CE"/>
    <w:rsid w:val="1508B787"/>
    <w:rsid w:val="15114A10"/>
    <w:rsid w:val="1520F60E"/>
    <w:rsid w:val="152460A4"/>
    <w:rsid w:val="1525A47A"/>
    <w:rsid w:val="1525A704"/>
    <w:rsid w:val="1527D9B4"/>
    <w:rsid w:val="15282C0C"/>
    <w:rsid w:val="1533FB1B"/>
    <w:rsid w:val="15383E4F"/>
    <w:rsid w:val="15523975"/>
    <w:rsid w:val="1553830F"/>
    <w:rsid w:val="15673908"/>
    <w:rsid w:val="156994FE"/>
    <w:rsid w:val="156B2BA6"/>
    <w:rsid w:val="15717D78"/>
    <w:rsid w:val="157BED97"/>
    <w:rsid w:val="157C37D6"/>
    <w:rsid w:val="158335D5"/>
    <w:rsid w:val="15906777"/>
    <w:rsid w:val="1596DE50"/>
    <w:rsid w:val="15B43477"/>
    <w:rsid w:val="15BB80D0"/>
    <w:rsid w:val="15C8159D"/>
    <w:rsid w:val="15D2EE4F"/>
    <w:rsid w:val="15DC9E4E"/>
    <w:rsid w:val="15E34569"/>
    <w:rsid w:val="15FBB633"/>
    <w:rsid w:val="15FCF4CA"/>
    <w:rsid w:val="16053B89"/>
    <w:rsid w:val="1606AC16"/>
    <w:rsid w:val="160CEAEF"/>
    <w:rsid w:val="162DBFD6"/>
    <w:rsid w:val="16387495"/>
    <w:rsid w:val="163CBF7C"/>
    <w:rsid w:val="1651ADB1"/>
    <w:rsid w:val="1653D7AD"/>
    <w:rsid w:val="1656DDE9"/>
    <w:rsid w:val="165ACA74"/>
    <w:rsid w:val="165C540E"/>
    <w:rsid w:val="166436D7"/>
    <w:rsid w:val="16656493"/>
    <w:rsid w:val="1690F067"/>
    <w:rsid w:val="16B4488B"/>
    <w:rsid w:val="16B481D8"/>
    <w:rsid w:val="16BBE08D"/>
    <w:rsid w:val="16BCCCA1"/>
    <w:rsid w:val="16BFDE4C"/>
    <w:rsid w:val="16C4B517"/>
    <w:rsid w:val="16D87A2E"/>
    <w:rsid w:val="16DAAE8E"/>
    <w:rsid w:val="16DE79FD"/>
    <w:rsid w:val="16EA4A32"/>
    <w:rsid w:val="16EFAF08"/>
    <w:rsid w:val="16FF1598"/>
    <w:rsid w:val="1700B9C9"/>
    <w:rsid w:val="170FF924"/>
    <w:rsid w:val="1713BBA0"/>
    <w:rsid w:val="1715AD32"/>
    <w:rsid w:val="1715D795"/>
    <w:rsid w:val="1719D1B4"/>
    <w:rsid w:val="17297E76"/>
    <w:rsid w:val="17318A8D"/>
    <w:rsid w:val="17373003"/>
    <w:rsid w:val="1741790C"/>
    <w:rsid w:val="17750B4E"/>
    <w:rsid w:val="177D1048"/>
    <w:rsid w:val="178D38A1"/>
    <w:rsid w:val="178FD6A4"/>
    <w:rsid w:val="179104B2"/>
    <w:rsid w:val="1797F095"/>
    <w:rsid w:val="17994085"/>
    <w:rsid w:val="17A68D46"/>
    <w:rsid w:val="17ABA229"/>
    <w:rsid w:val="17AFE863"/>
    <w:rsid w:val="17B644D3"/>
    <w:rsid w:val="17C5D9BA"/>
    <w:rsid w:val="17CAC6E9"/>
    <w:rsid w:val="17D3BE34"/>
    <w:rsid w:val="17D7DCB2"/>
    <w:rsid w:val="17D8F2FE"/>
    <w:rsid w:val="17DF99B5"/>
    <w:rsid w:val="17E844EF"/>
    <w:rsid w:val="17EBE317"/>
    <w:rsid w:val="17EF1C0C"/>
    <w:rsid w:val="17F21064"/>
    <w:rsid w:val="17FAEC91"/>
    <w:rsid w:val="180A462B"/>
    <w:rsid w:val="1814950D"/>
    <w:rsid w:val="18255A38"/>
    <w:rsid w:val="18263618"/>
    <w:rsid w:val="182E8BB6"/>
    <w:rsid w:val="182EEB31"/>
    <w:rsid w:val="1843E715"/>
    <w:rsid w:val="185F0DDB"/>
    <w:rsid w:val="186AD8F6"/>
    <w:rsid w:val="1871FE06"/>
    <w:rsid w:val="1875128A"/>
    <w:rsid w:val="18752987"/>
    <w:rsid w:val="1879A7CB"/>
    <w:rsid w:val="1889C469"/>
    <w:rsid w:val="188F8DC4"/>
    <w:rsid w:val="189B319D"/>
    <w:rsid w:val="189CD0F9"/>
    <w:rsid w:val="189E4AC0"/>
    <w:rsid w:val="189E935D"/>
    <w:rsid w:val="18A5FC49"/>
    <w:rsid w:val="18B08C44"/>
    <w:rsid w:val="18CE0040"/>
    <w:rsid w:val="18CF13D8"/>
    <w:rsid w:val="18D7D52A"/>
    <w:rsid w:val="18FA49FE"/>
    <w:rsid w:val="18FB1AC1"/>
    <w:rsid w:val="19107B9A"/>
    <w:rsid w:val="192850DF"/>
    <w:rsid w:val="192893B0"/>
    <w:rsid w:val="192FFF37"/>
    <w:rsid w:val="193A94DA"/>
    <w:rsid w:val="193E7EAE"/>
    <w:rsid w:val="1958C0B0"/>
    <w:rsid w:val="195DD363"/>
    <w:rsid w:val="19624E13"/>
    <w:rsid w:val="1968F127"/>
    <w:rsid w:val="196E28E5"/>
    <w:rsid w:val="197430E4"/>
    <w:rsid w:val="1975F47E"/>
    <w:rsid w:val="1978C25B"/>
    <w:rsid w:val="197D3B1A"/>
    <w:rsid w:val="197D4E88"/>
    <w:rsid w:val="19839A26"/>
    <w:rsid w:val="198744D3"/>
    <w:rsid w:val="198BBDFC"/>
    <w:rsid w:val="198ED504"/>
    <w:rsid w:val="1990FD9F"/>
    <w:rsid w:val="199843DD"/>
    <w:rsid w:val="1998899E"/>
    <w:rsid w:val="19989172"/>
    <w:rsid w:val="199AF8D0"/>
    <w:rsid w:val="19BD1B6B"/>
    <w:rsid w:val="19D89D47"/>
    <w:rsid w:val="19DB68D6"/>
    <w:rsid w:val="19EAE5F5"/>
    <w:rsid w:val="19F10A0E"/>
    <w:rsid w:val="19FC40E3"/>
    <w:rsid w:val="19FF8A54"/>
    <w:rsid w:val="1A233467"/>
    <w:rsid w:val="1A34A270"/>
    <w:rsid w:val="1A39F5FB"/>
    <w:rsid w:val="1A5CF4A8"/>
    <w:rsid w:val="1A5F5B70"/>
    <w:rsid w:val="1A6320F2"/>
    <w:rsid w:val="1A699839"/>
    <w:rsid w:val="1A69EFE6"/>
    <w:rsid w:val="1A6D0F3A"/>
    <w:rsid w:val="1A6F3DD1"/>
    <w:rsid w:val="1A75CE08"/>
    <w:rsid w:val="1A76CA08"/>
    <w:rsid w:val="1A8B39C8"/>
    <w:rsid w:val="1A91DC87"/>
    <w:rsid w:val="1A963945"/>
    <w:rsid w:val="1A96F41F"/>
    <w:rsid w:val="1AACDBFE"/>
    <w:rsid w:val="1AAD33E4"/>
    <w:rsid w:val="1AC07769"/>
    <w:rsid w:val="1AC0800D"/>
    <w:rsid w:val="1AD85258"/>
    <w:rsid w:val="1AE13E10"/>
    <w:rsid w:val="1AE25F83"/>
    <w:rsid w:val="1AF0AAC0"/>
    <w:rsid w:val="1AF7A32A"/>
    <w:rsid w:val="1AFB34FE"/>
    <w:rsid w:val="1B041C0D"/>
    <w:rsid w:val="1B07B9CE"/>
    <w:rsid w:val="1B194095"/>
    <w:rsid w:val="1B40D317"/>
    <w:rsid w:val="1B42EDE6"/>
    <w:rsid w:val="1B47447F"/>
    <w:rsid w:val="1B4B95A9"/>
    <w:rsid w:val="1B5171CF"/>
    <w:rsid w:val="1B51EF5A"/>
    <w:rsid w:val="1B53715B"/>
    <w:rsid w:val="1B54A3F8"/>
    <w:rsid w:val="1B6B5361"/>
    <w:rsid w:val="1B6D384E"/>
    <w:rsid w:val="1B85986B"/>
    <w:rsid w:val="1B915898"/>
    <w:rsid w:val="1B91B182"/>
    <w:rsid w:val="1B948A70"/>
    <w:rsid w:val="1B9B2354"/>
    <w:rsid w:val="1BAAB6FE"/>
    <w:rsid w:val="1BB8A029"/>
    <w:rsid w:val="1BC7BCE8"/>
    <w:rsid w:val="1BD07787"/>
    <w:rsid w:val="1BE034FD"/>
    <w:rsid w:val="1C026523"/>
    <w:rsid w:val="1C0CDFE3"/>
    <w:rsid w:val="1C0CFBA3"/>
    <w:rsid w:val="1C1F4431"/>
    <w:rsid w:val="1C249DC4"/>
    <w:rsid w:val="1C341D2E"/>
    <w:rsid w:val="1C388CE3"/>
    <w:rsid w:val="1C475668"/>
    <w:rsid w:val="1C4D1FE7"/>
    <w:rsid w:val="1C569878"/>
    <w:rsid w:val="1C5A8E96"/>
    <w:rsid w:val="1C5E8E92"/>
    <w:rsid w:val="1C641806"/>
    <w:rsid w:val="1C726B5F"/>
    <w:rsid w:val="1C81BD53"/>
    <w:rsid w:val="1C87AF79"/>
    <w:rsid w:val="1C8AB068"/>
    <w:rsid w:val="1CA47658"/>
    <w:rsid w:val="1CA734E1"/>
    <w:rsid w:val="1CB14C5B"/>
    <w:rsid w:val="1CBCE085"/>
    <w:rsid w:val="1CC0C21A"/>
    <w:rsid w:val="1CC3153C"/>
    <w:rsid w:val="1CC3543C"/>
    <w:rsid w:val="1CDF3A14"/>
    <w:rsid w:val="1CFB87E9"/>
    <w:rsid w:val="1CFE94DF"/>
    <w:rsid w:val="1D0246B6"/>
    <w:rsid w:val="1D07E79C"/>
    <w:rsid w:val="1D28DD19"/>
    <w:rsid w:val="1D353DB6"/>
    <w:rsid w:val="1D39689A"/>
    <w:rsid w:val="1D3CC0A8"/>
    <w:rsid w:val="1D3FDC7C"/>
    <w:rsid w:val="1D431F2D"/>
    <w:rsid w:val="1D4AE25B"/>
    <w:rsid w:val="1D544AF5"/>
    <w:rsid w:val="1D5D99FC"/>
    <w:rsid w:val="1D65E90E"/>
    <w:rsid w:val="1D687D21"/>
    <w:rsid w:val="1D6E0587"/>
    <w:rsid w:val="1D7ECAB1"/>
    <w:rsid w:val="1D879327"/>
    <w:rsid w:val="1D8E82FA"/>
    <w:rsid w:val="1D908033"/>
    <w:rsid w:val="1D9D8DF2"/>
    <w:rsid w:val="1D9D9BD2"/>
    <w:rsid w:val="1DA7C29F"/>
    <w:rsid w:val="1DAADAB1"/>
    <w:rsid w:val="1DC2DA8A"/>
    <w:rsid w:val="1DCB6C01"/>
    <w:rsid w:val="1DD3E895"/>
    <w:rsid w:val="1DD5551C"/>
    <w:rsid w:val="1DF2689D"/>
    <w:rsid w:val="1E011F91"/>
    <w:rsid w:val="1E08EE5B"/>
    <w:rsid w:val="1E15DCB3"/>
    <w:rsid w:val="1E18A5FD"/>
    <w:rsid w:val="1E20FD10"/>
    <w:rsid w:val="1E22D37F"/>
    <w:rsid w:val="1E24FECA"/>
    <w:rsid w:val="1E3BE02A"/>
    <w:rsid w:val="1E4A17A5"/>
    <w:rsid w:val="1E519FD6"/>
    <w:rsid w:val="1E54C924"/>
    <w:rsid w:val="1E5CFF78"/>
    <w:rsid w:val="1E5D686F"/>
    <w:rsid w:val="1E62EDD4"/>
    <w:rsid w:val="1E7EE138"/>
    <w:rsid w:val="1E825226"/>
    <w:rsid w:val="1E830FA6"/>
    <w:rsid w:val="1E8C0DEA"/>
    <w:rsid w:val="1E8EC97B"/>
    <w:rsid w:val="1E9B85A1"/>
    <w:rsid w:val="1E9CBBBA"/>
    <w:rsid w:val="1EA2203D"/>
    <w:rsid w:val="1EA2B175"/>
    <w:rsid w:val="1EAAAB5E"/>
    <w:rsid w:val="1EB17415"/>
    <w:rsid w:val="1EB97398"/>
    <w:rsid w:val="1EC0B364"/>
    <w:rsid w:val="1ECADC61"/>
    <w:rsid w:val="1ECE9B9F"/>
    <w:rsid w:val="1ED82D11"/>
    <w:rsid w:val="1EF75D17"/>
    <w:rsid w:val="1F461146"/>
    <w:rsid w:val="1F56450F"/>
    <w:rsid w:val="1F5BAF0C"/>
    <w:rsid w:val="1F6F2110"/>
    <w:rsid w:val="1F711BE6"/>
    <w:rsid w:val="1F724635"/>
    <w:rsid w:val="1F75C69D"/>
    <w:rsid w:val="1F7D932A"/>
    <w:rsid w:val="1F81B766"/>
    <w:rsid w:val="1F97101C"/>
    <w:rsid w:val="1FA0BD02"/>
    <w:rsid w:val="1FA5799E"/>
    <w:rsid w:val="1FB26B93"/>
    <w:rsid w:val="1FCD4A75"/>
    <w:rsid w:val="1FD6E73D"/>
    <w:rsid w:val="1FE8EC0B"/>
    <w:rsid w:val="1FF6B307"/>
    <w:rsid w:val="1FF8398E"/>
    <w:rsid w:val="1FFBF104"/>
    <w:rsid w:val="1FFD6C1F"/>
    <w:rsid w:val="200990F3"/>
    <w:rsid w:val="200EE46E"/>
    <w:rsid w:val="20227D92"/>
    <w:rsid w:val="2049E89D"/>
    <w:rsid w:val="205077AA"/>
    <w:rsid w:val="2054D9A8"/>
    <w:rsid w:val="2058ADC7"/>
    <w:rsid w:val="205FDF27"/>
    <w:rsid w:val="20660E6D"/>
    <w:rsid w:val="2066850C"/>
    <w:rsid w:val="206A4482"/>
    <w:rsid w:val="2083F2B4"/>
    <w:rsid w:val="208F9D0D"/>
    <w:rsid w:val="209A8FF2"/>
    <w:rsid w:val="20A4C94D"/>
    <w:rsid w:val="20A6F196"/>
    <w:rsid w:val="20A97E76"/>
    <w:rsid w:val="20AC96BD"/>
    <w:rsid w:val="20B63966"/>
    <w:rsid w:val="20B9EF32"/>
    <w:rsid w:val="20C76422"/>
    <w:rsid w:val="20CB66CB"/>
    <w:rsid w:val="20CE59F0"/>
    <w:rsid w:val="20DC53D1"/>
    <w:rsid w:val="20DCCA83"/>
    <w:rsid w:val="20E09F77"/>
    <w:rsid w:val="20FA7B4C"/>
    <w:rsid w:val="20FCCFA9"/>
    <w:rsid w:val="2102D5CC"/>
    <w:rsid w:val="210388BD"/>
    <w:rsid w:val="21177FFF"/>
    <w:rsid w:val="2119A2A2"/>
    <w:rsid w:val="21253C4A"/>
    <w:rsid w:val="212B722A"/>
    <w:rsid w:val="212ED16A"/>
    <w:rsid w:val="213701D8"/>
    <w:rsid w:val="21570C5F"/>
    <w:rsid w:val="21598899"/>
    <w:rsid w:val="216566FC"/>
    <w:rsid w:val="2165A92F"/>
    <w:rsid w:val="217D72E4"/>
    <w:rsid w:val="2184571C"/>
    <w:rsid w:val="2185504D"/>
    <w:rsid w:val="218DDA63"/>
    <w:rsid w:val="21927F65"/>
    <w:rsid w:val="21B11B8D"/>
    <w:rsid w:val="21B1EF92"/>
    <w:rsid w:val="21C68B84"/>
    <w:rsid w:val="21CEE6BB"/>
    <w:rsid w:val="21CF421F"/>
    <w:rsid w:val="21D706E0"/>
    <w:rsid w:val="21DE5846"/>
    <w:rsid w:val="21E14121"/>
    <w:rsid w:val="21E6F1B9"/>
    <w:rsid w:val="21E9F126"/>
    <w:rsid w:val="221B61A1"/>
    <w:rsid w:val="2227C35D"/>
    <w:rsid w:val="2232CC20"/>
    <w:rsid w:val="223AC331"/>
    <w:rsid w:val="223B7480"/>
    <w:rsid w:val="22448D27"/>
    <w:rsid w:val="224E3643"/>
    <w:rsid w:val="224F3BC0"/>
    <w:rsid w:val="22542C13"/>
    <w:rsid w:val="226330D8"/>
    <w:rsid w:val="2287CEE1"/>
    <w:rsid w:val="228DC55B"/>
    <w:rsid w:val="22A633E4"/>
    <w:rsid w:val="22A674FD"/>
    <w:rsid w:val="22ADF01E"/>
    <w:rsid w:val="22AE63B0"/>
    <w:rsid w:val="22C0AEE1"/>
    <w:rsid w:val="22C41BF8"/>
    <w:rsid w:val="22C68B44"/>
    <w:rsid w:val="22E3716F"/>
    <w:rsid w:val="230AFF3E"/>
    <w:rsid w:val="2310AC69"/>
    <w:rsid w:val="2325CA47"/>
    <w:rsid w:val="233E59B1"/>
    <w:rsid w:val="233E83F4"/>
    <w:rsid w:val="2345B003"/>
    <w:rsid w:val="235793FC"/>
    <w:rsid w:val="2370CA5F"/>
    <w:rsid w:val="237A3CC8"/>
    <w:rsid w:val="237BDB54"/>
    <w:rsid w:val="2382C6F1"/>
    <w:rsid w:val="238FACFB"/>
    <w:rsid w:val="239C8778"/>
    <w:rsid w:val="239D3B3A"/>
    <w:rsid w:val="23A42B93"/>
    <w:rsid w:val="23A66949"/>
    <w:rsid w:val="23C0B236"/>
    <w:rsid w:val="23C139E7"/>
    <w:rsid w:val="23C3A32E"/>
    <w:rsid w:val="23CA884A"/>
    <w:rsid w:val="24058604"/>
    <w:rsid w:val="24073112"/>
    <w:rsid w:val="240B5D21"/>
    <w:rsid w:val="240FEE49"/>
    <w:rsid w:val="24121765"/>
    <w:rsid w:val="2421ED5F"/>
    <w:rsid w:val="242D4255"/>
    <w:rsid w:val="24377A7B"/>
    <w:rsid w:val="243D311E"/>
    <w:rsid w:val="245E571F"/>
    <w:rsid w:val="24740319"/>
    <w:rsid w:val="24821EDD"/>
    <w:rsid w:val="2483FF7C"/>
    <w:rsid w:val="248EE923"/>
    <w:rsid w:val="2490D1B0"/>
    <w:rsid w:val="24947B2F"/>
    <w:rsid w:val="24C55B50"/>
    <w:rsid w:val="24CB759B"/>
    <w:rsid w:val="24CD9D86"/>
    <w:rsid w:val="24CDED91"/>
    <w:rsid w:val="24DA9010"/>
    <w:rsid w:val="24DB0B1E"/>
    <w:rsid w:val="24DF5AD7"/>
    <w:rsid w:val="24DF7DCD"/>
    <w:rsid w:val="24EFF4F0"/>
    <w:rsid w:val="24F07681"/>
    <w:rsid w:val="24F54016"/>
    <w:rsid w:val="24F859C1"/>
    <w:rsid w:val="24F8841C"/>
    <w:rsid w:val="250604E1"/>
    <w:rsid w:val="2519BB6A"/>
    <w:rsid w:val="25372031"/>
    <w:rsid w:val="2537F06B"/>
    <w:rsid w:val="2547A401"/>
    <w:rsid w:val="2554DBCB"/>
    <w:rsid w:val="255A8A59"/>
    <w:rsid w:val="255FA534"/>
    <w:rsid w:val="2570401E"/>
    <w:rsid w:val="2570A48C"/>
    <w:rsid w:val="25757107"/>
    <w:rsid w:val="257D5113"/>
    <w:rsid w:val="2584F107"/>
    <w:rsid w:val="2597F667"/>
    <w:rsid w:val="25BD0392"/>
    <w:rsid w:val="25CDEC6F"/>
    <w:rsid w:val="25D61382"/>
    <w:rsid w:val="25DB46C6"/>
    <w:rsid w:val="25DD9DD6"/>
    <w:rsid w:val="25E21E3A"/>
    <w:rsid w:val="25F3267C"/>
    <w:rsid w:val="25F4D4D1"/>
    <w:rsid w:val="25F6F31D"/>
    <w:rsid w:val="25FDE8AF"/>
    <w:rsid w:val="25FEF389"/>
    <w:rsid w:val="25FF65B3"/>
    <w:rsid w:val="2606B640"/>
    <w:rsid w:val="261ADCD4"/>
    <w:rsid w:val="262FB8DC"/>
    <w:rsid w:val="263C17A2"/>
    <w:rsid w:val="26404309"/>
    <w:rsid w:val="26446A02"/>
    <w:rsid w:val="2645BDF6"/>
    <w:rsid w:val="26537198"/>
    <w:rsid w:val="265BA267"/>
    <w:rsid w:val="265FC966"/>
    <w:rsid w:val="2660F18A"/>
    <w:rsid w:val="267B51A2"/>
    <w:rsid w:val="267D6BA8"/>
    <w:rsid w:val="26855295"/>
    <w:rsid w:val="2687EAAA"/>
    <w:rsid w:val="268A511D"/>
    <w:rsid w:val="26A59559"/>
    <w:rsid w:val="26B1FE41"/>
    <w:rsid w:val="26C034EE"/>
    <w:rsid w:val="26C5C85C"/>
    <w:rsid w:val="26C91C92"/>
    <w:rsid w:val="26D67988"/>
    <w:rsid w:val="26D8964F"/>
    <w:rsid w:val="26DA3082"/>
    <w:rsid w:val="26EB5004"/>
    <w:rsid w:val="26EC73FD"/>
    <w:rsid w:val="26EEA847"/>
    <w:rsid w:val="26F5FBF2"/>
    <w:rsid w:val="26FC02F5"/>
    <w:rsid w:val="27023A33"/>
    <w:rsid w:val="270B1BC2"/>
    <w:rsid w:val="27199DF3"/>
    <w:rsid w:val="2719B8E6"/>
    <w:rsid w:val="272E8E19"/>
    <w:rsid w:val="272F4BBA"/>
    <w:rsid w:val="2732CFF4"/>
    <w:rsid w:val="27354004"/>
    <w:rsid w:val="273735C5"/>
    <w:rsid w:val="2743737D"/>
    <w:rsid w:val="27509473"/>
    <w:rsid w:val="275A659E"/>
    <w:rsid w:val="275D4ACB"/>
    <w:rsid w:val="27688238"/>
    <w:rsid w:val="2776AD93"/>
    <w:rsid w:val="2789E44E"/>
    <w:rsid w:val="27923FAF"/>
    <w:rsid w:val="27966003"/>
    <w:rsid w:val="279DFD0B"/>
    <w:rsid w:val="27C0A1FA"/>
    <w:rsid w:val="27D45623"/>
    <w:rsid w:val="27D66BF8"/>
    <w:rsid w:val="27D6A705"/>
    <w:rsid w:val="27D7BD22"/>
    <w:rsid w:val="27D7E803"/>
    <w:rsid w:val="27E1F41C"/>
    <w:rsid w:val="27F96EB8"/>
    <w:rsid w:val="280A0ABF"/>
    <w:rsid w:val="28121118"/>
    <w:rsid w:val="281A4583"/>
    <w:rsid w:val="2822B41E"/>
    <w:rsid w:val="283B714A"/>
    <w:rsid w:val="283D1332"/>
    <w:rsid w:val="2842D7BD"/>
    <w:rsid w:val="2843B82A"/>
    <w:rsid w:val="2860F462"/>
    <w:rsid w:val="28884193"/>
    <w:rsid w:val="289520AA"/>
    <w:rsid w:val="289E6BC3"/>
    <w:rsid w:val="28AC950A"/>
    <w:rsid w:val="28B130F3"/>
    <w:rsid w:val="28BAADE6"/>
    <w:rsid w:val="28BD0921"/>
    <w:rsid w:val="28C247D3"/>
    <w:rsid w:val="28D39AD9"/>
    <w:rsid w:val="28D685C5"/>
    <w:rsid w:val="28D9EF22"/>
    <w:rsid w:val="28DF620C"/>
    <w:rsid w:val="28E1B343"/>
    <w:rsid w:val="28F3D3E0"/>
    <w:rsid w:val="290A3FE6"/>
    <w:rsid w:val="290AF77D"/>
    <w:rsid w:val="292CBCFD"/>
    <w:rsid w:val="292D647E"/>
    <w:rsid w:val="293C40FD"/>
    <w:rsid w:val="29465CFD"/>
    <w:rsid w:val="2954F402"/>
    <w:rsid w:val="29614B2B"/>
    <w:rsid w:val="296A5B61"/>
    <w:rsid w:val="296FAA0C"/>
    <w:rsid w:val="29763B82"/>
    <w:rsid w:val="2981FE51"/>
    <w:rsid w:val="2984BA5F"/>
    <w:rsid w:val="298C1F79"/>
    <w:rsid w:val="29A0DF8A"/>
    <w:rsid w:val="29B4DF67"/>
    <w:rsid w:val="29BA88AE"/>
    <w:rsid w:val="29BEF099"/>
    <w:rsid w:val="29E9A1DA"/>
    <w:rsid w:val="29EC63F5"/>
    <w:rsid w:val="29F8B0F7"/>
    <w:rsid w:val="29FB551D"/>
    <w:rsid w:val="29FFF0D1"/>
    <w:rsid w:val="2A029A40"/>
    <w:rsid w:val="2A07C439"/>
    <w:rsid w:val="2A170371"/>
    <w:rsid w:val="2A25DF44"/>
    <w:rsid w:val="2A382218"/>
    <w:rsid w:val="2A3D5AAC"/>
    <w:rsid w:val="2A3E8899"/>
    <w:rsid w:val="2A4E4E9D"/>
    <w:rsid w:val="2A4EE617"/>
    <w:rsid w:val="2A4F2388"/>
    <w:rsid w:val="2A50A794"/>
    <w:rsid w:val="2A50F805"/>
    <w:rsid w:val="2A5382D5"/>
    <w:rsid w:val="2A5A8BDE"/>
    <w:rsid w:val="2A5DA923"/>
    <w:rsid w:val="2A60AF2F"/>
    <w:rsid w:val="2A64E82A"/>
    <w:rsid w:val="2A65CC0D"/>
    <w:rsid w:val="2A80C01B"/>
    <w:rsid w:val="2AAF0689"/>
    <w:rsid w:val="2AC6E5AB"/>
    <w:rsid w:val="2ACAA9CD"/>
    <w:rsid w:val="2ADA3F5A"/>
    <w:rsid w:val="2AE245AF"/>
    <w:rsid w:val="2AEE6192"/>
    <w:rsid w:val="2AEEC92F"/>
    <w:rsid w:val="2AF17E79"/>
    <w:rsid w:val="2AF4F12E"/>
    <w:rsid w:val="2AFC38E7"/>
    <w:rsid w:val="2B1B6F2D"/>
    <w:rsid w:val="2B223DB0"/>
    <w:rsid w:val="2B2B9E09"/>
    <w:rsid w:val="2B3B66A6"/>
    <w:rsid w:val="2B41460C"/>
    <w:rsid w:val="2B4AA7C1"/>
    <w:rsid w:val="2B582ADF"/>
    <w:rsid w:val="2B5AAB27"/>
    <w:rsid w:val="2B5CBFA2"/>
    <w:rsid w:val="2B5CE311"/>
    <w:rsid w:val="2B5DEB3C"/>
    <w:rsid w:val="2B769998"/>
    <w:rsid w:val="2B817951"/>
    <w:rsid w:val="2B880D8E"/>
    <w:rsid w:val="2B92E818"/>
    <w:rsid w:val="2B96216A"/>
    <w:rsid w:val="2BA3636C"/>
    <w:rsid w:val="2BA8E01F"/>
    <w:rsid w:val="2BAA2CA2"/>
    <w:rsid w:val="2BAE469B"/>
    <w:rsid w:val="2BAE9363"/>
    <w:rsid w:val="2BAF964C"/>
    <w:rsid w:val="2BB85AE1"/>
    <w:rsid w:val="2BDDC62C"/>
    <w:rsid w:val="2BDEF276"/>
    <w:rsid w:val="2BE87A53"/>
    <w:rsid w:val="2BEC1413"/>
    <w:rsid w:val="2BEE7944"/>
    <w:rsid w:val="2C00C60F"/>
    <w:rsid w:val="2C00D6E9"/>
    <w:rsid w:val="2C041445"/>
    <w:rsid w:val="2C1ED1D4"/>
    <w:rsid w:val="2C20647B"/>
    <w:rsid w:val="2C318425"/>
    <w:rsid w:val="2C34194D"/>
    <w:rsid w:val="2C53A8D1"/>
    <w:rsid w:val="2C667A98"/>
    <w:rsid w:val="2C6C7C2F"/>
    <w:rsid w:val="2C6DFA14"/>
    <w:rsid w:val="2C7B0848"/>
    <w:rsid w:val="2C7BBA73"/>
    <w:rsid w:val="2C7C2A1A"/>
    <w:rsid w:val="2C810C03"/>
    <w:rsid w:val="2C86C05A"/>
    <w:rsid w:val="2C8C7E86"/>
    <w:rsid w:val="2C8EF085"/>
    <w:rsid w:val="2C91E9BB"/>
    <w:rsid w:val="2CA397AB"/>
    <w:rsid w:val="2CA54D04"/>
    <w:rsid w:val="2CB205AE"/>
    <w:rsid w:val="2CB861D4"/>
    <w:rsid w:val="2CBB66E5"/>
    <w:rsid w:val="2CC1CD2B"/>
    <w:rsid w:val="2CCF8202"/>
    <w:rsid w:val="2CD4AD23"/>
    <w:rsid w:val="2CE7BA04"/>
    <w:rsid w:val="2CE97C47"/>
    <w:rsid w:val="2CFE8391"/>
    <w:rsid w:val="2D13A634"/>
    <w:rsid w:val="2D2B4AAC"/>
    <w:rsid w:val="2D2EA6B7"/>
    <w:rsid w:val="2D3DBA64"/>
    <w:rsid w:val="2D3E9057"/>
    <w:rsid w:val="2D3FEB06"/>
    <w:rsid w:val="2D4DEDEB"/>
    <w:rsid w:val="2D50898E"/>
    <w:rsid w:val="2D53DAF6"/>
    <w:rsid w:val="2D5DEA33"/>
    <w:rsid w:val="2D712249"/>
    <w:rsid w:val="2D8AAABF"/>
    <w:rsid w:val="2D923D15"/>
    <w:rsid w:val="2DAD3DB2"/>
    <w:rsid w:val="2DB167DC"/>
    <w:rsid w:val="2DB5F87F"/>
    <w:rsid w:val="2DC12FAE"/>
    <w:rsid w:val="2DD7E94F"/>
    <w:rsid w:val="2DE618F6"/>
    <w:rsid w:val="2DE8CD6B"/>
    <w:rsid w:val="2DEE516F"/>
    <w:rsid w:val="2DFC0392"/>
    <w:rsid w:val="2E0444F1"/>
    <w:rsid w:val="2E0F931D"/>
    <w:rsid w:val="2E1ACA84"/>
    <w:rsid w:val="2E1CACE4"/>
    <w:rsid w:val="2E214EBD"/>
    <w:rsid w:val="2E216694"/>
    <w:rsid w:val="2E276EA5"/>
    <w:rsid w:val="2E40FE7C"/>
    <w:rsid w:val="2E46F445"/>
    <w:rsid w:val="2E4BF2EA"/>
    <w:rsid w:val="2E4D8005"/>
    <w:rsid w:val="2E5E110E"/>
    <w:rsid w:val="2E75A959"/>
    <w:rsid w:val="2E8639EF"/>
    <w:rsid w:val="2E8DC6F5"/>
    <w:rsid w:val="2E953232"/>
    <w:rsid w:val="2E9755D5"/>
    <w:rsid w:val="2EA4DE8D"/>
    <w:rsid w:val="2EAECA9D"/>
    <w:rsid w:val="2EB1BEE2"/>
    <w:rsid w:val="2EB7DA44"/>
    <w:rsid w:val="2EBB8370"/>
    <w:rsid w:val="2EBE62DD"/>
    <w:rsid w:val="2EBEEBAF"/>
    <w:rsid w:val="2ECE9601"/>
    <w:rsid w:val="2EDD3389"/>
    <w:rsid w:val="2EF1E3D7"/>
    <w:rsid w:val="2EFCCE34"/>
    <w:rsid w:val="2F02910A"/>
    <w:rsid w:val="2F0A2238"/>
    <w:rsid w:val="2F166DE0"/>
    <w:rsid w:val="2F1AD63F"/>
    <w:rsid w:val="2F21C0DB"/>
    <w:rsid w:val="2F3B4386"/>
    <w:rsid w:val="2F4F5F4A"/>
    <w:rsid w:val="2F50B65F"/>
    <w:rsid w:val="2F5EC964"/>
    <w:rsid w:val="2F6440FC"/>
    <w:rsid w:val="2F702A1B"/>
    <w:rsid w:val="2F7499FC"/>
    <w:rsid w:val="2F796F69"/>
    <w:rsid w:val="2F91CBFE"/>
    <w:rsid w:val="2FB6CDC5"/>
    <w:rsid w:val="2FBBD7EE"/>
    <w:rsid w:val="2FCFEC68"/>
    <w:rsid w:val="2FE110D0"/>
    <w:rsid w:val="2FE7AAA4"/>
    <w:rsid w:val="2FEA2671"/>
    <w:rsid w:val="2FF33225"/>
    <w:rsid w:val="30035898"/>
    <w:rsid w:val="3009B35F"/>
    <w:rsid w:val="301267D4"/>
    <w:rsid w:val="302088D4"/>
    <w:rsid w:val="30267E03"/>
    <w:rsid w:val="303B35B1"/>
    <w:rsid w:val="3049D339"/>
    <w:rsid w:val="304B0649"/>
    <w:rsid w:val="305AA293"/>
    <w:rsid w:val="305D0378"/>
    <w:rsid w:val="3062FC28"/>
    <w:rsid w:val="3067E522"/>
    <w:rsid w:val="306891A8"/>
    <w:rsid w:val="306F4F43"/>
    <w:rsid w:val="3075D03A"/>
    <w:rsid w:val="307A4016"/>
    <w:rsid w:val="3087B1EE"/>
    <w:rsid w:val="3087C3CA"/>
    <w:rsid w:val="308B02D2"/>
    <w:rsid w:val="309F33E9"/>
    <w:rsid w:val="30ACE9AA"/>
    <w:rsid w:val="30BD9400"/>
    <w:rsid w:val="30C4E65B"/>
    <w:rsid w:val="30C75A54"/>
    <w:rsid w:val="30C76BE8"/>
    <w:rsid w:val="30C8A842"/>
    <w:rsid w:val="30CEB338"/>
    <w:rsid w:val="30D22D10"/>
    <w:rsid w:val="30E4BE02"/>
    <w:rsid w:val="30EA0A12"/>
    <w:rsid w:val="30FC9333"/>
    <w:rsid w:val="30FD966F"/>
    <w:rsid w:val="30FF93DA"/>
    <w:rsid w:val="3100CA6D"/>
    <w:rsid w:val="310F3B6F"/>
    <w:rsid w:val="311F8231"/>
    <w:rsid w:val="31290C98"/>
    <w:rsid w:val="312AB31F"/>
    <w:rsid w:val="313621DA"/>
    <w:rsid w:val="3138C36C"/>
    <w:rsid w:val="313FDFB2"/>
    <w:rsid w:val="31445B20"/>
    <w:rsid w:val="314ECA8B"/>
    <w:rsid w:val="3157E568"/>
    <w:rsid w:val="3163BF5E"/>
    <w:rsid w:val="316EA787"/>
    <w:rsid w:val="316F94D6"/>
    <w:rsid w:val="31722ECD"/>
    <w:rsid w:val="317B74F2"/>
    <w:rsid w:val="3184459C"/>
    <w:rsid w:val="31974AE3"/>
    <w:rsid w:val="319A327F"/>
    <w:rsid w:val="31A49358"/>
    <w:rsid w:val="31BC646A"/>
    <w:rsid w:val="31BCF5B7"/>
    <w:rsid w:val="31BF33D0"/>
    <w:rsid w:val="31C34089"/>
    <w:rsid w:val="31C92969"/>
    <w:rsid w:val="31CD9651"/>
    <w:rsid w:val="31D7DF59"/>
    <w:rsid w:val="31EC5CF3"/>
    <w:rsid w:val="31F8FCBE"/>
    <w:rsid w:val="32071B6C"/>
    <w:rsid w:val="321CCDE0"/>
    <w:rsid w:val="32222BA5"/>
    <w:rsid w:val="3225AE27"/>
    <w:rsid w:val="323F1499"/>
    <w:rsid w:val="3249C5CE"/>
    <w:rsid w:val="324C26FB"/>
    <w:rsid w:val="32519ED2"/>
    <w:rsid w:val="3251F24F"/>
    <w:rsid w:val="325C9B5C"/>
    <w:rsid w:val="32628A1C"/>
    <w:rsid w:val="32629D95"/>
    <w:rsid w:val="327C9788"/>
    <w:rsid w:val="3284EEE4"/>
    <w:rsid w:val="32919563"/>
    <w:rsid w:val="3291EC7E"/>
    <w:rsid w:val="329CBBF5"/>
    <w:rsid w:val="32A63A78"/>
    <w:rsid w:val="32A85000"/>
    <w:rsid w:val="32A8A0A9"/>
    <w:rsid w:val="32AF7384"/>
    <w:rsid w:val="32AFA6CC"/>
    <w:rsid w:val="32B4CEF3"/>
    <w:rsid w:val="32B965E7"/>
    <w:rsid w:val="32C8963F"/>
    <w:rsid w:val="32D07241"/>
    <w:rsid w:val="32D96798"/>
    <w:rsid w:val="32DEB069"/>
    <w:rsid w:val="33029029"/>
    <w:rsid w:val="3302A9D6"/>
    <w:rsid w:val="33045D0A"/>
    <w:rsid w:val="33075069"/>
    <w:rsid w:val="330B4CDE"/>
    <w:rsid w:val="330FFACB"/>
    <w:rsid w:val="3322487E"/>
    <w:rsid w:val="333314C8"/>
    <w:rsid w:val="333DCE91"/>
    <w:rsid w:val="3343F522"/>
    <w:rsid w:val="334F57C4"/>
    <w:rsid w:val="3359EC9B"/>
    <w:rsid w:val="337621E0"/>
    <w:rsid w:val="337A18A0"/>
    <w:rsid w:val="3384C1F4"/>
    <w:rsid w:val="3387F04A"/>
    <w:rsid w:val="3388C91E"/>
    <w:rsid w:val="338C6DFC"/>
    <w:rsid w:val="3394D211"/>
    <w:rsid w:val="33A29EAF"/>
    <w:rsid w:val="33A94496"/>
    <w:rsid w:val="33ABD815"/>
    <w:rsid w:val="33AEF777"/>
    <w:rsid w:val="33AFF383"/>
    <w:rsid w:val="33B60EC9"/>
    <w:rsid w:val="33BC1829"/>
    <w:rsid w:val="33D1A9BF"/>
    <w:rsid w:val="33D7E2B4"/>
    <w:rsid w:val="33D90B04"/>
    <w:rsid w:val="33DCB3C5"/>
    <w:rsid w:val="33DEDEB2"/>
    <w:rsid w:val="33E47C5E"/>
    <w:rsid w:val="33EB047F"/>
    <w:rsid w:val="33EFB703"/>
    <w:rsid w:val="33F2E0DB"/>
    <w:rsid w:val="3405EFDC"/>
    <w:rsid w:val="341BA427"/>
    <w:rsid w:val="341F7552"/>
    <w:rsid w:val="3420EEB2"/>
    <w:rsid w:val="342222DE"/>
    <w:rsid w:val="342CF4B4"/>
    <w:rsid w:val="342FCE96"/>
    <w:rsid w:val="343A3D27"/>
    <w:rsid w:val="345385AD"/>
    <w:rsid w:val="34617D34"/>
    <w:rsid w:val="3473167D"/>
    <w:rsid w:val="3481E69C"/>
    <w:rsid w:val="34829C53"/>
    <w:rsid w:val="348322CA"/>
    <w:rsid w:val="34888070"/>
    <w:rsid w:val="348AFD48"/>
    <w:rsid w:val="3497946E"/>
    <w:rsid w:val="349D271A"/>
    <w:rsid w:val="349F42A5"/>
    <w:rsid w:val="34A85430"/>
    <w:rsid w:val="34B594A1"/>
    <w:rsid w:val="34F14279"/>
    <w:rsid w:val="34F6E6A0"/>
    <w:rsid w:val="34F770FA"/>
    <w:rsid w:val="34F960A4"/>
    <w:rsid w:val="34FA6846"/>
    <w:rsid w:val="3506872B"/>
    <w:rsid w:val="350F8369"/>
    <w:rsid w:val="3514E72A"/>
    <w:rsid w:val="35181B15"/>
    <w:rsid w:val="3519F452"/>
    <w:rsid w:val="351DC172"/>
    <w:rsid w:val="35267A6C"/>
    <w:rsid w:val="352E8E51"/>
    <w:rsid w:val="3541FA4A"/>
    <w:rsid w:val="3544A37E"/>
    <w:rsid w:val="3545397A"/>
    <w:rsid w:val="354D6D33"/>
    <w:rsid w:val="3558C1B6"/>
    <w:rsid w:val="355908F0"/>
    <w:rsid w:val="355DBC51"/>
    <w:rsid w:val="355DCC35"/>
    <w:rsid w:val="35612C11"/>
    <w:rsid w:val="35783607"/>
    <w:rsid w:val="3579B06F"/>
    <w:rsid w:val="357C1779"/>
    <w:rsid w:val="357CFE5E"/>
    <w:rsid w:val="358BF102"/>
    <w:rsid w:val="3599174E"/>
    <w:rsid w:val="35A3D69D"/>
    <w:rsid w:val="35B18257"/>
    <w:rsid w:val="35E71446"/>
    <w:rsid w:val="35F71830"/>
    <w:rsid w:val="35FD9C41"/>
    <w:rsid w:val="35FF874A"/>
    <w:rsid w:val="3601E46B"/>
    <w:rsid w:val="36056FC6"/>
    <w:rsid w:val="36081303"/>
    <w:rsid w:val="36098A2E"/>
    <w:rsid w:val="360C9D98"/>
    <w:rsid w:val="361192BA"/>
    <w:rsid w:val="362DDA38"/>
    <w:rsid w:val="363768CC"/>
    <w:rsid w:val="36393DC4"/>
    <w:rsid w:val="364086D6"/>
    <w:rsid w:val="3647FFB6"/>
    <w:rsid w:val="3648C870"/>
    <w:rsid w:val="364ADD10"/>
    <w:rsid w:val="3654D98C"/>
    <w:rsid w:val="365E82A2"/>
    <w:rsid w:val="366B478E"/>
    <w:rsid w:val="3683ADB1"/>
    <w:rsid w:val="3693CA32"/>
    <w:rsid w:val="3695AA07"/>
    <w:rsid w:val="369C9C56"/>
    <w:rsid w:val="36A41245"/>
    <w:rsid w:val="36D77EDA"/>
    <w:rsid w:val="36DE26DE"/>
    <w:rsid w:val="36E1F4C7"/>
    <w:rsid w:val="36F09D7D"/>
    <w:rsid w:val="36F6FDE2"/>
    <w:rsid w:val="36F90BA8"/>
    <w:rsid w:val="370F3CA2"/>
    <w:rsid w:val="37208FC9"/>
    <w:rsid w:val="37234207"/>
    <w:rsid w:val="372D2270"/>
    <w:rsid w:val="37311B0B"/>
    <w:rsid w:val="3731A4DA"/>
    <w:rsid w:val="373EE46E"/>
    <w:rsid w:val="37533D11"/>
    <w:rsid w:val="3756C85C"/>
    <w:rsid w:val="375DCD4E"/>
    <w:rsid w:val="375FA97A"/>
    <w:rsid w:val="37660F62"/>
    <w:rsid w:val="37661314"/>
    <w:rsid w:val="37677DE6"/>
    <w:rsid w:val="376A1B83"/>
    <w:rsid w:val="376DC4F0"/>
    <w:rsid w:val="3778B691"/>
    <w:rsid w:val="3779CB14"/>
    <w:rsid w:val="37A07B15"/>
    <w:rsid w:val="37BE0108"/>
    <w:rsid w:val="37C3E43C"/>
    <w:rsid w:val="37C78162"/>
    <w:rsid w:val="37E245F5"/>
    <w:rsid w:val="3804D180"/>
    <w:rsid w:val="380F9D4D"/>
    <w:rsid w:val="38317F70"/>
    <w:rsid w:val="383A21D2"/>
    <w:rsid w:val="383AA930"/>
    <w:rsid w:val="383E331D"/>
    <w:rsid w:val="384657D4"/>
    <w:rsid w:val="384A2442"/>
    <w:rsid w:val="384CB16D"/>
    <w:rsid w:val="38508CF2"/>
    <w:rsid w:val="38510E8E"/>
    <w:rsid w:val="38512A03"/>
    <w:rsid w:val="38567148"/>
    <w:rsid w:val="385CE824"/>
    <w:rsid w:val="3862D2D2"/>
    <w:rsid w:val="386F5E5B"/>
    <w:rsid w:val="388A99D5"/>
    <w:rsid w:val="388E5C6E"/>
    <w:rsid w:val="38967454"/>
    <w:rsid w:val="389823A6"/>
    <w:rsid w:val="38A441A7"/>
    <w:rsid w:val="38A4F72D"/>
    <w:rsid w:val="38AF7463"/>
    <w:rsid w:val="38B6834F"/>
    <w:rsid w:val="38CF91E3"/>
    <w:rsid w:val="38D3BED3"/>
    <w:rsid w:val="38D3F407"/>
    <w:rsid w:val="38D65134"/>
    <w:rsid w:val="38E083DA"/>
    <w:rsid w:val="38F1E8A1"/>
    <w:rsid w:val="38F77399"/>
    <w:rsid w:val="38FEE0B1"/>
    <w:rsid w:val="39057033"/>
    <w:rsid w:val="39087459"/>
    <w:rsid w:val="390E1F22"/>
    <w:rsid w:val="39110ED5"/>
    <w:rsid w:val="391EE389"/>
    <w:rsid w:val="392001DA"/>
    <w:rsid w:val="392167C0"/>
    <w:rsid w:val="39275E54"/>
    <w:rsid w:val="393F217C"/>
    <w:rsid w:val="393F6012"/>
    <w:rsid w:val="39401C06"/>
    <w:rsid w:val="3952934E"/>
    <w:rsid w:val="3953CBF8"/>
    <w:rsid w:val="39619F74"/>
    <w:rsid w:val="3968CB94"/>
    <w:rsid w:val="3977AE06"/>
    <w:rsid w:val="3981060A"/>
    <w:rsid w:val="398AFC5D"/>
    <w:rsid w:val="398E425F"/>
    <w:rsid w:val="399B1EA3"/>
    <w:rsid w:val="39A4D4D3"/>
    <w:rsid w:val="39AF1169"/>
    <w:rsid w:val="39B57889"/>
    <w:rsid w:val="39CEC58B"/>
    <w:rsid w:val="39D0009A"/>
    <w:rsid w:val="39D22AD5"/>
    <w:rsid w:val="39D52684"/>
    <w:rsid w:val="39DB278F"/>
    <w:rsid w:val="39DDD30E"/>
    <w:rsid w:val="39E2FBF7"/>
    <w:rsid w:val="39FE78E5"/>
    <w:rsid w:val="3A010B2A"/>
    <w:rsid w:val="3A142ED6"/>
    <w:rsid w:val="3A17135D"/>
    <w:rsid w:val="3A229D16"/>
    <w:rsid w:val="3A3500AB"/>
    <w:rsid w:val="3A4D8F46"/>
    <w:rsid w:val="3A646F0C"/>
    <w:rsid w:val="3A67F06C"/>
    <w:rsid w:val="3A6A08FA"/>
    <w:rsid w:val="3A6AB4D1"/>
    <w:rsid w:val="3A6D47AF"/>
    <w:rsid w:val="3A6F7E3D"/>
    <w:rsid w:val="3A82A48B"/>
    <w:rsid w:val="3AA6233D"/>
    <w:rsid w:val="3AA7D608"/>
    <w:rsid w:val="3AAF63E0"/>
    <w:rsid w:val="3AAF7884"/>
    <w:rsid w:val="3ABC2168"/>
    <w:rsid w:val="3AF584A7"/>
    <w:rsid w:val="3AFEEF68"/>
    <w:rsid w:val="3B0236E6"/>
    <w:rsid w:val="3B1A69F5"/>
    <w:rsid w:val="3B1E5913"/>
    <w:rsid w:val="3B24BCF6"/>
    <w:rsid w:val="3B2E25A1"/>
    <w:rsid w:val="3B32C312"/>
    <w:rsid w:val="3B3BEC0D"/>
    <w:rsid w:val="3B41C40A"/>
    <w:rsid w:val="3B47827F"/>
    <w:rsid w:val="3B602969"/>
    <w:rsid w:val="3B6D3B40"/>
    <w:rsid w:val="3B71C0B0"/>
    <w:rsid w:val="3B7C84E3"/>
    <w:rsid w:val="3B8040FB"/>
    <w:rsid w:val="3B825895"/>
    <w:rsid w:val="3B9A093B"/>
    <w:rsid w:val="3B9B124D"/>
    <w:rsid w:val="3BA760E9"/>
    <w:rsid w:val="3BB800F2"/>
    <w:rsid w:val="3BBB2EA0"/>
    <w:rsid w:val="3BCB6BCD"/>
    <w:rsid w:val="3BD23AD7"/>
    <w:rsid w:val="3BD46ED8"/>
    <w:rsid w:val="3BE12400"/>
    <w:rsid w:val="3BE22363"/>
    <w:rsid w:val="3BE6AA57"/>
    <w:rsid w:val="3C02676E"/>
    <w:rsid w:val="3C0653C6"/>
    <w:rsid w:val="3C096E4F"/>
    <w:rsid w:val="3C0D5E35"/>
    <w:rsid w:val="3C185C5E"/>
    <w:rsid w:val="3C191860"/>
    <w:rsid w:val="3C1B31F8"/>
    <w:rsid w:val="3C297D41"/>
    <w:rsid w:val="3C4D1E2F"/>
    <w:rsid w:val="3C5702BE"/>
    <w:rsid w:val="3C5975DB"/>
    <w:rsid w:val="3C679380"/>
    <w:rsid w:val="3C7E83E6"/>
    <w:rsid w:val="3C7E958B"/>
    <w:rsid w:val="3C918875"/>
    <w:rsid w:val="3C97CF09"/>
    <w:rsid w:val="3CA44FA2"/>
    <w:rsid w:val="3CB07AD6"/>
    <w:rsid w:val="3CB1020B"/>
    <w:rsid w:val="3CB7C24C"/>
    <w:rsid w:val="3CB9EABD"/>
    <w:rsid w:val="3CC4A917"/>
    <w:rsid w:val="3CCC7B09"/>
    <w:rsid w:val="3CCD1E6A"/>
    <w:rsid w:val="3CD0E76B"/>
    <w:rsid w:val="3CD67A51"/>
    <w:rsid w:val="3CDD50F7"/>
    <w:rsid w:val="3CDDD9D9"/>
    <w:rsid w:val="3CFBDBCC"/>
    <w:rsid w:val="3D04FAC1"/>
    <w:rsid w:val="3D088001"/>
    <w:rsid w:val="3D0954D6"/>
    <w:rsid w:val="3D0F3242"/>
    <w:rsid w:val="3D1607A2"/>
    <w:rsid w:val="3D2328FC"/>
    <w:rsid w:val="3D25BDC2"/>
    <w:rsid w:val="3D2CA3C7"/>
    <w:rsid w:val="3D2DEC53"/>
    <w:rsid w:val="3D2E3F83"/>
    <w:rsid w:val="3D358A9F"/>
    <w:rsid w:val="3D58EA56"/>
    <w:rsid w:val="3D5A81AA"/>
    <w:rsid w:val="3D77565F"/>
    <w:rsid w:val="3D79451B"/>
    <w:rsid w:val="3D9F569A"/>
    <w:rsid w:val="3DB0B4AD"/>
    <w:rsid w:val="3DB81606"/>
    <w:rsid w:val="3DB90AB5"/>
    <w:rsid w:val="3DC7E599"/>
    <w:rsid w:val="3DCDC865"/>
    <w:rsid w:val="3DDA55DC"/>
    <w:rsid w:val="3DE6E2A2"/>
    <w:rsid w:val="3DF2BA8B"/>
    <w:rsid w:val="3DF70C80"/>
    <w:rsid w:val="3DFB2FB1"/>
    <w:rsid w:val="3E02C0B9"/>
    <w:rsid w:val="3E087A0C"/>
    <w:rsid w:val="3E1BEEB4"/>
    <w:rsid w:val="3E23B0AD"/>
    <w:rsid w:val="3E2A2DC4"/>
    <w:rsid w:val="3E33BCB7"/>
    <w:rsid w:val="3E5319F6"/>
    <w:rsid w:val="3E552796"/>
    <w:rsid w:val="3E5C1135"/>
    <w:rsid w:val="3E6804DB"/>
    <w:rsid w:val="3E7014C0"/>
    <w:rsid w:val="3E75C9F3"/>
    <w:rsid w:val="3E778A68"/>
    <w:rsid w:val="3E941666"/>
    <w:rsid w:val="3E943E6A"/>
    <w:rsid w:val="3EAF6BB1"/>
    <w:rsid w:val="3EB2F5DE"/>
    <w:rsid w:val="3EB6AFEE"/>
    <w:rsid w:val="3EBC671D"/>
    <w:rsid w:val="3EC0BF9C"/>
    <w:rsid w:val="3EC1AF62"/>
    <w:rsid w:val="3ED0B8E3"/>
    <w:rsid w:val="3ED47F98"/>
    <w:rsid w:val="3EE62D90"/>
    <w:rsid w:val="3EEA5E8F"/>
    <w:rsid w:val="3EF4F310"/>
    <w:rsid w:val="3EFF4923"/>
    <w:rsid w:val="3F0D3AD9"/>
    <w:rsid w:val="3F58F41F"/>
    <w:rsid w:val="3F62A10F"/>
    <w:rsid w:val="3F62D4F1"/>
    <w:rsid w:val="3F648765"/>
    <w:rsid w:val="3F692C20"/>
    <w:rsid w:val="3F7A6AAA"/>
    <w:rsid w:val="3F8240E3"/>
    <w:rsid w:val="3F885D2E"/>
    <w:rsid w:val="3F8BF701"/>
    <w:rsid w:val="3F9627A8"/>
    <w:rsid w:val="3FA9E49B"/>
    <w:rsid w:val="3FBB3DAC"/>
    <w:rsid w:val="3FBBD310"/>
    <w:rsid w:val="3FBDA390"/>
    <w:rsid w:val="3FCDC436"/>
    <w:rsid w:val="3FD8CC05"/>
    <w:rsid w:val="3FE8AA11"/>
    <w:rsid w:val="3FE9B8D2"/>
    <w:rsid w:val="400517C9"/>
    <w:rsid w:val="4006C818"/>
    <w:rsid w:val="4015D995"/>
    <w:rsid w:val="4024E026"/>
    <w:rsid w:val="402B8923"/>
    <w:rsid w:val="4031C9C2"/>
    <w:rsid w:val="4045842F"/>
    <w:rsid w:val="404A433D"/>
    <w:rsid w:val="4065B958"/>
    <w:rsid w:val="406CB7F9"/>
    <w:rsid w:val="40759AA0"/>
    <w:rsid w:val="408CF3A7"/>
    <w:rsid w:val="40C2E60E"/>
    <w:rsid w:val="40CD67C5"/>
    <w:rsid w:val="40CD97B4"/>
    <w:rsid w:val="40D38BC4"/>
    <w:rsid w:val="40D5C5B5"/>
    <w:rsid w:val="40FCEE64"/>
    <w:rsid w:val="4132D073"/>
    <w:rsid w:val="41373F2E"/>
    <w:rsid w:val="413837B6"/>
    <w:rsid w:val="413A0183"/>
    <w:rsid w:val="4143A919"/>
    <w:rsid w:val="414E7F19"/>
    <w:rsid w:val="414ED7E4"/>
    <w:rsid w:val="41508B20"/>
    <w:rsid w:val="4154270D"/>
    <w:rsid w:val="41714869"/>
    <w:rsid w:val="41723F19"/>
    <w:rsid w:val="4174270A"/>
    <w:rsid w:val="417B2C13"/>
    <w:rsid w:val="417CB073"/>
    <w:rsid w:val="417E87D1"/>
    <w:rsid w:val="41862212"/>
    <w:rsid w:val="41A28218"/>
    <w:rsid w:val="41AA7AF9"/>
    <w:rsid w:val="41AC0497"/>
    <w:rsid w:val="41B31B00"/>
    <w:rsid w:val="41B83E93"/>
    <w:rsid w:val="41BD9531"/>
    <w:rsid w:val="41C7FD3D"/>
    <w:rsid w:val="41DA89A0"/>
    <w:rsid w:val="41E2A8FC"/>
    <w:rsid w:val="41ED50E0"/>
    <w:rsid w:val="4210B61B"/>
    <w:rsid w:val="421460FD"/>
    <w:rsid w:val="421AA2DF"/>
    <w:rsid w:val="42291CB2"/>
    <w:rsid w:val="4229BB76"/>
    <w:rsid w:val="42335DC6"/>
    <w:rsid w:val="423AC4D0"/>
    <w:rsid w:val="4245DCE2"/>
    <w:rsid w:val="42546856"/>
    <w:rsid w:val="425DE07A"/>
    <w:rsid w:val="4262CEFB"/>
    <w:rsid w:val="4268D5A2"/>
    <w:rsid w:val="426A3A8D"/>
    <w:rsid w:val="426BF6C9"/>
    <w:rsid w:val="426C1780"/>
    <w:rsid w:val="4275E8E7"/>
    <w:rsid w:val="428187CE"/>
    <w:rsid w:val="4286487D"/>
    <w:rsid w:val="428DE9E8"/>
    <w:rsid w:val="4290B5CF"/>
    <w:rsid w:val="4292ADEF"/>
    <w:rsid w:val="4294F83C"/>
    <w:rsid w:val="4299CA6B"/>
    <w:rsid w:val="42A3AA62"/>
    <w:rsid w:val="42AAF697"/>
    <w:rsid w:val="42B03968"/>
    <w:rsid w:val="42B73165"/>
    <w:rsid w:val="42BA9995"/>
    <w:rsid w:val="42C1E776"/>
    <w:rsid w:val="42CD3B3C"/>
    <w:rsid w:val="42CEBA27"/>
    <w:rsid w:val="42D4C747"/>
    <w:rsid w:val="42DE43DE"/>
    <w:rsid w:val="42F85D60"/>
    <w:rsid w:val="430636E1"/>
    <w:rsid w:val="430F9103"/>
    <w:rsid w:val="43168AD9"/>
    <w:rsid w:val="431D6FAB"/>
    <w:rsid w:val="432109D2"/>
    <w:rsid w:val="43237818"/>
    <w:rsid w:val="432E5A1A"/>
    <w:rsid w:val="432F2FF7"/>
    <w:rsid w:val="4330BF64"/>
    <w:rsid w:val="43455090"/>
    <w:rsid w:val="4346AFE6"/>
    <w:rsid w:val="4348631B"/>
    <w:rsid w:val="434B8E4C"/>
    <w:rsid w:val="434D29ED"/>
    <w:rsid w:val="435391E2"/>
    <w:rsid w:val="435C3A22"/>
    <w:rsid w:val="435DAC5D"/>
    <w:rsid w:val="4373C230"/>
    <w:rsid w:val="437724AD"/>
    <w:rsid w:val="437C7907"/>
    <w:rsid w:val="439B5E36"/>
    <w:rsid w:val="439E3BC7"/>
    <w:rsid w:val="43B8CB21"/>
    <w:rsid w:val="43C08499"/>
    <w:rsid w:val="43C4F9F2"/>
    <w:rsid w:val="43C57094"/>
    <w:rsid w:val="43C8A6AF"/>
    <w:rsid w:val="43DC47E0"/>
    <w:rsid w:val="441B5107"/>
    <w:rsid w:val="441E8BF8"/>
    <w:rsid w:val="4420FBD3"/>
    <w:rsid w:val="44226039"/>
    <w:rsid w:val="442A4BD7"/>
    <w:rsid w:val="44394F2E"/>
    <w:rsid w:val="443FF8D1"/>
    <w:rsid w:val="4443E43F"/>
    <w:rsid w:val="4445434F"/>
    <w:rsid w:val="446321EF"/>
    <w:rsid w:val="44820FE6"/>
    <w:rsid w:val="44A04D0B"/>
    <w:rsid w:val="44A1A568"/>
    <w:rsid w:val="44AF7F35"/>
    <w:rsid w:val="44AFD7F4"/>
    <w:rsid w:val="44DFCB01"/>
    <w:rsid w:val="44EBBB21"/>
    <w:rsid w:val="44EF05BE"/>
    <w:rsid w:val="45036626"/>
    <w:rsid w:val="450F1952"/>
    <w:rsid w:val="451072E0"/>
    <w:rsid w:val="4512A398"/>
    <w:rsid w:val="45138245"/>
    <w:rsid w:val="4515234B"/>
    <w:rsid w:val="45288C53"/>
    <w:rsid w:val="452FC195"/>
    <w:rsid w:val="453D7F24"/>
    <w:rsid w:val="45468A19"/>
    <w:rsid w:val="4549507F"/>
    <w:rsid w:val="4557F9C2"/>
    <w:rsid w:val="456181CE"/>
    <w:rsid w:val="45622A7D"/>
    <w:rsid w:val="4578DF0D"/>
    <w:rsid w:val="4586AFD5"/>
    <w:rsid w:val="458B22C0"/>
    <w:rsid w:val="45951B6A"/>
    <w:rsid w:val="4597973D"/>
    <w:rsid w:val="459B71CB"/>
    <w:rsid w:val="459DC1F4"/>
    <w:rsid w:val="45AE2DBD"/>
    <w:rsid w:val="45AF7745"/>
    <w:rsid w:val="45DDAC97"/>
    <w:rsid w:val="460094B2"/>
    <w:rsid w:val="460D6D46"/>
    <w:rsid w:val="46113B44"/>
    <w:rsid w:val="4611EDDF"/>
    <w:rsid w:val="461303EC"/>
    <w:rsid w:val="4615B712"/>
    <w:rsid w:val="461DCBDF"/>
    <w:rsid w:val="462E7463"/>
    <w:rsid w:val="463458BF"/>
    <w:rsid w:val="463A820F"/>
    <w:rsid w:val="464583CE"/>
    <w:rsid w:val="465BD9B8"/>
    <w:rsid w:val="4660AB96"/>
    <w:rsid w:val="466C35C7"/>
    <w:rsid w:val="46746996"/>
    <w:rsid w:val="4675042D"/>
    <w:rsid w:val="4677E0AD"/>
    <w:rsid w:val="467A621C"/>
    <w:rsid w:val="4689FA23"/>
    <w:rsid w:val="469FF294"/>
    <w:rsid w:val="46B699C9"/>
    <w:rsid w:val="46C36AD8"/>
    <w:rsid w:val="46C62107"/>
    <w:rsid w:val="46CAA1B9"/>
    <w:rsid w:val="46CDB482"/>
    <w:rsid w:val="46D4E24C"/>
    <w:rsid w:val="46D8B995"/>
    <w:rsid w:val="46D9BCBF"/>
    <w:rsid w:val="46DC11F9"/>
    <w:rsid w:val="46F54928"/>
    <w:rsid w:val="46F77ECF"/>
    <w:rsid w:val="471590F7"/>
    <w:rsid w:val="471856B4"/>
    <w:rsid w:val="473F357F"/>
    <w:rsid w:val="473F8940"/>
    <w:rsid w:val="474EB76F"/>
    <w:rsid w:val="475F9575"/>
    <w:rsid w:val="476616C3"/>
    <w:rsid w:val="47759707"/>
    <w:rsid w:val="477AD00C"/>
    <w:rsid w:val="47849041"/>
    <w:rsid w:val="478F0E1B"/>
    <w:rsid w:val="47988E0F"/>
    <w:rsid w:val="47A607C9"/>
    <w:rsid w:val="47AFE50F"/>
    <w:rsid w:val="47BB6F72"/>
    <w:rsid w:val="47C1CDC7"/>
    <w:rsid w:val="47D63095"/>
    <w:rsid w:val="47D824AF"/>
    <w:rsid w:val="47E87028"/>
    <w:rsid w:val="47F14DB9"/>
    <w:rsid w:val="47F7FA7A"/>
    <w:rsid w:val="47F8A3B3"/>
    <w:rsid w:val="480408C9"/>
    <w:rsid w:val="48063D42"/>
    <w:rsid w:val="48093240"/>
    <w:rsid w:val="480E8622"/>
    <w:rsid w:val="481C82B0"/>
    <w:rsid w:val="482A05E4"/>
    <w:rsid w:val="48342218"/>
    <w:rsid w:val="4835F63D"/>
    <w:rsid w:val="484441F6"/>
    <w:rsid w:val="48483C9C"/>
    <w:rsid w:val="4848F438"/>
    <w:rsid w:val="4852F647"/>
    <w:rsid w:val="485A4379"/>
    <w:rsid w:val="485C2D50"/>
    <w:rsid w:val="4865D736"/>
    <w:rsid w:val="486BC2B1"/>
    <w:rsid w:val="486D7364"/>
    <w:rsid w:val="48757B0B"/>
    <w:rsid w:val="487B16E5"/>
    <w:rsid w:val="488083B3"/>
    <w:rsid w:val="488B6DF0"/>
    <w:rsid w:val="48985AD6"/>
    <w:rsid w:val="489A39EA"/>
    <w:rsid w:val="48BDC4F5"/>
    <w:rsid w:val="48BEB941"/>
    <w:rsid w:val="48C5093E"/>
    <w:rsid w:val="48CB3582"/>
    <w:rsid w:val="48DC76DE"/>
    <w:rsid w:val="4906F824"/>
    <w:rsid w:val="491067EC"/>
    <w:rsid w:val="4916EDC5"/>
    <w:rsid w:val="492D60E8"/>
    <w:rsid w:val="492D6539"/>
    <w:rsid w:val="49382C14"/>
    <w:rsid w:val="4948F693"/>
    <w:rsid w:val="494A9BE0"/>
    <w:rsid w:val="49663B0F"/>
    <w:rsid w:val="496A2130"/>
    <w:rsid w:val="496EBAA0"/>
    <w:rsid w:val="497FADE3"/>
    <w:rsid w:val="499C7B2A"/>
    <w:rsid w:val="49A00630"/>
    <w:rsid w:val="49AB4BE3"/>
    <w:rsid w:val="49ABEA21"/>
    <w:rsid w:val="49B37C2B"/>
    <w:rsid w:val="49B7D13B"/>
    <w:rsid w:val="49B9AE49"/>
    <w:rsid w:val="49BCAFF9"/>
    <w:rsid w:val="49C4D242"/>
    <w:rsid w:val="49C67452"/>
    <w:rsid w:val="49CF391B"/>
    <w:rsid w:val="49F01B46"/>
    <w:rsid w:val="4A037F0F"/>
    <w:rsid w:val="4A0CD3AD"/>
    <w:rsid w:val="4A0D570C"/>
    <w:rsid w:val="4A203125"/>
    <w:rsid w:val="4A4B6A76"/>
    <w:rsid w:val="4A4EF505"/>
    <w:rsid w:val="4A532D83"/>
    <w:rsid w:val="4A5F2338"/>
    <w:rsid w:val="4A67CB14"/>
    <w:rsid w:val="4A7353A2"/>
    <w:rsid w:val="4A741200"/>
    <w:rsid w:val="4A7B9A69"/>
    <w:rsid w:val="4A803E47"/>
    <w:rsid w:val="4A87425E"/>
    <w:rsid w:val="4AA0C570"/>
    <w:rsid w:val="4AA1251A"/>
    <w:rsid w:val="4AA3360C"/>
    <w:rsid w:val="4AB3E2E3"/>
    <w:rsid w:val="4AB70D79"/>
    <w:rsid w:val="4AE59349"/>
    <w:rsid w:val="4AE59E6F"/>
    <w:rsid w:val="4AF14A59"/>
    <w:rsid w:val="4B1114C1"/>
    <w:rsid w:val="4B2278B4"/>
    <w:rsid w:val="4B2703A2"/>
    <w:rsid w:val="4B27DF14"/>
    <w:rsid w:val="4B36A5CB"/>
    <w:rsid w:val="4B3917C8"/>
    <w:rsid w:val="4B3E24A8"/>
    <w:rsid w:val="4B3F74A1"/>
    <w:rsid w:val="4B4BA823"/>
    <w:rsid w:val="4B50100E"/>
    <w:rsid w:val="4B564C8D"/>
    <w:rsid w:val="4B61FEBB"/>
    <w:rsid w:val="4B761597"/>
    <w:rsid w:val="4B81ADCD"/>
    <w:rsid w:val="4B85B8C9"/>
    <w:rsid w:val="4B8BB9E2"/>
    <w:rsid w:val="4B922355"/>
    <w:rsid w:val="4BA0DF08"/>
    <w:rsid w:val="4BAF64F1"/>
    <w:rsid w:val="4BC741CD"/>
    <w:rsid w:val="4BD27781"/>
    <w:rsid w:val="4BEB4DF0"/>
    <w:rsid w:val="4BF79BD1"/>
    <w:rsid w:val="4BFCE464"/>
    <w:rsid w:val="4BFE8D6A"/>
    <w:rsid w:val="4C06B7D5"/>
    <w:rsid w:val="4C101B93"/>
    <w:rsid w:val="4C111D72"/>
    <w:rsid w:val="4C134088"/>
    <w:rsid w:val="4C29CE30"/>
    <w:rsid w:val="4C2A367C"/>
    <w:rsid w:val="4C349331"/>
    <w:rsid w:val="4C40135A"/>
    <w:rsid w:val="4C653C75"/>
    <w:rsid w:val="4C6B69C9"/>
    <w:rsid w:val="4C713FEF"/>
    <w:rsid w:val="4C729CAA"/>
    <w:rsid w:val="4C72C713"/>
    <w:rsid w:val="4C8BD0AD"/>
    <w:rsid w:val="4C8EC40C"/>
    <w:rsid w:val="4C96EC36"/>
    <w:rsid w:val="4C9D8823"/>
    <w:rsid w:val="4CA2D34B"/>
    <w:rsid w:val="4CAC31F0"/>
    <w:rsid w:val="4CB9E6F9"/>
    <w:rsid w:val="4CBBBCF9"/>
    <w:rsid w:val="4CBC01B1"/>
    <w:rsid w:val="4CC6B404"/>
    <w:rsid w:val="4CDB9E08"/>
    <w:rsid w:val="4CE1B0AA"/>
    <w:rsid w:val="4CECBA2C"/>
    <w:rsid w:val="4D0D284D"/>
    <w:rsid w:val="4D20782B"/>
    <w:rsid w:val="4D23203C"/>
    <w:rsid w:val="4D262185"/>
    <w:rsid w:val="4D2F76BD"/>
    <w:rsid w:val="4D34DFD8"/>
    <w:rsid w:val="4D52C315"/>
    <w:rsid w:val="4D5593FB"/>
    <w:rsid w:val="4D61C270"/>
    <w:rsid w:val="4D635790"/>
    <w:rsid w:val="4D855677"/>
    <w:rsid w:val="4D8B11A7"/>
    <w:rsid w:val="4DB90B30"/>
    <w:rsid w:val="4DBBB693"/>
    <w:rsid w:val="4DC6404F"/>
    <w:rsid w:val="4DCB23E0"/>
    <w:rsid w:val="4DCD442F"/>
    <w:rsid w:val="4DD04B70"/>
    <w:rsid w:val="4DD82DBB"/>
    <w:rsid w:val="4DFD4F6E"/>
    <w:rsid w:val="4E04107D"/>
    <w:rsid w:val="4E0B7DAB"/>
    <w:rsid w:val="4E1FC41E"/>
    <w:rsid w:val="4E23362E"/>
    <w:rsid w:val="4E235D76"/>
    <w:rsid w:val="4E290204"/>
    <w:rsid w:val="4E29EB15"/>
    <w:rsid w:val="4E3B35D6"/>
    <w:rsid w:val="4E3FF007"/>
    <w:rsid w:val="4E433AF7"/>
    <w:rsid w:val="4E495F09"/>
    <w:rsid w:val="4E5A4297"/>
    <w:rsid w:val="4E5B5D61"/>
    <w:rsid w:val="4E6752C7"/>
    <w:rsid w:val="4E85A15F"/>
    <w:rsid w:val="4E8D940C"/>
    <w:rsid w:val="4EA1C144"/>
    <w:rsid w:val="4EA2DD34"/>
    <w:rsid w:val="4EAD4F10"/>
    <w:rsid w:val="4EBA494A"/>
    <w:rsid w:val="4EBD03E1"/>
    <w:rsid w:val="4ECA1D6E"/>
    <w:rsid w:val="4ECE765F"/>
    <w:rsid w:val="4EF09F7E"/>
    <w:rsid w:val="4EF70848"/>
    <w:rsid w:val="4F1A70A9"/>
    <w:rsid w:val="4F2FAD69"/>
    <w:rsid w:val="4F34FABE"/>
    <w:rsid w:val="4F35CAD3"/>
    <w:rsid w:val="4F4D933A"/>
    <w:rsid w:val="4F55FAF7"/>
    <w:rsid w:val="4F5F69C0"/>
    <w:rsid w:val="4F60F0C6"/>
    <w:rsid w:val="4F79AAFB"/>
    <w:rsid w:val="4F7CD6E5"/>
    <w:rsid w:val="4FA23E78"/>
    <w:rsid w:val="4FBEA07C"/>
    <w:rsid w:val="4FCCCE36"/>
    <w:rsid w:val="4FD2B408"/>
    <w:rsid w:val="4FD8E5FD"/>
    <w:rsid w:val="4FD96748"/>
    <w:rsid w:val="4FF0EFF8"/>
    <w:rsid w:val="4FF466DC"/>
    <w:rsid w:val="5009B6E4"/>
    <w:rsid w:val="500E1464"/>
    <w:rsid w:val="5015614C"/>
    <w:rsid w:val="501D5528"/>
    <w:rsid w:val="5028C0DB"/>
    <w:rsid w:val="5028EF67"/>
    <w:rsid w:val="502F2454"/>
    <w:rsid w:val="503F7D0B"/>
    <w:rsid w:val="5045B9E1"/>
    <w:rsid w:val="50462E9B"/>
    <w:rsid w:val="50543FA6"/>
    <w:rsid w:val="505F03AE"/>
    <w:rsid w:val="5067CFA9"/>
    <w:rsid w:val="507127BF"/>
    <w:rsid w:val="5077C5DC"/>
    <w:rsid w:val="508645B6"/>
    <w:rsid w:val="508B37E2"/>
    <w:rsid w:val="50A5D063"/>
    <w:rsid w:val="50A7D8DB"/>
    <w:rsid w:val="51037ACE"/>
    <w:rsid w:val="51097176"/>
    <w:rsid w:val="5109D90B"/>
    <w:rsid w:val="5110852D"/>
    <w:rsid w:val="51134479"/>
    <w:rsid w:val="512BBB29"/>
    <w:rsid w:val="5146258D"/>
    <w:rsid w:val="5148451C"/>
    <w:rsid w:val="515773F4"/>
    <w:rsid w:val="5159E3EE"/>
    <w:rsid w:val="515FB075"/>
    <w:rsid w:val="516393C2"/>
    <w:rsid w:val="51702E06"/>
    <w:rsid w:val="5177FCB3"/>
    <w:rsid w:val="517E3F32"/>
    <w:rsid w:val="51814315"/>
    <w:rsid w:val="518E07B9"/>
    <w:rsid w:val="51AA17DF"/>
    <w:rsid w:val="51B6F75E"/>
    <w:rsid w:val="51C71D6A"/>
    <w:rsid w:val="51CDAC84"/>
    <w:rsid w:val="51D00003"/>
    <w:rsid w:val="51D36A4A"/>
    <w:rsid w:val="51DA71E0"/>
    <w:rsid w:val="51DB373C"/>
    <w:rsid w:val="51E4040D"/>
    <w:rsid w:val="52082E76"/>
    <w:rsid w:val="52136C39"/>
    <w:rsid w:val="5218A058"/>
    <w:rsid w:val="52216F9E"/>
    <w:rsid w:val="5222A0FF"/>
    <w:rsid w:val="5234E315"/>
    <w:rsid w:val="523BBD38"/>
    <w:rsid w:val="523CF04B"/>
    <w:rsid w:val="524C3A05"/>
    <w:rsid w:val="525A09E0"/>
    <w:rsid w:val="525EAA17"/>
    <w:rsid w:val="525FE2D4"/>
    <w:rsid w:val="526E7F34"/>
    <w:rsid w:val="5283CC78"/>
    <w:rsid w:val="52902973"/>
    <w:rsid w:val="52A50362"/>
    <w:rsid w:val="52A7D823"/>
    <w:rsid w:val="52AABEB6"/>
    <w:rsid w:val="52AB2197"/>
    <w:rsid w:val="52AC86BC"/>
    <w:rsid w:val="52C2AE5C"/>
    <w:rsid w:val="52C559F1"/>
    <w:rsid w:val="52C6EF02"/>
    <w:rsid w:val="52C928D9"/>
    <w:rsid w:val="52CB40AF"/>
    <w:rsid w:val="52CC44F7"/>
    <w:rsid w:val="52D6EB03"/>
    <w:rsid w:val="52DEE5F4"/>
    <w:rsid w:val="52E14597"/>
    <w:rsid w:val="52EDC52C"/>
    <w:rsid w:val="52F2E685"/>
    <w:rsid w:val="531D85C9"/>
    <w:rsid w:val="531F57D4"/>
    <w:rsid w:val="53260222"/>
    <w:rsid w:val="533211CF"/>
    <w:rsid w:val="533627D5"/>
    <w:rsid w:val="533E0D72"/>
    <w:rsid w:val="5346DB00"/>
    <w:rsid w:val="535292F7"/>
    <w:rsid w:val="535D2EB9"/>
    <w:rsid w:val="53600D4D"/>
    <w:rsid w:val="5366CF67"/>
    <w:rsid w:val="5372FEB1"/>
    <w:rsid w:val="537817EC"/>
    <w:rsid w:val="537D6A20"/>
    <w:rsid w:val="537D918E"/>
    <w:rsid w:val="538708DE"/>
    <w:rsid w:val="53882414"/>
    <w:rsid w:val="53889375"/>
    <w:rsid w:val="53893117"/>
    <w:rsid w:val="538D8564"/>
    <w:rsid w:val="538EF718"/>
    <w:rsid w:val="53A27786"/>
    <w:rsid w:val="53AE7FC5"/>
    <w:rsid w:val="53B02E90"/>
    <w:rsid w:val="53B07BF3"/>
    <w:rsid w:val="53C13982"/>
    <w:rsid w:val="53C14A92"/>
    <w:rsid w:val="53C48768"/>
    <w:rsid w:val="53C6F56A"/>
    <w:rsid w:val="53E459B3"/>
    <w:rsid w:val="53E86ABF"/>
    <w:rsid w:val="53EB4168"/>
    <w:rsid w:val="53ECC17B"/>
    <w:rsid w:val="53EEF912"/>
    <w:rsid w:val="53F0547B"/>
    <w:rsid w:val="53F41526"/>
    <w:rsid w:val="53F77263"/>
    <w:rsid w:val="53FCDE39"/>
    <w:rsid w:val="53FFA467"/>
    <w:rsid w:val="540E22F8"/>
    <w:rsid w:val="5414F1A2"/>
    <w:rsid w:val="54211FC1"/>
    <w:rsid w:val="542BF933"/>
    <w:rsid w:val="542E02D7"/>
    <w:rsid w:val="543BB7E3"/>
    <w:rsid w:val="543E543E"/>
    <w:rsid w:val="5440C82B"/>
    <w:rsid w:val="545D44B4"/>
    <w:rsid w:val="546A395E"/>
    <w:rsid w:val="548886D6"/>
    <w:rsid w:val="549C4AF9"/>
    <w:rsid w:val="54B070CD"/>
    <w:rsid w:val="54C379ED"/>
    <w:rsid w:val="54DB913A"/>
    <w:rsid w:val="54DD8F75"/>
    <w:rsid w:val="54E50CDF"/>
    <w:rsid w:val="54E5C8A5"/>
    <w:rsid w:val="54EDDCAC"/>
    <w:rsid w:val="54F1C9EF"/>
    <w:rsid w:val="54FD10D0"/>
    <w:rsid w:val="5508E101"/>
    <w:rsid w:val="5511E14F"/>
    <w:rsid w:val="55171476"/>
    <w:rsid w:val="55181ED0"/>
    <w:rsid w:val="551F2908"/>
    <w:rsid w:val="552888B2"/>
    <w:rsid w:val="552DD994"/>
    <w:rsid w:val="5535742B"/>
    <w:rsid w:val="5542150F"/>
    <w:rsid w:val="554B9851"/>
    <w:rsid w:val="555205D3"/>
    <w:rsid w:val="5554765D"/>
    <w:rsid w:val="5559E3B7"/>
    <w:rsid w:val="555B5965"/>
    <w:rsid w:val="555D2B74"/>
    <w:rsid w:val="556AA528"/>
    <w:rsid w:val="557C05F9"/>
    <w:rsid w:val="5599C6A0"/>
    <w:rsid w:val="55B7D4CD"/>
    <w:rsid w:val="55C16330"/>
    <w:rsid w:val="55D3C585"/>
    <w:rsid w:val="55D5C297"/>
    <w:rsid w:val="55DF8271"/>
    <w:rsid w:val="55FCC742"/>
    <w:rsid w:val="55FD714C"/>
    <w:rsid w:val="561422CF"/>
    <w:rsid w:val="5616B6E1"/>
    <w:rsid w:val="561CC01D"/>
    <w:rsid w:val="56234F69"/>
    <w:rsid w:val="56290AC5"/>
    <w:rsid w:val="5654151E"/>
    <w:rsid w:val="5659F49C"/>
    <w:rsid w:val="565E5DC8"/>
    <w:rsid w:val="565E6BB5"/>
    <w:rsid w:val="5662DDD4"/>
    <w:rsid w:val="5663D280"/>
    <w:rsid w:val="566AB350"/>
    <w:rsid w:val="56733497"/>
    <w:rsid w:val="5676EFD2"/>
    <w:rsid w:val="5686C4A9"/>
    <w:rsid w:val="568AC65E"/>
    <w:rsid w:val="568D8361"/>
    <w:rsid w:val="56903A97"/>
    <w:rsid w:val="569971B9"/>
    <w:rsid w:val="56A3B387"/>
    <w:rsid w:val="56ADE4E6"/>
    <w:rsid w:val="56B4CF66"/>
    <w:rsid w:val="56B6CF4A"/>
    <w:rsid w:val="56B70994"/>
    <w:rsid w:val="56B9383A"/>
    <w:rsid w:val="56C1A9AF"/>
    <w:rsid w:val="56C7212E"/>
    <w:rsid w:val="56DEE46B"/>
    <w:rsid w:val="56E0710B"/>
    <w:rsid w:val="56E33E3A"/>
    <w:rsid w:val="56F61E42"/>
    <w:rsid w:val="56FC7539"/>
    <w:rsid w:val="56FD702A"/>
    <w:rsid w:val="5707A0DF"/>
    <w:rsid w:val="57096478"/>
    <w:rsid w:val="570E54E0"/>
    <w:rsid w:val="57130767"/>
    <w:rsid w:val="571D7F8B"/>
    <w:rsid w:val="5721B492"/>
    <w:rsid w:val="57359F25"/>
    <w:rsid w:val="573639FE"/>
    <w:rsid w:val="573E2942"/>
    <w:rsid w:val="573F9664"/>
    <w:rsid w:val="5749DE37"/>
    <w:rsid w:val="574B6EA8"/>
    <w:rsid w:val="574C633F"/>
    <w:rsid w:val="57544393"/>
    <w:rsid w:val="575657B5"/>
    <w:rsid w:val="5762877D"/>
    <w:rsid w:val="576FBE55"/>
    <w:rsid w:val="577192F8"/>
    <w:rsid w:val="5771FC88"/>
    <w:rsid w:val="57783ED3"/>
    <w:rsid w:val="577CEA6C"/>
    <w:rsid w:val="577E1E30"/>
    <w:rsid w:val="578291D1"/>
    <w:rsid w:val="579702EC"/>
    <w:rsid w:val="57996DC3"/>
    <w:rsid w:val="579FCD0B"/>
    <w:rsid w:val="57A462CD"/>
    <w:rsid w:val="57A8E842"/>
    <w:rsid w:val="57C5E9A5"/>
    <w:rsid w:val="57D79E03"/>
    <w:rsid w:val="57E29CCA"/>
    <w:rsid w:val="57E9EC89"/>
    <w:rsid w:val="57FC86DC"/>
    <w:rsid w:val="5811047D"/>
    <w:rsid w:val="581AFBB0"/>
    <w:rsid w:val="581E807A"/>
    <w:rsid w:val="5829B634"/>
    <w:rsid w:val="5834979B"/>
    <w:rsid w:val="5863D6A3"/>
    <w:rsid w:val="5864B67C"/>
    <w:rsid w:val="586849F9"/>
    <w:rsid w:val="5874EC82"/>
    <w:rsid w:val="58A88F4E"/>
    <w:rsid w:val="58AEDA6F"/>
    <w:rsid w:val="58B7BF5F"/>
    <w:rsid w:val="58C0A12B"/>
    <w:rsid w:val="58C60E47"/>
    <w:rsid w:val="58C89BE7"/>
    <w:rsid w:val="58DBB76D"/>
    <w:rsid w:val="58DBCCC9"/>
    <w:rsid w:val="58E9C90C"/>
    <w:rsid w:val="590AC5A1"/>
    <w:rsid w:val="5910D2EF"/>
    <w:rsid w:val="592338E8"/>
    <w:rsid w:val="59314410"/>
    <w:rsid w:val="5933F2B4"/>
    <w:rsid w:val="5936C662"/>
    <w:rsid w:val="593CBF41"/>
    <w:rsid w:val="593E8D1C"/>
    <w:rsid w:val="5940E365"/>
    <w:rsid w:val="5942ED0C"/>
    <w:rsid w:val="594FD206"/>
    <w:rsid w:val="595720CD"/>
    <w:rsid w:val="595DB301"/>
    <w:rsid w:val="59614084"/>
    <w:rsid w:val="596B72D6"/>
    <w:rsid w:val="5975AA25"/>
    <w:rsid w:val="598965C4"/>
    <w:rsid w:val="598B4DAB"/>
    <w:rsid w:val="598DE218"/>
    <w:rsid w:val="5992007B"/>
    <w:rsid w:val="599F1C84"/>
    <w:rsid w:val="599FEB6E"/>
    <w:rsid w:val="59ADCE86"/>
    <w:rsid w:val="59B594A1"/>
    <w:rsid w:val="59C1D312"/>
    <w:rsid w:val="59D18884"/>
    <w:rsid w:val="59D2A229"/>
    <w:rsid w:val="59E165FD"/>
    <w:rsid w:val="59FD0F93"/>
    <w:rsid w:val="59FE3B4B"/>
    <w:rsid w:val="5A00C039"/>
    <w:rsid w:val="5A014427"/>
    <w:rsid w:val="5A0194F1"/>
    <w:rsid w:val="5A0340BB"/>
    <w:rsid w:val="5A0BB69C"/>
    <w:rsid w:val="5A113A1D"/>
    <w:rsid w:val="5A1D9828"/>
    <w:rsid w:val="5A27EABF"/>
    <w:rsid w:val="5A2A6A1E"/>
    <w:rsid w:val="5A2BC901"/>
    <w:rsid w:val="5A31BB87"/>
    <w:rsid w:val="5A321EA8"/>
    <w:rsid w:val="5A396D92"/>
    <w:rsid w:val="5A3DDC07"/>
    <w:rsid w:val="5A40FE9E"/>
    <w:rsid w:val="5A4364C8"/>
    <w:rsid w:val="5A464AC2"/>
    <w:rsid w:val="5A491492"/>
    <w:rsid w:val="5A4989FE"/>
    <w:rsid w:val="5A4C9969"/>
    <w:rsid w:val="5A4D30E1"/>
    <w:rsid w:val="5A5014FA"/>
    <w:rsid w:val="5A6C9D9C"/>
    <w:rsid w:val="5A767262"/>
    <w:rsid w:val="5A825774"/>
    <w:rsid w:val="5A85376B"/>
    <w:rsid w:val="5A85A999"/>
    <w:rsid w:val="5A87689F"/>
    <w:rsid w:val="5A890A4D"/>
    <w:rsid w:val="5A9EDE51"/>
    <w:rsid w:val="5AA42A82"/>
    <w:rsid w:val="5AAA545E"/>
    <w:rsid w:val="5AAE855A"/>
    <w:rsid w:val="5ACE275E"/>
    <w:rsid w:val="5ADA22A6"/>
    <w:rsid w:val="5AF052E0"/>
    <w:rsid w:val="5B043F95"/>
    <w:rsid w:val="5B055867"/>
    <w:rsid w:val="5B06F6D9"/>
    <w:rsid w:val="5B0FDB01"/>
    <w:rsid w:val="5B104AE9"/>
    <w:rsid w:val="5B15FBBD"/>
    <w:rsid w:val="5B195A25"/>
    <w:rsid w:val="5B2DF352"/>
    <w:rsid w:val="5B31D4F5"/>
    <w:rsid w:val="5B3263BB"/>
    <w:rsid w:val="5B398F94"/>
    <w:rsid w:val="5B3AC440"/>
    <w:rsid w:val="5B456886"/>
    <w:rsid w:val="5B4FBE4D"/>
    <w:rsid w:val="5B5130C1"/>
    <w:rsid w:val="5B6367EA"/>
    <w:rsid w:val="5B650CF5"/>
    <w:rsid w:val="5B71DA2F"/>
    <w:rsid w:val="5B8B1A36"/>
    <w:rsid w:val="5B8FAF24"/>
    <w:rsid w:val="5B909CE3"/>
    <w:rsid w:val="5B959E00"/>
    <w:rsid w:val="5BA4DA66"/>
    <w:rsid w:val="5BA89018"/>
    <w:rsid w:val="5BABC70B"/>
    <w:rsid w:val="5BB4A301"/>
    <w:rsid w:val="5BB72A67"/>
    <w:rsid w:val="5BB77893"/>
    <w:rsid w:val="5BB7CFC7"/>
    <w:rsid w:val="5BC29446"/>
    <w:rsid w:val="5BC33BBA"/>
    <w:rsid w:val="5BC79962"/>
    <w:rsid w:val="5BCBD92C"/>
    <w:rsid w:val="5BD665C0"/>
    <w:rsid w:val="5BDEA985"/>
    <w:rsid w:val="5BE18BF0"/>
    <w:rsid w:val="5BE42CE4"/>
    <w:rsid w:val="5BE5F329"/>
    <w:rsid w:val="5BF5C9E5"/>
    <w:rsid w:val="5C0F0BB4"/>
    <w:rsid w:val="5C20A49B"/>
    <w:rsid w:val="5C2E12BB"/>
    <w:rsid w:val="5C3E1A90"/>
    <w:rsid w:val="5C52C9FB"/>
    <w:rsid w:val="5C5DBDBD"/>
    <w:rsid w:val="5C5DDDB7"/>
    <w:rsid w:val="5C6BB944"/>
    <w:rsid w:val="5C72DD67"/>
    <w:rsid w:val="5C7757B2"/>
    <w:rsid w:val="5C7B17DC"/>
    <w:rsid w:val="5C99A2FA"/>
    <w:rsid w:val="5CA0EBA2"/>
    <w:rsid w:val="5CA2C73A"/>
    <w:rsid w:val="5CA4A141"/>
    <w:rsid w:val="5CA7D40A"/>
    <w:rsid w:val="5CBB88C6"/>
    <w:rsid w:val="5CBDB5C5"/>
    <w:rsid w:val="5CC8C3D0"/>
    <w:rsid w:val="5CD11A39"/>
    <w:rsid w:val="5CE46E4E"/>
    <w:rsid w:val="5CE5D88A"/>
    <w:rsid w:val="5D052FFC"/>
    <w:rsid w:val="5D0CC63F"/>
    <w:rsid w:val="5D0EDA2B"/>
    <w:rsid w:val="5D23BACD"/>
    <w:rsid w:val="5D26EA97"/>
    <w:rsid w:val="5D2C30E5"/>
    <w:rsid w:val="5D2C576D"/>
    <w:rsid w:val="5D30E872"/>
    <w:rsid w:val="5D462CA8"/>
    <w:rsid w:val="5D468F23"/>
    <w:rsid w:val="5D594E18"/>
    <w:rsid w:val="5D5CBE6A"/>
    <w:rsid w:val="5D613440"/>
    <w:rsid w:val="5D796299"/>
    <w:rsid w:val="5D7F84A3"/>
    <w:rsid w:val="5D7FD916"/>
    <w:rsid w:val="5D80B554"/>
    <w:rsid w:val="5D9334AA"/>
    <w:rsid w:val="5DB72443"/>
    <w:rsid w:val="5DC0E8E8"/>
    <w:rsid w:val="5DC49B0F"/>
    <w:rsid w:val="5DC764CC"/>
    <w:rsid w:val="5DC88747"/>
    <w:rsid w:val="5DD15B09"/>
    <w:rsid w:val="5DDD7D9A"/>
    <w:rsid w:val="5DE9EDB2"/>
    <w:rsid w:val="5DF005E6"/>
    <w:rsid w:val="5DFFED49"/>
    <w:rsid w:val="5E130912"/>
    <w:rsid w:val="5E255507"/>
    <w:rsid w:val="5E300C35"/>
    <w:rsid w:val="5E3E979B"/>
    <w:rsid w:val="5E40FB51"/>
    <w:rsid w:val="5E4196C7"/>
    <w:rsid w:val="5E53795B"/>
    <w:rsid w:val="5E61A15A"/>
    <w:rsid w:val="5E64B32B"/>
    <w:rsid w:val="5E732CCA"/>
    <w:rsid w:val="5E73337D"/>
    <w:rsid w:val="5E780E07"/>
    <w:rsid w:val="5E787FA2"/>
    <w:rsid w:val="5E79873D"/>
    <w:rsid w:val="5E8831D5"/>
    <w:rsid w:val="5E8BD14A"/>
    <w:rsid w:val="5E9393EA"/>
    <w:rsid w:val="5E969AEA"/>
    <w:rsid w:val="5EBB614D"/>
    <w:rsid w:val="5ED2EC6B"/>
    <w:rsid w:val="5EE4BF9D"/>
    <w:rsid w:val="5EF59B30"/>
    <w:rsid w:val="5F01CFC2"/>
    <w:rsid w:val="5F087D45"/>
    <w:rsid w:val="5F0ED537"/>
    <w:rsid w:val="5F0FF723"/>
    <w:rsid w:val="5F136F4B"/>
    <w:rsid w:val="5F1F4AB1"/>
    <w:rsid w:val="5F2206F6"/>
    <w:rsid w:val="5F27A18F"/>
    <w:rsid w:val="5F2C7081"/>
    <w:rsid w:val="5F393A53"/>
    <w:rsid w:val="5F53285C"/>
    <w:rsid w:val="5F613206"/>
    <w:rsid w:val="5F6848ED"/>
    <w:rsid w:val="5F6A6C04"/>
    <w:rsid w:val="5F78196C"/>
    <w:rsid w:val="5F7F5652"/>
    <w:rsid w:val="5F9421FC"/>
    <w:rsid w:val="5F9AA3EB"/>
    <w:rsid w:val="5F9D017E"/>
    <w:rsid w:val="5FAA2B3E"/>
    <w:rsid w:val="5FAF9228"/>
    <w:rsid w:val="5FB2135C"/>
    <w:rsid w:val="5FC00079"/>
    <w:rsid w:val="5FC817E3"/>
    <w:rsid w:val="5FC82168"/>
    <w:rsid w:val="5FCA0C77"/>
    <w:rsid w:val="5FCD0CD4"/>
    <w:rsid w:val="5FD7E029"/>
    <w:rsid w:val="5FD88C64"/>
    <w:rsid w:val="5FDDDD1F"/>
    <w:rsid w:val="5FE5FC17"/>
    <w:rsid w:val="6002C102"/>
    <w:rsid w:val="60059F71"/>
    <w:rsid w:val="600D797B"/>
    <w:rsid w:val="601BC1EA"/>
    <w:rsid w:val="60207545"/>
    <w:rsid w:val="60316300"/>
    <w:rsid w:val="60468D19"/>
    <w:rsid w:val="604BEB0A"/>
    <w:rsid w:val="60521235"/>
    <w:rsid w:val="605C8A12"/>
    <w:rsid w:val="605CCC15"/>
    <w:rsid w:val="605D5D57"/>
    <w:rsid w:val="606D1EA6"/>
    <w:rsid w:val="607148FC"/>
    <w:rsid w:val="60751AA1"/>
    <w:rsid w:val="607DAB94"/>
    <w:rsid w:val="6082767C"/>
    <w:rsid w:val="60847785"/>
    <w:rsid w:val="608BD60C"/>
    <w:rsid w:val="608E25B3"/>
    <w:rsid w:val="6099EADC"/>
    <w:rsid w:val="60AC01EB"/>
    <w:rsid w:val="60AEDE20"/>
    <w:rsid w:val="60C62213"/>
    <w:rsid w:val="60D34843"/>
    <w:rsid w:val="60D46F8F"/>
    <w:rsid w:val="60D88D95"/>
    <w:rsid w:val="60E7C466"/>
    <w:rsid w:val="60E827BF"/>
    <w:rsid w:val="60EB22DF"/>
    <w:rsid w:val="60EE4A5E"/>
    <w:rsid w:val="60F4EE21"/>
    <w:rsid w:val="60F65EEE"/>
    <w:rsid w:val="60FC7873"/>
    <w:rsid w:val="6128D6A5"/>
    <w:rsid w:val="6131B81D"/>
    <w:rsid w:val="613A967E"/>
    <w:rsid w:val="613CB6AD"/>
    <w:rsid w:val="61425710"/>
    <w:rsid w:val="6144E3C6"/>
    <w:rsid w:val="614CD85C"/>
    <w:rsid w:val="614CE26F"/>
    <w:rsid w:val="61520B15"/>
    <w:rsid w:val="615334B5"/>
    <w:rsid w:val="6154DC4F"/>
    <w:rsid w:val="61559CC8"/>
    <w:rsid w:val="61590E71"/>
    <w:rsid w:val="616499B5"/>
    <w:rsid w:val="616FB154"/>
    <w:rsid w:val="617C48A1"/>
    <w:rsid w:val="617FAA0D"/>
    <w:rsid w:val="617FE294"/>
    <w:rsid w:val="618BEE45"/>
    <w:rsid w:val="618D5785"/>
    <w:rsid w:val="61915888"/>
    <w:rsid w:val="6193D5EB"/>
    <w:rsid w:val="619BD04D"/>
    <w:rsid w:val="61B2DAB2"/>
    <w:rsid w:val="61BA1898"/>
    <w:rsid w:val="61BAD99B"/>
    <w:rsid w:val="61BB9355"/>
    <w:rsid w:val="61D7FE43"/>
    <w:rsid w:val="61DA12F0"/>
    <w:rsid w:val="61E209E6"/>
    <w:rsid w:val="61EC93DB"/>
    <w:rsid w:val="62043E9B"/>
    <w:rsid w:val="62059B61"/>
    <w:rsid w:val="62064E67"/>
    <w:rsid w:val="620FDF30"/>
    <w:rsid w:val="6213A209"/>
    <w:rsid w:val="6221FF16"/>
    <w:rsid w:val="62471345"/>
    <w:rsid w:val="624A1089"/>
    <w:rsid w:val="625CE7B0"/>
    <w:rsid w:val="6260240A"/>
    <w:rsid w:val="62699732"/>
    <w:rsid w:val="626B262E"/>
    <w:rsid w:val="628BB428"/>
    <w:rsid w:val="629174FA"/>
    <w:rsid w:val="62B17111"/>
    <w:rsid w:val="62D07087"/>
    <w:rsid w:val="62D66B5D"/>
    <w:rsid w:val="62E2D17B"/>
    <w:rsid w:val="62E9C330"/>
    <w:rsid w:val="62EB817D"/>
    <w:rsid w:val="62F3CF08"/>
    <w:rsid w:val="62F71CA8"/>
    <w:rsid w:val="630041BF"/>
    <w:rsid w:val="63067556"/>
    <w:rsid w:val="63073D23"/>
    <w:rsid w:val="6309F75B"/>
    <w:rsid w:val="630FCB0D"/>
    <w:rsid w:val="631A2EDE"/>
    <w:rsid w:val="631DD44D"/>
    <w:rsid w:val="632A576B"/>
    <w:rsid w:val="6334C25F"/>
    <w:rsid w:val="63429BAC"/>
    <w:rsid w:val="63434DAD"/>
    <w:rsid w:val="6350928D"/>
    <w:rsid w:val="6356AF67"/>
    <w:rsid w:val="635F426D"/>
    <w:rsid w:val="638903E2"/>
    <w:rsid w:val="63978816"/>
    <w:rsid w:val="639A647D"/>
    <w:rsid w:val="639C880A"/>
    <w:rsid w:val="639F7883"/>
    <w:rsid w:val="63A0493C"/>
    <w:rsid w:val="63B955C9"/>
    <w:rsid w:val="63DD4F2F"/>
    <w:rsid w:val="63EAA742"/>
    <w:rsid w:val="63EB24CA"/>
    <w:rsid w:val="64063BEB"/>
    <w:rsid w:val="6406FF03"/>
    <w:rsid w:val="640927EA"/>
    <w:rsid w:val="6415800A"/>
    <w:rsid w:val="641A72B0"/>
    <w:rsid w:val="6425645D"/>
    <w:rsid w:val="642C4057"/>
    <w:rsid w:val="6430E0F6"/>
    <w:rsid w:val="643100D6"/>
    <w:rsid w:val="644A40EA"/>
    <w:rsid w:val="644E90D5"/>
    <w:rsid w:val="6453AEB8"/>
    <w:rsid w:val="64575FC7"/>
    <w:rsid w:val="645E6D89"/>
    <w:rsid w:val="64716CA2"/>
    <w:rsid w:val="6473FCFC"/>
    <w:rsid w:val="64768CD2"/>
    <w:rsid w:val="647786D6"/>
    <w:rsid w:val="6493E352"/>
    <w:rsid w:val="64A32B0C"/>
    <w:rsid w:val="64BC7232"/>
    <w:rsid w:val="64C62137"/>
    <w:rsid w:val="64CB7EDC"/>
    <w:rsid w:val="64E071DA"/>
    <w:rsid w:val="64E13B28"/>
    <w:rsid w:val="64F95AB6"/>
    <w:rsid w:val="64FA30E2"/>
    <w:rsid w:val="64FC11E0"/>
    <w:rsid w:val="65227371"/>
    <w:rsid w:val="65246337"/>
    <w:rsid w:val="6524F966"/>
    <w:rsid w:val="652C1890"/>
    <w:rsid w:val="65360FC4"/>
    <w:rsid w:val="653B321B"/>
    <w:rsid w:val="65488CF7"/>
    <w:rsid w:val="6574749A"/>
    <w:rsid w:val="6575C47B"/>
    <w:rsid w:val="657A7AF2"/>
    <w:rsid w:val="657E21D6"/>
    <w:rsid w:val="657E8A5D"/>
    <w:rsid w:val="6594989A"/>
    <w:rsid w:val="6596529F"/>
    <w:rsid w:val="65A066CB"/>
    <w:rsid w:val="65A3FDF3"/>
    <w:rsid w:val="65B31EEA"/>
    <w:rsid w:val="65BB807F"/>
    <w:rsid w:val="65C4A169"/>
    <w:rsid w:val="65C84F6A"/>
    <w:rsid w:val="65CBFB22"/>
    <w:rsid w:val="65E86406"/>
    <w:rsid w:val="65EA4053"/>
    <w:rsid w:val="65FE9790"/>
    <w:rsid w:val="6601EF7D"/>
    <w:rsid w:val="6602DE13"/>
    <w:rsid w:val="660764C1"/>
    <w:rsid w:val="660941D8"/>
    <w:rsid w:val="66101335"/>
    <w:rsid w:val="66154B58"/>
    <w:rsid w:val="661B687C"/>
    <w:rsid w:val="6635359C"/>
    <w:rsid w:val="6652B6DC"/>
    <w:rsid w:val="665AB6BC"/>
    <w:rsid w:val="665D476E"/>
    <w:rsid w:val="66607204"/>
    <w:rsid w:val="6674B95C"/>
    <w:rsid w:val="66781BAE"/>
    <w:rsid w:val="667C0699"/>
    <w:rsid w:val="667C423B"/>
    <w:rsid w:val="667E42CC"/>
    <w:rsid w:val="6683083E"/>
    <w:rsid w:val="6689B7EF"/>
    <w:rsid w:val="66A0003F"/>
    <w:rsid w:val="66A040B8"/>
    <w:rsid w:val="66A59BFB"/>
    <w:rsid w:val="66B7100B"/>
    <w:rsid w:val="66BAFCFB"/>
    <w:rsid w:val="66D14783"/>
    <w:rsid w:val="66D9AADF"/>
    <w:rsid w:val="66DBA8D8"/>
    <w:rsid w:val="66E1C6A1"/>
    <w:rsid w:val="66E334F6"/>
    <w:rsid w:val="66E9E0C4"/>
    <w:rsid w:val="66F21756"/>
    <w:rsid w:val="67018136"/>
    <w:rsid w:val="670F413D"/>
    <w:rsid w:val="6711837A"/>
    <w:rsid w:val="6711C650"/>
    <w:rsid w:val="6713DE20"/>
    <w:rsid w:val="671547CC"/>
    <w:rsid w:val="6723E057"/>
    <w:rsid w:val="67346242"/>
    <w:rsid w:val="6745036B"/>
    <w:rsid w:val="67481894"/>
    <w:rsid w:val="674B3CE7"/>
    <w:rsid w:val="674B6AB0"/>
    <w:rsid w:val="6766CA9D"/>
    <w:rsid w:val="677807D5"/>
    <w:rsid w:val="678BD846"/>
    <w:rsid w:val="679012ED"/>
    <w:rsid w:val="679633B1"/>
    <w:rsid w:val="67984C03"/>
    <w:rsid w:val="67ACA896"/>
    <w:rsid w:val="67AE8C97"/>
    <w:rsid w:val="67B10467"/>
    <w:rsid w:val="67B8D7E3"/>
    <w:rsid w:val="67BAD5C6"/>
    <w:rsid w:val="67CC6DE2"/>
    <w:rsid w:val="67DCE85B"/>
    <w:rsid w:val="67EA15CD"/>
    <w:rsid w:val="67F966A1"/>
    <w:rsid w:val="67FFA659"/>
    <w:rsid w:val="680EDB04"/>
    <w:rsid w:val="681127CA"/>
    <w:rsid w:val="68307BA8"/>
    <w:rsid w:val="683C2AC8"/>
    <w:rsid w:val="685BEC2F"/>
    <w:rsid w:val="6867D0CA"/>
    <w:rsid w:val="68774570"/>
    <w:rsid w:val="688F0DBB"/>
    <w:rsid w:val="6897BD67"/>
    <w:rsid w:val="68ACF44D"/>
    <w:rsid w:val="68BAB55A"/>
    <w:rsid w:val="68BFB059"/>
    <w:rsid w:val="68C7FBCD"/>
    <w:rsid w:val="68D01DCD"/>
    <w:rsid w:val="68D9E2FD"/>
    <w:rsid w:val="68DE9F90"/>
    <w:rsid w:val="68F972B4"/>
    <w:rsid w:val="68FA3878"/>
    <w:rsid w:val="68FD4A36"/>
    <w:rsid w:val="6901D869"/>
    <w:rsid w:val="69089C58"/>
    <w:rsid w:val="69202011"/>
    <w:rsid w:val="69211517"/>
    <w:rsid w:val="69259536"/>
    <w:rsid w:val="692BC821"/>
    <w:rsid w:val="692F33AE"/>
    <w:rsid w:val="69314023"/>
    <w:rsid w:val="6935C19D"/>
    <w:rsid w:val="693D94EC"/>
    <w:rsid w:val="69449883"/>
    <w:rsid w:val="6946E7EA"/>
    <w:rsid w:val="695175DE"/>
    <w:rsid w:val="695ED05A"/>
    <w:rsid w:val="6964629D"/>
    <w:rsid w:val="6969FE78"/>
    <w:rsid w:val="696E9871"/>
    <w:rsid w:val="696ED302"/>
    <w:rsid w:val="697340DC"/>
    <w:rsid w:val="697BA5A6"/>
    <w:rsid w:val="69805DFD"/>
    <w:rsid w:val="6992453E"/>
    <w:rsid w:val="69946CB4"/>
    <w:rsid w:val="699BB509"/>
    <w:rsid w:val="699CA06C"/>
    <w:rsid w:val="69AA1DE6"/>
    <w:rsid w:val="69AD7A55"/>
    <w:rsid w:val="69AFB326"/>
    <w:rsid w:val="69BA258E"/>
    <w:rsid w:val="69BEAC6E"/>
    <w:rsid w:val="69C85CF7"/>
    <w:rsid w:val="69CCB221"/>
    <w:rsid w:val="69D494A7"/>
    <w:rsid w:val="69EE1941"/>
    <w:rsid w:val="69F1B494"/>
    <w:rsid w:val="69F244DF"/>
    <w:rsid w:val="69F9B11C"/>
    <w:rsid w:val="6A06DFBD"/>
    <w:rsid w:val="6A076B7C"/>
    <w:rsid w:val="6A0E10A0"/>
    <w:rsid w:val="6A18EFBC"/>
    <w:rsid w:val="6A198D9D"/>
    <w:rsid w:val="6A358E9A"/>
    <w:rsid w:val="6A3B62F2"/>
    <w:rsid w:val="6A3CFA67"/>
    <w:rsid w:val="6A3D3660"/>
    <w:rsid w:val="6A416113"/>
    <w:rsid w:val="6A52FA0E"/>
    <w:rsid w:val="6A5522D2"/>
    <w:rsid w:val="6A573781"/>
    <w:rsid w:val="6A596BBD"/>
    <w:rsid w:val="6A5DF8A2"/>
    <w:rsid w:val="6A6754B3"/>
    <w:rsid w:val="6A7FFF1B"/>
    <w:rsid w:val="6A947803"/>
    <w:rsid w:val="6AB71A7A"/>
    <w:rsid w:val="6ACB517B"/>
    <w:rsid w:val="6AD12D72"/>
    <w:rsid w:val="6AD89095"/>
    <w:rsid w:val="6AED133A"/>
    <w:rsid w:val="6AF2BB5A"/>
    <w:rsid w:val="6B165833"/>
    <w:rsid w:val="6B1B05BF"/>
    <w:rsid w:val="6B2540C3"/>
    <w:rsid w:val="6B25CC11"/>
    <w:rsid w:val="6B2D85E8"/>
    <w:rsid w:val="6B3072EB"/>
    <w:rsid w:val="6B6017A7"/>
    <w:rsid w:val="6B6C4CEC"/>
    <w:rsid w:val="6B7A1F21"/>
    <w:rsid w:val="6B7D17DF"/>
    <w:rsid w:val="6B7D2210"/>
    <w:rsid w:val="6B7FB74B"/>
    <w:rsid w:val="6BA3DF9B"/>
    <w:rsid w:val="6BA75017"/>
    <w:rsid w:val="6BD1862D"/>
    <w:rsid w:val="6BD66CCF"/>
    <w:rsid w:val="6BD80494"/>
    <w:rsid w:val="6BDDA116"/>
    <w:rsid w:val="6BE3BA5B"/>
    <w:rsid w:val="6BF1EC12"/>
    <w:rsid w:val="6BF7511B"/>
    <w:rsid w:val="6BFF5323"/>
    <w:rsid w:val="6C0ED2A4"/>
    <w:rsid w:val="6C127919"/>
    <w:rsid w:val="6C1B8CC9"/>
    <w:rsid w:val="6C1E2BB2"/>
    <w:rsid w:val="6C2F377C"/>
    <w:rsid w:val="6C463B7F"/>
    <w:rsid w:val="6C49CCD9"/>
    <w:rsid w:val="6C4BD0B4"/>
    <w:rsid w:val="6C60E92A"/>
    <w:rsid w:val="6C63D665"/>
    <w:rsid w:val="6C89CD47"/>
    <w:rsid w:val="6C90AB27"/>
    <w:rsid w:val="6C93F35E"/>
    <w:rsid w:val="6C966A1D"/>
    <w:rsid w:val="6C974A37"/>
    <w:rsid w:val="6C99E485"/>
    <w:rsid w:val="6CB00CA7"/>
    <w:rsid w:val="6CB0E5C9"/>
    <w:rsid w:val="6CBA782F"/>
    <w:rsid w:val="6CC202D7"/>
    <w:rsid w:val="6CC3284F"/>
    <w:rsid w:val="6CC4088C"/>
    <w:rsid w:val="6CC879D4"/>
    <w:rsid w:val="6CD08755"/>
    <w:rsid w:val="6CD43B22"/>
    <w:rsid w:val="6CD66E92"/>
    <w:rsid w:val="6CFF6D06"/>
    <w:rsid w:val="6D0A07FD"/>
    <w:rsid w:val="6D0B81E4"/>
    <w:rsid w:val="6D0E13B7"/>
    <w:rsid w:val="6D13009A"/>
    <w:rsid w:val="6D171E0E"/>
    <w:rsid w:val="6D192765"/>
    <w:rsid w:val="6D1BF988"/>
    <w:rsid w:val="6D2153B9"/>
    <w:rsid w:val="6D429700"/>
    <w:rsid w:val="6D710C18"/>
    <w:rsid w:val="6D7618DA"/>
    <w:rsid w:val="6D8452CA"/>
    <w:rsid w:val="6D9B9738"/>
    <w:rsid w:val="6DABE1AC"/>
    <w:rsid w:val="6DB3EAFB"/>
    <w:rsid w:val="6DB72830"/>
    <w:rsid w:val="6DB9C9A9"/>
    <w:rsid w:val="6DBC2F40"/>
    <w:rsid w:val="6DC7BD3C"/>
    <w:rsid w:val="6DC88A67"/>
    <w:rsid w:val="6DD1AFDA"/>
    <w:rsid w:val="6DD5354A"/>
    <w:rsid w:val="6DD9C1A4"/>
    <w:rsid w:val="6DE89FD6"/>
    <w:rsid w:val="6DFE6CC5"/>
    <w:rsid w:val="6E132918"/>
    <w:rsid w:val="6E14387D"/>
    <w:rsid w:val="6E18145E"/>
    <w:rsid w:val="6E1E549A"/>
    <w:rsid w:val="6E23E594"/>
    <w:rsid w:val="6E24A49C"/>
    <w:rsid w:val="6E3B741D"/>
    <w:rsid w:val="6E4D3DA5"/>
    <w:rsid w:val="6E526DCF"/>
    <w:rsid w:val="6E5AA135"/>
    <w:rsid w:val="6E5D6DB4"/>
    <w:rsid w:val="6E5E22E9"/>
    <w:rsid w:val="6E5E8C0A"/>
    <w:rsid w:val="6E634F80"/>
    <w:rsid w:val="6E6DF750"/>
    <w:rsid w:val="6E6E5F5D"/>
    <w:rsid w:val="6E9BFC27"/>
    <w:rsid w:val="6EB81D0E"/>
    <w:rsid w:val="6EBA5DFA"/>
    <w:rsid w:val="6EC66494"/>
    <w:rsid w:val="6EE26FC7"/>
    <w:rsid w:val="6EE27F8C"/>
    <w:rsid w:val="6EFA4DFD"/>
    <w:rsid w:val="6F116FB5"/>
    <w:rsid w:val="6F13203A"/>
    <w:rsid w:val="6F14DA80"/>
    <w:rsid w:val="6F1B1E23"/>
    <w:rsid w:val="6F1E26B7"/>
    <w:rsid w:val="6F20C105"/>
    <w:rsid w:val="6F236AF3"/>
    <w:rsid w:val="6F56B344"/>
    <w:rsid w:val="6F5A1D8C"/>
    <w:rsid w:val="6F61C52D"/>
    <w:rsid w:val="6F66CDC5"/>
    <w:rsid w:val="6F6C07C4"/>
    <w:rsid w:val="6F6EFEF9"/>
    <w:rsid w:val="6F88BFCB"/>
    <w:rsid w:val="6F9AB62D"/>
    <w:rsid w:val="6F9F7178"/>
    <w:rsid w:val="6FA22176"/>
    <w:rsid w:val="6FA65E28"/>
    <w:rsid w:val="6FB1C0E5"/>
    <w:rsid w:val="6FC1150B"/>
    <w:rsid w:val="6FCD7687"/>
    <w:rsid w:val="6FD3B436"/>
    <w:rsid w:val="6FD54772"/>
    <w:rsid w:val="6FEB3E05"/>
    <w:rsid w:val="6FFD7364"/>
    <w:rsid w:val="6FFE07F7"/>
    <w:rsid w:val="7006E840"/>
    <w:rsid w:val="700AFEEC"/>
    <w:rsid w:val="700BF8E0"/>
    <w:rsid w:val="700DFDA2"/>
    <w:rsid w:val="7017D928"/>
    <w:rsid w:val="7019D818"/>
    <w:rsid w:val="7037073B"/>
    <w:rsid w:val="70405042"/>
    <w:rsid w:val="70426288"/>
    <w:rsid w:val="7053C1FB"/>
    <w:rsid w:val="70568400"/>
    <w:rsid w:val="706B005E"/>
    <w:rsid w:val="7077ED6C"/>
    <w:rsid w:val="7085BBCD"/>
    <w:rsid w:val="708B005D"/>
    <w:rsid w:val="7091EA3A"/>
    <w:rsid w:val="70A2B88D"/>
    <w:rsid w:val="70A59215"/>
    <w:rsid w:val="70B408CD"/>
    <w:rsid w:val="70C24D0C"/>
    <w:rsid w:val="70C49601"/>
    <w:rsid w:val="70D058BB"/>
    <w:rsid w:val="70D4A2E1"/>
    <w:rsid w:val="70E2F5E9"/>
    <w:rsid w:val="70EE4C72"/>
    <w:rsid w:val="70F19A70"/>
    <w:rsid w:val="70FDBF17"/>
    <w:rsid w:val="7108AB92"/>
    <w:rsid w:val="7108E068"/>
    <w:rsid w:val="710C9FCD"/>
    <w:rsid w:val="71173177"/>
    <w:rsid w:val="7117FD81"/>
    <w:rsid w:val="7127CE06"/>
    <w:rsid w:val="71308819"/>
    <w:rsid w:val="713A7608"/>
    <w:rsid w:val="713ABB00"/>
    <w:rsid w:val="7151F89F"/>
    <w:rsid w:val="715EFE2D"/>
    <w:rsid w:val="718E69E3"/>
    <w:rsid w:val="718FD8F1"/>
    <w:rsid w:val="719C9E4F"/>
    <w:rsid w:val="719E449E"/>
    <w:rsid w:val="71A76CAE"/>
    <w:rsid w:val="71ACBCB5"/>
    <w:rsid w:val="71AFD9D6"/>
    <w:rsid w:val="71B7203C"/>
    <w:rsid w:val="71E6E963"/>
    <w:rsid w:val="71FBC55E"/>
    <w:rsid w:val="71FE44B4"/>
    <w:rsid w:val="720E04FA"/>
    <w:rsid w:val="720E86D3"/>
    <w:rsid w:val="721B1557"/>
    <w:rsid w:val="7226F181"/>
    <w:rsid w:val="722BD352"/>
    <w:rsid w:val="72333A8E"/>
    <w:rsid w:val="7234A57A"/>
    <w:rsid w:val="72358862"/>
    <w:rsid w:val="72528646"/>
    <w:rsid w:val="7253690A"/>
    <w:rsid w:val="7258D5D1"/>
    <w:rsid w:val="72629E8A"/>
    <w:rsid w:val="72668750"/>
    <w:rsid w:val="72668B9B"/>
    <w:rsid w:val="727FABAC"/>
    <w:rsid w:val="728AF3D5"/>
    <w:rsid w:val="7290347E"/>
    <w:rsid w:val="729383ED"/>
    <w:rsid w:val="729AF68A"/>
    <w:rsid w:val="729B13A8"/>
    <w:rsid w:val="72BAAF11"/>
    <w:rsid w:val="72BEFA0C"/>
    <w:rsid w:val="72CBFB6F"/>
    <w:rsid w:val="72E089C3"/>
    <w:rsid w:val="72F6623F"/>
    <w:rsid w:val="72FB6291"/>
    <w:rsid w:val="72FEC199"/>
    <w:rsid w:val="730B5082"/>
    <w:rsid w:val="730F7EFD"/>
    <w:rsid w:val="7317A4C3"/>
    <w:rsid w:val="731C3675"/>
    <w:rsid w:val="7332AB58"/>
    <w:rsid w:val="7337BB58"/>
    <w:rsid w:val="7338047F"/>
    <w:rsid w:val="73388F19"/>
    <w:rsid w:val="733DC84E"/>
    <w:rsid w:val="733F20F3"/>
    <w:rsid w:val="73537686"/>
    <w:rsid w:val="7357FB5D"/>
    <w:rsid w:val="73623EA7"/>
    <w:rsid w:val="73710E44"/>
    <w:rsid w:val="737B0CA4"/>
    <w:rsid w:val="7394BCCB"/>
    <w:rsid w:val="739E2ABE"/>
    <w:rsid w:val="73AC3ECA"/>
    <w:rsid w:val="73AE753A"/>
    <w:rsid w:val="73B5B877"/>
    <w:rsid w:val="73D52313"/>
    <w:rsid w:val="73F7C141"/>
    <w:rsid w:val="73F8056A"/>
    <w:rsid w:val="73FE5475"/>
    <w:rsid w:val="741120ED"/>
    <w:rsid w:val="741AFB2C"/>
    <w:rsid w:val="74453A79"/>
    <w:rsid w:val="744627D3"/>
    <w:rsid w:val="744AD598"/>
    <w:rsid w:val="744E344A"/>
    <w:rsid w:val="7455AA82"/>
    <w:rsid w:val="74608EE9"/>
    <w:rsid w:val="7462FFA7"/>
    <w:rsid w:val="746CC4B4"/>
    <w:rsid w:val="7470603C"/>
    <w:rsid w:val="74706EA7"/>
    <w:rsid w:val="749B9372"/>
    <w:rsid w:val="74C34A9C"/>
    <w:rsid w:val="74C63B2F"/>
    <w:rsid w:val="74D32DDF"/>
    <w:rsid w:val="74D3517A"/>
    <w:rsid w:val="74D4C00A"/>
    <w:rsid w:val="74DF78D9"/>
    <w:rsid w:val="74E2CDEB"/>
    <w:rsid w:val="74E5973B"/>
    <w:rsid w:val="74E8A27C"/>
    <w:rsid w:val="7507D238"/>
    <w:rsid w:val="75246BA1"/>
    <w:rsid w:val="7524C3D7"/>
    <w:rsid w:val="7527D82B"/>
    <w:rsid w:val="752BCAE2"/>
    <w:rsid w:val="7531BA1B"/>
    <w:rsid w:val="7532D37B"/>
    <w:rsid w:val="75496038"/>
    <w:rsid w:val="755E5578"/>
    <w:rsid w:val="7574B283"/>
    <w:rsid w:val="7579ABE0"/>
    <w:rsid w:val="758B7B17"/>
    <w:rsid w:val="758E2EC8"/>
    <w:rsid w:val="7594ADB2"/>
    <w:rsid w:val="75A323B8"/>
    <w:rsid w:val="75A41B52"/>
    <w:rsid w:val="75C2D048"/>
    <w:rsid w:val="75C92E66"/>
    <w:rsid w:val="75E3A58F"/>
    <w:rsid w:val="75EA6AFC"/>
    <w:rsid w:val="75EC9059"/>
    <w:rsid w:val="75F512B1"/>
    <w:rsid w:val="75FF4C5B"/>
    <w:rsid w:val="7602EC2A"/>
    <w:rsid w:val="760C9594"/>
    <w:rsid w:val="760DF682"/>
    <w:rsid w:val="76115FA0"/>
    <w:rsid w:val="761409AF"/>
    <w:rsid w:val="761500C2"/>
    <w:rsid w:val="76155521"/>
    <w:rsid w:val="7659FDD5"/>
    <w:rsid w:val="765A3D81"/>
    <w:rsid w:val="76636571"/>
    <w:rsid w:val="76673944"/>
    <w:rsid w:val="767069F3"/>
    <w:rsid w:val="76758CC7"/>
    <w:rsid w:val="7677912B"/>
    <w:rsid w:val="767B8E9C"/>
    <w:rsid w:val="7697A1D4"/>
    <w:rsid w:val="76A16307"/>
    <w:rsid w:val="76A4FCBB"/>
    <w:rsid w:val="76A535F1"/>
    <w:rsid w:val="76A761B7"/>
    <w:rsid w:val="76AA20A1"/>
    <w:rsid w:val="76AB1167"/>
    <w:rsid w:val="76AF471C"/>
    <w:rsid w:val="76B2D544"/>
    <w:rsid w:val="76BF039F"/>
    <w:rsid w:val="76BF262B"/>
    <w:rsid w:val="76C7DE1D"/>
    <w:rsid w:val="76D12195"/>
    <w:rsid w:val="76D12E16"/>
    <w:rsid w:val="76D2C08A"/>
    <w:rsid w:val="76D6D1CE"/>
    <w:rsid w:val="76DEC6CD"/>
    <w:rsid w:val="76EAEB7C"/>
    <w:rsid w:val="76F421E0"/>
    <w:rsid w:val="76F86D33"/>
    <w:rsid w:val="77059EB0"/>
    <w:rsid w:val="770A2727"/>
    <w:rsid w:val="771956F7"/>
    <w:rsid w:val="77280061"/>
    <w:rsid w:val="773C5238"/>
    <w:rsid w:val="7741FB01"/>
    <w:rsid w:val="774F3DDE"/>
    <w:rsid w:val="7759D2A4"/>
    <w:rsid w:val="777D24F4"/>
    <w:rsid w:val="778AD91E"/>
    <w:rsid w:val="7790D6E1"/>
    <w:rsid w:val="7798F4B5"/>
    <w:rsid w:val="77A0538E"/>
    <w:rsid w:val="77AFDAFD"/>
    <w:rsid w:val="77B3C814"/>
    <w:rsid w:val="77B3E794"/>
    <w:rsid w:val="77D37A79"/>
    <w:rsid w:val="77D40EB3"/>
    <w:rsid w:val="77EACCBF"/>
    <w:rsid w:val="77EC67E1"/>
    <w:rsid w:val="77ED5928"/>
    <w:rsid w:val="77F7F867"/>
    <w:rsid w:val="77F9EE73"/>
    <w:rsid w:val="77FEBBE6"/>
    <w:rsid w:val="77FFF4CE"/>
    <w:rsid w:val="780A508A"/>
    <w:rsid w:val="781D87ED"/>
    <w:rsid w:val="782E5729"/>
    <w:rsid w:val="7843CF4D"/>
    <w:rsid w:val="7847BA34"/>
    <w:rsid w:val="7847D3C7"/>
    <w:rsid w:val="78486160"/>
    <w:rsid w:val="785609EC"/>
    <w:rsid w:val="785BD14E"/>
    <w:rsid w:val="785DB190"/>
    <w:rsid w:val="786C73EE"/>
    <w:rsid w:val="787AA994"/>
    <w:rsid w:val="787AB80A"/>
    <w:rsid w:val="7885C565"/>
    <w:rsid w:val="7889782B"/>
    <w:rsid w:val="788DF947"/>
    <w:rsid w:val="788F3672"/>
    <w:rsid w:val="78909287"/>
    <w:rsid w:val="78ADAA89"/>
    <w:rsid w:val="78C49185"/>
    <w:rsid w:val="78D3BC96"/>
    <w:rsid w:val="78D704C6"/>
    <w:rsid w:val="78E44DE2"/>
    <w:rsid w:val="78F61E8C"/>
    <w:rsid w:val="78FE5540"/>
    <w:rsid w:val="79168D2D"/>
    <w:rsid w:val="79266510"/>
    <w:rsid w:val="792C0B33"/>
    <w:rsid w:val="7937434D"/>
    <w:rsid w:val="7945C356"/>
    <w:rsid w:val="794A9498"/>
    <w:rsid w:val="7952B214"/>
    <w:rsid w:val="7959D5D2"/>
    <w:rsid w:val="7964BA25"/>
    <w:rsid w:val="7964ED80"/>
    <w:rsid w:val="796FDF14"/>
    <w:rsid w:val="7970929B"/>
    <w:rsid w:val="797259AE"/>
    <w:rsid w:val="798E2AAD"/>
    <w:rsid w:val="79913B0A"/>
    <w:rsid w:val="79A594BD"/>
    <w:rsid w:val="79A6AC0B"/>
    <w:rsid w:val="79B4B68B"/>
    <w:rsid w:val="79C4C124"/>
    <w:rsid w:val="79C4EE1B"/>
    <w:rsid w:val="79C9F5C6"/>
    <w:rsid w:val="79D5743E"/>
    <w:rsid w:val="79EDFBDC"/>
    <w:rsid w:val="79EE2839"/>
    <w:rsid w:val="79EE8AAC"/>
    <w:rsid w:val="79F4D5F5"/>
    <w:rsid w:val="79F8B6D1"/>
    <w:rsid w:val="79FDC410"/>
    <w:rsid w:val="7A032BC3"/>
    <w:rsid w:val="7A206BFB"/>
    <w:rsid w:val="7A24564D"/>
    <w:rsid w:val="7A269A2B"/>
    <w:rsid w:val="7A29BF95"/>
    <w:rsid w:val="7A33240D"/>
    <w:rsid w:val="7A3756BF"/>
    <w:rsid w:val="7A4EA387"/>
    <w:rsid w:val="7A59C0B9"/>
    <w:rsid w:val="7A5C383D"/>
    <w:rsid w:val="7A87C415"/>
    <w:rsid w:val="7A9F39FB"/>
    <w:rsid w:val="7AA342EF"/>
    <w:rsid w:val="7AA37E3B"/>
    <w:rsid w:val="7AA97CE5"/>
    <w:rsid w:val="7AAA3EAF"/>
    <w:rsid w:val="7AB05917"/>
    <w:rsid w:val="7AC8368E"/>
    <w:rsid w:val="7AC8F510"/>
    <w:rsid w:val="7AD0CF2D"/>
    <w:rsid w:val="7AD751E9"/>
    <w:rsid w:val="7AD78C15"/>
    <w:rsid w:val="7ADC1FE0"/>
    <w:rsid w:val="7AEB142B"/>
    <w:rsid w:val="7AF16DA0"/>
    <w:rsid w:val="7B01663A"/>
    <w:rsid w:val="7B03A46D"/>
    <w:rsid w:val="7B048B2F"/>
    <w:rsid w:val="7B120653"/>
    <w:rsid w:val="7B148670"/>
    <w:rsid w:val="7B15B658"/>
    <w:rsid w:val="7B15FBF2"/>
    <w:rsid w:val="7B160D13"/>
    <w:rsid w:val="7B1B4F47"/>
    <w:rsid w:val="7B1BED58"/>
    <w:rsid w:val="7B2000AE"/>
    <w:rsid w:val="7B2B386C"/>
    <w:rsid w:val="7B45B748"/>
    <w:rsid w:val="7B55659F"/>
    <w:rsid w:val="7B5C8AB7"/>
    <w:rsid w:val="7B5D4F14"/>
    <w:rsid w:val="7B6156D2"/>
    <w:rsid w:val="7B6439AA"/>
    <w:rsid w:val="7B76AC97"/>
    <w:rsid w:val="7B8AC059"/>
    <w:rsid w:val="7B901D72"/>
    <w:rsid w:val="7BA5E64A"/>
    <w:rsid w:val="7BA959FD"/>
    <w:rsid w:val="7BAA4073"/>
    <w:rsid w:val="7BB0A302"/>
    <w:rsid w:val="7BB207D5"/>
    <w:rsid w:val="7BB4BF5A"/>
    <w:rsid w:val="7BBB8517"/>
    <w:rsid w:val="7BCC871E"/>
    <w:rsid w:val="7BD02644"/>
    <w:rsid w:val="7BD53EC4"/>
    <w:rsid w:val="7BD928AD"/>
    <w:rsid w:val="7BF08AC9"/>
    <w:rsid w:val="7BF2C831"/>
    <w:rsid w:val="7C01398B"/>
    <w:rsid w:val="7C02E2FE"/>
    <w:rsid w:val="7C02F0D6"/>
    <w:rsid w:val="7C087B76"/>
    <w:rsid w:val="7C093998"/>
    <w:rsid w:val="7C0B67E2"/>
    <w:rsid w:val="7C0FEB54"/>
    <w:rsid w:val="7C289F63"/>
    <w:rsid w:val="7C28DCF8"/>
    <w:rsid w:val="7C2F1B01"/>
    <w:rsid w:val="7C3194EC"/>
    <w:rsid w:val="7C32327A"/>
    <w:rsid w:val="7C4EDA70"/>
    <w:rsid w:val="7C52113C"/>
    <w:rsid w:val="7C65779E"/>
    <w:rsid w:val="7C6E5A58"/>
    <w:rsid w:val="7C755291"/>
    <w:rsid w:val="7C827355"/>
    <w:rsid w:val="7C8655AA"/>
    <w:rsid w:val="7C8727EA"/>
    <w:rsid w:val="7C8BB261"/>
    <w:rsid w:val="7C8E10CF"/>
    <w:rsid w:val="7CA1A38B"/>
    <w:rsid w:val="7CC1201E"/>
    <w:rsid w:val="7CC44952"/>
    <w:rsid w:val="7CCBAA52"/>
    <w:rsid w:val="7CCD10EA"/>
    <w:rsid w:val="7CD0D1F6"/>
    <w:rsid w:val="7CD2D097"/>
    <w:rsid w:val="7CD7DA45"/>
    <w:rsid w:val="7CE0C605"/>
    <w:rsid w:val="7D09C216"/>
    <w:rsid w:val="7D13B2CB"/>
    <w:rsid w:val="7D25CEC3"/>
    <w:rsid w:val="7D3CE948"/>
    <w:rsid w:val="7D429401"/>
    <w:rsid w:val="7D5329A0"/>
    <w:rsid w:val="7D553B88"/>
    <w:rsid w:val="7D7C3E86"/>
    <w:rsid w:val="7D86BA51"/>
    <w:rsid w:val="7D910954"/>
    <w:rsid w:val="7D99A225"/>
    <w:rsid w:val="7DA64F8F"/>
    <w:rsid w:val="7DC562EA"/>
    <w:rsid w:val="7DC72772"/>
    <w:rsid w:val="7DC7CB22"/>
    <w:rsid w:val="7DDB8D34"/>
    <w:rsid w:val="7DDBDDE8"/>
    <w:rsid w:val="7DEF2F9A"/>
    <w:rsid w:val="7DF2B084"/>
    <w:rsid w:val="7DFFF2F4"/>
    <w:rsid w:val="7E1DE080"/>
    <w:rsid w:val="7E1FBC06"/>
    <w:rsid w:val="7E2FC788"/>
    <w:rsid w:val="7E3BDA57"/>
    <w:rsid w:val="7E4513E6"/>
    <w:rsid w:val="7E489395"/>
    <w:rsid w:val="7E5A7D2C"/>
    <w:rsid w:val="7E5F8196"/>
    <w:rsid w:val="7E624836"/>
    <w:rsid w:val="7E64D96A"/>
    <w:rsid w:val="7E69BF84"/>
    <w:rsid w:val="7E71931D"/>
    <w:rsid w:val="7E75EAA4"/>
    <w:rsid w:val="7E7EC0AD"/>
    <w:rsid w:val="7E80C080"/>
    <w:rsid w:val="7E89D32C"/>
    <w:rsid w:val="7E8C35FC"/>
    <w:rsid w:val="7E92C1FF"/>
    <w:rsid w:val="7E98C2AE"/>
    <w:rsid w:val="7EAA72B1"/>
    <w:rsid w:val="7EB336F9"/>
    <w:rsid w:val="7EB48239"/>
    <w:rsid w:val="7ECA6674"/>
    <w:rsid w:val="7ECB3D9B"/>
    <w:rsid w:val="7EDDE66E"/>
    <w:rsid w:val="7EDE1E34"/>
    <w:rsid w:val="7EE4645B"/>
    <w:rsid w:val="7EF1747B"/>
    <w:rsid w:val="7EF7787E"/>
    <w:rsid w:val="7F0857D1"/>
    <w:rsid w:val="7F0D620F"/>
    <w:rsid w:val="7F26FEBE"/>
    <w:rsid w:val="7F2887F1"/>
    <w:rsid w:val="7F3326D2"/>
    <w:rsid w:val="7F353237"/>
    <w:rsid w:val="7F392609"/>
    <w:rsid w:val="7F3B79EF"/>
    <w:rsid w:val="7F3FE6A1"/>
    <w:rsid w:val="7F439E2D"/>
    <w:rsid w:val="7F4DF382"/>
    <w:rsid w:val="7F5265E2"/>
    <w:rsid w:val="7F585A0B"/>
    <w:rsid w:val="7F5ED9E2"/>
    <w:rsid w:val="7F64137D"/>
    <w:rsid w:val="7F68EED5"/>
    <w:rsid w:val="7F74F51A"/>
    <w:rsid w:val="7F783116"/>
    <w:rsid w:val="7F7AD733"/>
    <w:rsid w:val="7F7B6522"/>
    <w:rsid w:val="7F862679"/>
    <w:rsid w:val="7F8A597A"/>
    <w:rsid w:val="7F95A6CE"/>
    <w:rsid w:val="7F9BC45D"/>
    <w:rsid w:val="7FA42140"/>
    <w:rsid w:val="7FB91AF5"/>
    <w:rsid w:val="7FBBB5BC"/>
    <w:rsid w:val="7FD0C931"/>
    <w:rsid w:val="7FE4AD9D"/>
    <w:rsid w:val="7FF3B194"/>
    <w:rsid w:val="7FF83B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59425"/>
  <w15:chartTrackingRefBased/>
  <w15:docId w15:val="{4FCCFB85-9239-4194-B430-7722A8B0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43F"/>
    <w:pPr>
      <w:spacing w:after="0" w:line="240" w:lineRule="auto"/>
    </w:pPr>
    <w:rPr>
      <w:sz w:val="24"/>
    </w:rPr>
  </w:style>
  <w:style w:type="paragraph" w:styleId="Heading1">
    <w:name w:val="heading 1"/>
    <w:basedOn w:val="Normal"/>
    <w:next w:val="Normal"/>
    <w:link w:val="Heading1Char"/>
    <w:uiPriority w:val="9"/>
    <w:qFormat/>
    <w:rsid w:val="00F6143F"/>
    <w:pPr>
      <w:keepNext/>
      <w:keepLines/>
      <w:spacing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617B9"/>
    <w:pPr>
      <w:keepNext/>
      <w:keepLines/>
      <w:spacing w:after="120"/>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5123F4"/>
    <w:pPr>
      <w:spacing w:after="0" w:line="240" w:lineRule="auto"/>
    </w:pPr>
    <w:tblPr>
      <w:tblBorders>
        <w:top w:val="single" w:sz="8" w:space="0" w:color="auto"/>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shd w:val="clear" w:color="auto" w:fill="EDEDED" w:themeFill="accent3" w:themeFillTint="33"/>
      </w:tcPr>
    </w:tblStylePr>
  </w:style>
  <w:style w:type="table" w:customStyle="1" w:styleId="Reg-Title">
    <w:name w:val="Reg-Title"/>
    <w:basedOn w:val="TableGrid"/>
    <w:uiPriority w:val="99"/>
    <w:rsid w:val="005123F4"/>
    <w:rPr>
      <w:color w:val="FFFFFF" w:themeColor="background1"/>
      <w:sz w:val="24"/>
    </w:rPr>
    <w:tblPr/>
    <w:tcPr>
      <w:shd w:val="clear" w:color="auto" w:fill="525252" w:themeFill="accent3" w:themeFillShade="80"/>
    </w:tcPr>
  </w:style>
  <w:style w:type="table" w:styleId="TableGrid">
    <w:name w:val="Table Grid"/>
    <w:basedOn w:val="TableNormal"/>
    <w:uiPriority w:val="39"/>
    <w:rsid w:val="00512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styleId="TableGridLight">
    <w:name w:val="Grid Table Light"/>
    <w:aliases w:val="statewide-title"/>
    <w:basedOn w:val="TableNormal"/>
    <w:uiPriority w:val="40"/>
    <w:rsid w:val="001407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525252" w:themeFill="accent3" w:themeFillShade="80"/>
    </w:tcPr>
  </w:style>
  <w:style w:type="character" w:styleId="Hyperlink">
    <w:name w:val="Hyperlink"/>
    <w:basedOn w:val="DefaultParagraphFont"/>
    <w:uiPriority w:val="99"/>
    <w:unhideWhenUsed/>
    <w:rsid w:val="00871E4E"/>
    <w:rPr>
      <w:color w:val="0563C1" w:themeColor="hyperlink"/>
      <w:u w:val="single"/>
    </w:rPr>
  </w:style>
  <w:style w:type="character" w:styleId="UnresolvedMention">
    <w:name w:val="Unresolved Mention"/>
    <w:basedOn w:val="DefaultParagraphFont"/>
    <w:uiPriority w:val="99"/>
    <w:semiHidden/>
    <w:unhideWhenUsed/>
    <w:rsid w:val="00871E4E"/>
    <w:rPr>
      <w:color w:val="605E5C"/>
      <w:shd w:val="clear" w:color="auto" w:fill="E1DFDD"/>
    </w:rPr>
  </w:style>
  <w:style w:type="character" w:customStyle="1" w:styleId="Heading1Char">
    <w:name w:val="Heading 1 Char"/>
    <w:basedOn w:val="DefaultParagraphFont"/>
    <w:link w:val="Heading1"/>
    <w:uiPriority w:val="9"/>
    <w:rsid w:val="00F6143F"/>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871E4E"/>
    <w:pPr>
      <w:outlineLvl w:val="9"/>
    </w:pPr>
  </w:style>
  <w:style w:type="paragraph" w:styleId="TOC1">
    <w:name w:val="toc 1"/>
    <w:basedOn w:val="Normal"/>
    <w:next w:val="Normal"/>
    <w:autoRedefine/>
    <w:uiPriority w:val="39"/>
    <w:unhideWhenUsed/>
    <w:rsid w:val="005F5E23"/>
    <w:pPr>
      <w:spacing w:after="100"/>
    </w:pPr>
  </w:style>
  <w:style w:type="paragraph" w:styleId="Header">
    <w:name w:val="header"/>
    <w:basedOn w:val="Normal"/>
    <w:link w:val="HeaderChar"/>
    <w:uiPriority w:val="99"/>
    <w:unhideWhenUsed/>
    <w:rsid w:val="00E966E3"/>
    <w:pPr>
      <w:tabs>
        <w:tab w:val="center" w:pos="4680"/>
        <w:tab w:val="right" w:pos="9360"/>
      </w:tabs>
    </w:pPr>
  </w:style>
  <w:style w:type="character" w:customStyle="1" w:styleId="HeaderChar">
    <w:name w:val="Header Char"/>
    <w:basedOn w:val="DefaultParagraphFont"/>
    <w:link w:val="Header"/>
    <w:uiPriority w:val="99"/>
    <w:rsid w:val="00E966E3"/>
  </w:style>
  <w:style w:type="paragraph" w:styleId="Footer">
    <w:name w:val="footer"/>
    <w:basedOn w:val="Normal"/>
    <w:link w:val="FooterChar"/>
    <w:uiPriority w:val="99"/>
    <w:unhideWhenUsed/>
    <w:rsid w:val="00E966E3"/>
    <w:pPr>
      <w:tabs>
        <w:tab w:val="center" w:pos="4680"/>
        <w:tab w:val="right" w:pos="9360"/>
      </w:tabs>
    </w:pPr>
  </w:style>
  <w:style w:type="character" w:customStyle="1" w:styleId="FooterChar">
    <w:name w:val="Footer Char"/>
    <w:basedOn w:val="DefaultParagraphFont"/>
    <w:link w:val="Footer"/>
    <w:uiPriority w:val="99"/>
    <w:rsid w:val="00E966E3"/>
  </w:style>
  <w:style w:type="paragraph" w:styleId="FootnoteText">
    <w:name w:val="footnote text"/>
    <w:basedOn w:val="Normal"/>
    <w:link w:val="FootnoteTextChar"/>
    <w:uiPriority w:val="99"/>
    <w:unhideWhenUsed/>
    <w:rsid w:val="005A43F9"/>
    <w:rPr>
      <w:sz w:val="20"/>
      <w:szCs w:val="20"/>
    </w:rPr>
  </w:style>
  <w:style w:type="character" w:customStyle="1" w:styleId="FootnoteTextChar">
    <w:name w:val="Footnote Text Char"/>
    <w:basedOn w:val="DefaultParagraphFont"/>
    <w:link w:val="FootnoteText"/>
    <w:uiPriority w:val="99"/>
    <w:rsid w:val="005A43F9"/>
    <w:rPr>
      <w:sz w:val="20"/>
      <w:szCs w:val="20"/>
    </w:rPr>
  </w:style>
  <w:style w:type="character" w:styleId="FootnoteReference">
    <w:name w:val="footnote reference"/>
    <w:basedOn w:val="DefaultParagraphFont"/>
    <w:uiPriority w:val="99"/>
    <w:semiHidden/>
    <w:unhideWhenUsed/>
    <w:rsid w:val="005A43F9"/>
    <w:rPr>
      <w:vertAlign w:val="superscript"/>
    </w:rPr>
  </w:style>
  <w:style w:type="paragraph" w:styleId="NormalWeb">
    <w:name w:val="Normal (Web)"/>
    <w:basedOn w:val="Normal"/>
    <w:uiPriority w:val="99"/>
    <w:unhideWhenUsed/>
    <w:rsid w:val="005A43F9"/>
    <w:pPr>
      <w:spacing w:before="100" w:beforeAutospacing="1" w:after="100" w:afterAutospacing="1"/>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rsid w:val="00E617B9"/>
    <w:rPr>
      <w:rFonts w:asciiTheme="majorHAnsi" w:eastAsiaTheme="majorEastAsia" w:hAnsiTheme="majorHAnsi" w:cstheme="majorBidi"/>
      <w:b/>
      <w:color w:val="2F5496" w:themeColor="accent1" w:themeShade="BF"/>
      <w:sz w:val="32"/>
      <w:szCs w:val="26"/>
    </w:rPr>
  </w:style>
  <w:style w:type="paragraph" w:styleId="ListParagraph">
    <w:name w:val="List Paragraph"/>
    <w:basedOn w:val="Normal"/>
    <w:uiPriority w:val="34"/>
    <w:qFormat/>
    <w:rsid w:val="0000348A"/>
    <w:pPr>
      <w:ind w:left="720"/>
      <w:contextualSpacing/>
    </w:pPr>
  </w:style>
  <w:style w:type="paragraph" w:styleId="TOC2">
    <w:name w:val="toc 2"/>
    <w:basedOn w:val="Normal"/>
    <w:next w:val="Normal"/>
    <w:autoRedefine/>
    <w:uiPriority w:val="39"/>
    <w:unhideWhenUsed/>
    <w:rsid w:val="00BC44A6"/>
    <w:pPr>
      <w:spacing w:after="100"/>
      <w:ind w:left="220"/>
    </w:pPr>
  </w:style>
  <w:style w:type="paragraph" w:customStyle="1" w:styleId="Style2">
    <w:name w:val="Style2"/>
    <w:basedOn w:val="Heading2"/>
    <w:link w:val="Style2Char"/>
    <w:qFormat/>
    <w:rsid w:val="003B5E4D"/>
    <w:rPr>
      <w:bCs/>
    </w:rPr>
  </w:style>
  <w:style w:type="paragraph" w:customStyle="1" w:styleId="spaced6">
    <w:name w:val="spaced6"/>
    <w:basedOn w:val="Normal"/>
    <w:qFormat/>
    <w:rsid w:val="0048788D"/>
    <w:pPr>
      <w:numPr>
        <w:numId w:val="4"/>
      </w:numPr>
      <w:spacing w:after="120"/>
    </w:pPr>
    <w:rPr>
      <w:szCs w:val="24"/>
    </w:rPr>
  </w:style>
  <w:style w:type="character" w:customStyle="1" w:styleId="Style2Char">
    <w:name w:val="Style2 Char"/>
    <w:basedOn w:val="Heading2Char"/>
    <w:link w:val="Style2"/>
    <w:rsid w:val="003B5E4D"/>
    <w:rPr>
      <w:rFonts w:asciiTheme="majorHAnsi" w:eastAsiaTheme="majorEastAsia" w:hAnsiTheme="majorHAnsi" w:cstheme="majorBidi"/>
      <w:b/>
      <w:bCs/>
      <w:color w:val="2F5496" w:themeColor="accent1" w:themeShade="BF"/>
      <w:sz w:val="32"/>
      <w:szCs w:val="26"/>
    </w:rPr>
  </w:style>
  <w:style w:type="paragraph" w:customStyle="1" w:styleId="fignote">
    <w:name w:val="fignote"/>
    <w:basedOn w:val="Normal"/>
    <w:qFormat/>
    <w:rsid w:val="00287D29"/>
    <w:pPr>
      <w:spacing w:after="120"/>
    </w:pPr>
    <w:rPr>
      <w:sz w:val="20"/>
      <w:szCs w:val="20"/>
    </w:rPr>
  </w:style>
  <w:style w:type="character" w:styleId="CommentReference">
    <w:name w:val="annotation reference"/>
    <w:basedOn w:val="DefaultParagraphFont"/>
    <w:uiPriority w:val="99"/>
    <w:semiHidden/>
    <w:unhideWhenUsed/>
    <w:rsid w:val="00D17BB3"/>
    <w:rPr>
      <w:sz w:val="16"/>
      <w:szCs w:val="16"/>
    </w:rPr>
  </w:style>
  <w:style w:type="paragraph" w:styleId="CommentText">
    <w:name w:val="annotation text"/>
    <w:basedOn w:val="Normal"/>
    <w:link w:val="CommentTextChar"/>
    <w:uiPriority w:val="99"/>
    <w:unhideWhenUsed/>
    <w:rsid w:val="00D17BB3"/>
    <w:rPr>
      <w:sz w:val="20"/>
      <w:szCs w:val="20"/>
    </w:rPr>
  </w:style>
  <w:style w:type="character" w:customStyle="1" w:styleId="CommentTextChar">
    <w:name w:val="Comment Text Char"/>
    <w:basedOn w:val="DefaultParagraphFont"/>
    <w:link w:val="CommentText"/>
    <w:uiPriority w:val="99"/>
    <w:rsid w:val="00D17BB3"/>
    <w:rPr>
      <w:sz w:val="20"/>
      <w:szCs w:val="20"/>
    </w:rPr>
  </w:style>
  <w:style w:type="paragraph" w:styleId="CommentSubject">
    <w:name w:val="annotation subject"/>
    <w:basedOn w:val="CommentText"/>
    <w:next w:val="CommentText"/>
    <w:link w:val="CommentSubjectChar"/>
    <w:uiPriority w:val="99"/>
    <w:semiHidden/>
    <w:unhideWhenUsed/>
    <w:rsid w:val="00D17BB3"/>
    <w:rPr>
      <w:b/>
      <w:bCs/>
    </w:rPr>
  </w:style>
  <w:style w:type="character" w:customStyle="1" w:styleId="CommentSubjectChar">
    <w:name w:val="Comment Subject Char"/>
    <w:basedOn w:val="CommentTextChar"/>
    <w:link w:val="CommentSubject"/>
    <w:uiPriority w:val="99"/>
    <w:semiHidden/>
    <w:rsid w:val="00D17BB3"/>
    <w:rPr>
      <w:b/>
      <w:bCs/>
      <w:sz w:val="20"/>
      <w:szCs w:val="20"/>
    </w:rPr>
  </w:style>
  <w:style w:type="paragraph" w:styleId="Revision">
    <w:name w:val="Revision"/>
    <w:hidden/>
    <w:uiPriority w:val="99"/>
    <w:semiHidden/>
    <w:rsid w:val="00921589"/>
    <w:pPr>
      <w:spacing w:after="0" w:line="240" w:lineRule="auto"/>
    </w:pPr>
    <w:rPr>
      <w:sz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cf01">
    <w:name w:val="cf01"/>
    <w:basedOn w:val="DefaultParagraphFont"/>
    <w:rsid w:val="00EF05A6"/>
    <w:rPr>
      <w:rFonts w:ascii="Segoe UI" w:hAnsi="Segoe UI" w:cs="Segoe UI" w:hint="default"/>
      <w:sz w:val="18"/>
      <w:szCs w:val="18"/>
    </w:rPr>
  </w:style>
  <w:style w:type="character" w:styleId="FollowedHyperlink">
    <w:name w:val="FollowedHyperlink"/>
    <w:basedOn w:val="DefaultParagraphFont"/>
    <w:uiPriority w:val="99"/>
    <w:semiHidden/>
    <w:unhideWhenUsed/>
    <w:rsid w:val="008E0170"/>
    <w:rPr>
      <w:color w:val="954F72" w:themeColor="followedHyperlink"/>
      <w:u w:val="single"/>
    </w:rPr>
  </w:style>
  <w:style w:type="paragraph" w:styleId="TOC3">
    <w:name w:val="toc 3"/>
    <w:basedOn w:val="Normal"/>
    <w:next w:val="Normal"/>
    <w:autoRedefine/>
    <w:uiPriority w:val="39"/>
    <w:unhideWhenUsed/>
    <w:rsid w:val="00C72CD9"/>
    <w:pPr>
      <w:spacing w:after="100"/>
      <w:ind w:left="48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3212">
      <w:bodyDiv w:val="1"/>
      <w:marLeft w:val="0"/>
      <w:marRight w:val="0"/>
      <w:marTop w:val="0"/>
      <w:marBottom w:val="0"/>
      <w:divBdr>
        <w:top w:val="none" w:sz="0" w:space="0" w:color="auto"/>
        <w:left w:val="none" w:sz="0" w:space="0" w:color="auto"/>
        <w:bottom w:val="none" w:sz="0" w:space="0" w:color="auto"/>
        <w:right w:val="none" w:sz="0" w:space="0" w:color="auto"/>
      </w:divBdr>
      <w:divsChild>
        <w:div w:id="85079330">
          <w:marLeft w:val="878"/>
          <w:marRight w:val="0"/>
          <w:marTop w:val="0"/>
          <w:marBottom w:val="120"/>
          <w:divBdr>
            <w:top w:val="none" w:sz="0" w:space="0" w:color="auto"/>
            <w:left w:val="none" w:sz="0" w:space="0" w:color="auto"/>
            <w:bottom w:val="none" w:sz="0" w:space="0" w:color="auto"/>
            <w:right w:val="none" w:sz="0" w:space="0" w:color="auto"/>
          </w:divBdr>
        </w:div>
        <w:div w:id="730465152">
          <w:marLeft w:val="403"/>
          <w:marRight w:val="0"/>
          <w:marTop w:val="0"/>
          <w:marBottom w:val="120"/>
          <w:divBdr>
            <w:top w:val="none" w:sz="0" w:space="0" w:color="auto"/>
            <w:left w:val="none" w:sz="0" w:space="0" w:color="auto"/>
            <w:bottom w:val="none" w:sz="0" w:space="0" w:color="auto"/>
            <w:right w:val="none" w:sz="0" w:space="0" w:color="auto"/>
          </w:divBdr>
        </w:div>
        <w:div w:id="768043801">
          <w:marLeft w:val="403"/>
          <w:marRight w:val="0"/>
          <w:marTop w:val="0"/>
          <w:marBottom w:val="120"/>
          <w:divBdr>
            <w:top w:val="none" w:sz="0" w:space="0" w:color="auto"/>
            <w:left w:val="none" w:sz="0" w:space="0" w:color="auto"/>
            <w:bottom w:val="none" w:sz="0" w:space="0" w:color="auto"/>
            <w:right w:val="none" w:sz="0" w:space="0" w:color="auto"/>
          </w:divBdr>
        </w:div>
      </w:divsChild>
    </w:div>
    <w:div w:id="17121224">
      <w:bodyDiv w:val="1"/>
      <w:marLeft w:val="0"/>
      <w:marRight w:val="0"/>
      <w:marTop w:val="0"/>
      <w:marBottom w:val="0"/>
      <w:divBdr>
        <w:top w:val="none" w:sz="0" w:space="0" w:color="auto"/>
        <w:left w:val="none" w:sz="0" w:space="0" w:color="auto"/>
        <w:bottom w:val="none" w:sz="0" w:space="0" w:color="auto"/>
        <w:right w:val="none" w:sz="0" w:space="0" w:color="auto"/>
      </w:divBdr>
    </w:div>
    <w:div w:id="20207196">
      <w:bodyDiv w:val="1"/>
      <w:marLeft w:val="0"/>
      <w:marRight w:val="0"/>
      <w:marTop w:val="0"/>
      <w:marBottom w:val="0"/>
      <w:divBdr>
        <w:top w:val="none" w:sz="0" w:space="0" w:color="auto"/>
        <w:left w:val="none" w:sz="0" w:space="0" w:color="auto"/>
        <w:bottom w:val="none" w:sz="0" w:space="0" w:color="auto"/>
        <w:right w:val="none" w:sz="0" w:space="0" w:color="auto"/>
      </w:divBdr>
    </w:div>
    <w:div w:id="26948779">
      <w:bodyDiv w:val="1"/>
      <w:marLeft w:val="0"/>
      <w:marRight w:val="0"/>
      <w:marTop w:val="0"/>
      <w:marBottom w:val="0"/>
      <w:divBdr>
        <w:top w:val="none" w:sz="0" w:space="0" w:color="auto"/>
        <w:left w:val="none" w:sz="0" w:space="0" w:color="auto"/>
        <w:bottom w:val="none" w:sz="0" w:space="0" w:color="auto"/>
        <w:right w:val="none" w:sz="0" w:space="0" w:color="auto"/>
      </w:divBdr>
    </w:div>
    <w:div w:id="31157558">
      <w:bodyDiv w:val="1"/>
      <w:marLeft w:val="0"/>
      <w:marRight w:val="0"/>
      <w:marTop w:val="0"/>
      <w:marBottom w:val="0"/>
      <w:divBdr>
        <w:top w:val="none" w:sz="0" w:space="0" w:color="auto"/>
        <w:left w:val="none" w:sz="0" w:space="0" w:color="auto"/>
        <w:bottom w:val="none" w:sz="0" w:space="0" w:color="auto"/>
        <w:right w:val="none" w:sz="0" w:space="0" w:color="auto"/>
      </w:divBdr>
      <w:divsChild>
        <w:div w:id="408845601">
          <w:marLeft w:val="403"/>
          <w:marRight w:val="0"/>
          <w:marTop w:val="0"/>
          <w:marBottom w:val="120"/>
          <w:divBdr>
            <w:top w:val="none" w:sz="0" w:space="0" w:color="auto"/>
            <w:left w:val="none" w:sz="0" w:space="0" w:color="auto"/>
            <w:bottom w:val="none" w:sz="0" w:space="0" w:color="auto"/>
            <w:right w:val="none" w:sz="0" w:space="0" w:color="auto"/>
          </w:divBdr>
        </w:div>
        <w:div w:id="935869528">
          <w:marLeft w:val="403"/>
          <w:marRight w:val="0"/>
          <w:marTop w:val="0"/>
          <w:marBottom w:val="120"/>
          <w:divBdr>
            <w:top w:val="none" w:sz="0" w:space="0" w:color="auto"/>
            <w:left w:val="none" w:sz="0" w:space="0" w:color="auto"/>
            <w:bottom w:val="none" w:sz="0" w:space="0" w:color="auto"/>
            <w:right w:val="none" w:sz="0" w:space="0" w:color="auto"/>
          </w:divBdr>
        </w:div>
        <w:div w:id="2098011604">
          <w:marLeft w:val="403"/>
          <w:marRight w:val="0"/>
          <w:marTop w:val="0"/>
          <w:marBottom w:val="120"/>
          <w:divBdr>
            <w:top w:val="none" w:sz="0" w:space="0" w:color="auto"/>
            <w:left w:val="none" w:sz="0" w:space="0" w:color="auto"/>
            <w:bottom w:val="none" w:sz="0" w:space="0" w:color="auto"/>
            <w:right w:val="none" w:sz="0" w:space="0" w:color="auto"/>
          </w:divBdr>
        </w:div>
      </w:divsChild>
    </w:div>
    <w:div w:id="36049025">
      <w:bodyDiv w:val="1"/>
      <w:marLeft w:val="0"/>
      <w:marRight w:val="0"/>
      <w:marTop w:val="0"/>
      <w:marBottom w:val="0"/>
      <w:divBdr>
        <w:top w:val="none" w:sz="0" w:space="0" w:color="auto"/>
        <w:left w:val="none" w:sz="0" w:space="0" w:color="auto"/>
        <w:bottom w:val="none" w:sz="0" w:space="0" w:color="auto"/>
        <w:right w:val="none" w:sz="0" w:space="0" w:color="auto"/>
      </w:divBdr>
    </w:div>
    <w:div w:id="39063556">
      <w:bodyDiv w:val="1"/>
      <w:marLeft w:val="0"/>
      <w:marRight w:val="0"/>
      <w:marTop w:val="0"/>
      <w:marBottom w:val="0"/>
      <w:divBdr>
        <w:top w:val="none" w:sz="0" w:space="0" w:color="auto"/>
        <w:left w:val="none" w:sz="0" w:space="0" w:color="auto"/>
        <w:bottom w:val="none" w:sz="0" w:space="0" w:color="auto"/>
        <w:right w:val="none" w:sz="0" w:space="0" w:color="auto"/>
      </w:divBdr>
    </w:div>
    <w:div w:id="40256316">
      <w:bodyDiv w:val="1"/>
      <w:marLeft w:val="0"/>
      <w:marRight w:val="0"/>
      <w:marTop w:val="0"/>
      <w:marBottom w:val="0"/>
      <w:divBdr>
        <w:top w:val="none" w:sz="0" w:space="0" w:color="auto"/>
        <w:left w:val="none" w:sz="0" w:space="0" w:color="auto"/>
        <w:bottom w:val="none" w:sz="0" w:space="0" w:color="auto"/>
        <w:right w:val="none" w:sz="0" w:space="0" w:color="auto"/>
      </w:divBdr>
      <w:divsChild>
        <w:div w:id="196355545">
          <w:marLeft w:val="403"/>
          <w:marRight w:val="0"/>
          <w:marTop w:val="0"/>
          <w:marBottom w:val="120"/>
          <w:divBdr>
            <w:top w:val="none" w:sz="0" w:space="0" w:color="auto"/>
            <w:left w:val="none" w:sz="0" w:space="0" w:color="auto"/>
            <w:bottom w:val="none" w:sz="0" w:space="0" w:color="auto"/>
            <w:right w:val="none" w:sz="0" w:space="0" w:color="auto"/>
          </w:divBdr>
        </w:div>
        <w:div w:id="991057449">
          <w:marLeft w:val="403"/>
          <w:marRight w:val="0"/>
          <w:marTop w:val="0"/>
          <w:marBottom w:val="120"/>
          <w:divBdr>
            <w:top w:val="none" w:sz="0" w:space="0" w:color="auto"/>
            <w:left w:val="none" w:sz="0" w:space="0" w:color="auto"/>
            <w:bottom w:val="none" w:sz="0" w:space="0" w:color="auto"/>
            <w:right w:val="none" w:sz="0" w:space="0" w:color="auto"/>
          </w:divBdr>
        </w:div>
        <w:div w:id="1683507392">
          <w:marLeft w:val="403"/>
          <w:marRight w:val="0"/>
          <w:marTop w:val="0"/>
          <w:marBottom w:val="120"/>
          <w:divBdr>
            <w:top w:val="none" w:sz="0" w:space="0" w:color="auto"/>
            <w:left w:val="none" w:sz="0" w:space="0" w:color="auto"/>
            <w:bottom w:val="none" w:sz="0" w:space="0" w:color="auto"/>
            <w:right w:val="none" w:sz="0" w:space="0" w:color="auto"/>
          </w:divBdr>
        </w:div>
      </w:divsChild>
    </w:div>
    <w:div w:id="44331911">
      <w:bodyDiv w:val="1"/>
      <w:marLeft w:val="0"/>
      <w:marRight w:val="0"/>
      <w:marTop w:val="0"/>
      <w:marBottom w:val="0"/>
      <w:divBdr>
        <w:top w:val="none" w:sz="0" w:space="0" w:color="auto"/>
        <w:left w:val="none" w:sz="0" w:space="0" w:color="auto"/>
        <w:bottom w:val="none" w:sz="0" w:space="0" w:color="auto"/>
        <w:right w:val="none" w:sz="0" w:space="0" w:color="auto"/>
      </w:divBdr>
    </w:div>
    <w:div w:id="46684191">
      <w:bodyDiv w:val="1"/>
      <w:marLeft w:val="0"/>
      <w:marRight w:val="0"/>
      <w:marTop w:val="0"/>
      <w:marBottom w:val="0"/>
      <w:divBdr>
        <w:top w:val="none" w:sz="0" w:space="0" w:color="auto"/>
        <w:left w:val="none" w:sz="0" w:space="0" w:color="auto"/>
        <w:bottom w:val="none" w:sz="0" w:space="0" w:color="auto"/>
        <w:right w:val="none" w:sz="0" w:space="0" w:color="auto"/>
      </w:divBdr>
    </w:div>
    <w:div w:id="62457924">
      <w:bodyDiv w:val="1"/>
      <w:marLeft w:val="0"/>
      <w:marRight w:val="0"/>
      <w:marTop w:val="0"/>
      <w:marBottom w:val="0"/>
      <w:divBdr>
        <w:top w:val="none" w:sz="0" w:space="0" w:color="auto"/>
        <w:left w:val="none" w:sz="0" w:space="0" w:color="auto"/>
        <w:bottom w:val="none" w:sz="0" w:space="0" w:color="auto"/>
        <w:right w:val="none" w:sz="0" w:space="0" w:color="auto"/>
      </w:divBdr>
    </w:div>
    <w:div w:id="79648199">
      <w:bodyDiv w:val="1"/>
      <w:marLeft w:val="0"/>
      <w:marRight w:val="0"/>
      <w:marTop w:val="0"/>
      <w:marBottom w:val="0"/>
      <w:divBdr>
        <w:top w:val="none" w:sz="0" w:space="0" w:color="auto"/>
        <w:left w:val="none" w:sz="0" w:space="0" w:color="auto"/>
        <w:bottom w:val="none" w:sz="0" w:space="0" w:color="auto"/>
        <w:right w:val="none" w:sz="0" w:space="0" w:color="auto"/>
      </w:divBdr>
    </w:div>
    <w:div w:id="90131178">
      <w:bodyDiv w:val="1"/>
      <w:marLeft w:val="0"/>
      <w:marRight w:val="0"/>
      <w:marTop w:val="0"/>
      <w:marBottom w:val="0"/>
      <w:divBdr>
        <w:top w:val="none" w:sz="0" w:space="0" w:color="auto"/>
        <w:left w:val="none" w:sz="0" w:space="0" w:color="auto"/>
        <w:bottom w:val="none" w:sz="0" w:space="0" w:color="auto"/>
        <w:right w:val="none" w:sz="0" w:space="0" w:color="auto"/>
      </w:divBdr>
    </w:div>
    <w:div w:id="91361248">
      <w:bodyDiv w:val="1"/>
      <w:marLeft w:val="0"/>
      <w:marRight w:val="0"/>
      <w:marTop w:val="0"/>
      <w:marBottom w:val="0"/>
      <w:divBdr>
        <w:top w:val="none" w:sz="0" w:space="0" w:color="auto"/>
        <w:left w:val="none" w:sz="0" w:space="0" w:color="auto"/>
        <w:bottom w:val="none" w:sz="0" w:space="0" w:color="auto"/>
        <w:right w:val="none" w:sz="0" w:space="0" w:color="auto"/>
      </w:divBdr>
    </w:div>
    <w:div w:id="92290969">
      <w:bodyDiv w:val="1"/>
      <w:marLeft w:val="0"/>
      <w:marRight w:val="0"/>
      <w:marTop w:val="0"/>
      <w:marBottom w:val="0"/>
      <w:divBdr>
        <w:top w:val="none" w:sz="0" w:space="0" w:color="auto"/>
        <w:left w:val="none" w:sz="0" w:space="0" w:color="auto"/>
        <w:bottom w:val="none" w:sz="0" w:space="0" w:color="auto"/>
        <w:right w:val="none" w:sz="0" w:space="0" w:color="auto"/>
      </w:divBdr>
    </w:div>
    <w:div w:id="92824698">
      <w:bodyDiv w:val="1"/>
      <w:marLeft w:val="0"/>
      <w:marRight w:val="0"/>
      <w:marTop w:val="0"/>
      <w:marBottom w:val="0"/>
      <w:divBdr>
        <w:top w:val="none" w:sz="0" w:space="0" w:color="auto"/>
        <w:left w:val="none" w:sz="0" w:space="0" w:color="auto"/>
        <w:bottom w:val="none" w:sz="0" w:space="0" w:color="auto"/>
        <w:right w:val="none" w:sz="0" w:space="0" w:color="auto"/>
      </w:divBdr>
    </w:div>
    <w:div w:id="98258453">
      <w:bodyDiv w:val="1"/>
      <w:marLeft w:val="0"/>
      <w:marRight w:val="0"/>
      <w:marTop w:val="0"/>
      <w:marBottom w:val="0"/>
      <w:divBdr>
        <w:top w:val="none" w:sz="0" w:space="0" w:color="auto"/>
        <w:left w:val="none" w:sz="0" w:space="0" w:color="auto"/>
        <w:bottom w:val="none" w:sz="0" w:space="0" w:color="auto"/>
        <w:right w:val="none" w:sz="0" w:space="0" w:color="auto"/>
      </w:divBdr>
    </w:div>
    <w:div w:id="103621545">
      <w:bodyDiv w:val="1"/>
      <w:marLeft w:val="0"/>
      <w:marRight w:val="0"/>
      <w:marTop w:val="0"/>
      <w:marBottom w:val="0"/>
      <w:divBdr>
        <w:top w:val="none" w:sz="0" w:space="0" w:color="auto"/>
        <w:left w:val="none" w:sz="0" w:space="0" w:color="auto"/>
        <w:bottom w:val="none" w:sz="0" w:space="0" w:color="auto"/>
        <w:right w:val="none" w:sz="0" w:space="0" w:color="auto"/>
      </w:divBdr>
      <w:divsChild>
        <w:div w:id="631864518">
          <w:marLeft w:val="403"/>
          <w:marRight w:val="0"/>
          <w:marTop w:val="0"/>
          <w:marBottom w:val="120"/>
          <w:divBdr>
            <w:top w:val="none" w:sz="0" w:space="0" w:color="auto"/>
            <w:left w:val="none" w:sz="0" w:space="0" w:color="auto"/>
            <w:bottom w:val="none" w:sz="0" w:space="0" w:color="auto"/>
            <w:right w:val="none" w:sz="0" w:space="0" w:color="auto"/>
          </w:divBdr>
        </w:div>
        <w:div w:id="1167867024">
          <w:marLeft w:val="403"/>
          <w:marRight w:val="0"/>
          <w:marTop w:val="0"/>
          <w:marBottom w:val="120"/>
          <w:divBdr>
            <w:top w:val="none" w:sz="0" w:space="0" w:color="auto"/>
            <w:left w:val="none" w:sz="0" w:space="0" w:color="auto"/>
            <w:bottom w:val="none" w:sz="0" w:space="0" w:color="auto"/>
            <w:right w:val="none" w:sz="0" w:space="0" w:color="auto"/>
          </w:divBdr>
        </w:div>
        <w:div w:id="1787264098">
          <w:marLeft w:val="403"/>
          <w:marRight w:val="0"/>
          <w:marTop w:val="0"/>
          <w:marBottom w:val="120"/>
          <w:divBdr>
            <w:top w:val="none" w:sz="0" w:space="0" w:color="auto"/>
            <w:left w:val="none" w:sz="0" w:space="0" w:color="auto"/>
            <w:bottom w:val="none" w:sz="0" w:space="0" w:color="auto"/>
            <w:right w:val="none" w:sz="0" w:space="0" w:color="auto"/>
          </w:divBdr>
        </w:div>
      </w:divsChild>
    </w:div>
    <w:div w:id="143621487">
      <w:bodyDiv w:val="1"/>
      <w:marLeft w:val="0"/>
      <w:marRight w:val="0"/>
      <w:marTop w:val="0"/>
      <w:marBottom w:val="0"/>
      <w:divBdr>
        <w:top w:val="none" w:sz="0" w:space="0" w:color="auto"/>
        <w:left w:val="none" w:sz="0" w:space="0" w:color="auto"/>
        <w:bottom w:val="none" w:sz="0" w:space="0" w:color="auto"/>
        <w:right w:val="none" w:sz="0" w:space="0" w:color="auto"/>
      </w:divBdr>
      <w:divsChild>
        <w:div w:id="65032672">
          <w:marLeft w:val="994"/>
          <w:marRight w:val="0"/>
          <w:marTop w:val="0"/>
          <w:marBottom w:val="120"/>
          <w:divBdr>
            <w:top w:val="none" w:sz="0" w:space="0" w:color="auto"/>
            <w:left w:val="none" w:sz="0" w:space="0" w:color="auto"/>
            <w:bottom w:val="none" w:sz="0" w:space="0" w:color="auto"/>
            <w:right w:val="none" w:sz="0" w:space="0" w:color="auto"/>
          </w:divBdr>
        </w:div>
        <w:div w:id="126512398">
          <w:marLeft w:val="994"/>
          <w:marRight w:val="0"/>
          <w:marTop w:val="0"/>
          <w:marBottom w:val="0"/>
          <w:divBdr>
            <w:top w:val="none" w:sz="0" w:space="0" w:color="auto"/>
            <w:left w:val="none" w:sz="0" w:space="0" w:color="auto"/>
            <w:bottom w:val="none" w:sz="0" w:space="0" w:color="auto"/>
            <w:right w:val="none" w:sz="0" w:space="0" w:color="auto"/>
          </w:divBdr>
        </w:div>
        <w:div w:id="263343254">
          <w:marLeft w:val="994"/>
          <w:marRight w:val="0"/>
          <w:marTop w:val="0"/>
          <w:marBottom w:val="0"/>
          <w:divBdr>
            <w:top w:val="none" w:sz="0" w:space="0" w:color="auto"/>
            <w:left w:val="none" w:sz="0" w:space="0" w:color="auto"/>
            <w:bottom w:val="none" w:sz="0" w:space="0" w:color="auto"/>
            <w:right w:val="none" w:sz="0" w:space="0" w:color="auto"/>
          </w:divBdr>
        </w:div>
        <w:div w:id="317807753">
          <w:marLeft w:val="274"/>
          <w:marRight w:val="0"/>
          <w:marTop w:val="0"/>
          <w:marBottom w:val="120"/>
          <w:divBdr>
            <w:top w:val="none" w:sz="0" w:space="0" w:color="auto"/>
            <w:left w:val="none" w:sz="0" w:space="0" w:color="auto"/>
            <w:bottom w:val="none" w:sz="0" w:space="0" w:color="auto"/>
            <w:right w:val="none" w:sz="0" w:space="0" w:color="auto"/>
          </w:divBdr>
        </w:div>
        <w:div w:id="500924252">
          <w:marLeft w:val="994"/>
          <w:marRight w:val="0"/>
          <w:marTop w:val="0"/>
          <w:marBottom w:val="120"/>
          <w:divBdr>
            <w:top w:val="none" w:sz="0" w:space="0" w:color="auto"/>
            <w:left w:val="none" w:sz="0" w:space="0" w:color="auto"/>
            <w:bottom w:val="none" w:sz="0" w:space="0" w:color="auto"/>
            <w:right w:val="none" w:sz="0" w:space="0" w:color="auto"/>
          </w:divBdr>
        </w:div>
        <w:div w:id="721946653">
          <w:marLeft w:val="994"/>
          <w:marRight w:val="0"/>
          <w:marTop w:val="0"/>
          <w:marBottom w:val="120"/>
          <w:divBdr>
            <w:top w:val="none" w:sz="0" w:space="0" w:color="auto"/>
            <w:left w:val="none" w:sz="0" w:space="0" w:color="auto"/>
            <w:bottom w:val="none" w:sz="0" w:space="0" w:color="auto"/>
            <w:right w:val="none" w:sz="0" w:space="0" w:color="auto"/>
          </w:divBdr>
        </w:div>
        <w:div w:id="787553355">
          <w:marLeft w:val="274"/>
          <w:marRight w:val="0"/>
          <w:marTop w:val="0"/>
          <w:marBottom w:val="0"/>
          <w:divBdr>
            <w:top w:val="none" w:sz="0" w:space="0" w:color="auto"/>
            <w:left w:val="none" w:sz="0" w:space="0" w:color="auto"/>
            <w:bottom w:val="none" w:sz="0" w:space="0" w:color="auto"/>
            <w:right w:val="none" w:sz="0" w:space="0" w:color="auto"/>
          </w:divBdr>
        </w:div>
        <w:div w:id="1102342403">
          <w:marLeft w:val="274"/>
          <w:marRight w:val="0"/>
          <w:marTop w:val="0"/>
          <w:marBottom w:val="120"/>
          <w:divBdr>
            <w:top w:val="none" w:sz="0" w:space="0" w:color="auto"/>
            <w:left w:val="none" w:sz="0" w:space="0" w:color="auto"/>
            <w:bottom w:val="none" w:sz="0" w:space="0" w:color="auto"/>
            <w:right w:val="none" w:sz="0" w:space="0" w:color="auto"/>
          </w:divBdr>
        </w:div>
        <w:div w:id="1805391046">
          <w:marLeft w:val="994"/>
          <w:marRight w:val="0"/>
          <w:marTop w:val="0"/>
          <w:marBottom w:val="0"/>
          <w:divBdr>
            <w:top w:val="none" w:sz="0" w:space="0" w:color="auto"/>
            <w:left w:val="none" w:sz="0" w:space="0" w:color="auto"/>
            <w:bottom w:val="none" w:sz="0" w:space="0" w:color="auto"/>
            <w:right w:val="none" w:sz="0" w:space="0" w:color="auto"/>
          </w:divBdr>
        </w:div>
        <w:div w:id="1923876228">
          <w:marLeft w:val="274"/>
          <w:marRight w:val="0"/>
          <w:marTop w:val="0"/>
          <w:marBottom w:val="120"/>
          <w:divBdr>
            <w:top w:val="none" w:sz="0" w:space="0" w:color="auto"/>
            <w:left w:val="none" w:sz="0" w:space="0" w:color="auto"/>
            <w:bottom w:val="none" w:sz="0" w:space="0" w:color="auto"/>
            <w:right w:val="none" w:sz="0" w:space="0" w:color="auto"/>
          </w:divBdr>
        </w:div>
        <w:div w:id="2004966050">
          <w:marLeft w:val="274"/>
          <w:marRight w:val="0"/>
          <w:marTop w:val="0"/>
          <w:marBottom w:val="120"/>
          <w:divBdr>
            <w:top w:val="none" w:sz="0" w:space="0" w:color="auto"/>
            <w:left w:val="none" w:sz="0" w:space="0" w:color="auto"/>
            <w:bottom w:val="none" w:sz="0" w:space="0" w:color="auto"/>
            <w:right w:val="none" w:sz="0" w:space="0" w:color="auto"/>
          </w:divBdr>
        </w:div>
      </w:divsChild>
    </w:div>
    <w:div w:id="145555851">
      <w:bodyDiv w:val="1"/>
      <w:marLeft w:val="0"/>
      <w:marRight w:val="0"/>
      <w:marTop w:val="0"/>
      <w:marBottom w:val="0"/>
      <w:divBdr>
        <w:top w:val="none" w:sz="0" w:space="0" w:color="auto"/>
        <w:left w:val="none" w:sz="0" w:space="0" w:color="auto"/>
        <w:bottom w:val="none" w:sz="0" w:space="0" w:color="auto"/>
        <w:right w:val="none" w:sz="0" w:space="0" w:color="auto"/>
      </w:divBdr>
    </w:div>
    <w:div w:id="150754481">
      <w:bodyDiv w:val="1"/>
      <w:marLeft w:val="0"/>
      <w:marRight w:val="0"/>
      <w:marTop w:val="0"/>
      <w:marBottom w:val="0"/>
      <w:divBdr>
        <w:top w:val="none" w:sz="0" w:space="0" w:color="auto"/>
        <w:left w:val="none" w:sz="0" w:space="0" w:color="auto"/>
        <w:bottom w:val="none" w:sz="0" w:space="0" w:color="auto"/>
        <w:right w:val="none" w:sz="0" w:space="0" w:color="auto"/>
      </w:divBdr>
      <w:divsChild>
        <w:div w:id="1722246138">
          <w:marLeft w:val="403"/>
          <w:marRight w:val="0"/>
          <w:marTop w:val="150"/>
          <w:marBottom w:val="0"/>
          <w:divBdr>
            <w:top w:val="none" w:sz="0" w:space="0" w:color="auto"/>
            <w:left w:val="none" w:sz="0" w:space="0" w:color="auto"/>
            <w:bottom w:val="none" w:sz="0" w:space="0" w:color="auto"/>
            <w:right w:val="none" w:sz="0" w:space="0" w:color="auto"/>
          </w:divBdr>
        </w:div>
      </w:divsChild>
    </w:div>
    <w:div w:id="150827543">
      <w:bodyDiv w:val="1"/>
      <w:marLeft w:val="0"/>
      <w:marRight w:val="0"/>
      <w:marTop w:val="0"/>
      <w:marBottom w:val="0"/>
      <w:divBdr>
        <w:top w:val="none" w:sz="0" w:space="0" w:color="auto"/>
        <w:left w:val="none" w:sz="0" w:space="0" w:color="auto"/>
        <w:bottom w:val="none" w:sz="0" w:space="0" w:color="auto"/>
        <w:right w:val="none" w:sz="0" w:space="0" w:color="auto"/>
      </w:divBdr>
      <w:divsChild>
        <w:div w:id="82576272">
          <w:marLeft w:val="403"/>
          <w:marRight w:val="0"/>
          <w:marTop w:val="120"/>
          <w:marBottom w:val="0"/>
          <w:divBdr>
            <w:top w:val="none" w:sz="0" w:space="0" w:color="auto"/>
            <w:left w:val="none" w:sz="0" w:space="0" w:color="auto"/>
            <w:bottom w:val="none" w:sz="0" w:space="0" w:color="auto"/>
            <w:right w:val="none" w:sz="0" w:space="0" w:color="auto"/>
          </w:divBdr>
        </w:div>
        <w:div w:id="796220960">
          <w:marLeft w:val="403"/>
          <w:marRight w:val="0"/>
          <w:marTop w:val="120"/>
          <w:marBottom w:val="0"/>
          <w:divBdr>
            <w:top w:val="none" w:sz="0" w:space="0" w:color="auto"/>
            <w:left w:val="none" w:sz="0" w:space="0" w:color="auto"/>
            <w:bottom w:val="none" w:sz="0" w:space="0" w:color="auto"/>
            <w:right w:val="none" w:sz="0" w:space="0" w:color="auto"/>
          </w:divBdr>
        </w:div>
      </w:divsChild>
    </w:div>
    <w:div w:id="159123300">
      <w:bodyDiv w:val="1"/>
      <w:marLeft w:val="0"/>
      <w:marRight w:val="0"/>
      <w:marTop w:val="0"/>
      <w:marBottom w:val="0"/>
      <w:divBdr>
        <w:top w:val="none" w:sz="0" w:space="0" w:color="auto"/>
        <w:left w:val="none" w:sz="0" w:space="0" w:color="auto"/>
        <w:bottom w:val="none" w:sz="0" w:space="0" w:color="auto"/>
        <w:right w:val="none" w:sz="0" w:space="0" w:color="auto"/>
      </w:divBdr>
    </w:div>
    <w:div w:id="160245970">
      <w:bodyDiv w:val="1"/>
      <w:marLeft w:val="0"/>
      <w:marRight w:val="0"/>
      <w:marTop w:val="0"/>
      <w:marBottom w:val="0"/>
      <w:divBdr>
        <w:top w:val="none" w:sz="0" w:space="0" w:color="auto"/>
        <w:left w:val="none" w:sz="0" w:space="0" w:color="auto"/>
        <w:bottom w:val="none" w:sz="0" w:space="0" w:color="auto"/>
        <w:right w:val="none" w:sz="0" w:space="0" w:color="auto"/>
      </w:divBdr>
      <w:divsChild>
        <w:div w:id="117262929">
          <w:marLeft w:val="274"/>
          <w:marRight w:val="0"/>
          <w:marTop w:val="0"/>
          <w:marBottom w:val="0"/>
          <w:divBdr>
            <w:top w:val="none" w:sz="0" w:space="0" w:color="auto"/>
            <w:left w:val="none" w:sz="0" w:space="0" w:color="auto"/>
            <w:bottom w:val="none" w:sz="0" w:space="0" w:color="auto"/>
            <w:right w:val="none" w:sz="0" w:space="0" w:color="auto"/>
          </w:divBdr>
        </w:div>
        <w:div w:id="1317413181">
          <w:marLeft w:val="274"/>
          <w:marRight w:val="0"/>
          <w:marTop w:val="0"/>
          <w:marBottom w:val="0"/>
          <w:divBdr>
            <w:top w:val="none" w:sz="0" w:space="0" w:color="auto"/>
            <w:left w:val="none" w:sz="0" w:space="0" w:color="auto"/>
            <w:bottom w:val="none" w:sz="0" w:space="0" w:color="auto"/>
            <w:right w:val="none" w:sz="0" w:space="0" w:color="auto"/>
          </w:divBdr>
        </w:div>
        <w:div w:id="1361007590">
          <w:marLeft w:val="274"/>
          <w:marRight w:val="0"/>
          <w:marTop w:val="0"/>
          <w:marBottom w:val="0"/>
          <w:divBdr>
            <w:top w:val="none" w:sz="0" w:space="0" w:color="auto"/>
            <w:left w:val="none" w:sz="0" w:space="0" w:color="auto"/>
            <w:bottom w:val="none" w:sz="0" w:space="0" w:color="auto"/>
            <w:right w:val="none" w:sz="0" w:space="0" w:color="auto"/>
          </w:divBdr>
        </w:div>
        <w:div w:id="1636369334">
          <w:marLeft w:val="274"/>
          <w:marRight w:val="0"/>
          <w:marTop w:val="0"/>
          <w:marBottom w:val="0"/>
          <w:divBdr>
            <w:top w:val="none" w:sz="0" w:space="0" w:color="auto"/>
            <w:left w:val="none" w:sz="0" w:space="0" w:color="auto"/>
            <w:bottom w:val="none" w:sz="0" w:space="0" w:color="auto"/>
            <w:right w:val="none" w:sz="0" w:space="0" w:color="auto"/>
          </w:divBdr>
        </w:div>
        <w:div w:id="1668089913">
          <w:marLeft w:val="274"/>
          <w:marRight w:val="0"/>
          <w:marTop w:val="0"/>
          <w:marBottom w:val="0"/>
          <w:divBdr>
            <w:top w:val="none" w:sz="0" w:space="0" w:color="auto"/>
            <w:left w:val="none" w:sz="0" w:space="0" w:color="auto"/>
            <w:bottom w:val="none" w:sz="0" w:space="0" w:color="auto"/>
            <w:right w:val="none" w:sz="0" w:space="0" w:color="auto"/>
          </w:divBdr>
        </w:div>
        <w:div w:id="1781729145">
          <w:marLeft w:val="274"/>
          <w:marRight w:val="0"/>
          <w:marTop w:val="0"/>
          <w:marBottom w:val="0"/>
          <w:divBdr>
            <w:top w:val="none" w:sz="0" w:space="0" w:color="auto"/>
            <w:left w:val="none" w:sz="0" w:space="0" w:color="auto"/>
            <w:bottom w:val="none" w:sz="0" w:space="0" w:color="auto"/>
            <w:right w:val="none" w:sz="0" w:space="0" w:color="auto"/>
          </w:divBdr>
        </w:div>
        <w:div w:id="1906408597">
          <w:marLeft w:val="274"/>
          <w:marRight w:val="0"/>
          <w:marTop w:val="0"/>
          <w:marBottom w:val="0"/>
          <w:divBdr>
            <w:top w:val="none" w:sz="0" w:space="0" w:color="auto"/>
            <w:left w:val="none" w:sz="0" w:space="0" w:color="auto"/>
            <w:bottom w:val="none" w:sz="0" w:space="0" w:color="auto"/>
            <w:right w:val="none" w:sz="0" w:space="0" w:color="auto"/>
          </w:divBdr>
        </w:div>
        <w:div w:id="1919900679">
          <w:marLeft w:val="274"/>
          <w:marRight w:val="0"/>
          <w:marTop w:val="0"/>
          <w:marBottom w:val="0"/>
          <w:divBdr>
            <w:top w:val="none" w:sz="0" w:space="0" w:color="auto"/>
            <w:left w:val="none" w:sz="0" w:space="0" w:color="auto"/>
            <w:bottom w:val="none" w:sz="0" w:space="0" w:color="auto"/>
            <w:right w:val="none" w:sz="0" w:space="0" w:color="auto"/>
          </w:divBdr>
        </w:div>
        <w:div w:id="1973973148">
          <w:marLeft w:val="274"/>
          <w:marRight w:val="0"/>
          <w:marTop w:val="0"/>
          <w:marBottom w:val="0"/>
          <w:divBdr>
            <w:top w:val="none" w:sz="0" w:space="0" w:color="auto"/>
            <w:left w:val="none" w:sz="0" w:space="0" w:color="auto"/>
            <w:bottom w:val="none" w:sz="0" w:space="0" w:color="auto"/>
            <w:right w:val="none" w:sz="0" w:space="0" w:color="auto"/>
          </w:divBdr>
        </w:div>
        <w:div w:id="2090610310">
          <w:marLeft w:val="274"/>
          <w:marRight w:val="0"/>
          <w:marTop w:val="0"/>
          <w:marBottom w:val="0"/>
          <w:divBdr>
            <w:top w:val="none" w:sz="0" w:space="0" w:color="auto"/>
            <w:left w:val="none" w:sz="0" w:space="0" w:color="auto"/>
            <w:bottom w:val="none" w:sz="0" w:space="0" w:color="auto"/>
            <w:right w:val="none" w:sz="0" w:space="0" w:color="auto"/>
          </w:divBdr>
        </w:div>
      </w:divsChild>
    </w:div>
    <w:div w:id="160707159">
      <w:bodyDiv w:val="1"/>
      <w:marLeft w:val="0"/>
      <w:marRight w:val="0"/>
      <w:marTop w:val="0"/>
      <w:marBottom w:val="0"/>
      <w:divBdr>
        <w:top w:val="none" w:sz="0" w:space="0" w:color="auto"/>
        <w:left w:val="none" w:sz="0" w:space="0" w:color="auto"/>
        <w:bottom w:val="none" w:sz="0" w:space="0" w:color="auto"/>
        <w:right w:val="none" w:sz="0" w:space="0" w:color="auto"/>
      </w:divBdr>
    </w:div>
    <w:div w:id="162554081">
      <w:bodyDiv w:val="1"/>
      <w:marLeft w:val="0"/>
      <w:marRight w:val="0"/>
      <w:marTop w:val="0"/>
      <w:marBottom w:val="0"/>
      <w:divBdr>
        <w:top w:val="none" w:sz="0" w:space="0" w:color="auto"/>
        <w:left w:val="none" w:sz="0" w:space="0" w:color="auto"/>
        <w:bottom w:val="none" w:sz="0" w:space="0" w:color="auto"/>
        <w:right w:val="none" w:sz="0" w:space="0" w:color="auto"/>
      </w:divBdr>
      <w:divsChild>
        <w:div w:id="1505052450">
          <w:marLeft w:val="403"/>
          <w:marRight w:val="0"/>
          <w:marTop w:val="0"/>
          <w:marBottom w:val="120"/>
          <w:divBdr>
            <w:top w:val="none" w:sz="0" w:space="0" w:color="auto"/>
            <w:left w:val="none" w:sz="0" w:space="0" w:color="auto"/>
            <w:bottom w:val="none" w:sz="0" w:space="0" w:color="auto"/>
            <w:right w:val="none" w:sz="0" w:space="0" w:color="auto"/>
          </w:divBdr>
        </w:div>
        <w:div w:id="1560365730">
          <w:marLeft w:val="403"/>
          <w:marRight w:val="0"/>
          <w:marTop w:val="0"/>
          <w:marBottom w:val="120"/>
          <w:divBdr>
            <w:top w:val="none" w:sz="0" w:space="0" w:color="auto"/>
            <w:left w:val="none" w:sz="0" w:space="0" w:color="auto"/>
            <w:bottom w:val="none" w:sz="0" w:space="0" w:color="auto"/>
            <w:right w:val="none" w:sz="0" w:space="0" w:color="auto"/>
          </w:divBdr>
        </w:div>
      </w:divsChild>
    </w:div>
    <w:div w:id="169873667">
      <w:bodyDiv w:val="1"/>
      <w:marLeft w:val="0"/>
      <w:marRight w:val="0"/>
      <w:marTop w:val="0"/>
      <w:marBottom w:val="0"/>
      <w:divBdr>
        <w:top w:val="none" w:sz="0" w:space="0" w:color="auto"/>
        <w:left w:val="none" w:sz="0" w:space="0" w:color="auto"/>
        <w:bottom w:val="none" w:sz="0" w:space="0" w:color="auto"/>
        <w:right w:val="none" w:sz="0" w:space="0" w:color="auto"/>
      </w:divBdr>
    </w:div>
    <w:div w:id="180047589">
      <w:bodyDiv w:val="1"/>
      <w:marLeft w:val="0"/>
      <w:marRight w:val="0"/>
      <w:marTop w:val="0"/>
      <w:marBottom w:val="0"/>
      <w:divBdr>
        <w:top w:val="none" w:sz="0" w:space="0" w:color="auto"/>
        <w:left w:val="none" w:sz="0" w:space="0" w:color="auto"/>
        <w:bottom w:val="none" w:sz="0" w:space="0" w:color="auto"/>
        <w:right w:val="none" w:sz="0" w:space="0" w:color="auto"/>
      </w:divBdr>
    </w:div>
    <w:div w:id="180122365">
      <w:bodyDiv w:val="1"/>
      <w:marLeft w:val="0"/>
      <w:marRight w:val="0"/>
      <w:marTop w:val="0"/>
      <w:marBottom w:val="0"/>
      <w:divBdr>
        <w:top w:val="none" w:sz="0" w:space="0" w:color="auto"/>
        <w:left w:val="none" w:sz="0" w:space="0" w:color="auto"/>
        <w:bottom w:val="none" w:sz="0" w:space="0" w:color="auto"/>
        <w:right w:val="none" w:sz="0" w:space="0" w:color="auto"/>
      </w:divBdr>
    </w:div>
    <w:div w:id="186256172">
      <w:bodyDiv w:val="1"/>
      <w:marLeft w:val="0"/>
      <w:marRight w:val="0"/>
      <w:marTop w:val="0"/>
      <w:marBottom w:val="0"/>
      <w:divBdr>
        <w:top w:val="none" w:sz="0" w:space="0" w:color="auto"/>
        <w:left w:val="none" w:sz="0" w:space="0" w:color="auto"/>
        <w:bottom w:val="none" w:sz="0" w:space="0" w:color="auto"/>
        <w:right w:val="none" w:sz="0" w:space="0" w:color="auto"/>
      </w:divBdr>
      <w:divsChild>
        <w:div w:id="333265946">
          <w:marLeft w:val="403"/>
          <w:marRight w:val="0"/>
          <w:marTop w:val="0"/>
          <w:marBottom w:val="120"/>
          <w:divBdr>
            <w:top w:val="none" w:sz="0" w:space="0" w:color="auto"/>
            <w:left w:val="none" w:sz="0" w:space="0" w:color="auto"/>
            <w:bottom w:val="none" w:sz="0" w:space="0" w:color="auto"/>
            <w:right w:val="none" w:sz="0" w:space="0" w:color="auto"/>
          </w:divBdr>
        </w:div>
        <w:div w:id="1895385130">
          <w:marLeft w:val="403"/>
          <w:marRight w:val="0"/>
          <w:marTop w:val="0"/>
          <w:marBottom w:val="120"/>
          <w:divBdr>
            <w:top w:val="none" w:sz="0" w:space="0" w:color="auto"/>
            <w:left w:val="none" w:sz="0" w:space="0" w:color="auto"/>
            <w:bottom w:val="none" w:sz="0" w:space="0" w:color="auto"/>
            <w:right w:val="none" w:sz="0" w:space="0" w:color="auto"/>
          </w:divBdr>
        </w:div>
      </w:divsChild>
    </w:div>
    <w:div w:id="192160010">
      <w:bodyDiv w:val="1"/>
      <w:marLeft w:val="0"/>
      <w:marRight w:val="0"/>
      <w:marTop w:val="0"/>
      <w:marBottom w:val="0"/>
      <w:divBdr>
        <w:top w:val="none" w:sz="0" w:space="0" w:color="auto"/>
        <w:left w:val="none" w:sz="0" w:space="0" w:color="auto"/>
        <w:bottom w:val="none" w:sz="0" w:space="0" w:color="auto"/>
        <w:right w:val="none" w:sz="0" w:space="0" w:color="auto"/>
      </w:divBdr>
      <w:divsChild>
        <w:div w:id="577175732">
          <w:marLeft w:val="274"/>
          <w:marRight w:val="0"/>
          <w:marTop w:val="0"/>
          <w:marBottom w:val="0"/>
          <w:divBdr>
            <w:top w:val="none" w:sz="0" w:space="0" w:color="auto"/>
            <w:left w:val="none" w:sz="0" w:space="0" w:color="auto"/>
            <w:bottom w:val="none" w:sz="0" w:space="0" w:color="auto"/>
            <w:right w:val="none" w:sz="0" w:space="0" w:color="auto"/>
          </w:divBdr>
        </w:div>
        <w:div w:id="1215234355">
          <w:marLeft w:val="274"/>
          <w:marRight w:val="0"/>
          <w:marTop w:val="0"/>
          <w:marBottom w:val="120"/>
          <w:divBdr>
            <w:top w:val="none" w:sz="0" w:space="0" w:color="auto"/>
            <w:left w:val="none" w:sz="0" w:space="0" w:color="auto"/>
            <w:bottom w:val="none" w:sz="0" w:space="0" w:color="auto"/>
            <w:right w:val="none" w:sz="0" w:space="0" w:color="auto"/>
          </w:divBdr>
        </w:div>
      </w:divsChild>
    </w:div>
    <w:div w:id="202132982">
      <w:bodyDiv w:val="1"/>
      <w:marLeft w:val="0"/>
      <w:marRight w:val="0"/>
      <w:marTop w:val="0"/>
      <w:marBottom w:val="0"/>
      <w:divBdr>
        <w:top w:val="none" w:sz="0" w:space="0" w:color="auto"/>
        <w:left w:val="none" w:sz="0" w:space="0" w:color="auto"/>
        <w:bottom w:val="none" w:sz="0" w:space="0" w:color="auto"/>
        <w:right w:val="none" w:sz="0" w:space="0" w:color="auto"/>
      </w:divBdr>
      <w:divsChild>
        <w:div w:id="2068381903">
          <w:marLeft w:val="403"/>
          <w:marRight w:val="0"/>
          <w:marTop w:val="150"/>
          <w:marBottom w:val="0"/>
          <w:divBdr>
            <w:top w:val="none" w:sz="0" w:space="0" w:color="auto"/>
            <w:left w:val="none" w:sz="0" w:space="0" w:color="auto"/>
            <w:bottom w:val="none" w:sz="0" w:space="0" w:color="auto"/>
            <w:right w:val="none" w:sz="0" w:space="0" w:color="auto"/>
          </w:divBdr>
        </w:div>
      </w:divsChild>
    </w:div>
    <w:div w:id="203369750">
      <w:bodyDiv w:val="1"/>
      <w:marLeft w:val="0"/>
      <w:marRight w:val="0"/>
      <w:marTop w:val="0"/>
      <w:marBottom w:val="0"/>
      <w:divBdr>
        <w:top w:val="none" w:sz="0" w:space="0" w:color="auto"/>
        <w:left w:val="none" w:sz="0" w:space="0" w:color="auto"/>
        <w:bottom w:val="none" w:sz="0" w:space="0" w:color="auto"/>
        <w:right w:val="none" w:sz="0" w:space="0" w:color="auto"/>
      </w:divBdr>
    </w:div>
    <w:div w:id="204948442">
      <w:bodyDiv w:val="1"/>
      <w:marLeft w:val="0"/>
      <w:marRight w:val="0"/>
      <w:marTop w:val="0"/>
      <w:marBottom w:val="0"/>
      <w:divBdr>
        <w:top w:val="none" w:sz="0" w:space="0" w:color="auto"/>
        <w:left w:val="none" w:sz="0" w:space="0" w:color="auto"/>
        <w:bottom w:val="none" w:sz="0" w:space="0" w:color="auto"/>
        <w:right w:val="none" w:sz="0" w:space="0" w:color="auto"/>
      </w:divBdr>
      <w:divsChild>
        <w:div w:id="1574587721">
          <w:marLeft w:val="403"/>
          <w:marRight w:val="0"/>
          <w:marTop w:val="150"/>
          <w:marBottom w:val="0"/>
          <w:divBdr>
            <w:top w:val="none" w:sz="0" w:space="0" w:color="auto"/>
            <w:left w:val="none" w:sz="0" w:space="0" w:color="auto"/>
            <w:bottom w:val="none" w:sz="0" w:space="0" w:color="auto"/>
            <w:right w:val="none" w:sz="0" w:space="0" w:color="auto"/>
          </w:divBdr>
        </w:div>
        <w:div w:id="1661958807">
          <w:marLeft w:val="403"/>
          <w:marRight w:val="0"/>
          <w:marTop w:val="150"/>
          <w:marBottom w:val="0"/>
          <w:divBdr>
            <w:top w:val="none" w:sz="0" w:space="0" w:color="auto"/>
            <w:left w:val="none" w:sz="0" w:space="0" w:color="auto"/>
            <w:bottom w:val="none" w:sz="0" w:space="0" w:color="auto"/>
            <w:right w:val="none" w:sz="0" w:space="0" w:color="auto"/>
          </w:divBdr>
        </w:div>
      </w:divsChild>
    </w:div>
    <w:div w:id="205068654">
      <w:bodyDiv w:val="1"/>
      <w:marLeft w:val="0"/>
      <w:marRight w:val="0"/>
      <w:marTop w:val="0"/>
      <w:marBottom w:val="0"/>
      <w:divBdr>
        <w:top w:val="none" w:sz="0" w:space="0" w:color="auto"/>
        <w:left w:val="none" w:sz="0" w:space="0" w:color="auto"/>
        <w:bottom w:val="none" w:sz="0" w:space="0" w:color="auto"/>
        <w:right w:val="none" w:sz="0" w:space="0" w:color="auto"/>
      </w:divBdr>
      <w:divsChild>
        <w:div w:id="522743717">
          <w:marLeft w:val="878"/>
          <w:marRight w:val="0"/>
          <w:marTop w:val="0"/>
          <w:marBottom w:val="0"/>
          <w:divBdr>
            <w:top w:val="none" w:sz="0" w:space="0" w:color="auto"/>
            <w:left w:val="none" w:sz="0" w:space="0" w:color="auto"/>
            <w:bottom w:val="none" w:sz="0" w:space="0" w:color="auto"/>
            <w:right w:val="none" w:sz="0" w:space="0" w:color="auto"/>
          </w:divBdr>
        </w:div>
        <w:div w:id="584191527">
          <w:marLeft w:val="878"/>
          <w:marRight w:val="0"/>
          <w:marTop w:val="0"/>
          <w:marBottom w:val="0"/>
          <w:divBdr>
            <w:top w:val="none" w:sz="0" w:space="0" w:color="auto"/>
            <w:left w:val="none" w:sz="0" w:space="0" w:color="auto"/>
            <w:bottom w:val="none" w:sz="0" w:space="0" w:color="auto"/>
            <w:right w:val="none" w:sz="0" w:space="0" w:color="auto"/>
          </w:divBdr>
        </w:div>
        <w:div w:id="1002271664">
          <w:marLeft w:val="878"/>
          <w:marRight w:val="0"/>
          <w:marTop w:val="0"/>
          <w:marBottom w:val="0"/>
          <w:divBdr>
            <w:top w:val="none" w:sz="0" w:space="0" w:color="auto"/>
            <w:left w:val="none" w:sz="0" w:space="0" w:color="auto"/>
            <w:bottom w:val="none" w:sz="0" w:space="0" w:color="auto"/>
            <w:right w:val="none" w:sz="0" w:space="0" w:color="auto"/>
          </w:divBdr>
        </w:div>
        <w:div w:id="1965890650">
          <w:marLeft w:val="878"/>
          <w:marRight w:val="0"/>
          <w:marTop w:val="0"/>
          <w:marBottom w:val="0"/>
          <w:divBdr>
            <w:top w:val="none" w:sz="0" w:space="0" w:color="auto"/>
            <w:left w:val="none" w:sz="0" w:space="0" w:color="auto"/>
            <w:bottom w:val="none" w:sz="0" w:space="0" w:color="auto"/>
            <w:right w:val="none" w:sz="0" w:space="0" w:color="auto"/>
          </w:divBdr>
        </w:div>
      </w:divsChild>
    </w:div>
    <w:div w:id="205989811">
      <w:bodyDiv w:val="1"/>
      <w:marLeft w:val="0"/>
      <w:marRight w:val="0"/>
      <w:marTop w:val="0"/>
      <w:marBottom w:val="0"/>
      <w:divBdr>
        <w:top w:val="none" w:sz="0" w:space="0" w:color="auto"/>
        <w:left w:val="none" w:sz="0" w:space="0" w:color="auto"/>
        <w:bottom w:val="none" w:sz="0" w:space="0" w:color="auto"/>
        <w:right w:val="none" w:sz="0" w:space="0" w:color="auto"/>
      </w:divBdr>
    </w:div>
    <w:div w:id="207228420">
      <w:bodyDiv w:val="1"/>
      <w:marLeft w:val="0"/>
      <w:marRight w:val="0"/>
      <w:marTop w:val="0"/>
      <w:marBottom w:val="0"/>
      <w:divBdr>
        <w:top w:val="none" w:sz="0" w:space="0" w:color="auto"/>
        <w:left w:val="none" w:sz="0" w:space="0" w:color="auto"/>
        <w:bottom w:val="none" w:sz="0" w:space="0" w:color="auto"/>
        <w:right w:val="none" w:sz="0" w:space="0" w:color="auto"/>
      </w:divBdr>
    </w:div>
    <w:div w:id="213852930">
      <w:bodyDiv w:val="1"/>
      <w:marLeft w:val="0"/>
      <w:marRight w:val="0"/>
      <w:marTop w:val="0"/>
      <w:marBottom w:val="0"/>
      <w:divBdr>
        <w:top w:val="none" w:sz="0" w:space="0" w:color="auto"/>
        <w:left w:val="none" w:sz="0" w:space="0" w:color="auto"/>
        <w:bottom w:val="none" w:sz="0" w:space="0" w:color="auto"/>
        <w:right w:val="none" w:sz="0" w:space="0" w:color="auto"/>
      </w:divBdr>
    </w:div>
    <w:div w:id="225529290">
      <w:bodyDiv w:val="1"/>
      <w:marLeft w:val="0"/>
      <w:marRight w:val="0"/>
      <w:marTop w:val="0"/>
      <w:marBottom w:val="0"/>
      <w:divBdr>
        <w:top w:val="none" w:sz="0" w:space="0" w:color="auto"/>
        <w:left w:val="none" w:sz="0" w:space="0" w:color="auto"/>
        <w:bottom w:val="none" w:sz="0" w:space="0" w:color="auto"/>
        <w:right w:val="none" w:sz="0" w:space="0" w:color="auto"/>
      </w:divBdr>
    </w:div>
    <w:div w:id="229972141">
      <w:bodyDiv w:val="1"/>
      <w:marLeft w:val="0"/>
      <w:marRight w:val="0"/>
      <w:marTop w:val="0"/>
      <w:marBottom w:val="0"/>
      <w:divBdr>
        <w:top w:val="none" w:sz="0" w:space="0" w:color="auto"/>
        <w:left w:val="none" w:sz="0" w:space="0" w:color="auto"/>
        <w:bottom w:val="none" w:sz="0" w:space="0" w:color="auto"/>
        <w:right w:val="none" w:sz="0" w:space="0" w:color="auto"/>
      </w:divBdr>
    </w:div>
    <w:div w:id="233661419">
      <w:bodyDiv w:val="1"/>
      <w:marLeft w:val="0"/>
      <w:marRight w:val="0"/>
      <w:marTop w:val="0"/>
      <w:marBottom w:val="0"/>
      <w:divBdr>
        <w:top w:val="none" w:sz="0" w:space="0" w:color="auto"/>
        <w:left w:val="none" w:sz="0" w:space="0" w:color="auto"/>
        <w:bottom w:val="none" w:sz="0" w:space="0" w:color="auto"/>
        <w:right w:val="none" w:sz="0" w:space="0" w:color="auto"/>
      </w:divBdr>
      <w:divsChild>
        <w:div w:id="208416154">
          <w:marLeft w:val="403"/>
          <w:marRight w:val="0"/>
          <w:marTop w:val="150"/>
          <w:marBottom w:val="0"/>
          <w:divBdr>
            <w:top w:val="none" w:sz="0" w:space="0" w:color="auto"/>
            <w:left w:val="none" w:sz="0" w:space="0" w:color="auto"/>
            <w:bottom w:val="none" w:sz="0" w:space="0" w:color="auto"/>
            <w:right w:val="none" w:sz="0" w:space="0" w:color="auto"/>
          </w:divBdr>
        </w:div>
        <w:div w:id="1664970319">
          <w:marLeft w:val="403"/>
          <w:marRight w:val="0"/>
          <w:marTop w:val="150"/>
          <w:marBottom w:val="0"/>
          <w:divBdr>
            <w:top w:val="none" w:sz="0" w:space="0" w:color="auto"/>
            <w:left w:val="none" w:sz="0" w:space="0" w:color="auto"/>
            <w:bottom w:val="none" w:sz="0" w:space="0" w:color="auto"/>
            <w:right w:val="none" w:sz="0" w:space="0" w:color="auto"/>
          </w:divBdr>
        </w:div>
        <w:div w:id="1903633319">
          <w:marLeft w:val="403"/>
          <w:marRight w:val="0"/>
          <w:marTop w:val="150"/>
          <w:marBottom w:val="0"/>
          <w:divBdr>
            <w:top w:val="none" w:sz="0" w:space="0" w:color="auto"/>
            <w:left w:val="none" w:sz="0" w:space="0" w:color="auto"/>
            <w:bottom w:val="none" w:sz="0" w:space="0" w:color="auto"/>
            <w:right w:val="none" w:sz="0" w:space="0" w:color="auto"/>
          </w:divBdr>
        </w:div>
      </w:divsChild>
    </w:div>
    <w:div w:id="235555774">
      <w:bodyDiv w:val="1"/>
      <w:marLeft w:val="0"/>
      <w:marRight w:val="0"/>
      <w:marTop w:val="0"/>
      <w:marBottom w:val="0"/>
      <w:divBdr>
        <w:top w:val="none" w:sz="0" w:space="0" w:color="auto"/>
        <w:left w:val="none" w:sz="0" w:space="0" w:color="auto"/>
        <w:bottom w:val="none" w:sz="0" w:space="0" w:color="auto"/>
        <w:right w:val="none" w:sz="0" w:space="0" w:color="auto"/>
      </w:divBdr>
    </w:div>
    <w:div w:id="246962890">
      <w:bodyDiv w:val="1"/>
      <w:marLeft w:val="0"/>
      <w:marRight w:val="0"/>
      <w:marTop w:val="0"/>
      <w:marBottom w:val="0"/>
      <w:divBdr>
        <w:top w:val="none" w:sz="0" w:space="0" w:color="auto"/>
        <w:left w:val="none" w:sz="0" w:space="0" w:color="auto"/>
        <w:bottom w:val="none" w:sz="0" w:space="0" w:color="auto"/>
        <w:right w:val="none" w:sz="0" w:space="0" w:color="auto"/>
      </w:divBdr>
    </w:div>
    <w:div w:id="249122719">
      <w:bodyDiv w:val="1"/>
      <w:marLeft w:val="0"/>
      <w:marRight w:val="0"/>
      <w:marTop w:val="0"/>
      <w:marBottom w:val="0"/>
      <w:divBdr>
        <w:top w:val="none" w:sz="0" w:space="0" w:color="auto"/>
        <w:left w:val="none" w:sz="0" w:space="0" w:color="auto"/>
        <w:bottom w:val="none" w:sz="0" w:space="0" w:color="auto"/>
        <w:right w:val="none" w:sz="0" w:space="0" w:color="auto"/>
      </w:divBdr>
      <w:divsChild>
        <w:div w:id="516165574">
          <w:marLeft w:val="403"/>
          <w:marRight w:val="0"/>
          <w:marTop w:val="0"/>
          <w:marBottom w:val="120"/>
          <w:divBdr>
            <w:top w:val="none" w:sz="0" w:space="0" w:color="auto"/>
            <w:left w:val="none" w:sz="0" w:space="0" w:color="auto"/>
            <w:bottom w:val="none" w:sz="0" w:space="0" w:color="auto"/>
            <w:right w:val="none" w:sz="0" w:space="0" w:color="auto"/>
          </w:divBdr>
        </w:div>
        <w:div w:id="599606860">
          <w:marLeft w:val="403"/>
          <w:marRight w:val="0"/>
          <w:marTop w:val="0"/>
          <w:marBottom w:val="120"/>
          <w:divBdr>
            <w:top w:val="none" w:sz="0" w:space="0" w:color="auto"/>
            <w:left w:val="none" w:sz="0" w:space="0" w:color="auto"/>
            <w:bottom w:val="none" w:sz="0" w:space="0" w:color="auto"/>
            <w:right w:val="none" w:sz="0" w:space="0" w:color="auto"/>
          </w:divBdr>
        </w:div>
        <w:div w:id="668749677">
          <w:marLeft w:val="403"/>
          <w:marRight w:val="0"/>
          <w:marTop w:val="0"/>
          <w:marBottom w:val="120"/>
          <w:divBdr>
            <w:top w:val="none" w:sz="0" w:space="0" w:color="auto"/>
            <w:left w:val="none" w:sz="0" w:space="0" w:color="auto"/>
            <w:bottom w:val="none" w:sz="0" w:space="0" w:color="auto"/>
            <w:right w:val="none" w:sz="0" w:space="0" w:color="auto"/>
          </w:divBdr>
        </w:div>
        <w:div w:id="1757896584">
          <w:marLeft w:val="403"/>
          <w:marRight w:val="0"/>
          <w:marTop w:val="0"/>
          <w:marBottom w:val="120"/>
          <w:divBdr>
            <w:top w:val="none" w:sz="0" w:space="0" w:color="auto"/>
            <w:left w:val="none" w:sz="0" w:space="0" w:color="auto"/>
            <w:bottom w:val="none" w:sz="0" w:space="0" w:color="auto"/>
            <w:right w:val="none" w:sz="0" w:space="0" w:color="auto"/>
          </w:divBdr>
        </w:div>
      </w:divsChild>
    </w:div>
    <w:div w:id="253369441">
      <w:bodyDiv w:val="1"/>
      <w:marLeft w:val="0"/>
      <w:marRight w:val="0"/>
      <w:marTop w:val="0"/>
      <w:marBottom w:val="0"/>
      <w:divBdr>
        <w:top w:val="none" w:sz="0" w:space="0" w:color="auto"/>
        <w:left w:val="none" w:sz="0" w:space="0" w:color="auto"/>
        <w:bottom w:val="none" w:sz="0" w:space="0" w:color="auto"/>
        <w:right w:val="none" w:sz="0" w:space="0" w:color="auto"/>
      </w:divBdr>
      <w:divsChild>
        <w:div w:id="8610146">
          <w:marLeft w:val="878"/>
          <w:marRight w:val="0"/>
          <w:marTop w:val="0"/>
          <w:marBottom w:val="120"/>
          <w:divBdr>
            <w:top w:val="none" w:sz="0" w:space="0" w:color="auto"/>
            <w:left w:val="none" w:sz="0" w:space="0" w:color="auto"/>
            <w:bottom w:val="none" w:sz="0" w:space="0" w:color="auto"/>
            <w:right w:val="none" w:sz="0" w:space="0" w:color="auto"/>
          </w:divBdr>
        </w:div>
        <w:div w:id="1985429790">
          <w:marLeft w:val="403"/>
          <w:marRight w:val="0"/>
          <w:marTop w:val="0"/>
          <w:marBottom w:val="120"/>
          <w:divBdr>
            <w:top w:val="none" w:sz="0" w:space="0" w:color="auto"/>
            <w:left w:val="none" w:sz="0" w:space="0" w:color="auto"/>
            <w:bottom w:val="none" w:sz="0" w:space="0" w:color="auto"/>
            <w:right w:val="none" w:sz="0" w:space="0" w:color="auto"/>
          </w:divBdr>
        </w:div>
      </w:divsChild>
    </w:div>
    <w:div w:id="259870732">
      <w:bodyDiv w:val="1"/>
      <w:marLeft w:val="0"/>
      <w:marRight w:val="0"/>
      <w:marTop w:val="0"/>
      <w:marBottom w:val="0"/>
      <w:divBdr>
        <w:top w:val="none" w:sz="0" w:space="0" w:color="auto"/>
        <w:left w:val="none" w:sz="0" w:space="0" w:color="auto"/>
        <w:bottom w:val="none" w:sz="0" w:space="0" w:color="auto"/>
        <w:right w:val="none" w:sz="0" w:space="0" w:color="auto"/>
      </w:divBdr>
    </w:div>
    <w:div w:id="266081728">
      <w:bodyDiv w:val="1"/>
      <w:marLeft w:val="0"/>
      <w:marRight w:val="0"/>
      <w:marTop w:val="0"/>
      <w:marBottom w:val="0"/>
      <w:divBdr>
        <w:top w:val="none" w:sz="0" w:space="0" w:color="auto"/>
        <w:left w:val="none" w:sz="0" w:space="0" w:color="auto"/>
        <w:bottom w:val="none" w:sz="0" w:space="0" w:color="auto"/>
        <w:right w:val="none" w:sz="0" w:space="0" w:color="auto"/>
      </w:divBdr>
    </w:div>
    <w:div w:id="280575152">
      <w:bodyDiv w:val="1"/>
      <w:marLeft w:val="0"/>
      <w:marRight w:val="0"/>
      <w:marTop w:val="0"/>
      <w:marBottom w:val="0"/>
      <w:divBdr>
        <w:top w:val="none" w:sz="0" w:space="0" w:color="auto"/>
        <w:left w:val="none" w:sz="0" w:space="0" w:color="auto"/>
        <w:bottom w:val="none" w:sz="0" w:space="0" w:color="auto"/>
        <w:right w:val="none" w:sz="0" w:space="0" w:color="auto"/>
      </w:divBdr>
    </w:div>
    <w:div w:id="286934688">
      <w:bodyDiv w:val="1"/>
      <w:marLeft w:val="0"/>
      <w:marRight w:val="0"/>
      <w:marTop w:val="0"/>
      <w:marBottom w:val="0"/>
      <w:divBdr>
        <w:top w:val="none" w:sz="0" w:space="0" w:color="auto"/>
        <w:left w:val="none" w:sz="0" w:space="0" w:color="auto"/>
        <w:bottom w:val="none" w:sz="0" w:space="0" w:color="auto"/>
        <w:right w:val="none" w:sz="0" w:space="0" w:color="auto"/>
      </w:divBdr>
    </w:div>
    <w:div w:id="291374896">
      <w:bodyDiv w:val="1"/>
      <w:marLeft w:val="0"/>
      <w:marRight w:val="0"/>
      <w:marTop w:val="0"/>
      <w:marBottom w:val="0"/>
      <w:divBdr>
        <w:top w:val="none" w:sz="0" w:space="0" w:color="auto"/>
        <w:left w:val="none" w:sz="0" w:space="0" w:color="auto"/>
        <w:bottom w:val="none" w:sz="0" w:space="0" w:color="auto"/>
        <w:right w:val="none" w:sz="0" w:space="0" w:color="auto"/>
      </w:divBdr>
      <w:divsChild>
        <w:div w:id="1310788259">
          <w:marLeft w:val="403"/>
          <w:marRight w:val="0"/>
          <w:marTop w:val="150"/>
          <w:marBottom w:val="0"/>
          <w:divBdr>
            <w:top w:val="none" w:sz="0" w:space="0" w:color="auto"/>
            <w:left w:val="none" w:sz="0" w:space="0" w:color="auto"/>
            <w:bottom w:val="none" w:sz="0" w:space="0" w:color="auto"/>
            <w:right w:val="none" w:sz="0" w:space="0" w:color="auto"/>
          </w:divBdr>
        </w:div>
      </w:divsChild>
    </w:div>
    <w:div w:id="292952849">
      <w:bodyDiv w:val="1"/>
      <w:marLeft w:val="0"/>
      <w:marRight w:val="0"/>
      <w:marTop w:val="0"/>
      <w:marBottom w:val="0"/>
      <w:divBdr>
        <w:top w:val="none" w:sz="0" w:space="0" w:color="auto"/>
        <w:left w:val="none" w:sz="0" w:space="0" w:color="auto"/>
        <w:bottom w:val="none" w:sz="0" w:space="0" w:color="auto"/>
        <w:right w:val="none" w:sz="0" w:space="0" w:color="auto"/>
      </w:divBdr>
    </w:div>
    <w:div w:id="294262295">
      <w:bodyDiv w:val="1"/>
      <w:marLeft w:val="0"/>
      <w:marRight w:val="0"/>
      <w:marTop w:val="0"/>
      <w:marBottom w:val="0"/>
      <w:divBdr>
        <w:top w:val="none" w:sz="0" w:space="0" w:color="auto"/>
        <w:left w:val="none" w:sz="0" w:space="0" w:color="auto"/>
        <w:bottom w:val="none" w:sz="0" w:space="0" w:color="auto"/>
        <w:right w:val="none" w:sz="0" w:space="0" w:color="auto"/>
      </w:divBdr>
      <w:divsChild>
        <w:div w:id="98451781">
          <w:marLeft w:val="403"/>
          <w:marRight w:val="0"/>
          <w:marTop w:val="150"/>
          <w:marBottom w:val="0"/>
          <w:divBdr>
            <w:top w:val="none" w:sz="0" w:space="0" w:color="auto"/>
            <w:left w:val="none" w:sz="0" w:space="0" w:color="auto"/>
            <w:bottom w:val="none" w:sz="0" w:space="0" w:color="auto"/>
            <w:right w:val="none" w:sz="0" w:space="0" w:color="auto"/>
          </w:divBdr>
        </w:div>
        <w:div w:id="680398980">
          <w:marLeft w:val="403"/>
          <w:marRight w:val="0"/>
          <w:marTop w:val="150"/>
          <w:marBottom w:val="0"/>
          <w:divBdr>
            <w:top w:val="none" w:sz="0" w:space="0" w:color="auto"/>
            <w:left w:val="none" w:sz="0" w:space="0" w:color="auto"/>
            <w:bottom w:val="none" w:sz="0" w:space="0" w:color="auto"/>
            <w:right w:val="none" w:sz="0" w:space="0" w:color="auto"/>
          </w:divBdr>
        </w:div>
      </w:divsChild>
    </w:div>
    <w:div w:id="297228687">
      <w:bodyDiv w:val="1"/>
      <w:marLeft w:val="0"/>
      <w:marRight w:val="0"/>
      <w:marTop w:val="0"/>
      <w:marBottom w:val="0"/>
      <w:divBdr>
        <w:top w:val="none" w:sz="0" w:space="0" w:color="auto"/>
        <w:left w:val="none" w:sz="0" w:space="0" w:color="auto"/>
        <w:bottom w:val="none" w:sz="0" w:space="0" w:color="auto"/>
        <w:right w:val="none" w:sz="0" w:space="0" w:color="auto"/>
      </w:divBdr>
    </w:div>
    <w:div w:id="304165617">
      <w:bodyDiv w:val="1"/>
      <w:marLeft w:val="0"/>
      <w:marRight w:val="0"/>
      <w:marTop w:val="0"/>
      <w:marBottom w:val="0"/>
      <w:divBdr>
        <w:top w:val="none" w:sz="0" w:space="0" w:color="auto"/>
        <w:left w:val="none" w:sz="0" w:space="0" w:color="auto"/>
        <w:bottom w:val="none" w:sz="0" w:space="0" w:color="auto"/>
        <w:right w:val="none" w:sz="0" w:space="0" w:color="auto"/>
      </w:divBdr>
      <w:divsChild>
        <w:div w:id="1168062378">
          <w:marLeft w:val="403"/>
          <w:marRight w:val="0"/>
          <w:marTop w:val="0"/>
          <w:marBottom w:val="120"/>
          <w:divBdr>
            <w:top w:val="none" w:sz="0" w:space="0" w:color="auto"/>
            <w:left w:val="none" w:sz="0" w:space="0" w:color="auto"/>
            <w:bottom w:val="none" w:sz="0" w:space="0" w:color="auto"/>
            <w:right w:val="none" w:sz="0" w:space="0" w:color="auto"/>
          </w:divBdr>
        </w:div>
        <w:div w:id="1485466191">
          <w:marLeft w:val="403"/>
          <w:marRight w:val="0"/>
          <w:marTop w:val="0"/>
          <w:marBottom w:val="120"/>
          <w:divBdr>
            <w:top w:val="none" w:sz="0" w:space="0" w:color="auto"/>
            <w:left w:val="none" w:sz="0" w:space="0" w:color="auto"/>
            <w:bottom w:val="none" w:sz="0" w:space="0" w:color="auto"/>
            <w:right w:val="none" w:sz="0" w:space="0" w:color="auto"/>
          </w:divBdr>
        </w:div>
        <w:div w:id="1837263390">
          <w:marLeft w:val="547"/>
          <w:marRight w:val="0"/>
          <w:marTop w:val="0"/>
          <w:marBottom w:val="160"/>
          <w:divBdr>
            <w:top w:val="none" w:sz="0" w:space="0" w:color="auto"/>
            <w:left w:val="none" w:sz="0" w:space="0" w:color="auto"/>
            <w:bottom w:val="none" w:sz="0" w:space="0" w:color="auto"/>
            <w:right w:val="none" w:sz="0" w:space="0" w:color="auto"/>
          </w:divBdr>
        </w:div>
      </w:divsChild>
    </w:div>
    <w:div w:id="325667514">
      <w:bodyDiv w:val="1"/>
      <w:marLeft w:val="0"/>
      <w:marRight w:val="0"/>
      <w:marTop w:val="0"/>
      <w:marBottom w:val="0"/>
      <w:divBdr>
        <w:top w:val="none" w:sz="0" w:space="0" w:color="auto"/>
        <w:left w:val="none" w:sz="0" w:space="0" w:color="auto"/>
        <w:bottom w:val="none" w:sz="0" w:space="0" w:color="auto"/>
        <w:right w:val="none" w:sz="0" w:space="0" w:color="auto"/>
      </w:divBdr>
    </w:div>
    <w:div w:id="336814954">
      <w:bodyDiv w:val="1"/>
      <w:marLeft w:val="0"/>
      <w:marRight w:val="0"/>
      <w:marTop w:val="0"/>
      <w:marBottom w:val="0"/>
      <w:divBdr>
        <w:top w:val="none" w:sz="0" w:space="0" w:color="auto"/>
        <w:left w:val="none" w:sz="0" w:space="0" w:color="auto"/>
        <w:bottom w:val="none" w:sz="0" w:space="0" w:color="auto"/>
        <w:right w:val="none" w:sz="0" w:space="0" w:color="auto"/>
      </w:divBdr>
    </w:div>
    <w:div w:id="338509464">
      <w:bodyDiv w:val="1"/>
      <w:marLeft w:val="0"/>
      <w:marRight w:val="0"/>
      <w:marTop w:val="0"/>
      <w:marBottom w:val="0"/>
      <w:divBdr>
        <w:top w:val="none" w:sz="0" w:space="0" w:color="auto"/>
        <w:left w:val="none" w:sz="0" w:space="0" w:color="auto"/>
        <w:bottom w:val="none" w:sz="0" w:space="0" w:color="auto"/>
        <w:right w:val="none" w:sz="0" w:space="0" w:color="auto"/>
      </w:divBdr>
    </w:div>
    <w:div w:id="342823936">
      <w:bodyDiv w:val="1"/>
      <w:marLeft w:val="0"/>
      <w:marRight w:val="0"/>
      <w:marTop w:val="0"/>
      <w:marBottom w:val="0"/>
      <w:divBdr>
        <w:top w:val="none" w:sz="0" w:space="0" w:color="auto"/>
        <w:left w:val="none" w:sz="0" w:space="0" w:color="auto"/>
        <w:bottom w:val="none" w:sz="0" w:space="0" w:color="auto"/>
        <w:right w:val="none" w:sz="0" w:space="0" w:color="auto"/>
      </w:divBdr>
    </w:div>
    <w:div w:id="345525098">
      <w:bodyDiv w:val="1"/>
      <w:marLeft w:val="0"/>
      <w:marRight w:val="0"/>
      <w:marTop w:val="0"/>
      <w:marBottom w:val="0"/>
      <w:divBdr>
        <w:top w:val="none" w:sz="0" w:space="0" w:color="auto"/>
        <w:left w:val="none" w:sz="0" w:space="0" w:color="auto"/>
        <w:bottom w:val="none" w:sz="0" w:space="0" w:color="auto"/>
        <w:right w:val="none" w:sz="0" w:space="0" w:color="auto"/>
      </w:divBdr>
    </w:div>
    <w:div w:id="347604894">
      <w:bodyDiv w:val="1"/>
      <w:marLeft w:val="0"/>
      <w:marRight w:val="0"/>
      <w:marTop w:val="0"/>
      <w:marBottom w:val="0"/>
      <w:divBdr>
        <w:top w:val="none" w:sz="0" w:space="0" w:color="auto"/>
        <w:left w:val="none" w:sz="0" w:space="0" w:color="auto"/>
        <w:bottom w:val="none" w:sz="0" w:space="0" w:color="auto"/>
        <w:right w:val="none" w:sz="0" w:space="0" w:color="auto"/>
      </w:divBdr>
    </w:div>
    <w:div w:id="351151303">
      <w:bodyDiv w:val="1"/>
      <w:marLeft w:val="0"/>
      <w:marRight w:val="0"/>
      <w:marTop w:val="0"/>
      <w:marBottom w:val="0"/>
      <w:divBdr>
        <w:top w:val="none" w:sz="0" w:space="0" w:color="auto"/>
        <w:left w:val="none" w:sz="0" w:space="0" w:color="auto"/>
        <w:bottom w:val="none" w:sz="0" w:space="0" w:color="auto"/>
        <w:right w:val="none" w:sz="0" w:space="0" w:color="auto"/>
      </w:divBdr>
    </w:div>
    <w:div w:id="356472412">
      <w:bodyDiv w:val="1"/>
      <w:marLeft w:val="0"/>
      <w:marRight w:val="0"/>
      <w:marTop w:val="0"/>
      <w:marBottom w:val="0"/>
      <w:divBdr>
        <w:top w:val="none" w:sz="0" w:space="0" w:color="auto"/>
        <w:left w:val="none" w:sz="0" w:space="0" w:color="auto"/>
        <w:bottom w:val="none" w:sz="0" w:space="0" w:color="auto"/>
        <w:right w:val="none" w:sz="0" w:space="0" w:color="auto"/>
      </w:divBdr>
    </w:div>
    <w:div w:id="365906932">
      <w:bodyDiv w:val="1"/>
      <w:marLeft w:val="0"/>
      <w:marRight w:val="0"/>
      <w:marTop w:val="0"/>
      <w:marBottom w:val="0"/>
      <w:divBdr>
        <w:top w:val="none" w:sz="0" w:space="0" w:color="auto"/>
        <w:left w:val="none" w:sz="0" w:space="0" w:color="auto"/>
        <w:bottom w:val="none" w:sz="0" w:space="0" w:color="auto"/>
        <w:right w:val="none" w:sz="0" w:space="0" w:color="auto"/>
      </w:divBdr>
    </w:div>
    <w:div w:id="369262363">
      <w:bodyDiv w:val="1"/>
      <w:marLeft w:val="0"/>
      <w:marRight w:val="0"/>
      <w:marTop w:val="0"/>
      <w:marBottom w:val="0"/>
      <w:divBdr>
        <w:top w:val="none" w:sz="0" w:space="0" w:color="auto"/>
        <w:left w:val="none" w:sz="0" w:space="0" w:color="auto"/>
        <w:bottom w:val="none" w:sz="0" w:space="0" w:color="auto"/>
        <w:right w:val="none" w:sz="0" w:space="0" w:color="auto"/>
      </w:divBdr>
    </w:div>
    <w:div w:id="374501267">
      <w:bodyDiv w:val="1"/>
      <w:marLeft w:val="0"/>
      <w:marRight w:val="0"/>
      <w:marTop w:val="0"/>
      <w:marBottom w:val="0"/>
      <w:divBdr>
        <w:top w:val="none" w:sz="0" w:space="0" w:color="auto"/>
        <w:left w:val="none" w:sz="0" w:space="0" w:color="auto"/>
        <w:bottom w:val="none" w:sz="0" w:space="0" w:color="auto"/>
        <w:right w:val="none" w:sz="0" w:space="0" w:color="auto"/>
      </w:divBdr>
    </w:div>
    <w:div w:id="403258106">
      <w:bodyDiv w:val="1"/>
      <w:marLeft w:val="0"/>
      <w:marRight w:val="0"/>
      <w:marTop w:val="0"/>
      <w:marBottom w:val="0"/>
      <w:divBdr>
        <w:top w:val="none" w:sz="0" w:space="0" w:color="auto"/>
        <w:left w:val="none" w:sz="0" w:space="0" w:color="auto"/>
        <w:bottom w:val="none" w:sz="0" w:space="0" w:color="auto"/>
        <w:right w:val="none" w:sz="0" w:space="0" w:color="auto"/>
      </w:divBdr>
    </w:div>
    <w:div w:id="403993954">
      <w:bodyDiv w:val="1"/>
      <w:marLeft w:val="0"/>
      <w:marRight w:val="0"/>
      <w:marTop w:val="0"/>
      <w:marBottom w:val="0"/>
      <w:divBdr>
        <w:top w:val="none" w:sz="0" w:space="0" w:color="auto"/>
        <w:left w:val="none" w:sz="0" w:space="0" w:color="auto"/>
        <w:bottom w:val="none" w:sz="0" w:space="0" w:color="auto"/>
        <w:right w:val="none" w:sz="0" w:space="0" w:color="auto"/>
      </w:divBdr>
      <w:divsChild>
        <w:div w:id="394283368">
          <w:marLeft w:val="403"/>
          <w:marRight w:val="0"/>
          <w:marTop w:val="150"/>
          <w:marBottom w:val="0"/>
          <w:divBdr>
            <w:top w:val="none" w:sz="0" w:space="0" w:color="auto"/>
            <w:left w:val="none" w:sz="0" w:space="0" w:color="auto"/>
            <w:bottom w:val="none" w:sz="0" w:space="0" w:color="auto"/>
            <w:right w:val="none" w:sz="0" w:space="0" w:color="auto"/>
          </w:divBdr>
        </w:div>
        <w:div w:id="712655594">
          <w:marLeft w:val="403"/>
          <w:marRight w:val="0"/>
          <w:marTop w:val="150"/>
          <w:marBottom w:val="0"/>
          <w:divBdr>
            <w:top w:val="none" w:sz="0" w:space="0" w:color="auto"/>
            <w:left w:val="none" w:sz="0" w:space="0" w:color="auto"/>
            <w:bottom w:val="none" w:sz="0" w:space="0" w:color="auto"/>
            <w:right w:val="none" w:sz="0" w:space="0" w:color="auto"/>
          </w:divBdr>
        </w:div>
      </w:divsChild>
    </w:div>
    <w:div w:id="404257758">
      <w:bodyDiv w:val="1"/>
      <w:marLeft w:val="0"/>
      <w:marRight w:val="0"/>
      <w:marTop w:val="0"/>
      <w:marBottom w:val="0"/>
      <w:divBdr>
        <w:top w:val="none" w:sz="0" w:space="0" w:color="auto"/>
        <w:left w:val="none" w:sz="0" w:space="0" w:color="auto"/>
        <w:bottom w:val="none" w:sz="0" w:space="0" w:color="auto"/>
        <w:right w:val="none" w:sz="0" w:space="0" w:color="auto"/>
      </w:divBdr>
      <w:divsChild>
        <w:div w:id="1062411116">
          <w:marLeft w:val="403"/>
          <w:marRight w:val="0"/>
          <w:marTop w:val="0"/>
          <w:marBottom w:val="120"/>
          <w:divBdr>
            <w:top w:val="none" w:sz="0" w:space="0" w:color="auto"/>
            <w:left w:val="none" w:sz="0" w:space="0" w:color="auto"/>
            <w:bottom w:val="none" w:sz="0" w:space="0" w:color="auto"/>
            <w:right w:val="none" w:sz="0" w:space="0" w:color="auto"/>
          </w:divBdr>
        </w:div>
      </w:divsChild>
    </w:div>
    <w:div w:id="420486572">
      <w:bodyDiv w:val="1"/>
      <w:marLeft w:val="0"/>
      <w:marRight w:val="0"/>
      <w:marTop w:val="0"/>
      <w:marBottom w:val="0"/>
      <w:divBdr>
        <w:top w:val="none" w:sz="0" w:space="0" w:color="auto"/>
        <w:left w:val="none" w:sz="0" w:space="0" w:color="auto"/>
        <w:bottom w:val="none" w:sz="0" w:space="0" w:color="auto"/>
        <w:right w:val="none" w:sz="0" w:space="0" w:color="auto"/>
      </w:divBdr>
    </w:div>
    <w:div w:id="428506777">
      <w:bodyDiv w:val="1"/>
      <w:marLeft w:val="0"/>
      <w:marRight w:val="0"/>
      <w:marTop w:val="0"/>
      <w:marBottom w:val="0"/>
      <w:divBdr>
        <w:top w:val="none" w:sz="0" w:space="0" w:color="auto"/>
        <w:left w:val="none" w:sz="0" w:space="0" w:color="auto"/>
        <w:bottom w:val="none" w:sz="0" w:space="0" w:color="auto"/>
        <w:right w:val="none" w:sz="0" w:space="0" w:color="auto"/>
      </w:divBdr>
    </w:div>
    <w:div w:id="431361775">
      <w:bodyDiv w:val="1"/>
      <w:marLeft w:val="0"/>
      <w:marRight w:val="0"/>
      <w:marTop w:val="0"/>
      <w:marBottom w:val="0"/>
      <w:divBdr>
        <w:top w:val="none" w:sz="0" w:space="0" w:color="auto"/>
        <w:left w:val="none" w:sz="0" w:space="0" w:color="auto"/>
        <w:bottom w:val="none" w:sz="0" w:space="0" w:color="auto"/>
        <w:right w:val="none" w:sz="0" w:space="0" w:color="auto"/>
      </w:divBdr>
      <w:divsChild>
        <w:div w:id="657265375">
          <w:marLeft w:val="720"/>
          <w:marRight w:val="0"/>
          <w:marTop w:val="150"/>
          <w:marBottom w:val="0"/>
          <w:divBdr>
            <w:top w:val="none" w:sz="0" w:space="0" w:color="auto"/>
            <w:left w:val="none" w:sz="0" w:space="0" w:color="auto"/>
            <w:bottom w:val="none" w:sz="0" w:space="0" w:color="auto"/>
            <w:right w:val="none" w:sz="0" w:space="0" w:color="auto"/>
          </w:divBdr>
        </w:div>
        <w:div w:id="755395406">
          <w:marLeft w:val="720"/>
          <w:marRight w:val="0"/>
          <w:marTop w:val="0"/>
          <w:marBottom w:val="0"/>
          <w:divBdr>
            <w:top w:val="none" w:sz="0" w:space="0" w:color="auto"/>
            <w:left w:val="none" w:sz="0" w:space="0" w:color="auto"/>
            <w:bottom w:val="none" w:sz="0" w:space="0" w:color="auto"/>
            <w:right w:val="none" w:sz="0" w:space="0" w:color="auto"/>
          </w:divBdr>
        </w:div>
        <w:div w:id="1728990814">
          <w:marLeft w:val="720"/>
          <w:marRight w:val="0"/>
          <w:marTop w:val="0"/>
          <w:marBottom w:val="0"/>
          <w:divBdr>
            <w:top w:val="none" w:sz="0" w:space="0" w:color="auto"/>
            <w:left w:val="none" w:sz="0" w:space="0" w:color="auto"/>
            <w:bottom w:val="none" w:sz="0" w:space="0" w:color="auto"/>
            <w:right w:val="none" w:sz="0" w:space="0" w:color="auto"/>
          </w:divBdr>
        </w:div>
      </w:divsChild>
    </w:div>
    <w:div w:id="442968598">
      <w:bodyDiv w:val="1"/>
      <w:marLeft w:val="0"/>
      <w:marRight w:val="0"/>
      <w:marTop w:val="0"/>
      <w:marBottom w:val="0"/>
      <w:divBdr>
        <w:top w:val="none" w:sz="0" w:space="0" w:color="auto"/>
        <w:left w:val="none" w:sz="0" w:space="0" w:color="auto"/>
        <w:bottom w:val="none" w:sz="0" w:space="0" w:color="auto"/>
        <w:right w:val="none" w:sz="0" w:space="0" w:color="auto"/>
      </w:divBdr>
    </w:div>
    <w:div w:id="443890911">
      <w:bodyDiv w:val="1"/>
      <w:marLeft w:val="0"/>
      <w:marRight w:val="0"/>
      <w:marTop w:val="0"/>
      <w:marBottom w:val="0"/>
      <w:divBdr>
        <w:top w:val="none" w:sz="0" w:space="0" w:color="auto"/>
        <w:left w:val="none" w:sz="0" w:space="0" w:color="auto"/>
        <w:bottom w:val="none" w:sz="0" w:space="0" w:color="auto"/>
        <w:right w:val="none" w:sz="0" w:space="0" w:color="auto"/>
      </w:divBdr>
      <w:divsChild>
        <w:div w:id="27033166">
          <w:marLeft w:val="403"/>
          <w:marRight w:val="0"/>
          <w:marTop w:val="0"/>
          <w:marBottom w:val="120"/>
          <w:divBdr>
            <w:top w:val="none" w:sz="0" w:space="0" w:color="auto"/>
            <w:left w:val="none" w:sz="0" w:space="0" w:color="auto"/>
            <w:bottom w:val="none" w:sz="0" w:space="0" w:color="auto"/>
            <w:right w:val="none" w:sz="0" w:space="0" w:color="auto"/>
          </w:divBdr>
        </w:div>
        <w:div w:id="172111198">
          <w:marLeft w:val="403"/>
          <w:marRight w:val="0"/>
          <w:marTop w:val="0"/>
          <w:marBottom w:val="120"/>
          <w:divBdr>
            <w:top w:val="none" w:sz="0" w:space="0" w:color="auto"/>
            <w:left w:val="none" w:sz="0" w:space="0" w:color="auto"/>
            <w:bottom w:val="none" w:sz="0" w:space="0" w:color="auto"/>
            <w:right w:val="none" w:sz="0" w:space="0" w:color="auto"/>
          </w:divBdr>
        </w:div>
        <w:div w:id="1798915908">
          <w:marLeft w:val="878"/>
          <w:marRight w:val="0"/>
          <w:marTop w:val="0"/>
          <w:marBottom w:val="120"/>
          <w:divBdr>
            <w:top w:val="none" w:sz="0" w:space="0" w:color="auto"/>
            <w:left w:val="none" w:sz="0" w:space="0" w:color="auto"/>
            <w:bottom w:val="none" w:sz="0" w:space="0" w:color="auto"/>
            <w:right w:val="none" w:sz="0" w:space="0" w:color="auto"/>
          </w:divBdr>
        </w:div>
      </w:divsChild>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52869906">
      <w:bodyDiv w:val="1"/>
      <w:marLeft w:val="0"/>
      <w:marRight w:val="0"/>
      <w:marTop w:val="0"/>
      <w:marBottom w:val="0"/>
      <w:divBdr>
        <w:top w:val="none" w:sz="0" w:space="0" w:color="auto"/>
        <w:left w:val="none" w:sz="0" w:space="0" w:color="auto"/>
        <w:bottom w:val="none" w:sz="0" w:space="0" w:color="auto"/>
        <w:right w:val="none" w:sz="0" w:space="0" w:color="auto"/>
      </w:divBdr>
    </w:div>
    <w:div w:id="462426093">
      <w:bodyDiv w:val="1"/>
      <w:marLeft w:val="0"/>
      <w:marRight w:val="0"/>
      <w:marTop w:val="0"/>
      <w:marBottom w:val="0"/>
      <w:divBdr>
        <w:top w:val="none" w:sz="0" w:space="0" w:color="auto"/>
        <w:left w:val="none" w:sz="0" w:space="0" w:color="auto"/>
        <w:bottom w:val="none" w:sz="0" w:space="0" w:color="auto"/>
        <w:right w:val="none" w:sz="0" w:space="0" w:color="auto"/>
      </w:divBdr>
    </w:div>
    <w:div w:id="464857384">
      <w:bodyDiv w:val="1"/>
      <w:marLeft w:val="0"/>
      <w:marRight w:val="0"/>
      <w:marTop w:val="0"/>
      <w:marBottom w:val="0"/>
      <w:divBdr>
        <w:top w:val="none" w:sz="0" w:space="0" w:color="auto"/>
        <w:left w:val="none" w:sz="0" w:space="0" w:color="auto"/>
        <w:bottom w:val="none" w:sz="0" w:space="0" w:color="auto"/>
        <w:right w:val="none" w:sz="0" w:space="0" w:color="auto"/>
      </w:divBdr>
    </w:div>
    <w:div w:id="467826365">
      <w:bodyDiv w:val="1"/>
      <w:marLeft w:val="0"/>
      <w:marRight w:val="0"/>
      <w:marTop w:val="0"/>
      <w:marBottom w:val="0"/>
      <w:divBdr>
        <w:top w:val="none" w:sz="0" w:space="0" w:color="auto"/>
        <w:left w:val="none" w:sz="0" w:space="0" w:color="auto"/>
        <w:bottom w:val="none" w:sz="0" w:space="0" w:color="auto"/>
        <w:right w:val="none" w:sz="0" w:space="0" w:color="auto"/>
      </w:divBdr>
    </w:div>
    <w:div w:id="468327430">
      <w:bodyDiv w:val="1"/>
      <w:marLeft w:val="0"/>
      <w:marRight w:val="0"/>
      <w:marTop w:val="0"/>
      <w:marBottom w:val="0"/>
      <w:divBdr>
        <w:top w:val="none" w:sz="0" w:space="0" w:color="auto"/>
        <w:left w:val="none" w:sz="0" w:space="0" w:color="auto"/>
        <w:bottom w:val="none" w:sz="0" w:space="0" w:color="auto"/>
        <w:right w:val="none" w:sz="0" w:space="0" w:color="auto"/>
      </w:divBdr>
    </w:div>
    <w:div w:id="477301910">
      <w:bodyDiv w:val="1"/>
      <w:marLeft w:val="0"/>
      <w:marRight w:val="0"/>
      <w:marTop w:val="0"/>
      <w:marBottom w:val="0"/>
      <w:divBdr>
        <w:top w:val="none" w:sz="0" w:space="0" w:color="auto"/>
        <w:left w:val="none" w:sz="0" w:space="0" w:color="auto"/>
        <w:bottom w:val="none" w:sz="0" w:space="0" w:color="auto"/>
        <w:right w:val="none" w:sz="0" w:space="0" w:color="auto"/>
      </w:divBdr>
      <w:divsChild>
        <w:div w:id="709187988">
          <w:marLeft w:val="403"/>
          <w:marRight w:val="0"/>
          <w:marTop w:val="150"/>
          <w:marBottom w:val="0"/>
          <w:divBdr>
            <w:top w:val="none" w:sz="0" w:space="0" w:color="auto"/>
            <w:left w:val="none" w:sz="0" w:space="0" w:color="auto"/>
            <w:bottom w:val="none" w:sz="0" w:space="0" w:color="auto"/>
            <w:right w:val="none" w:sz="0" w:space="0" w:color="auto"/>
          </w:divBdr>
        </w:div>
      </w:divsChild>
    </w:div>
    <w:div w:id="479923045">
      <w:bodyDiv w:val="1"/>
      <w:marLeft w:val="0"/>
      <w:marRight w:val="0"/>
      <w:marTop w:val="0"/>
      <w:marBottom w:val="0"/>
      <w:divBdr>
        <w:top w:val="none" w:sz="0" w:space="0" w:color="auto"/>
        <w:left w:val="none" w:sz="0" w:space="0" w:color="auto"/>
        <w:bottom w:val="none" w:sz="0" w:space="0" w:color="auto"/>
        <w:right w:val="none" w:sz="0" w:space="0" w:color="auto"/>
      </w:divBdr>
      <w:divsChild>
        <w:div w:id="967933601">
          <w:marLeft w:val="403"/>
          <w:marRight w:val="0"/>
          <w:marTop w:val="150"/>
          <w:marBottom w:val="0"/>
          <w:divBdr>
            <w:top w:val="none" w:sz="0" w:space="0" w:color="auto"/>
            <w:left w:val="none" w:sz="0" w:space="0" w:color="auto"/>
            <w:bottom w:val="none" w:sz="0" w:space="0" w:color="auto"/>
            <w:right w:val="none" w:sz="0" w:space="0" w:color="auto"/>
          </w:divBdr>
        </w:div>
        <w:div w:id="1297682967">
          <w:marLeft w:val="403"/>
          <w:marRight w:val="0"/>
          <w:marTop w:val="150"/>
          <w:marBottom w:val="0"/>
          <w:divBdr>
            <w:top w:val="none" w:sz="0" w:space="0" w:color="auto"/>
            <w:left w:val="none" w:sz="0" w:space="0" w:color="auto"/>
            <w:bottom w:val="none" w:sz="0" w:space="0" w:color="auto"/>
            <w:right w:val="none" w:sz="0" w:space="0" w:color="auto"/>
          </w:divBdr>
        </w:div>
      </w:divsChild>
    </w:div>
    <w:div w:id="48478002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9">
          <w:marLeft w:val="274"/>
          <w:marRight w:val="0"/>
          <w:marTop w:val="120"/>
          <w:marBottom w:val="0"/>
          <w:divBdr>
            <w:top w:val="none" w:sz="0" w:space="0" w:color="auto"/>
            <w:left w:val="none" w:sz="0" w:space="0" w:color="auto"/>
            <w:bottom w:val="none" w:sz="0" w:space="0" w:color="auto"/>
            <w:right w:val="none" w:sz="0" w:space="0" w:color="auto"/>
          </w:divBdr>
        </w:div>
        <w:div w:id="1196818790">
          <w:marLeft w:val="274"/>
          <w:marRight w:val="0"/>
          <w:marTop w:val="120"/>
          <w:marBottom w:val="0"/>
          <w:divBdr>
            <w:top w:val="none" w:sz="0" w:space="0" w:color="auto"/>
            <w:left w:val="none" w:sz="0" w:space="0" w:color="auto"/>
            <w:bottom w:val="none" w:sz="0" w:space="0" w:color="auto"/>
            <w:right w:val="none" w:sz="0" w:space="0" w:color="auto"/>
          </w:divBdr>
        </w:div>
        <w:div w:id="1265841303">
          <w:marLeft w:val="274"/>
          <w:marRight w:val="0"/>
          <w:marTop w:val="120"/>
          <w:marBottom w:val="0"/>
          <w:divBdr>
            <w:top w:val="none" w:sz="0" w:space="0" w:color="auto"/>
            <w:left w:val="none" w:sz="0" w:space="0" w:color="auto"/>
            <w:bottom w:val="none" w:sz="0" w:space="0" w:color="auto"/>
            <w:right w:val="none" w:sz="0" w:space="0" w:color="auto"/>
          </w:divBdr>
        </w:div>
        <w:div w:id="1506479413">
          <w:marLeft w:val="274"/>
          <w:marRight w:val="0"/>
          <w:marTop w:val="120"/>
          <w:marBottom w:val="0"/>
          <w:divBdr>
            <w:top w:val="none" w:sz="0" w:space="0" w:color="auto"/>
            <w:left w:val="none" w:sz="0" w:space="0" w:color="auto"/>
            <w:bottom w:val="none" w:sz="0" w:space="0" w:color="auto"/>
            <w:right w:val="none" w:sz="0" w:space="0" w:color="auto"/>
          </w:divBdr>
        </w:div>
      </w:divsChild>
    </w:div>
    <w:div w:id="492182146">
      <w:bodyDiv w:val="1"/>
      <w:marLeft w:val="0"/>
      <w:marRight w:val="0"/>
      <w:marTop w:val="0"/>
      <w:marBottom w:val="0"/>
      <w:divBdr>
        <w:top w:val="none" w:sz="0" w:space="0" w:color="auto"/>
        <w:left w:val="none" w:sz="0" w:space="0" w:color="auto"/>
        <w:bottom w:val="none" w:sz="0" w:space="0" w:color="auto"/>
        <w:right w:val="none" w:sz="0" w:space="0" w:color="auto"/>
      </w:divBdr>
    </w:div>
    <w:div w:id="493491057">
      <w:bodyDiv w:val="1"/>
      <w:marLeft w:val="0"/>
      <w:marRight w:val="0"/>
      <w:marTop w:val="0"/>
      <w:marBottom w:val="0"/>
      <w:divBdr>
        <w:top w:val="none" w:sz="0" w:space="0" w:color="auto"/>
        <w:left w:val="none" w:sz="0" w:space="0" w:color="auto"/>
        <w:bottom w:val="none" w:sz="0" w:space="0" w:color="auto"/>
        <w:right w:val="none" w:sz="0" w:space="0" w:color="auto"/>
      </w:divBdr>
    </w:div>
    <w:div w:id="496070514">
      <w:bodyDiv w:val="1"/>
      <w:marLeft w:val="0"/>
      <w:marRight w:val="0"/>
      <w:marTop w:val="0"/>
      <w:marBottom w:val="0"/>
      <w:divBdr>
        <w:top w:val="none" w:sz="0" w:space="0" w:color="auto"/>
        <w:left w:val="none" w:sz="0" w:space="0" w:color="auto"/>
        <w:bottom w:val="none" w:sz="0" w:space="0" w:color="auto"/>
        <w:right w:val="none" w:sz="0" w:space="0" w:color="auto"/>
      </w:divBdr>
    </w:div>
    <w:div w:id="503786341">
      <w:bodyDiv w:val="1"/>
      <w:marLeft w:val="0"/>
      <w:marRight w:val="0"/>
      <w:marTop w:val="0"/>
      <w:marBottom w:val="0"/>
      <w:divBdr>
        <w:top w:val="none" w:sz="0" w:space="0" w:color="auto"/>
        <w:left w:val="none" w:sz="0" w:space="0" w:color="auto"/>
        <w:bottom w:val="none" w:sz="0" w:space="0" w:color="auto"/>
        <w:right w:val="none" w:sz="0" w:space="0" w:color="auto"/>
      </w:divBdr>
      <w:divsChild>
        <w:div w:id="422723569">
          <w:marLeft w:val="475"/>
          <w:marRight w:val="0"/>
          <w:marTop w:val="0"/>
          <w:marBottom w:val="120"/>
          <w:divBdr>
            <w:top w:val="none" w:sz="0" w:space="0" w:color="auto"/>
            <w:left w:val="none" w:sz="0" w:space="0" w:color="auto"/>
            <w:bottom w:val="none" w:sz="0" w:space="0" w:color="auto"/>
            <w:right w:val="none" w:sz="0" w:space="0" w:color="auto"/>
          </w:divBdr>
        </w:div>
        <w:div w:id="1899700643">
          <w:marLeft w:val="475"/>
          <w:marRight w:val="0"/>
          <w:marTop w:val="0"/>
          <w:marBottom w:val="120"/>
          <w:divBdr>
            <w:top w:val="none" w:sz="0" w:space="0" w:color="auto"/>
            <w:left w:val="none" w:sz="0" w:space="0" w:color="auto"/>
            <w:bottom w:val="none" w:sz="0" w:space="0" w:color="auto"/>
            <w:right w:val="none" w:sz="0" w:space="0" w:color="auto"/>
          </w:divBdr>
        </w:div>
      </w:divsChild>
    </w:div>
    <w:div w:id="504247625">
      <w:bodyDiv w:val="1"/>
      <w:marLeft w:val="0"/>
      <w:marRight w:val="0"/>
      <w:marTop w:val="0"/>
      <w:marBottom w:val="0"/>
      <w:divBdr>
        <w:top w:val="none" w:sz="0" w:space="0" w:color="auto"/>
        <w:left w:val="none" w:sz="0" w:space="0" w:color="auto"/>
        <w:bottom w:val="none" w:sz="0" w:space="0" w:color="auto"/>
        <w:right w:val="none" w:sz="0" w:space="0" w:color="auto"/>
      </w:divBdr>
      <w:divsChild>
        <w:div w:id="90440996">
          <w:marLeft w:val="403"/>
          <w:marRight w:val="0"/>
          <w:marTop w:val="0"/>
          <w:marBottom w:val="0"/>
          <w:divBdr>
            <w:top w:val="none" w:sz="0" w:space="0" w:color="auto"/>
            <w:left w:val="none" w:sz="0" w:space="0" w:color="auto"/>
            <w:bottom w:val="none" w:sz="0" w:space="0" w:color="auto"/>
            <w:right w:val="none" w:sz="0" w:space="0" w:color="auto"/>
          </w:divBdr>
        </w:div>
        <w:div w:id="339048744">
          <w:marLeft w:val="403"/>
          <w:marRight w:val="0"/>
          <w:marTop w:val="0"/>
          <w:marBottom w:val="120"/>
          <w:divBdr>
            <w:top w:val="none" w:sz="0" w:space="0" w:color="auto"/>
            <w:left w:val="none" w:sz="0" w:space="0" w:color="auto"/>
            <w:bottom w:val="none" w:sz="0" w:space="0" w:color="auto"/>
            <w:right w:val="none" w:sz="0" w:space="0" w:color="auto"/>
          </w:divBdr>
        </w:div>
      </w:divsChild>
    </w:div>
    <w:div w:id="512232728">
      <w:bodyDiv w:val="1"/>
      <w:marLeft w:val="0"/>
      <w:marRight w:val="0"/>
      <w:marTop w:val="0"/>
      <w:marBottom w:val="0"/>
      <w:divBdr>
        <w:top w:val="none" w:sz="0" w:space="0" w:color="auto"/>
        <w:left w:val="none" w:sz="0" w:space="0" w:color="auto"/>
        <w:bottom w:val="none" w:sz="0" w:space="0" w:color="auto"/>
        <w:right w:val="none" w:sz="0" w:space="0" w:color="auto"/>
      </w:divBdr>
    </w:div>
    <w:div w:id="512955537">
      <w:bodyDiv w:val="1"/>
      <w:marLeft w:val="0"/>
      <w:marRight w:val="0"/>
      <w:marTop w:val="0"/>
      <w:marBottom w:val="0"/>
      <w:divBdr>
        <w:top w:val="none" w:sz="0" w:space="0" w:color="auto"/>
        <w:left w:val="none" w:sz="0" w:space="0" w:color="auto"/>
        <w:bottom w:val="none" w:sz="0" w:space="0" w:color="auto"/>
        <w:right w:val="none" w:sz="0" w:space="0" w:color="auto"/>
      </w:divBdr>
    </w:div>
    <w:div w:id="520509165">
      <w:bodyDiv w:val="1"/>
      <w:marLeft w:val="0"/>
      <w:marRight w:val="0"/>
      <w:marTop w:val="0"/>
      <w:marBottom w:val="0"/>
      <w:divBdr>
        <w:top w:val="none" w:sz="0" w:space="0" w:color="auto"/>
        <w:left w:val="none" w:sz="0" w:space="0" w:color="auto"/>
        <w:bottom w:val="none" w:sz="0" w:space="0" w:color="auto"/>
        <w:right w:val="none" w:sz="0" w:space="0" w:color="auto"/>
      </w:divBdr>
    </w:div>
    <w:div w:id="536090933">
      <w:bodyDiv w:val="1"/>
      <w:marLeft w:val="0"/>
      <w:marRight w:val="0"/>
      <w:marTop w:val="0"/>
      <w:marBottom w:val="0"/>
      <w:divBdr>
        <w:top w:val="none" w:sz="0" w:space="0" w:color="auto"/>
        <w:left w:val="none" w:sz="0" w:space="0" w:color="auto"/>
        <w:bottom w:val="none" w:sz="0" w:space="0" w:color="auto"/>
        <w:right w:val="none" w:sz="0" w:space="0" w:color="auto"/>
      </w:divBdr>
    </w:div>
    <w:div w:id="558174983">
      <w:bodyDiv w:val="1"/>
      <w:marLeft w:val="0"/>
      <w:marRight w:val="0"/>
      <w:marTop w:val="0"/>
      <w:marBottom w:val="0"/>
      <w:divBdr>
        <w:top w:val="none" w:sz="0" w:space="0" w:color="auto"/>
        <w:left w:val="none" w:sz="0" w:space="0" w:color="auto"/>
        <w:bottom w:val="none" w:sz="0" w:space="0" w:color="auto"/>
        <w:right w:val="none" w:sz="0" w:space="0" w:color="auto"/>
      </w:divBdr>
    </w:div>
    <w:div w:id="558781754">
      <w:bodyDiv w:val="1"/>
      <w:marLeft w:val="0"/>
      <w:marRight w:val="0"/>
      <w:marTop w:val="0"/>
      <w:marBottom w:val="0"/>
      <w:divBdr>
        <w:top w:val="none" w:sz="0" w:space="0" w:color="auto"/>
        <w:left w:val="none" w:sz="0" w:space="0" w:color="auto"/>
        <w:bottom w:val="none" w:sz="0" w:space="0" w:color="auto"/>
        <w:right w:val="none" w:sz="0" w:space="0" w:color="auto"/>
      </w:divBdr>
    </w:div>
    <w:div w:id="560942494">
      <w:bodyDiv w:val="1"/>
      <w:marLeft w:val="0"/>
      <w:marRight w:val="0"/>
      <w:marTop w:val="0"/>
      <w:marBottom w:val="0"/>
      <w:divBdr>
        <w:top w:val="none" w:sz="0" w:space="0" w:color="auto"/>
        <w:left w:val="none" w:sz="0" w:space="0" w:color="auto"/>
        <w:bottom w:val="none" w:sz="0" w:space="0" w:color="auto"/>
        <w:right w:val="none" w:sz="0" w:space="0" w:color="auto"/>
      </w:divBdr>
    </w:div>
    <w:div w:id="572161888">
      <w:bodyDiv w:val="1"/>
      <w:marLeft w:val="0"/>
      <w:marRight w:val="0"/>
      <w:marTop w:val="0"/>
      <w:marBottom w:val="0"/>
      <w:divBdr>
        <w:top w:val="none" w:sz="0" w:space="0" w:color="auto"/>
        <w:left w:val="none" w:sz="0" w:space="0" w:color="auto"/>
        <w:bottom w:val="none" w:sz="0" w:space="0" w:color="auto"/>
        <w:right w:val="none" w:sz="0" w:space="0" w:color="auto"/>
      </w:divBdr>
    </w:div>
    <w:div w:id="584416560">
      <w:bodyDiv w:val="1"/>
      <w:marLeft w:val="0"/>
      <w:marRight w:val="0"/>
      <w:marTop w:val="0"/>
      <w:marBottom w:val="0"/>
      <w:divBdr>
        <w:top w:val="none" w:sz="0" w:space="0" w:color="auto"/>
        <w:left w:val="none" w:sz="0" w:space="0" w:color="auto"/>
        <w:bottom w:val="none" w:sz="0" w:space="0" w:color="auto"/>
        <w:right w:val="none" w:sz="0" w:space="0" w:color="auto"/>
      </w:divBdr>
    </w:div>
    <w:div w:id="585459772">
      <w:bodyDiv w:val="1"/>
      <w:marLeft w:val="0"/>
      <w:marRight w:val="0"/>
      <w:marTop w:val="0"/>
      <w:marBottom w:val="0"/>
      <w:divBdr>
        <w:top w:val="none" w:sz="0" w:space="0" w:color="auto"/>
        <w:left w:val="none" w:sz="0" w:space="0" w:color="auto"/>
        <w:bottom w:val="none" w:sz="0" w:space="0" w:color="auto"/>
        <w:right w:val="none" w:sz="0" w:space="0" w:color="auto"/>
      </w:divBdr>
      <w:divsChild>
        <w:div w:id="1618215113">
          <w:marLeft w:val="403"/>
          <w:marRight w:val="0"/>
          <w:marTop w:val="150"/>
          <w:marBottom w:val="0"/>
          <w:divBdr>
            <w:top w:val="none" w:sz="0" w:space="0" w:color="auto"/>
            <w:left w:val="none" w:sz="0" w:space="0" w:color="auto"/>
            <w:bottom w:val="none" w:sz="0" w:space="0" w:color="auto"/>
            <w:right w:val="none" w:sz="0" w:space="0" w:color="auto"/>
          </w:divBdr>
        </w:div>
      </w:divsChild>
    </w:div>
    <w:div w:id="588924856">
      <w:bodyDiv w:val="1"/>
      <w:marLeft w:val="0"/>
      <w:marRight w:val="0"/>
      <w:marTop w:val="0"/>
      <w:marBottom w:val="0"/>
      <w:divBdr>
        <w:top w:val="none" w:sz="0" w:space="0" w:color="auto"/>
        <w:left w:val="none" w:sz="0" w:space="0" w:color="auto"/>
        <w:bottom w:val="none" w:sz="0" w:space="0" w:color="auto"/>
        <w:right w:val="none" w:sz="0" w:space="0" w:color="auto"/>
      </w:divBdr>
    </w:div>
    <w:div w:id="591551071">
      <w:bodyDiv w:val="1"/>
      <w:marLeft w:val="0"/>
      <w:marRight w:val="0"/>
      <w:marTop w:val="0"/>
      <w:marBottom w:val="0"/>
      <w:divBdr>
        <w:top w:val="none" w:sz="0" w:space="0" w:color="auto"/>
        <w:left w:val="none" w:sz="0" w:space="0" w:color="auto"/>
        <w:bottom w:val="none" w:sz="0" w:space="0" w:color="auto"/>
        <w:right w:val="none" w:sz="0" w:space="0" w:color="auto"/>
      </w:divBdr>
    </w:div>
    <w:div w:id="594170770">
      <w:bodyDiv w:val="1"/>
      <w:marLeft w:val="0"/>
      <w:marRight w:val="0"/>
      <w:marTop w:val="0"/>
      <w:marBottom w:val="0"/>
      <w:divBdr>
        <w:top w:val="none" w:sz="0" w:space="0" w:color="auto"/>
        <w:left w:val="none" w:sz="0" w:space="0" w:color="auto"/>
        <w:bottom w:val="none" w:sz="0" w:space="0" w:color="auto"/>
        <w:right w:val="none" w:sz="0" w:space="0" w:color="auto"/>
      </w:divBdr>
    </w:div>
    <w:div w:id="605579249">
      <w:bodyDiv w:val="1"/>
      <w:marLeft w:val="0"/>
      <w:marRight w:val="0"/>
      <w:marTop w:val="0"/>
      <w:marBottom w:val="0"/>
      <w:divBdr>
        <w:top w:val="none" w:sz="0" w:space="0" w:color="auto"/>
        <w:left w:val="none" w:sz="0" w:space="0" w:color="auto"/>
        <w:bottom w:val="none" w:sz="0" w:space="0" w:color="auto"/>
        <w:right w:val="none" w:sz="0" w:space="0" w:color="auto"/>
      </w:divBdr>
      <w:divsChild>
        <w:div w:id="1701592383">
          <w:marLeft w:val="274"/>
          <w:marRight w:val="0"/>
          <w:marTop w:val="0"/>
          <w:marBottom w:val="120"/>
          <w:divBdr>
            <w:top w:val="none" w:sz="0" w:space="0" w:color="auto"/>
            <w:left w:val="none" w:sz="0" w:space="0" w:color="auto"/>
            <w:bottom w:val="none" w:sz="0" w:space="0" w:color="auto"/>
            <w:right w:val="none" w:sz="0" w:space="0" w:color="auto"/>
          </w:divBdr>
        </w:div>
      </w:divsChild>
    </w:div>
    <w:div w:id="610554109">
      <w:bodyDiv w:val="1"/>
      <w:marLeft w:val="0"/>
      <w:marRight w:val="0"/>
      <w:marTop w:val="0"/>
      <w:marBottom w:val="0"/>
      <w:divBdr>
        <w:top w:val="none" w:sz="0" w:space="0" w:color="auto"/>
        <w:left w:val="none" w:sz="0" w:space="0" w:color="auto"/>
        <w:bottom w:val="none" w:sz="0" w:space="0" w:color="auto"/>
        <w:right w:val="none" w:sz="0" w:space="0" w:color="auto"/>
      </w:divBdr>
      <w:divsChild>
        <w:div w:id="405809298">
          <w:marLeft w:val="274"/>
          <w:marRight w:val="0"/>
          <w:marTop w:val="0"/>
          <w:marBottom w:val="120"/>
          <w:divBdr>
            <w:top w:val="none" w:sz="0" w:space="0" w:color="auto"/>
            <w:left w:val="none" w:sz="0" w:space="0" w:color="auto"/>
            <w:bottom w:val="none" w:sz="0" w:space="0" w:color="auto"/>
            <w:right w:val="none" w:sz="0" w:space="0" w:color="auto"/>
          </w:divBdr>
        </w:div>
        <w:div w:id="1217738413">
          <w:marLeft w:val="274"/>
          <w:marRight w:val="0"/>
          <w:marTop w:val="0"/>
          <w:marBottom w:val="120"/>
          <w:divBdr>
            <w:top w:val="none" w:sz="0" w:space="0" w:color="auto"/>
            <w:left w:val="none" w:sz="0" w:space="0" w:color="auto"/>
            <w:bottom w:val="none" w:sz="0" w:space="0" w:color="auto"/>
            <w:right w:val="none" w:sz="0" w:space="0" w:color="auto"/>
          </w:divBdr>
        </w:div>
      </w:divsChild>
    </w:div>
    <w:div w:id="615715049">
      <w:bodyDiv w:val="1"/>
      <w:marLeft w:val="0"/>
      <w:marRight w:val="0"/>
      <w:marTop w:val="0"/>
      <w:marBottom w:val="0"/>
      <w:divBdr>
        <w:top w:val="none" w:sz="0" w:space="0" w:color="auto"/>
        <w:left w:val="none" w:sz="0" w:space="0" w:color="auto"/>
        <w:bottom w:val="none" w:sz="0" w:space="0" w:color="auto"/>
        <w:right w:val="none" w:sz="0" w:space="0" w:color="auto"/>
      </w:divBdr>
      <w:divsChild>
        <w:div w:id="637689647">
          <w:marLeft w:val="274"/>
          <w:marRight w:val="0"/>
          <w:marTop w:val="0"/>
          <w:marBottom w:val="120"/>
          <w:divBdr>
            <w:top w:val="none" w:sz="0" w:space="0" w:color="auto"/>
            <w:left w:val="none" w:sz="0" w:space="0" w:color="auto"/>
            <w:bottom w:val="none" w:sz="0" w:space="0" w:color="auto"/>
            <w:right w:val="none" w:sz="0" w:space="0" w:color="auto"/>
          </w:divBdr>
        </w:div>
      </w:divsChild>
    </w:div>
    <w:div w:id="626354077">
      <w:bodyDiv w:val="1"/>
      <w:marLeft w:val="0"/>
      <w:marRight w:val="0"/>
      <w:marTop w:val="0"/>
      <w:marBottom w:val="0"/>
      <w:divBdr>
        <w:top w:val="none" w:sz="0" w:space="0" w:color="auto"/>
        <w:left w:val="none" w:sz="0" w:space="0" w:color="auto"/>
        <w:bottom w:val="none" w:sz="0" w:space="0" w:color="auto"/>
        <w:right w:val="none" w:sz="0" w:space="0" w:color="auto"/>
      </w:divBdr>
    </w:div>
    <w:div w:id="6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309821504">
          <w:marLeft w:val="274"/>
          <w:marRight w:val="0"/>
          <w:marTop w:val="120"/>
          <w:marBottom w:val="0"/>
          <w:divBdr>
            <w:top w:val="none" w:sz="0" w:space="0" w:color="auto"/>
            <w:left w:val="none" w:sz="0" w:space="0" w:color="auto"/>
            <w:bottom w:val="none" w:sz="0" w:space="0" w:color="auto"/>
            <w:right w:val="none" w:sz="0" w:space="0" w:color="auto"/>
          </w:divBdr>
        </w:div>
      </w:divsChild>
    </w:div>
    <w:div w:id="636684931">
      <w:bodyDiv w:val="1"/>
      <w:marLeft w:val="0"/>
      <w:marRight w:val="0"/>
      <w:marTop w:val="0"/>
      <w:marBottom w:val="0"/>
      <w:divBdr>
        <w:top w:val="none" w:sz="0" w:space="0" w:color="auto"/>
        <w:left w:val="none" w:sz="0" w:space="0" w:color="auto"/>
        <w:bottom w:val="none" w:sz="0" w:space="0" w:color="auto"/>
        <w:right w:val="none" w:sz="0" w:space="0" w:color="auto"/>
      </w:divBdr>
    </w:div>
    <w:div w:id="655456761">
      <w:bodyDiv w:val="1"/>
      <w:marLeft w:val="0"/>
      <w:marRight w:val="0"/>
      <w:marTop w:val="0"/>
      <w:marBottom w:val="0"/>
      <w:divBdr>
        <w:top w:val="none" w:sz="0" w:space="0" w:color="auto"/>
        <w:left w:val="none" w:sz="0" w:space="0" w:color="auto"/>
        <w:bottom w:val="none" w:sz="0" w:space="0" w:color="auto"/>
        <w:right w:val="none" w:sz="0" w:space="0" w:color="auto"/>
      </w:divBdr>
    </w:div>
    <w:div w:id="671489232">
      <w:bodyDiv w:val="1"/>
      <w:marLeft w:val="0"/>
      <w:marRight w:val="0"/>
      <w:marTop w:val="0"/>
      <w:marBottom w:val="0"/>
      <w:divBdr>
        <w:top w:val="none" w:sz="0" w:space="0" w:color="auto"/>
        <w:left w:val="none" w:sz="0" w:space="0" w:color="auto"/>
        <w:bottom w:val="none" w:sz="0" w:space="0" w:color="auto"/>
        <w:right w:val="none" w:sz="0" w:space="0" w:color="auto"/>
      </w:divBdr>
      <w:divsChild>
        <w:div w:id="190461195">
          <w:marLeft w:val="403"/>
          <w:marRight w:val="0"/>
          <w:marTop w:val="0"/>
          <w:marBottom w:val="120"/>
          <w:divBdr>
            <w:top w:val="none" w:sz="0" w:space="0" w:color="auto"/>
            <w:left w:val="none" w:sz="0" w:space="0" w:color="auto"/>
            <w:bottom w:val="none" w:sz="0" w:space="0" w:color="auto"/>
            <w:right w:val="none" w:sz="0" w:space="0" w:color="auto"/>
          </w:divBdr>
        </w:div>
        <w:div w:id="1571310531">
          <w:marLeft w:val="403"/>
          <w:marRight w:val="0"/>
          <w:marTop w:val="0"/>
          <w:marBottom w:val="120"/>
          <w:divBdr>
            <w:top w:val="none" w:sz="0" w:space="0" w:color="auto"/>
            <w:left w:val="none" w:sz="0" w:space="0" w:color="auto"/>
            <w:bottom w:val="none" w:sz="0" w:space="0" w:color="auto"/>
            <w:right w:val="none" w:sz="0" w:space="0" w:color="auto"/>
          </w:divBdr>
        </w:div>
      </w:divsChild>
    </w:div>
    <w:div w:id="671760848">
      <w:bodyDiv w:val="1"/>
      <w:marLeft w:val="0"/>
      <w:marRight w:val="0"/>
      <w:marTop w:val="0"/>
      <w:marBottom w:val="0"/>
      <w:divBdr>
        <w:top w:val="none" w:sz="0" w:space="0" w:color="auto"/>
        <w:left w:val="none" w:sz="0" w:space="0" w:color="auto"/>
        <w:bottom w:val="none" w:sz="0" w:space="0" w:color="auto"/>
        <w:right w:val="none" w:sz="0" w:space="0" w:color="auto"/>
      </w:divBdr>
    </w:div>
    <w:div w:id="678822729">
      <w:bodyDiv w:val="1"/>
      <w:marLeft w:val="0"/>
      <w:marRight w:val="0"/>
      <w:marTop w:val="0"/>
      <w:marBottom w:val="0"/>
      <w:divBdr>
        <w:top w:val="none" w:sz="0" w:space="0" w:color="auto"/>
        <w:left w:val="none" w:sz="0" w:space="0" w:color="auto"/>
        <w:bottom w:val="none" w:sz="0" w:space="0" w:color="auto"/>
        <w:right w:val="none" w:sz="0" w:space="0" w:color="auto"/>
      </w:divBdr>
      <w:divsChild>
        <w:div w:id="1362510011">
          <w:marLeft w:val="403"/>
          <w:marRight w:val="0"/>
          <w:marTop w:val="120"/>
          <w:marBottom w:val="0"/>
          <w:divBdr>
            <w:top w:val="none" w:sz="0" w:space="0" w:color="auto"/>
            <w:left w:val="none" w:sz="0" w:space="0" w:color="auto"/>
            <w:bottom w:val="none" w:sz="0" w:space="0" w:color="auto"/>
            <w:right w:val="none" w:sz="0" w:space="0" w:color="auto"/>
          </w:divBdr>
        </w:div>
        <w:div w:id="1468863093">
          <w:marLeft w:val="403"/>
          <w:marRight w:val="0"/>
          <w:marTop w:val="120"/>
          <w:marBottom w:val="0"/>
          <w:divBdr>
            <w:top w:val="none" w:sz="0" w:space="0" w:color="auto"/>
            <w:left w:val="none" w:sz="0" w:space="0" w:color="auto"/>
            <w:bottom w:val="none" w:sz="0" w:space="0" w:color="auto"/>
            <w:right w:val="none" w:sz="0" w:space="0" w:color="auto"/>
          </w:divBdr>
        </w:div>
      </w:divsChild>
    </w:div>
    <w:div w:id="683098449">
      <w:bodyDiv w:val="1"/>
      <w:marLeft w:val="0"/>
      <w:marRight w:val="0"/>
      <w:marTop w:val="0"/>
      <w:marBottom w:val="0"/>
      <w:divBdr>
        <w:top w:val="none" w:sz="0" w:space="0" w:color="auto"/>
        <w:left w:val="none" w:sz="0" w:space="0" w:color="auto"/>
        <w:bottom w:val="none" w:sz="0" w:space="0" w:color="auto"/>
        <w:right w:val="none" w:sz="0" w:space="0" w:color="auto"/>
      </w:divBdr>
    </w:div>
    <w:div w:id="694040499">
      <w:bodyDiv w:val="1"/>
      <w:marLeft w:val="0"/>
      <w:marRight w:val="0"/>
      <w:marTop w:val="0"/>
      <w:marBottom w:val="0"/>
      <w:divBdr>
        <w:top w:val="none" w:sz="0" w:space="0" w:color="auto"/>
        <w:left w:val="none" w:sz="0" w:space="0" w:color="auto"/>
        <w:bottom w:val="none" w:sz="0" w:space="0" w:color="auto"/>
        <w:right w:val="none" w:sz="0" w:space="0" w:color="auto"/>
      </w:divBdr>
      <w:divsChild>
        <w:div w:id="1310014175">
          <w:marLeft w:val="274"/>
          <w:marRight w:val="0"/>
          <w:marTop w:val="0"/>
          <w:marBottom w:val="120"/>
          <w:divBdr>
            <w:top w:val="none" w:sz="0" w:space="0" w:color="auto"/>
            <w:left w:val="none" w:sz="0" w:space="0" w:color="auto"/>
            <w:bottom w:val="none" w:sz="0" w:space="0" w:color="auto"/>
            <w:right w:val="none" w:sz="0" w:space="0" w:color="auto"/>
          </w:divBdr>
        </w:div>
        <w:div w:id="1553034455">
          <w:marLeft w:val="274"/>
          <w:marRight w:val="0"/>
          <w:marTop w:val="0"/>
          <w:marBottom w:val="120"/>
          <w:divBdr>
            <w:top w:val="none" w:sz="0" w:space="0" w:color="auto"/>
            <w:left w:val="none" w:sz="0" w:space="0" w:color="auto"/>
            <w:bottom w:val="none" w:sz="0" w:space="0" w:color="auto"/>
            <w:right w:val="none" w:sz="0" w:space="0" w:color="auto"/>
          </w:divBdr>
        </w:div>
      </w:divsChild>
    </w:div>
    <w:div w:id="700932109">
      <w:bodyDiv w:val="1"/>
      <w:marLeft w:val="0"/>
      <w:marRight w:val="0"/>
      <w:marTop w:val="0"/>
      <w:marBottom w:val="0"/>
      <w:divBdr>
        <w:top w:val="none" w:sz="0" w:space="0" w:color="auto"/>
        <w:left w:val="none" w:sz="0" w:space="0" w:color="auto"/>
        <w:bottom w:val="none" w:sz="0" w:space="0" w:color="auto"/>
        <w:right w:val="none" w:sz="0" w:space="0" w:color="auto"/>
      </w:divBdr>
    </w:div>
    <w:div w:id="710882779">
      <w:bodyDiv w:val="1"/>
      <w:marLeft w:val="0"/>
      <w:marRight w:val="0"/>
      <w:marTop w:val="0"/>
      <w:marBottom w:val="0"/>
      <w:divBdr>
        <w:top w:val="none" w:sz="0" w:space="0" w:color="auto"/>
        <w:left w:val="none" w:sz="0" w:space="0" w:color="auto"/>
        <w:bottom w:val="none" w:sz="0" w:space="0" w:color="auto"/>
        <w:right w:val="none" w:sz="0" w:space="0" w:color="auto"/>
      </w:divBdr>
    </w:div>
    <w:div w:id="720252622">
      <w:bodyDiv w:val="1"/>
      <w:marLeft w:val="0"/>
      <w:marRight w:val="0"/>
      <w:marTop w:val="0"/>
      <w:marBottom w:val="0"/>
      <w:divBdr>
        <w:top w:val="none" w:sz="0" w:space="0" w:color="auto"/>
        <w:left w:val="none" w:sz="0" w:space="0" w:color="auto"/>
        <w:bottom w:val="none" w:sz="0" w:space="0" w:color="auto"/>
        <w:right w:val="none" w:sz="0" w:space="0" w:color="auto"/>
      </w:divBdr>
      <w:divsChild>
        <w:div w:id="82846128">
          <w:marLeft w:val="274"/>
          <w:marRight w:val="0"/>
          <w:marTop w:val="0"/>
          <w:marBottom w:val="80"/>
          <w:divBdr>
            <w:top w:val="none" w:sz="0" w:space="0" w:color="auto"/>
            <w:left w:val="none" w:sz="0" w:space="0" w:color="auto"/>
            <w:bottom w:val="none" w:sz="0" w:space="0" w:color="auto"/>
            <w:right w:val="none" w:sz="0" w:space="0" w:color="auto"/>
          </w:divBdr>
        </w:div>
        <w:div w:id="355430552">
          <w:marLeft w:val="274"/>
          <w:marRight w:val="0"/>
          <w:marTop w:val="0"/>
          <w:marBottom w:val="80"/>
          <w:divBdr>
            <w:top w:val="none" w:sz="0" w:space="0" w:color="auto"/>
            <w:left w:val="none" w:sz="0" w:space="0" w:color="auto"/>
            <w:bottom w:val="none" w:sz="0" w:space="0" w:color="auto"/>
            <w:right w:val="none" w:sz="0" w:space="0" w:color="auto"/>
          </w:divBdr>
        </w:div>
        <w:div w:id="847014725">
          <w:marLeft w:val="274"/>
          <w:marRight w:val="0"/>
          <w:marTop w:val="0"/>
          <w:marBottom w:val="80"/>
          <w:divBdr>
            <w:top w:val="none" w:sz="0" w:space="0" w:color="auto"/>
            <w:left w:val="none" w:sz="0" w:space="0" w:color="auto"/>
            <w:bottom w:val="none" w:sz="0" w:space="0" w:color="auto"/>
            <w:right w:val="none" w:sz="0" w:space="0" w:color="auto"/>
          </w:divBdr>
        </w:div>
        <w:div w:id="871266172">
          <w:marLeft w:val="274"/>
          <w:marRight w:val="0"/>
          <w:marTop w:val="0"/>
          <w:marBottom w:val="0"/>
          <w:divBdr>
            <w:top w:val="none" w:sz="0" w:space="0" w:color="auto"/>
            <w:left w:val="none" w:sz="0" w:space="0" w:color="auto"/>
            <w:bottom w:val="none" w:sz="0" w:space="0" w:color="auto"/>
            <w:right w:val="none" w:sz="0" w:space="0" w:color="auto"/>
          </w:divBdr>
        </w:div>
        <w:div w:id="963388512">
          <w:marLeft w:val="274"/>
          <w:marRight w:val="0"/>
          <w:marTop w:val="0"/>
          <w:marBottom w:val="0"/>
          <w:divBdr>
            <w:top w:val="none" w:sz="0" w:space="0" w:color="auto"/>
            <w:left w:val="none" w:sz="0" w:space="0" w:color="auto"/>
            <w:bottom w:val="none" w:sz="0" w:space="0" w:color="auto"/>
            <w:right w:val="none" w:sz="0" w:space="0" w:color="auto"/>
          </w:divBdr>
        </w:div>
        <w:div w:id="1102578125">
          <w:marLeft w:val="274"/>
          <w:marRight w:val="0"/>
          <w:marTop w:val="120"/>
          <w:marBottom w:val="0"/>
          <w:divBdr>
            <w:top w:val="none" w:sz="0" w:space="0" w:color="auto"/>
            <w:left w:val="none" w:sz="0" w:space="0" w:color="auto"/>
            <w:bottom w:val="none" w:sz="0" w:space="0" w:color="auto"/>
            <w:right w:val="none" w:sz="0" w:space="0" w:color="auto"/>
          </w:divBdr>
        </w:div>
        <w:div w:id="1660113495">
          <w:marLeft w:val="274"/>
          <w:marRight w:val="0"/>
          <w:marTop w:val="0"/>
          <w:marBottom w:val="0"/>
          <w:divBdr>
            <w:top w:val="none" w:sz="0" w:space="0" w:color="auto"/>
            <w:left w:val="none" w:sz="0" w:space="0" w:color="auto"/>
            <w:bottom w:val="none" w:sz="0" w:space="0" w:color="auto"/>
            <w:right w:val="none" w:sz="0" w:space="0" w:color="auto"/>
          </w:divBdr>
        </w:div>
        <w:div w:id="1735660981">
          <w:marLeft w:val="274"/>
          <w:marRight w:val="0"/>
          <w:marTop w:val="120"/>
          <w:marBottom w:val="0"/>
          <w:divBdr>
            <w:top w:val="none" w:sz="0" w:space="0" w:color="auto"/>
            <w:left w:val="none" w:sz="0" w:space="0" w:color="auto"/>
            <w:bottom w:val="none" w:sz="0" w:space="0" w:color="auto"/>
            <w:right w:val="none" w:sz="0" w:space="0" w:color="auto"/>
          </w:divBdr>
        </w:div>
        <w:div w:id="1860923105">
          <w:marLeft w:val="274"/>
          <w:marRight w:val="0"/>
          <w:marTop w:val="0"/>
          <w:marBottom w:val="80"/>
          <w:divBdr>
            <w:top w:val="none" w:sz="0" w:space="0" w:color="auto"/>
            <w:left w:val="none" w:sz="0" w:space="0" w:color="auto"/>
            <w:bottom w:val="none" w:sz="0" w:space="0" w:color="auto"/>
            <w:right w:val="none" w:sz="0" w:space="0" w:color="auto"/>
          </w:divBdr>
        </w:div>
        <w:div w:id="2095280717">
          <w:marLeft w:val="274"/>
          <w:marRight w:val="0"/>
          <w:marTop w:val="0"/>
          <w:marBottom w:val="0"/>
          <w:divBdr>
            <w:top w:val="none" w:sz="0" w:space="0" w:color="auto"/>
            <w:left w:val="none" w:sz="0" w:space="0" w:color="auto"/>
            <w:bottom w:val="none" w:sz="0" w:space="0" w:color="auto"/>
            <w:right w:val="none" w:sz="0" w:space="0" w:color="auto"/>
          </w:divBdr>
        </w:div>
      </w:divsChild>
    </w:div>
    <w:div w:id="731466981">
      <w:bodyDiv w:val="1"/>
      <w:marLeft w:val="0"/>
      <w:marRight w:val="0"/>
      <w:marTop w:val="0"/>
      <w:marBottom w:val="0"/>
      <w:divBdr>
        <w:top w:val="none" w:sz="0" w:space="0" w:color="auto"/>
        <w:left w:val="none" w:sz="0" w:space="0" w:color="auto"/>
        <w:bottom w:val="none" w:sz="0" w:space="0" w:color="auto"/>
        <w:right w:val="none" w:sz="0" w:space="0" w:color="auto"/>
      </w:divBdr>
    </w:div>
    <w:div w:id="735278556">
      <w:bodyDiv w:val="1"/>
      <w:marLeft w:val="0"/>
      <w:marRight w:val="0"/>
      <w:marTop w:val="0"/>
      <w:marBottom w:val="0"/>
      <w:divBdr>
        <w:top w:val="none" w:sz="0" w:space="0" w:color="auto"/>
        <w:left w:val="none" w:sz="0" w:space="0" w:color="auto"/>
        <w:bottom w:val="none" w:sz="0" w:space="0" w:color="auto"/>
        <w:right w:val="none" w:sz="0" w:space="0" w:color="auto"/>
      </w:divBdr>
    </w:div>
    <w:div w:id="738333473">
      <w:bodyDiv w:val="1"/>
      <w:marLeft w:val="0"/>
      <w:marRight w:val="0"/>
      <w:marTop w:val="0"/>
      <w:marBottom w:val="0"/>
      <w:divBdr>
        <w:top w:val="none" w:sz="0" w:space="0" w:color="auto"/>
        <w:left w:val="none" w:sz="0" w:space="0" w:color="auto"/>
        <w:bottom w:val="none" w:sz="0" w:space="0" w:color="auto"/>
        <w:right w:val="none" w:sz="0" w:space="0" w:color="auto"/>
      </w:divBdr>
      <w:divsChild>
        <w:div w:id="1639726562">
          <w:marLeft w:val="403"/>
          <w:marRight w:val="0"/>
          <w:marTop w:val="0"/>
          <w:marBottom w:val="120"/>
          <w:divBdr>
            <w:top w:val="none" w:sz="0" w:space="0" w:color="auto"/>
            <w:left w:val="none" w:sz="0" w:space="0" w:color="auto"/>
            <w:bottom w:val="none" w:sz="0" w:space="0" w:color="auto"/>
            <w:right w:val="none" w:sz="0" w:space="0" w:color="auto"/>
          </w:divBdr>
        </w:div>
      </w:divsChild>
    </w:div>
    <w:div w:id="738793362">
      <w:bodyDiv w:val="1"/>
      <w:marLeft w:val="0"/>
      <w:marRight w:val="0"/>
      <w:marTop w:val="0"/>
      <w:marBottom w:val="0"/>
      <w:divBdr>
        <w:top w:val="none" w:sz="0" w:space="0" w:color="auto"/>
        <w:left w:val="none" w:sz="0" w:space="0" w:color="auto"/>
        <w:bottom w:val="none" w:sz="0" w:space="0" w:color="auto"/>
        <w:right w:val="none" w:sz="0" w:space="0" w:color="auto"/>
      </w:divBdr>
    </w:div>
    <w:div w:id="740911027">
      <w:bodyDiv w:val="1"/>
      <w:marLeft w:val="0"/>
      <w:marRight w:val="0"/>
      <w:marTop w:val="0"/>
      <w:marBottom w:val="0"/>
      <w:divBdr>
        <w:top w:val="none" w:sz="0" w:space="0" w:color="auto"/>
        <w:left w:val="none" w:sz="0" w:space="0" w:color="auto"/>
        <w:bottom w:val="none" w:sz="0" w:space="0" w:color="auto"/>
        <w:right w:val="none" w:sz="0" w:space="0" w:color="auto"/>
      </w:divBdr>
    </w:div>
    <w:div w:id="741954586">
      <w:bodyDiv w:val="1"/>
      <w:marLeft w:val="0"/>
      <w:marRight w:val="0"/>
      <w:marTop w:val="0"/>
      <w:marBottom w:val="0"/>
      <w:divBdr>
        <w:top w:val="none" w:sz="0" w:space="0" w:color="auto"/>
        <w:left w:val="none" w:sz="0" w:space="0" w:color="auto"/>
        <w:bottom w:val="none" w:sz="0" w:space="0" w:color="auto"/>
        <w:right w:val="none" w:sz="0" w:space="0" w:color="auto"/>
      </w:divBdr>
    </w:div>
    <w:div w:id="743727130">
      <w:bodyDiv w:val="1"/>
      <w:marLeft w:val="0"/>
      <w:marRight w:val="0"/>
      <w:marTop w:val="0"/>
      <w:marBottom w:val="0"/>
      <w:divBdr>
        <w:top w:val="none" w:sz="0" w:space="0" w:color="auto"/>
        <w:left w:val="none" w:sz="0" w:space="0" w:color="auto"/>
        <w:bottom w:val="none" w:sz="0" w:space="0" w:color="auto"/>
        <w:right w:val="none" w:sz="0" w:space="0" w:color="auto"/>
      </w:divBdr>
    </w:div>
    <w:div w:id="749423515">
      <w:bodyDiv w:val="1"/>
      <w:marLeft w:val="0"/>
      <w:marRight w:val="0"/>
      <w:marTop w:val="0"/>
      <w:marBottom w:val="0"/>
      <w:divBdr>
        <w:top w:val="none" w:sz="0" w:space="0" w:color="auto"/>
        <w:left w:val="none" w:sz="0" w:space="0" w:color="auto"/>
        <w:bottom w:val="none" w:sz="0" w:space="0" w:color="auto"/>
        <w:right w:val="none" w:sz="0" w:space="0" w:color="auto"/>
      </w:divBdr>
      <w:divsChild>
        <w:div w:id="1490756792">
          <w:marLeft w:val="403"/>
          <w:marRight w:val="0"/>
          <w:marTop w:val="150"/>
          <w:marBottom w:val="0"/>
          <w:divBdr>
            <w:top w:val="none" w:sz="0" w:space="0" w:color="auto"/>
            <w:left w:val="none" w:sz="0" w:space="0" w:color="auto"/>
            <w:bottom w:val="none" w:sz="0" w:space="0" w:color="auto"/>
            <w:right w:val="none" w:sz="0" w:space="0" w:color="auto"/>
          </w:divBdr>
        </w:div>
        <w:div w:id="1889340434">
          <w:marLeft w:val="403"/>
          <w:marRight w:val="0"/>
          <w:marTop w:val="150"/>
          <w:marBottom w:val="0"/>
          <w:divBdr>
            <w:top w:val="none" w:sz="0" w:space="0" w:color="auto"/>
            <w:left w:val="none" w:sz="0" w:space="0" w:color="auto"/>
            <w:bottom w:val="none" w:sz="0" w:space="0" w:color="auto"/>
            <w:right w:val="none" w:sz="0" w:space="0" w:color="auto"/>
          </w:divBdr>
        </w:div>
      </w:divsChild>
    </w:div>
    <w:div w:id="755901903">
      <w:bodyDiv w:val="1"/>
      <w:marLeft w:val="0"/>
      <w:marRight w:val="0"/>
      <w:marTop w:val="0"/>
      <w:marBottom w:val="0"/>
      <w:divBdr>
        <w:top w:val="none" w:sz="0" w:space="0" w:color="auto"/>
        <w:left w:val="none" w:sz="0" w:space="0" w:color="auto"/>
        <w:bottom w:val="none" w:sz="0" w:space="0" w:color="auto"/>
        <w:right w:val="none" w:sz="0" w:space="0" w:color="auto"/>
      </w:divBdr>
      <w:divsChild>
        <w:div w:id="793791871">
          <w:marLeft w:val="403"/>
          <w:marRight w:val="0"/>
          <w:marTop w:val="0"/>
          <w:marBottom w:val="120"/>
          <w:divBdr>
            <w:top w:val="none" w:sz="0" w:space="0" w:color="auto"/>
            <w:left w:val="none" w:sz="0" w:space="0" w:color="auto"/>
            <w:bottom w:val="none" w:sz="0" w:space="0" w:color="auto"/>
            <w:right w:val="none" w:sz="0" w:space="0" w:color="auto"/>
          </w:divBdr>
        </w:div>
        <w:div w:id="1682270945">
          <w:marLeft w:val="403"/>
          <w:marRight w:val="0"/>
          <w:marTop w:val="0"/>
          <w:marBottom w:val="120"/>
          <w:divBdr>
            <w:top w:val="none" w:sz="0" w:space="0" w:color="auto"/>
            <w:left w:val="none" w:sz="0" w:space="0" w:color="auto"/>
            <w:bottom w:val="none" w:sz="0" w:space="0" w:color="auto"/>
            <w:right w:val="none" w:sz="0" w:space="0" w:color="auto"/>
          </w:divBdr>
        </w:div>
        <w:div w:id="1931546693">
          <w:marLeft w:val="403"/>
          <w:marRight w:val="0"/>
          <w:marTop w:val="0"/>
          <w:marBottom w:val="120"/>
          <w:divBdr>
            <w:top w:val="none" w:sz="0" w:space="0" w:color="auto"/>
            <w:left w:val="none" w:sz="0" w:space="0" w:color="auto"/>
            <w:bottom w:val="none" w:sz="0" w:space="0" w:color="auto"/>
            <w:right w:val="none" w:sz="0" w:space="0" w:color="auto"/>
          </w:divBdr>
        </w:div>
      </w:divsChild>
    </w:div>
    <w:div w:id="7567489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06">
          <w:marLeft w:val="403"/>
          <w:marRight w:val="0"/>
          <w:marTop w:val="0"/>
          <w:marBottom w:val="120"/>
          <w:divBdr>
            <w:top w:val="none" w:sz="0" w:space="0" w:color="auto"/>
            <w:left w:val="none" w:sz="0" w:space="0" w:color="auto"/>
            <w:bottom w:val="none" w:sz="0" w:space="0" w:color="auto"/>
            <w:right w:val="none" w:sz="0" w:space="0" w:color="auto"/>
          </w:divBdr>
        </w:div>
        <w:div w:id="1812868319">
          <w:marLeft w:val="403"/>
          <w:marRight w:val="0"/>
          <w:marTop w:val="0"/>
          <w:marBottom w:val="120"/>
          <w:divBdr>
            <w:top w:val="none" w:sz="0" w:space="0" w:color="auto"/>
            <w:left w:val="none" w:sz="0" w:space="0" w:color="auto"/>
            <w:bottom w:val="none" w:sz="0" w:space="0" w:color="auto"/>
            <w:right w:val="none" w:sz="0" w:space="0" w:color="auto"/>
          </w:divBdr>
        </w:div>
      </w:divsChild>
    </w:div>
    <w:div w:id="775364206">
      <w:bodyDiv w:val="1"/>
      <w:marLeft w:val="0"/>
      <w:marRight w:val="0"/>
      <w:marTop w:val="0"/>
      <w:marBottom w:val="0"/>
      <w:divBdr>
        <w:top w:val="none" w:sz="0" w:space="0" w:color="auto"/>
        <w:left w:val="none" w:sz="0" w:space="0" w:color="auto"/>
        <w:bottom w:val="none" w:sz="0" w:space="0" w:color="auto"/>
        <w:right w:val="none" w:sz="0" w:space="0" w:color="auto"/>
      </w:divBdr>
    </w:div>
    <w:div w:id="789082914">
      <w:bodyDiv w:val="1"/>
      <w:marLeft w:val="0"/>
      <w:marRight w:val="0"/>
      <w:marTop w:val="0"/>
      <w:marBottom w:val="0"/>
      <w:divBdr>
        <w:top w:val="none" w:sz="0" w:space="0" w:color="auto"/>
        <w:left w:val="none" w:sz="0" w:space="0" w:color="auto"/>
        <w:bottom w:val="none" w:sz="0" w:space="0" w:color="auto"/>
        <w:right w:val="none" w:sz="0" w:space="0" w:color="auto"/>
      </w:divBdr>
    </w:div>
    <w:div w:id="791021345">
      <w:bodyDiv w:val="1"/>
      <w:marLeft w:val="0"/>
      <w:marRight w:val="0"/>
      <w:marTop w:val="0"/>
      <w:marBottom w:val="0"/>
      <w:divBdr>
        <w:top w:val="none" w:sz="0" w:space="0" w:color="auto"/>
        <w:left w:val="none" w:sz="0" w:space="0" w:color="auto"/>
        <w:bottom w:val="none" w:sz="0" w:space="0" w:color="auto"/>
        <w:right w:val="none" w:sz="0" w:space="0" w:color="auto"/>
      </w:divBdr>
      <w:divsChild>
        <w:div w:id="757140659">
          <w:marLeft w:val="403"/>
          <w:marRight w:val="0"/>
          <w:marTop w:val="0"/>
          <w:marBottom w:val="120"/>
          <w:divBdr>
            <w:top w:val="none" w:sz="0" w:space="0" w:color="auto"/>
            <w:left w:val="none" w:sz="0" w:space="0" w:color="auto"/>
            <w:bottom w:val="none" w:sz="0" w:space="0" w:color="auto"/>
            <w:right w:val="none" w:sz="0" w:space="0" w:color="auto"/>
          </w:divBdr>
        </w:div>
      </w:divsChild>
    </w:div>
    <w:div w:id="803694786">
      <w:bodyDiv w:val="1"/>
      <w:marLeft w:val="0"/>
      <w:marRight w:val="0"/>
      <w:marTop w:val="0"/>
      <w:marBottom w:val="0"/>
      <w:divBdr>
        <w:top w:val="none" w:sz="0" w:space="0" w:color="auto"/>
        <w:left w:val="none" w:sz="0" w:space="0" w:color="auto"/>
        <w:bottom w:val="none" w:sz="0" w:space="0" w:color="auto"/>
        <w:right w:val="none" w:sz="0" w:space="0" w:color="auto"/>
      </w:divBdr>
      <w:divsChild>
        <w:div w:id="285740568">
          <w:marLeft w:val="403"/>
          <w:marRight w:val="0"/>
          <w:marTop w:val="120"/>
          <w:marBottom w:val="0"/>
          <w:divBdr>
            <w:top w:val="none" w:sz="0" w:space="0" w:color="auto"/>
            <w:left w:val="none" w:sz="0" w:space="0" w:color="auto"/>
            <w:bottom w:val="none" w:sz="0" w:space="0" w:color="auto"/>
            <w:right w:val="none" w:sz="0" w:space="0" w:color="auto"/>
          </w:divBdr>
        </w:div>
        <w:div w:id="1524396264">
          <w:marLeft w:val="403"/>
          <w:marRight w:val="0"/>
          <w:marTop w:val="120"/>
          <w:marBottom w:val="0"/>
          <w:divBdr>
            <w:top w:val="none" w:sz="0" w:space="0" w:color="auto"/>
            <w:left w:val="none" w:sz="0" w:space="0" w:color="auto"/>
            <w:bottom w:val="none" w:sz="0" w:space="0" w:color="auto"/>
            <w:right w:val="none" w:sz="0" w:space="0" w:color="auto"/>
          </w:divBdr>
        </w:div>
      </w:divsChild>
    </w:div>
    <w:div w:id="808984852">
      <w:bodyDiv w:val="1"/>
      <w:marLeft w:val="0"/>
      <w:marRight w:val="0"/>
      <w:marTop w:val="0"/>
      <w:marBottom w:val="0"/>
      <w:divBdr>
        <w:top w:val="none" w:sz="0" w:space="0" w:color="auto"/>
        <w:left w:val="none" w:sz="0" w:space="0" w:color="auto"/>
        <w:bottom w:val="none" w:sz="0" w:space="0" w:color="auto"/>
        <w:right w:val="none" w:sz="0" w:space="0" w:color="auto"/>
      </w:divBdr>
    </w:div>
    <w:div w:id="815680964">
      <w:bodyDiv w:val="1"/>
      <w:marLeft w:val="0"/>
      <w:marRight w:val="0"/>
      <w:marTop w:val="0"/>
      <w:marBottom w:val="0"/>
      <w:divBdr>
        <w:top w:val="none" w:sz="0" w:space="0" w:color="auto"/>
        <w:left w:val="none" w:sz="0" w:space="0" w:color="auto"/>
        <w:bottom w:val="none" w:sz="0" w:space="0" w:color="auto"/>
        <w:right w:val="none" w:sz="0" w:space="0" w:color="auto"/>
      </w:divBdr>
    </w:div>
    <w:div w:id="825435655">
      <w:bodyDiv w:val="1"/>
      <w:marLeft w:val="0"/>
      <w:marRight w:val="0"/>
      <w:marTop w:val="0"/>
      <w:marBottom w:val="0"/>
      <w:divBdr>
        <w:top w:val="none" w:sz="0" w:space="0" w:color="auto"/>
        <w:left w:val="none" w:sz="0" w:space="0" w:color="auto"/>
        <w:bottom w:val="none" w:sz="0" w:space="0" w:color="auto"/>
        <w:right w:val="none" w:sz="0" w:space="0" w:color="auto"/>
      </w:divBdr>
    </w:div>
    <w:div w:id="830946119">
      <w:bodyDiv w:val="1"/>
      <w:marLeft w:val="0"/>
      <w:marRight w:val="0"/>
      <w:marTop w:val="0"/>
      <w:marBottom w:val="0"/>
      <w:divBdr>
        <w:top w:val="none" w:sz="0" w:space="0" w:color="auto"/>
        <w:left w:val="none" w:sz="0" w:space="0" w:color="auto"/>
        <w:bottom w:val="none" w:sz="0" w:space="0" w:color="auto"/>
        <w:right w:val="none" w:sz="0" w:space="0" w:color="auto"/>
      </w:divBdr>
      <w:divsChild>
        <w:div w:id="483163082">
          <w:marLeft w:val="403"/>
          <w:marRight w:val="0"/>
          <w:marTop w:val="0"/>
          <w:marBottom w:val="120"/>
          <w:divBdr>
            <w:top w:val="none" w:sz="0" w:space="0" w:color="auto"/>
            <w:left w:val="none" w:sz="0" w:space="0" w:color="auto"/>
            <w:bottom w:val="none" w:sz="0" w:space="0" w:color="auto"/>
            <w:right w:val="none" w:sz="0" w:space="0" w:color="auto"/>
          </w:divBdr>
        </w:div>
        <w:div w:id="706295566">
          <w:marLeft w:val="403"/>
          <w:marRight w:val="0"/>
          <w:marTop w:val="0"/>
          <w:marBottom w:val="120"/>
          <w:divBdr>
            <w:top w:val="none" w:sz="0" w:space="0" w:color="auto"/>
            <w:left w:val="none" w:sz="0" w:space="0" w:color="auto"/>
            <w:bottom w:val="none" w:sz="0" w:space="0" w:color="auto"/>
            <w:right w:val="none" w:sz="0" w:space="0" w:color="auto"/>
          </w:divBdr>
        </w:div>
        <w:div w:id="2075200227">
          <w:marLeft w:val="403"/>
          <w:marRight w:val="0"/>
          <w:marTop w:val="0"/>
          <w:marBottom w:val="120"/>
          <w:divBdr>
            <w:top w:val="none" w:sz="0" w:space="0" w:color="auto"/>
            <w:left w:val="none" w:sz="0" w:space="0" w:color="auto"/>
            <w:bottom w:val="none" w:sz="0" w:space="0" w:color="auto"/>
            <w:right w:val="none" w:sz="0" w:space="0" w:color="auto"/>
          </w:divBdr>
        </w:div>
      </w:divsChild>
    </w:div>
    <w:div w:id="834345225">
      <w:bodyDiv w:val="1"/>
      <w:marLeft w:val="0"/>
      <w:marRight w:val="0"/>
      <w:marTop w:val="0"/>
      <w:marBottom w:val="0"/>
      <w:divBdr>
        <w:top w:val="none" w:sz="0" w:space="0" w:color="auto"/>
        <w:left w:val="none" w:sz="0" w:space="0" w:color="auto"/>
        <w:bottom w:val="none" w:sz="0" w:space="0" w:color="auto"/>
        <w:right w:val="none" w:sz="0" w:space="0" w:color="auto"/>
      </w:divBdr>
    </w:div>
    <w:div w:id="835609905">
      <w:bodyDiv w:val="1"/>
      <w:marLeft w:val="0"/>
      <w:marRight w:val="0"/>
      <w:marTop w:val="0"/>
      <w:marBottom w:val="0"/>
      <w:divBdr>
        <w:top w:val="none" w:sz="0" w:space="0" w:color="auto"/>
        <w:left w:val="none" w:sz="0" w:space="0" w:color="auto"/>
        <w:bottom w:val="none" w:sz="0" w:space="0" w:color="auto"/>
        <w:right w:val="none" w:sz="0" w:space="0" w:color="auto"/>
      </w:divBdr>
    </w:div>
    <w:div w:id="846596165">
      <w:bodyDiv w:val="1"/>
      <w:marLeft w:val="0"/>
      <w:marRight w:val="0"/>
      <w:marTop w:val="0"/>
      <w:marBottom w:val="0"/>
      <w:divBdr>
        <w:top w:val="none" w:sz="0" w:space="0" w:color="auto"/>
        <w:left w:val="none" w:sz="0" w:space="0" w:color="auto"/>
        <w:bottom w:val="none" w:sz="0" w:space="0" w:color="auto"/>
        <w:right w:val="none" w:sz="0" w:space="0" w:color="auto"/>
      </w:divBdr>
    </w:div>
    <w:div w:id="847334693">
      <w:bodyDiv w:val="1"/>
      <w:marLeft w:val="0"/>
      <w:marRight w:val="0"/>
      <w:marTop w:val="0"/>
      <w:marBottom w:val="0"/>
      <w:divBdr>
        <w:top w:val="none" w:sz="0" w:space="0" w:color="auto"/>
        <w:left w:val="none" w:sz="0" w:space="0" w:color="auto"/>
        <w:bottom w:val="none" w:sz="0" w:space="0" w:color="auto"/>
        <w:right w:val="none" w:sz="0" w:space="0" w:color="auto"/>
      </w:divBdr>
      <w:divsChild>
        <w:div w:id="245043099">
          <w:marLeft w:val="403"/>
          <w:marRight w:val="0"/>
          <w:marTop w:val="0"/>
          <w:marBottom w:val="120"/>
          <w:divBdr>
            <w:top w:val="none" w:sz="0" w:space="0" w:color="auto"/>
            <w:left w:val="none" w:sz="0" w:space="0" w:color="auto"/>
            <w:bottom w:val="none" w:sz="0" w:space="0" w:color="auto"/>
            <w:right w:val="none" w:sz="0" w:space="0" w:color="auto"/>
          </w:divBdr>
        </w:div>
      </w:divsChild>
    </w:div>
    <w:div w:id="848064650">
      <w:bodyDiv w:val="1"/>
      <w:marLeft w:val="0"/>
      <w:marRight w:val="0"/>
      <w:marTop w:val="0"/>
      <w:marBottom w:val="0"/>
      <w:divBdr>
        <w:top w:val="none" w:sz="0" w:space="0" w:color="auto"/>
        <w:left w:val="none" w:sz="0" w:space="0" w:color="auto"/>
        <w:bottom w:val="none" w:sz="0" w:space="0" w:color="auto"/>
        <w:right w:val="none" w:sz="0" w:space="0" w:color="auto"/>
      </w:divBdr>
    </w:div>
    <w:div w:id="848830928">
      <w:bodyDiv w:val="1"/>
      <w:marLeft w:val="0"/>
      <w:marRight w:val="0"/>
      <w:marTop w:val="0"/>
      <w:marBottom w:val="0"/>
      <w:divBdr>
        <w:top w:val="none" w:sz="0" w:space="0" w:color="auto"/>
        <w:left w:val="none" w:sz="0" w:space="0" w:color="auto"/>
        <w:bottom w:val="none" w:sz="0" w:space="0" w:color="auto"/>
        <w:right w:val="none" w:sz="0" w:space="0" w:color="auto"/>
      </w:divBdr>
    </w:div>
    <w:div w:id="861816743">
      <w:bodyDiv w:val="1"/>
      <w:marLeft w:val="0"/>
      <w:marRight w:val="0"/>
      <w:marTop w:val="0"/>
      <w:marBottom w:val="0"/>
      <w:divBdr>
        <w:top w:val="none" w:sz="0" w:space="0" w:color="auto"/>
        <w:left w:val="none" w:sz="0" w:space="0" w:color="auto"/>
        <w:bottom w:val="none" w:sz="0" w:space="0" w:color="auto"/>
        <w:right w:val="none" w:sz="0" w:space="0" w:color="auto"/>
      </w:divBdr>
    </w:div>
    <w:div w:id="866406546">
      <w:bodyDiv w:val="1"/>
      <w:marLeft w:val="0"/>
      <w:marRight w:val="0"/>
      <w:marTop w:val="0"/>
      <w:marBottom w:val="0"/>
      <w:divBdr>
        <w:top w:val="none" w:sz="0" w:space="0" w:color="auto"/>
        <w:left w:val="none" w:sz="0" w:space="0" w:color="auto"/>
        <w:bottom w:val="none" w:sz="0" w:space="0" w:color="auto"/>
        <w:right w:val="none" w:sz="0" w:space="0" w:color="auto"/>
      </w:divBdr>
    </w:div>
    <w:div w:id="875506046">
      <w:bodyDiv w:val="1"/>
      <w:marLeft w:val="0"/>
      <w:marRight w:val="0"/>
      <w:marTop w:val="0"/>
      <w:marBottom w:val="0"/>
      <w:divBdr>
        <w:top w:val="none" w:sz="0" w:space="0" w:color="auto"/>
        <w:left w:val="none" w:sz="0" w:space="0" w:color="auto"/>
        <w:bottom w:val="none" w:sz="0" w:space="0" w:color="auto"/>
        <w:right w:val="none" w:sz="0" w:space="0" w:color="auto"/>
      </w:divBdr>
      <w:divsChild>
        <w:div w:id="70010469">
          <w:marLeft w:val="274"/>
          <w:marRight w:val="0"/>
          <w:marTop w:val="150"/>
          <w:marBottom w:val="0"/>
          <w:divBdr>
            <w:top w:val="none" w:sz="0" w:space="0" w:color="auto"/>
            <w:left w:val="none" w:sz="0" w:space="0" w:color="auto"/>
            <w:bottom w:val="none" w:sz="0" w:space="0" w:color="auto"/>
            <w:right w:val="none" w:sz="0" w:space="0" w:color="auto"/>
          </w:divBdr>
        </w:div>
        <w:div w:id="681391776">
          <w:marLeft w:val="274"/>
          <w:marRight w:val="0"/>
          <w:marTop w:val="0"/>
          <w:marBottom w:val="0"/>
          <w:divBdr>
            <w:top w:val="none" w:sz="0" w:space="0" w:color="auto"/>
            <w:left w:val="none" w:sz="0" w:space="0" w:color="auto"/>
            <w:bottom w:val="none" w:sz="0" w:space="0" w:color="auto"/>
            <w:right w:val="none" w:sz="0" w:space="0" w:color="auto"/>
          </w:divBdr>
        </w:div>
        <w:div w:id="813835569">
          <w:marLeft w:val="274"/>
          <w:marRight w:val="0"/>
          <w:marTop w:val="150"/>
          <w:marBottom w:val="0"/>
          <w:divBdr>
            <w:top w:val="none" w:sz="0" w:space="0" w:color="auto"/>
            <w:left w:val="none" w:sz="0" w:space="0" w:color="auto"/>
            <w:bottom w:val="none" w:sz="0" w:space="0" w:color="auto"/>
            <w:right w:val="none" w:sz="0" w:space="0" w:color="auto"/>
          </w:divBdr>
        </w:div>
        <w:div w:id="912204297">
          <w:marLeft w:val="274"/>
          <w:marRight w:val="0"/>
          <w:marTop w:val="0"/>
          <w:marBottom w:val="0"/>
          <w:divBdr>
            <w:top w:val="none" w:sz="0" w:space="0" w:color="auto"/>
            <w:left w:val="none" w:sz="0" w:space="0" w:color="auto"/>
            <w:bottom w:val="none" w:sz="0" w:space="0" w:color="auto"/>
            <w:right w:val="none" w:sz="0" w:space="0" w:color="auto"/>
          </w:divBdr>
        </w:div>
        <w:div w:id="1108620445">
          <w:marLeft w:val="274"/>
          <w:marRight w:val="0"/>
          <w:marTop w:val="150"/>
          <w:marBottom w:val="0"/>
          <w:divBdr>
            <w:top w:val="none" w:sz="0" w:space="0" w:color="auto"/>
            <w:left w:val="none" w:sz="0" w:space="0" w:color="auto"/>
            <w:bottom w:val="none" w:sz="0" w:space="0" w:color="auto"/>
            <w:right w:val="none" w:sz="0" w:space="0" w:color="auto"/>
          </w:divBdr>
        </w:div>
        <w:div w:id="1296178466">
          <w:marLeft w:val="274"/>
          <w:marRight w:val="0"/>
          <w:marTop w:val="0"/>
          <w:marBottom w:val="0"/>
          <w:divBdr>
            <w:top w:val="none" w:sz="0" w:space="0" w:color="auto"/>
            <w:left w:val="none" w:sz="0" w:space="0" w:color="auto"/>
            <w:bottom w:val="none" w:sz="0" w:space="0" w:color="auto"/>
            <w:right w:val="none" w:sz="0" w:space="0" w:color="auto"/>
          </w:divBdr>
        </w:div>
        <w:div w:id="1949700234">
          <w:marLeft w:val="274"/>
          <w:marRight w:val="0"/>
          <w:marTop w:val="0"/>
          <w:marBottom w:val="0"/>
          <w:divBdr>
            <w:top w:val="none" w:sz="0" w:space="0" w:color="auto"/>
            <w:left w:val="none" w:sz="0" w:space="0" w:color="auto"/>
            <w:bottom w:val="none" w:sz="0" w:space="0" w:color="auto"/>
            <w:right w:val="none" w:sz="0" w:space="0" w:color="auto"/>
          </w:divBdr>
        </w:div>
        <w:div w:id="2081633967">
          <w:marLeft w:val="274"/>
          <w:marRight w:val="0"/>
          <w:marTop w:val="0"/>
          <w:marBottom w:val="0"/>
          <w:divBdr>
            <w:top w:val="none" w:sz="0" w:space="0" w:color="auto"/>
            <w:left w:val="none" w:sz="0" w:space="0" w:color="auto"/>
            <w:bottom w:val="none" w:sz="0" w:space="0" w:color="auto"/>
            <w:right w:val="none" w:sz="0" w:space="0" w:color="auto"/>
          </w:divBdr>
        </w:div>
      </w:divsChild>
    </w:div>
    <w:div w:id="886836606">
      <w:bodyDiv w:val="1"/>
      <w:marLeft w:val="0"/>
      <w:marRight w:val="0"/>
      <w:marTop w:val="0"/>
      <w:marBottom w:val="0"/>
      <w:divBdr>
        <w:top w:val="none" w:sz="0" w:space="0" w:color="auto"/>
        <w:left w:val="none" w:sz="0" w:space="0" w:color="auto"/>
        <w:bottom w:val="none" w:sz="0" w:space="0" w:color="auto"/>
        <w:right w:val="none" w:sz="0" w:space="0" w:color="auto"/>
      </w:divBdr>
      <w:divsChild>
        <w:div w:id="1424259589">
          <w:marLeft w:val="403"/>
          <w:marRight w:val="0"/>
          <w:marTop w:val="150"/>
          <w:marBottom w:val="0"/>
          <w:divBdr>
            <w:top w:val="none" w:sz="0" w:space="0" w:color="auto"/>
            <w:left w:val="none" w:sz="0" w:space="0" w:color="auto"/>
            <w:bottom w:val="none" w:sz="0" w:space="0" w:color="auto"/>
            <w:right w:val="none" w:sz="0" w:space="0" w:color="auto"/>
          </w:divBdr>
        </w:div>
        <w:div w:id="1657688331">
          <w:marLeft w:val="403"/>
          <w:marRight w:val="0"/>
          <w:marTop w:val="150"/>
          <w:marBottom w:val="0"/>
          <w:divBdr>
            <w:top w:val="none" w:sz="0" w:space="0" w:color="auto"/>
            <w:left w:val="none" w:sz="0" w:space="0" w:color="auto"/>
            <w:bottom w:val="none" w:sz="0" w:space="0" w:color="auto"/>
            <w:right w:val="none" w:sz="0" w:space="0" w:color="auto"/>
          </w:divBdr>
        </w:div>
      </w:divsChild>
    </w:div>
    <w:div w:id="888305407">
      <w:bodyDiv w:val="1"/>
      <w:marLeft w:val="0"/>
      <w:marRight w:val="0"/>
      <w:marTop w:val="0"/>
      <w:marBottom w:val="0"/>
      <w:divBdr>
        <w:top w:val="none" w:sz="0" w:space="0" w:color="auto"/>
        <w:left w:val="none" w:sz="0" w:space="0" w:color="auto"/>
        <w:bottom w:val="none" w:sz="0" w:space="0" w:color="auto"/>
        <w:right w:val="none" w:sz="0" w:space="0" w:color="auto"/>
      </w:divBdr>
      <w:divsChild>
        <w:div w:id="392895398">
          <w:marLeft w:val="403"/>
          <w:marRight w:val="0"/>
          <w:marTop w:val="0"/>
          <w:marBottom w:val="120"/>
          <w:divBdr>
            <w:top w:val="none" w:sz="0" w:space="0" w:color="auto"/>
            <w:left w:val="none" w:sz="0" w:space="0" w:color="auto"/>
            <w:bottom w:val="none" w:sz="0" w:space="0" w:color="auto"/>
            <w:right w:val="none" w:sz="0" w:space="0" w:color="auto"/>
          </w:divBdr>
        </w:div>
      </w:divsChild>
    </w:div>
    <w:div w:id="889027060">
      <w:bodyDiv w:val="1"/>
      <w:marLeft w:val="0"/>
      <w:marRight w:val="0"/>
      <w:marTop w:val="0"/>
      <w:marBottom w:val="0"/>
      <w:divBdr>
        <w:top w:val="none" w:sz="0" w:space="0" w:color="auto"/>
        <w:left w:val="none" w:sz="0" w:space="0" w:color="auto"/>
        <w:bottom w:val="none" w:sz="0" w:space="0" w:color="auto"/>
        <w:right w:val="none" w:sz="0" w:space="0" w:color="auto"/>
      </w:divBdr>
      <w:divsChild>
        <w:div w:id="889150008">
          <w:marLeft w:val="403"/>
          <w:marRight w:val="0"/>
          <w:marTop w:val="120"/>
          <w:marBottom w:val="0"/>
          <w:divBdr>
            <w:top w:val="none" w:sz="0" w:space="0" w:color="auto"/>
            <w:left w:val="none" w:sz="0" w:space="0" w:color="auto"/>
            <w:bottom w:val="none" w:sz="0" w:space="0" w:color="auto"/>
            <w:right w:val="none" w:sz="0" w:space="0" w:color="auto"/>
          </w:divBdr>
        </w:div>
        <w:div w:id="2031367977">
          <w:marLeft w:val="403"/>
          <w:marRight w:val="0"/>
          <w:marTop w:val="120"/>
          <w:marBottom w:val="0"/>
          <w:divBdr>
            <w:top w:val="none" w:sz="0" w:space="0" w:color="auto"/>
            <w:left w:val="none" w:sz="0" w:space="0" w:color="auto"/>
            <w:bottom w:val="none" w:sz="0" w:space="0" w:color="auto"/>
            <w:right w:val="none" w:sz="0" w:space="0" w:color="auto"/>
          </w:divBdr>
        </w:div>
      </w:divsChild>
    </w:div>
    <w:div w:id="889995919">
      <w:bodyDiv w:val="1"/>
      <w:marLeft w:val="0"/>
      <w:marRight w:val="0"/>
      <w:marTop w:val="0"/>
      <w:marBottom w:val="0"/>
      <w:divBdr>
        <w:top w:val="none" w:sz="0" w:space="0" w:color="auto"/>
        <w:left w:val="none" w:sz="0" w:space="0" w:color="auto"/>
        <w:bottom w:val="none" w:sz="0" w:space="0" w:color="auto"/>
        <w:right w:val="none" w:sz="0" w:space="0" w:color="auto"/>
      </w:divBdr>
      <w:divsChild>
        <w:div w:id="1650592370">
          <w:marLeft w:val="403"/>
          <w:marRight w:val="0"/>
          <w:marTop w:val="150"/>
          <w:marBottom w:val="0"/>
          <w:divBdr>
            <w:top w:val="none" w:sz="0" w:space="0" w:color="auto"/>
            <w:left w:val="none" w:sz="0" w:space="0" w:color="auto"/>
            <w:bottom w:val="none" w:sz="0" w:space="0" w:color="auto"/>
            <w:right w:val="none" w:sz="0" w:space="0" w:color="auto"/>
          </w:divBdr>
        </w:div>
      </w:divsChild>
    </w:div>
    <w:div w:id="892230557">
      <w:bodyDiv w:val="1"/>
      <w:marLeft w:val="0"/>
      <w:marRight w:val="0"/>
      <w:marTop w:val="0"/>
      <w:marBottom w:val="0"/>
      <w:divBdr>
        <w:top w:val="none" w:sz="0" w:space="0" w:color="auto"/>
        <w:left w:val="none" w:sz="0" w:space="0" w:color="auto"/>
        <w:bottom w:val="none" w:sz="0" w:space="0" w:color="auto"/>
        <w:right w:val="none" w:sz="0" w:space="0" w:color="auto"/>
      </w:divBdr>
    </w:div>
    <w:div w:id="892692743">
      <w:bodyDiv w:val="1"/>
      <w:marLeft w:val="0"/>
      <w:marRight w:val="0"/>
      <w:marTop w:val="0"/>
      <w:marBottom w:val="0"/>
      <w:divBdr>
        <w:top w:val="none" w:sz="0" w:space="0" w:color="auto"/>
        <w:left w:val="none" w:sz="0" w:space="0" w:color="auto"/>
        <w:bottom w:val="none" w:sz="0" w:space="0" w:color="auto"/>
        <w:right w:val="none" w:sz="0" w:space="0" w:color="auto"/>
      </w:divBdr>
    </w:div>
    <w:div w:id="904953513">
      <w:bodyDiv w:val="1"/>
      <w:marLeft w:val="0"/>
      <w:marRight w:val="0"/>
      <w:marTop w:val="0"/>
      <w:marBottom w:val="0"/>
      <w:divBdr>
        <w:top w:val="none" w:sz="0" w:space="0" w:color="auto"/>
        <w:left w:val="none" w:sz="0" w:space="0" w:color="auto"/>
        <w:bottom w:val="none" w:sz="0" w:space="0" w:color="auto"/>
        <w:right w:val="none" w:sz="0" w:space="0" w:color="auto"/>
      </w:divBdr>
    </w:div>
    <w:div w:id="908345285">
      <w:bodyDiv w:val="1"/>
      <w:marLeft w:val="0"/>
      <w:marRight w:val="0"/>
      <w:marTop w:val="0"/>
      <w:marBottom w:val="0"/>
      <w:divBdr>
        <w:top w:val="none" w:sz="0" w:space="0" w:color="auto"/>
        <w:left w:val="none" w:sz="0" w:space="0" w:color="auto"/>
        <w:bottom w:val="none" w:sz="0" w:space="0" w:color="auto"/>
        <w:right w:val="none" w:sz="0" w:space="0" w:color="auto"/>
      </w:divBdr>
      <w:divsChild>
        <w:div w:id="1334336406">
          <w:marLeft w:val="403"/>
          <w:marRight w:val="0"/>
          <w:marTop w:val="0"/>
          <w:marBottom w:val="150"/>
          <w:divBdr>
            <w:top w:val="none" w:sz="0" w:space="0" w:color="auto"/>
            <w:left w:val="none" w:sz="0" w:space="0" w:color="auto"/>
            <w:bottom w:val="none" w:sz="0" w:space="0" w:color="auto"/>
            <w:right w:val="none" w:sz="0" w:space="0" w:color="auto"/>
          </w:divBdr>
        </w:div>
      </w:divsChild>
    </w:div>
    <w:div w:id="908659742">
      <w:bodyDiv w:val="1"/>
      <w:marLeft w:val="0"/>
      <w:marRight w:val="0"/>
      <w:marTop w:val="0"/>
      <w:marBottom w:val="0"/>
      <w:divBdr>
        <w:top w:val="none" w:sz="0" w:space="0" w:color="auto"/>
        <w:left w:val="none" w:sz="0" w:space="0" w:color="auto"/>
        <w:bottom w:val="none" w:sz="0" w:space="0" w:color="auto"/>
        <w:right w:val="none" w:sz="0" w:space="0" w:color="auto"/>
      </w:divBdr>
      <w:divsChild>
        <w:div w:id="234441071">
          <w:marLeft w:val="403"/>
          <w:marRight w:val="0"/>
          <w:marTop w:val="150"/>
          <w:marBottom w:val="0"/>
          <w:divBdr>
            <w:top w:val="none" w:sz="0" w:space="0" w:color="auto"/>
            <w:left w:val="none" w:sz="0" w:space="0" w:color="auto"/>
            <w:bottom w:val="none" w:sz="0" w:space="0" w:color="auto"/>
            <w:right w:val="none" w:sz="0" w:space="0" w:color="auto"/>
          </w:divBdr>
        </w:div>
      </w:divsChild>
    </w:div>
    <w:div w:id="912810243">
      <w:bodyDiv w:val="1"/>
      <w:marLeft w:val="0"/>
      <w:marRight w:val="0"/>
      <w:marTop w:val="0"/>
      <w:marBottom w:val="0"/>
      <w:divBdr>
        <w:top w:val="none" w:sz="0" w:space="0" w:color="auto"/>
        <w:left w:val="none" w:sz="0" w:space="0" w:color="auto"/>
        <w:bottom w:val="none" w:sz="0" w:space="0" w:color="auto"/>
        <w:right w:val="none" w:sz="0" w:space="0" w:color="auto"/>
      </w:divBdr>
    </w:div>
    <w:div w:id="920678656">
      <w:bodyDiv w:val="1"/>
      <w:marLeft w:val="0"/>
      <w:marRight w:val="0"/>
      <w:marTop w:val="0"/>
      <w:marBottom w:val="0"/>
      <w:divBdr>
        <w:top w:val="none" w:sz="0" w:space="0" w:color="auto"/>
        <w:left w:val="none" w:sz="0" w:space="0" w:color="auto"/>
        <w:bottom w:val="none" w:sz="0" w:space="0" w:color="auto"/>
        <w:right w:val="none" w:sz="0" w:space="0" w:color="auto"/>
      </w:divBdr>
    </w:div>
    <w:div w:id="923297137">
      <w:bodyDiv w:val="1"/>
      <w:marLeft w:val="0"/>
      <w:marRight w:val="0"/>
      <w:marTop w:val="0"/>
      <w:marBottom w:val="0"/>
      <w:divBdr>
        <w:top w:val="none" w:sz="0" w:space="0" w:color="auto"/>
        <w:left w:val="none" w:sz="0" w:space="0" w:color="auto"/>
        <w:bottom w:val="none" w:sz="0" w:space="0" w:color="auto"/>
        <w:right w:val="none" w:sz="0" w:space="0" w:color="auto"/>
      </w:divBdr>
    </w:div>
    <w:div w:id="926767839">
      <w:bodyDiv w:val="1"/>
      <w:marLeft w:val="0"/>
      <w:marRight w:val="0"/>
      <w:marTop w:val="0"/>
      <w:marBottom w:val="0"/>
      <w:divBdr>
        <w:top w:val="none" w:sz="0" w:space="0" w:color="auto"/>
        <w:left w:val="none" w:sz="0" w:space="0" w:color="auto"/>
        <w:bottom w:val="none" w:sz="0" w:space="0" w:color="auto"/>
        <w:right w:val="none" w:sz="0" w:space="0" w:color="auto"/>
      </w:divBdr>
      <w:divsChild>
        <w:div w:id="884637503">
          <w:marLeft w:val="274"/>
          <w:marRight w:val="0"/>
          <w:marTop w:val="120"/>
          <w:marBottom w:val="0"/>
          <w:divBdr>
            <w:top w:val="none" w:sz="0" w:space="0" w:color="auto"/>
            <w:left w:val="none" w:sz="0" w:space="0" w:color="auto"/>
            <w:bottom w:val="none" w:sz="0" w:space="0" w:color="auto"/>
            <w:right w:val="none" w:sz="0" w:space="0" w:color="auto"/>
          </w:divBdr>
        </w:div>
      </w:divsChild>
    </w:div>
    <w:div w:id="939333707">
      <w:bodyDiv w:val="1"/>
      <w:marLeft w:val="0"/>
      <w:marRight w:val="0"/>
      <w:marTop w:val="0"/>
      <w:marBottom w:val="0"/>
      <w:divBdr>
        <w:top w:val="none" w:sz="0" w:space="0" w:color="auto"/>
        <w:left w:val="none" w:sz="0" w:space="0" w:color="auto"/>
        <w:bottom w:val="none" w:sz="0" w:space="0" w:color="auto"/>
        <w:right w:val="none" w:sz="0" w:space="0" w:color="auto"/>
      </w:divBdr>
    </w:div>
    <w:div w:id="944534864">
      <w:bodyDiv w:val="1"/>
      <w:marLeft w:val="0"/>
      <w:marRight w:val="0"/>
      <w:marTop w:val="0"/>
      <w:marBottom w:val="0"/>
      <w:divBdr>
        <w:top w:val="none" w:sz="0" w:space="0" w:color="auto"/>
        <w:left w:val="none" w:sz="0" w:space="0" w:color="auto"/>
        <w:bottom w:val="none" w:sz="0" w:space="0" w:color="auto"/>
        <w:right w:val="none" w:sz="0" w:space="0" w:color="auto"/>
      </w:divBdr>
    </w:div>
    <w:div w:id="946041626">
      <w:bodyDiv w:val="1"/>
      <w:marLeft w:val="0"/>
      <w:marRight w:val="0"/>
      <w:marTop w:val="0"/>
      <w:marBottom w:val="0"/>
      <w:divBdr>
        <w:top w:val="none" w:sz="0" w:space="0" w:color="auto"/>
        <w:left w:val="none" w:sz="0" w:space="0" w:color="auto"/>
        <w:bottom w:val="none" w:sz="0" w:space="0" w:color="auto"/>
        <w:right w:val="none" w:sz="0" w:space="0" w:color="auto"/>
      </w:divBdr>
    </w:div>
    <w:div w:id="946155502">
      <w:bodyDiv w:val="1"/>
      <w:marLeft w:val="0"/>
      <w:marRight w:val="0"/>
      <w:marTop w:val="0"/>
      <w:marBottom w:val="0"/>
      <w:divBdr>
        <w:top w:val="none" w:sz="0" w:space="0" w:color="auto"/>
        <w:left w:val="none" w:sz="0" w:space="0" w:color="auto"/>
        <w:bottom w:val="none" w:sz="0" w:space="0" w:color="auto"/>
        <w:right w:val="none" w:sz="0" w:space="0" w:color="auto"/>
      </w:divBdr>
    </w:div>
    <w:div w:id="946279754">
      <w:bodyDiv w:val="1"/>
      <w:marLeft w:val="0"/>
      <w:marRight w:val="0"/>
      <w:marTop w:val="0"/>
      <w:marBottom w:val="0"/>
      <w:divBdr>
        <w:top w:val="none" w:sz="0" w:space="0" w:color="auto"/>
        <w:left w:val="none" w:sz="0" w:space="0" w:color="auto"/>
        <w:bottom w:val="none" w:sz="0" w:space="0" w:color="auto"/>
        <w:right w:val="none" w:sz="0" w:space="0" w:color="auto"/>
      </w:divBdr>
      <w:divsChild>
        <w:div w:id="217590104">
          <w:marLeft w:val="403"/>
          <w:marRight w:val="0"/>
          <w:marTop w:val="0"/>
          <w:marBottom w:val="120"/>
          <w:divBdr>
            <w:top w:val="none" w:sz="0" w:space="0" w:color="auto"/>
            <w:left w:val="none" w:sz="0" w:space="0" w:color="auto"/>
            <w:bottom w:val="none" w:sz="0" w:space="0" w:color="auto"/>
            <w:right w:val="none" w:sz="0" w:space="0" w:color="auto"/>
          </w:divBdr>
        </w:div>
        <w:div w:id="573777417">
          <w:marLeft w:val="403"/>
          <w:marRight w:val="0"/>
          <w:marTop w:val="0"/>
          <w:marBottom w:val="120"/>
          <w:divBdr>
            <w:top w:val="none" w:sz="0" w:space="0" w:color="auto"/>
            <w:left w:val="none" w:sz="0" w:space="0" w:color="auto"/>
            <w:bottom w:val="none" w:sz="0" w:space="0" w:color="auto"/>
            <w:right w:val="none" w:sz="0" w:space="0" w:color="auto"/>
          </w:divBdr>
        </w:div>
      </w:divsChild>
    </w:div>
    <w:div w:id="947662933">
      <w:bodyDiv w:val="1"/>
      <w:marLeft w:val="0"/>
      <w:marRight w:val="0"/>
      <w:marTop w:val="0"/>
      <w:marBottom w:val="0"/>
      <w:divBdr>
        <w:top w:val="none" w:sz="0" w:space="0" w:color="auto"/>
        <w:left w:val="none" w:sz="0" w:space="0" w:color="auto"/>
        <w:bottom w:val="none" w:sz="0" w:space="0" w:color="auto"/>
        <w:right w:val="none" w:sz="0" w:space="0" w:color="auto"/>
      </w:divBdr>
    </w:div>
    <w:div w:id="951131042">
      <w:bodyDiv w:val="1"/>
      <w:marLeft w:val="0"/>
      <w:marRight w:val="0"/>
      <w:marTop w:val="0"/>
      <w:marBottom w:val="0"/>
      <w:divBdr>
        <w:top w:val="none" w:sz="0" w:space="0" w:color="auto"/>
        <w:left w:val="none" w:sz="0" w:space="0" w:color="auto"/>
        <w:bottom w:val="none" w:sz="0" w:space="0" w:color="auto"/>
        <w:right w:val="none" w:sz="0" w:space="0" w:color="auto"/>
      </w:divBdr>
    </w:div>
    <w:div w:id="954169201">
      <w:bodyDiv w:val="1"/>
      <w:marLeft w:val="0"/>
      <w:marRight w:val="0"/>
      <w:marTop w:val="0"/>
      <w:marBottom w:val="0"/>
      <w:divBdr>
        <w:top w:val="none" w:sz="0" w:space="0" w:color="auto"/>
        <w:left w:val="none" w:sz="0" w:space="0" w:color="auto"/>
        <w:bottom w:val="none" w:sz="0" w:space="0" w:color="auto"/>
        <w:right w:val="none" w:sz="0" w:space="0" w:color="auto"/>
      </w:divBdr>
    </w:div>
    <w:div w:id="957612707">
      <w:bodyDiv w:val="1"/>
      <w:marLeft w:val="0"/>
      <w:marRight w:val="0"/>
      <w:marTop w:val="0"/>
      <w:marBottom w:val="0"/>
      <w:divBdr>
        <w:top w:val="none" w:sz="0" w:space="0" w:color="auto"/>
        <w:left w:val="none" w:sz="0" w:space="0" w:color="auto"/>
        <w:bottom w:val="none" w:sz="0" w:space="0" w:color="auto"/>
        <w:right w:val="none" w:sz="0" w:space="0" w:color="auto"/>
      </w:divBdr>
    </w:div>
    <w:div w:id="962345984">
      <w:bodyDiv w:val="1"/>
      <w:marLeft w:val="0"/>
      <w:marRight w:val="0"/>
      <w:marTop w:val="0"/>
      <w:marBottom w:val="0"/>
      <w:divBdr>
        <w:top w:val="none" w:sz="0" w:space="0" w:color="auto"/>
        <w:left w:val="none" w:sz="0" w:space="0" w:color="auto"/>
        <w:bottom w:val="none" w:sz="0" w:space="0" w:color="auto"/>
        <w:right w:val="none" w:sz="0" w:space="0" w:color="auto"/>
      </w:divBdr>
      <w:divsChild>
        <w:div w:id="1348822945">
          <w:marLeft w:val="403"/>
          <w:marRight w:val="0"/>
          <w:marTop w:val="150"/>
          <w:marBottom w:val="0"/>
          <w:divBdr>
            <w:top w:val="none" w:sz="0" w:space="0" w:color="auto"/>
            <w:left w:val="none" w:sz="0" w:space="0" w:color="auto"/>
            <w:bottom w:val="none" w:sz="0" w:space="0" w:color="auto"/>
            <w:right w:val="none" w:sz="0" w:space="0" w:color="auto"/>
          </w:divBdr>
        </w:div>
        <w:div w:id="1678262545">
          <w:marLeft w:val="403"/>
          <w:marRight w:val="0"/>
          <w:marTop w:val="150"/>
          <w:marBottom w:val="0"/>
          <w:divBdr>
            <w:top w:val="none" w:sz="0" w:space="0" w:color="auto"/>
            <w:left w:val="none" w:sz="0" w:space="0" w:color="auto"/>
            <w:bottom w:val="none" w:sz="0" w:space="0" w:color="auto"/>
            <w:right w:val="none" w:sz="0" w:space="0" w:color="auto"/>
          </w:divBdr>
        </w:div>
      </w:divsChild>
    </w:div>
    <w:div w:id="997534848">
      <w:bodyDiv w:val="1"/>
      <w:marLeft w:val="0"/>
      <w:marRight w:val="0"/>
      <w:marTop w:val="0"/>
      <w:marBottom w:val="0"/>
      <w:divBdr>
        <w:top w:val="none" w:sz="0" w:space="0" w:color="auto"/>
        <w:left w:val="none" w:sz="0" w:space="0" w:color="auto"/>
        <w:bottom w:val="none" w:sz="0" w:space="0" w:color="auto"/>
        <w:right w:val="none" w:sz="0" w:space="0" w:color="auto"/>
      </w:divBdr>
      <w:divsChild>
        <w:div w:id="462163730">
          <w:marLeft w:val="403"/>
          <w:marRight w:val="0"/>
          <w:marTop w:val="0"/>
          <w:marBottom w:val="120"/>
          <w:divBdr>
            <w:top w:val="none" w:sz="0" w:space="0" w:color="auto"/>
            <w:left w:val="none" w:sz="0" w:space="0" w:color="auto"/>
            <w:bottom w:val="none" w:sz="0" w:space="0" w:color="auto"/>
            <w:right w:val="none" w:sz="0" w:space="0" w:color="auto"/>
          </w:divBdr>
        </w:div>
        <w:div w:id="1117334948">
          <w:marLeft w:val="403"/>
          <w:marRight w:val="0"/>
          <w:marTop w:val="0"/>
          <w:marBottom w:val="120"/>
          <w:divBdr>
            <w:top w:val="none" w:sz="0" w:space="0" w:color="auto"/>
            <w:left w:val="none" w:sz="0" w:space="0" w:color="auto"/>
            <w:bottom w:val="none" w:sz="0" w:space="0" w:color="auto"/>
            <w:right w:val="none" w:sz="0" w:space="0" w:color="auto"/>
          </w:divBdr>
        </w:div>
      </w:divsChild>
    </w:div>
    <w:div w:id="998341591">
      <w:bodyDiv w:val="1"/>
      <w:marLeft w:val="0"/>
      <w:marRight w:val="0"/>
      <w:marTop w:val="0"/>
      <w:marBottom w:val="0"/>
      <w:divBdr>
        <w:top w:val="none" w:sz="0" w:space="0" w:color="auto"/>
        <w:left w:val="none" w:sz="0" w:space="0" w:color="auto"/>
        <w:bottom w:val="none" w:sz="0" w:space="0" w:color="auto"/>
        <w:right w:val="none" w:sz="0" w:space="0" w:color="auto"/>
      </w:divBdr>
    </w:div>
    <w:div w:id="1002777882">
      <w:bodyDiv w:val="1"/>
      <w:marLeft w:val="0"/>
      <w:marRight w:val="0"/>
      <w:marTop w:val="0"/>
      <w:marBottom w:val="0"/>
      <w:divBdr>
        <w:top w:val="none" w:sz="0" w:space="0" w:color="auto"/>
        <w:left w:val="none" w:sz="0" w:space="0" w:color="auto"/>
        <w:bottom w:val="none" w:sz="0" w:space="0" w:color="auto"/>
        <w:right w:val="none" w:sz="0" w:space="0" w:color="auto"/>
      </w:divBdr>
    </w:div>
    <w:div w:id="1007097152">
      <w:bodyDiv w:val="1"/>
      <w:marLeft w:val="0"/>
      <w:marRight w:val="0"/>
      <w:marTop w:val="0"/>
      <w:marBottom w:val="0"/>
      <w:divBdr>
        <w:top w:val="none" w:sz="0" w:space="0" w:color="auto"/>
        <w:left w:val="none" w:sz="0" w:space="0" w:color="auto"/>
        <w:bottom w:val="none" w:sz="0" w:space="0" w:color="auto"/>
        <w:right w:val="none" w:sz="0" w:space="0" w:color="auto"/>
      </w:divBdr>
      <w:divsChild>
        <w:div w:id="495538764">
          <w:marLeft w:val="749"/>
          <w:marRight w:val="0"/>
          <w:marTop w:val="120"/>
          <w:marBottom w:val="0"/>
          <w:divBdr>
            <w:top w:val="none" w:sz="0" w:space="0" w:color="auto"/>
            <w:left w:val="none" w:sz="0" w:space="0" w:color="auto"/>
            <w:bottom w:val="none" w:sz="0" w:space="0" w:color="auto"/>
            <w:right w:val="none" w:sz="0" w:space="0" w:color="auto"/>
          </w:divBdr>
        </w:div>
      </w:divsChild>
    </w:div>
    <w:div w:id="1008020383">
      <w:bodyDiv w:val="1"/>
      <w:marLeft w:val="0"/>
      <w:marRight w:val="0"/>
      <w:marTop w:val="0"/>
      <w:marBottom w:val="0"/>
      <w:divBdr>
        <w:top w:val="none" w:sz="0" w:space="0" w:color="auto"/>
        <w:left w:val="none" w:sz="0" w:space="0" w:color="auto"/>
        <w:bottom w:val="none" w:sz="0" w:space="0" w:color="auto"/>
        <w:right w:val="none" w:sz="0" w:space="0" w:color="auto"/>
      </w:divBdr>
    </w:div>
    <w:div w:id="1013534236">
      <w:bodyDiv w:val="1"/>
      <w:marLeft w:val="0"/>
      <w:marRight w:val="0"/>
      <w:marTop w:val="0"/>
      <w:marBottom w:val="0"/>
      <w:divBdr>
        <w:top w:val="none" w:sz="0" w:space="0" w:color="auto"/>
        <w:left w:val="none" w:sz="0" w:space="0" w:color="auto"/>
        <w:bottom w:val="none" w:sz="0" w:space="0" w:color="auto"/>
        <w:right w:val="none" w:sz="0" w:space="0" w:color="auto"/>
      </w:divBdr>
      <w:divsChild>
        <w:div w:id="1451512027">
          <w:marLeft w:val="403"/>
          <w:marRight w:val="0"/>
          <w:marTop w:val="0"/>
          <w:marBottom w:val="120"/>
          <w:divBdr>
            <w:top w:val="none" w:sz="0" w:space="0" w:color="auto"/>
            <w:left w:val="none" w:sz="0" w:space="0" w:color="auto"/>
            <w:bottom w:val="none" w:sz="0" w:space="0" w:color="auto"/>
            <w:right w:val="none" w:sz="0" w:space="0" w:color="auto"/>
          </w:divBdr>
        </w:div>
        <w:div w:id="2024551903">
          <w:marLeft w:val="403"/>
          <w:marRight w:val="0"/>
          <w:marTop w:val="0"/>
          <w:marBottom w:val="120"/>
          <w:divBdr>
            <w:top w:val="none" w:sz="0" w:space="0" w:color="auto"/>
            <w:left w:val="none" w:sz="0" w:space="0" w:color="auto"/>
            <w:bottom w:val="none" w:sz="0" w:space="0" w:color="auto"/>
            <w:right w:val="none" w:sz="0" w:space="0" w:color="auto"/>
          </w:divBdr>
        </w:div>
      </w:divsChild>
    </w:div>
    <w:div w:id="1018236042">
      <w:bodyDiv w:val="1"/>
      <w:marLeft w:val="0"/>
      <w:marRight w:val="0"/>
      <w:marTop w:val="0"/>
      <w:marBottom w:val="0"/>
      <w:divBdr>
        <w:top w:val="none" w:sz="0" w:space="0" w:color="auto"/>
        <w:left w:val="none" w:sz="0" w:space="0" w:color="auto"/>
        <w:bottom w:val="none" w:sz="0" w:space="0" w:color="auto"/>
        <w:right w:val="none" w:sz="0" w:space="0" w:color="auto"/>
      </w:divBdr>
      <w:divsChild>
        <w:div w:id="667948375">
          <w:marLeft w:val="403"/>
          <w:marRight w:val="0"/>
          <w:marTop w:val="150"/>
          <w:marBottom w:val="0"/>
          <w:divBdr>
            <w:top w:val="none" w:sz="0" w:space="0" w:color="auto"/>
            <w:left w:val="none" w:sz="0" w:space="0" w:color="auto"/>
            <w:bottom w:val="none" w:sz="0" w:space="0" w:color="auto"/>
            <w:right w:val="none" w:sz="0" w:space="0" w:color="auto"/>
          </w:divBdr>
        </w:div>
        <w:div w:id="914825655">
          <w:marLeft w:val="403"/>
          <w:marRight w:val="0"/>
          <w:marTop w:val="150"/>
          <w:marBottom w:val="0"/>
          <w:divBdr>
            <w:top w:val="none" w:sz="0" w:space="0" w:color="auto"/>
            <w:left w:val="none" w:sz="0" w:space="0" w:color="auto"/>
            <w:bottom w:val="none" w:sz="0" w:space="0" w:color="auto"/>
            <w:right w:val="none" w:sz="0" w:space="0" w:color="auto"/>
          </w:divBdr>
        </w:div>
      </w:divsChild>
    </w:div>
    <w:div w:id="1030957876">
      <w:bodyDiv w:val="1"/>
      <w:marLeft w:val="0"/>
      <w:marRight w:val="0"/>
      <w:marTop w:val="0"/>
      <w:marBottom w:val="0"/>
      <w:divBdr>
        <w:top w:val="none" w:sz="0" w:space="0" w:color="auto"/>
        <w:left w:val="none" w:sz="0" w:space="0" w:color="auto"/>
        <w:bottom w:val="none" w:sz="0" w:space="0" w:color="auto"/>
        <w:right w:val="none" w:sz="0" w:space="0" w:color="auto"/>
      </w:divBdr>
      <w:divsChild>
        <w:div w:id="1754889480">
          <w:marLeft w:val="403"/>
          <w:marRight w:val="0"/>
          <w:marTop w:val="150"/>
          <w:marBottom w:val="0"/>
          <w:divBdr>
            <w:top w:val="none" w:sz="0" w:space="0" w:color="auto"/>
            <w:left w:val="none" w:sz="0" w:space="0" w:color="auto"/>
            <w:bottom w:val="none" w:sz="0" w:space="0" w:color="auto"/>
            <w:right w:val="none" w:sz="0" w:space="0" w:color="auto"/>
          </w:divBdr>
        </w:div>
      </w:divsChild>
    </w:div>
    <w:div w:id="1031149128">
      <w:bodyDiv w:val="1"/>
      <w:marLeft w:val="0"/>
      <w:marRight w:val="0"/>
      <w:marTop w:val="0"/>
      <w:marBottom w:val="0"/>
      <w:divBdr>
        <w:top w:val="none" w:sz="0" w:space="0" w:color="auto"/>
        <w:left w:val="none" w:sz="0" w:space="0" w:color="auto"/>
        <w:bottom w:val="none" w:sz="0" w:space="0" w:color="auto"/>
        <w:right w:val="none" w:sz="0" w:space="0" w:color="auto"/>
      </w:divBdr>
      <w:divsChild>
        <w:div w:id="626160462">
          <w:marLeft w:val="403"/>
          <w:marRight w:val="0"/>
          <w:marTop w:val="0"/>
          <w:marBottom w:val="120"/>
          <w:divBdr>
            <w:top w:val="none" w:sz="0" w:space="0" w:color="auto"/>
            <w:left w:val="none" w:sz="0" w:space="0" w:color="auto"/>
            <w:bottom w:val="none" w:sz="0" w:space="0" w:color="auto"/>
            <w:right w:val="none" w:sz="0" w:space="0" w:color="auto"/>
          </w:divBdr>
        </w:div>
        <w:div w:id="809633567">
          <w:marLeft w:val="403"/>
          <w:marRight w:val="0"/>
          <w:marTop w:val="0"/>
          <w:marBottom w:val="120"/>
          <w:divBdr>
            <w:top w:val="none" w:sz="0" w:space="0" w:color="auto"/>
            <w:left w:val="none" w:sz="0" w:space="0" w:color="auto"/>
            <w:bottom w:val="none" w:sz="0" w:space="0" w:color="auto"/>
            <w:right w:val="none" w:sz="0" w:space="0" w:color="auto"/>
          </w:divBdr>
        </w:div>
        <w:div w:id="1549224542">
          <w:marLeft w:val="403"/>
          <w:marRight w:val="0"/>
          <w:marTop w:val="0"/>
          <w:marBottom w:val="120"/>
          <w:divBdr>
            <w:top w:val="none" w:sz="0" w:space="0" w:color="auto"/>
            <w:left w:val="none" w:sz="0" w:space="0" w:color="auto"/>
            <w:bottom w:val="none" w:sz="0" w:space="0" w:color="auto"/>
            <w:right w:val="none" w:sz="0" w:space="0" w:color="auto"/>
          </w:divBdr>
        </w:div>
        <w:div w:id="1729378468">
          <w:marLeft w:val="403"/>
          <w:marRight w:val="0"/>
          <w:marTop w:val="0"/>
          <w:marBottom w:val="120"/>
          <w:divBdr>
            <w:top w:val="none" w:sz="0" w:space="0" w:color="auto"/>
            <w:left w:val="none" w:sz="0" w:space="0" w:color="auto"/>
            <w:bottom w:val="none" w:sz="0" w:space="0" w:color="auto"/>
            <w:right w:val="none" w:sz="0" w:space="0" w:color="auto"/>
          </w:divBdr>
        </w:div>
        <w:div w:id="1996374110">
          <w:marLeft w:val="403"/>
          <w:marRight w:val="0"/>
          <w:marTop w:val="0"/>
          <w:marBottom w:val="120"/>
          <w:divBdr>
            <w:top w:val="none" w:sz="0" w:space="0" w:color="auto"/>
            <w:left w:val="none" w:sz="0" w:space="0" w:color="auto"/>
            <w:bottom w:val="none" w:sz="0" w:space="0" w:color="auto"/>
            <w:right w:val="none" w:sz="0" w:space="0" w:color="auto"/>
          </w:divBdr>
        </w:div>
      </w:divsChild>
    </w:div>
    <w:div w:id="1031684454">
      <w:bodyDiv w:val="1"/>
      <w:marLeft w:val="0"/>
      <w:marRight w:val="0"/>
      <w:marTop w:val="0"/>
      <w:marBottom w:val="0"/>
      <w:divBdr>
        <w:top w:val="none" w:sz="0" w:space="0" w:color="auto"/>
        <w:left w:val="none" w:sz="0" w:space="0" w:color="auto"/>
        <w:bottom w:val="none" w:sz="0" w:space="0" w:color="auto"/>
        <w:right w:val="none" w:sz="0" w:space="0" w:color="auto"/>
      </w:divBdr>
    </w:div>
    <w:div w:id="1032458824">
      <w:bodyDiv w:val="1"/>
      <w:marLeft w:val="0"/>
      <w:marRight w:val="0"/>
      <w:marTop w:val="0"/>
      <w:marBottom w:val="0"/>
      <w:divBdr>
        <w:top w:val="none" w:sz="0" w:space="0" w:color="auto"/>
        <w:left w:val="none" w:sz="0" w:space="0" w:color="auto"/>
        <w:bottom w:val="none" w:sz="0" w:space="0" w:color="auto"/>
        <w:right w:val="none" w:sz="0" w:space="0" w:color="auto"/>
      </w:divBdr>
    </w:div>
    <w:div w:id="1034118406">
      <w:bodyDiv w:val="1"/>
      <w:marLeft w:val="0"/>
      <w:marRight w:val="0"/>
      <w:marTop w:val="0"/>
      <w:marBottom w:val="0"/>
      <w:divBdr>
        <w:top w:val="none" w:sz="0" w:space="0" w:color="auto"/>
        <w:left w:val="none" w:sz="0" w:space="0" w:color="auto"/>
        <w:bottom w:val="none" w:sz="0" w:space="0" w:color="auto"/>
        <w:right w:val="none" w:sz="0" w:space="0" w:color="auto"/>
      </w:divBdr>
    </w:div>
    <w:div w:id="1036077237">
      <w:bodyDiv w:val="1"/>
      <w:marLeft w:val="0"/>
      <w:marRight w:val="0"/>
      <w:marTop w:val="0"/>
      <w:marBottom w:val="0"/>
      <w:divBdr>
        <w:top w:val="none" w:sz="0" w:space="0" w:color="auto"/>
        <w:left w:val="none" w:sz="0" w:space="0" w:color="auto"/>
        <w:bottom w:val="none" w:sz="0" w:space="0" w:color="auto"/>
        <w:right w:val="none" w:sz="0" w:space="0" w:color="auto"/>
      </w:divBdr>
      <w:divsChild>
        <w:div w:id="29184287">
          <w:marLeft w:val="403"/>
          <w:marRight w:val="0"/>
          <w:marTop w:val="0"/>
          <w:marBottom w:val="120"/>
          <w:divBdr>
            <w:top w:val="none" w:sz="0" w:space="0" w:color="auto"/>
            <w:left w:val="none" w:sz="0" w:space="0" w:color="auto"/>
            <w:bottom w:val="none" w:sz="0" w:space="0" w:color="auto"/>
            <w:right w:val="none" w:sz="0" w:space="0" w:color="auto"/>
          </w:divBdr>
        </w:div>
      </w:divsChild>
    </w:div>
    <w:div w:id="1036660560">
      <w:bodyDiv w:val="1"/>
      <w:marLeft w:val="0"/>
      <w:marRight w:val="0"/>
      <w:marTop w:val="0"/>
      <w:marBottom w:val="0"/>
      <w:divBdr>
        <w:top w:val="none" w:sz="0" w:space="0" w:color="auto"/>
        <w:left w:val="none" w:sz="0" w:space="0" w:color="auto"/>
        <w:bottom w:val="none" w:sz="0" w:space="0" w:color="auto"/>
        <w:right w:val="none" w:sz="0" w:space="0" w:color="auto"/>
      </w:divBdr>
    </w:div>
    <w:div w:id="1038892080">
      <w:bodyDiv w:val="1"/>
      <w:marLeft w:val="0"/>
      <w:marRight w:val="0"/>
      <w:marTop w:val="0"/>
      <w:marBottom w:val="0"/>
      <w:divBdr>
        <w:top w:val="none" w:sz="0" w:space="0" w:color="auto"/>
        <w:left w:val="none" w:sz="0" w:space="0" w:color="auto"/>
        <w:bottom w:val="none" w:sz="0" w:space="0" w:color="auto"/>
        <w:right w:val="none" w:sz="0" w:space="0" w:color="auto"/>
      </w:divBdr>
    </w:div>
    <w:div w:id="1044019483">
      <w:bodyDiv w:val="1"/>
      <w:marLeft w:val="0"/>
      <w:marRight w:val="0"/>
      <w:marTop w:val="0"/>
      <w:marBottom w:val="0"/>
      <w:divBdr>
        <w:top w:val="none" w:sz="0" w:space="0" w:color="auto"/>
        <w:left w:val="none" w:sz="0" w:space="0" w:color="auto"/>
        <w:bottom w:val="none" w:sz="0" w:space="0" w:color="auto"/>
        <w:right w:val="none" w:sz="0" w:space="0" w:color="auto"/>
      </w:divBdr>
    </w:div>
    <w:div w:id="1055161821">
      <w:bodyDiv w:val="1"/>
      <w:marLeft w:val="0"/>
      <w:marRight w:val="0"/>
      <w:marTop w:val="0"/>
      <w:marBottom w:val="0"/>
      <w:divBdr>
        <w:top w:val="none" w:sz="0" w:space="0" w:color="auto"/>
        <w:left w:val="none" w:sz="0" w:space="0" w:color="auto"/>
        <w:bottom w:val="none" w:sz="0" w:space="0" w:color="auto"/>
        <w:right w:val="none" w:sz="0" w:space="0" w:color="auto"/>
      </w:divBdr>
    </w:div>
    <w:div w:id="1060252996">
      <w:bodyDiv w:val="1"/>
      <w:marLeft w:val="0"/>
      <w:marRight w:val="0"/>
      <w:marTop w:val="0"/>
      <w:marBottom w:val="0"/>
      <w:divBdr>
        <w:top w:val="none" w:sz="0" w:space="0" w:color="auto"/>
        <w:left w:val="none" w:sz="0" w:space="0" w:color="auto"/>
        <w:bottom w:val="none" w:sz="0" w:space="0" w:color="auto"/>
        <w:right w:val="none" w:sz="0" w:space="0" w:color="auto"/>
      </w:divBdr>
      <w:divsChild>
        <w:div w:id="455830053">
          <w:marLeft w:val="274"/>
          <w:marRight w:val="0"/>
          <w:marTop w:val="0"/>
          <w:marBottom w:val="120"/>
          <w:divBdr>
            <w:top w:val="none" w:sz="0" w:space="0" w:color="auto"/>
            <w:left w:val="none" w:sz="0" w:space="0" w:color="auto"/>
            <w:bottom w:val="none" w:sz="0" w:space="0" w:color="auto"/>
            <w:right w:val="none" w:sz="0" w:space="0" w:color="auto"/>
          </w:divBdr>
        </w:div>
        <w:div w:id="1572958715">
          <w:marLeft w:val="994"/>
          <w:marRight w:val="0"/>
          <w:marTop w:val="0"/>
          <w:marBottom w:val="120"/>
          <w:divBdr>
            <w:top w:val="none" w:sz="0" w:space="0" w:color="auto"/>
            <w:left w:val="none" w:sz="0" w:space="0" w:color="auto"/>
            <w:bottom w:val="none" w:sz="0" w:space="0" w:color="auto"/>
            <w:right w:val="none" w:sz="0" w:space="0" w:color="auto"/>
          </w:divBdr>
        </w:div>
        <w:div w:id="1705058709">
          <w:marLeft w:val="274"/>
          <w:marRight w:val="0"/>
          <w:marTop w:val="0"/>
          <w:marBottom w:val="120"/>
          <w:divBdr>
            <w:top w:val="none" w:sz="0" w:space="0" w:color="auto"/>
            <w:left w:val="none" w:sz="0" w:space="0" w:color="auto"/>
            <w:bottom w:val="none" w:sz="0" w:space="0" w:color="auto"/>
            <w:right w:val="none" w:sz="0" w:space="0" w:color="auto"/>
          </w:divBdr>
        </w:div>
        <w:div w:id="1940482005">
          <w:marLeft w:val="274"/>
          <w:marRight w:val="0"/>
          <w:marTop w:val="0"/>
          <w:marBottom w:val="120"/>
          <w:divBdr>
            <w:top w:val="none" w:sz="0" w:space="0" w:color="auto"/>
            <w:left w:val="none" w:sz="0" w:space="0" w:color="auto"/>
            <w:bottom w:val="none" w:sz="0" w:space="0" w:color="auto"/>
            <w:right w:val="none" w:sz="0" w:space="0" w:color="auto"/>
          </w:divBdr>
        </w:div>
      </w:divsChild>
    </w:div>
    <w:div w:id="1068191611">
      <w:bodyDiv w:val="1"/>
      <w:marLeft w:val="0"/>
      <w:marRight w:val="0"/>
      <w:marTop w:val="0"/>
      <w:marBottom w:val="0"/>
      <w:divBdr>
        <w:top w:val="none" w:sz="0" w:space="0" w:color="auto"/>
        <w:left w:val="none" w:sz="0" w:space="0" w:color="auto"/>
        <w:bottom w:val="none" w:sz="0" w:space="0" w:color="auto"/>
        <w:right w:val="none" w:sz="0" w:space="0" w:color="auto"/>
      </w:divBdr>
      <w:divsChild>
        <w:div w:id="771054426">
          <w:marLeft w:val="403"/>
          <w:marRight w:val="0"/>
          <w:marTop w:val="0"/>
          <w:marBottom w:val="120"/>
          <w:divBdr>
            <w:top w:val="none" w:sz="0" w:space="0" w:color="auto"/>
            <w:left w:val="none" w:sz="0" w:space="0" w:color="auto"/>
            <w:bottom w:val="none" w:sz="0" w:space="0" w:color="auto"/>
            <w:right w:val="none" w:sz="0" w:space="0" w:color="auto"/>
          </w:divBdr>
        </w:div>
        <w:div w:id="1258909183">
          <w:marLeft w:val="403"/>
          <w:marRight w:val="0"/>
          <w:marTop w:val="0"/>
          <w:marBottom w:val="120"/>
          <w:divBdr>
            <w:top w:val="none" w:sz="0" w:space="0" w:color="auto"/>
            <w:left w:val="none" w:sz="0" w:space="0" w:color="auto"/>
            <w:bottom w:val="none" w:sz="0" w:space="0" w:color="auto"/>
            <w:right w:val="none" w:sz="0" w:space="0" w:color="auto"/>
          </w:divBdr>
        </w:div>
      </w:divsChild>
    </w:div>
    <w:div w:id="1074819554">
      <w:bodyDiv w:val="1"/>
      <w:marLeft w:val="0"/>
      <w:marRight w:val="0"/>
      <w:marTop w:val="0"/>
      <w:marBottom w:val="0"/>
      <w:divBdr>
        <w:top w:val="none" w:sz="0" w:space="0" w:color="auto"/>
        <w:left w:val="none" w:sz="0" w:space="0" w:color="auto"/>
        <w:bottom w:val="none" w:sz="0" w:space="0" w:color="auto"/>
        <w:right w:val="none" w:sz="0" w:space="0" w:color="auto"/>
      </w:divBdr>
      <w:divsChild>
        <w:div w:id="1548489924">
          <w:marLeft w:val="274"/>
          <w:marRight w:val="0"/>
          <w:marTop w:val="120"/>
          <w:marBottom w:val="0"/>
          <w:divBdr>
            <w:top w:val="none" w:sz="0" w:space="0" w:color="auto"/>
            <w:left w:val="none" w:sz="0" w:space="0" w:color="auto"/>
            <w:bottom w:val="none" w:sz="0" w:space="0" w:color="auto"/>
            <w:right w:val="none" w:sz="0" w:space="0" w:color="auto"/>
          </w:divBdr>
        </w:div>
      </w:divsChild>
    </w:div>
    <w:div w:id="1089734753">
      <w:bodyDiv w:val="1"/>
      <w:marLeft w:val="0"/>
      <w:marRight w:val="0"/>
      <w:marTop w:val="0"/>
      <w:marBottom w:val="0"/>
      <w:divBdr>
        <w:top w:val="none" w:sz="0" w:space="0" w:color="auto"/>
        <w:left w:val="none" w:sz="0" w:space="0" w:color="auto"/>
        <w:bottom w:val="none" w:sz="0" w:space="0" w:color="auto"/>
        <w:right w:val="none" w:sz="0" w:space="0" w:color="auto"/>
      </w:divBdr>
      <w:divsChild>
        <w:div w:id="583540242">
          <w:marLeft w:val="274"/>
          <w:marRight w:val="0"/>
          <w:marTop w:val="0"/>
          <w:marBottom w:val="120"/>
          <w:divBdr>
            <w:top w:val="none" w:sz="0" w:space="0" w:color="auto"/>
            <w:left w:val="none" w:sz="0" w:space="0" w:color="auto"/>
            <w:bottom w:val="none" w:sz="0" w:space="0" w:color="auto"/>
            <w:right w:val="none" w:sz="0" w:space="0" w:color="auto"/>
          </w:divBdr>
        </w:div>
        <w:div w:id="1810438080">
          <w:marLeft w:val="274"/>
          <w:marRight w:val="0"/>
          <w:marTop w:val="0"/>
          <w:marBottom w:val="120"/>
          <w:divBdr>
            <w:top w:val="none" w:sz="0" w:space="0" w:color="auto"/>
            <w:left w:val="none" w:sz="0" w:space="0" w:color="auto"/>
            <w:bottom w:val="none" w:sz="0" w:space="0" w:color="auto"/>
            <w:right w:val="none" w:sz="0" w:space="0" w:color="auto"/>
          </w:divBdr>
        </w:div>
        <w:div w:id="1963031151">
          <w:marLeft w:val="994"/>
          <w:marRight w:val="0"/>
          <w:marTop w:val="0"/>
          <w:marBottom w:val="120"/>
          <w:divBdr>
            <w:top w:val="none" w:sz="0" w:space="0" w:color="auto"/>
            <w:left w:val="none" w:sz="0" w:space="0" w:color="auto"/>
            <w:bottom w:val="none" w:sz="0" w:space="0" w:color="auto"/>
            <w:right w:val="none" w:sz="0" w:space="0" w:color="auto"/>
          </w:divBdr>
        </w:div>
      </w:divsChild>
    </w:div>
    <w:div w:id="1093017788">
      <w:bodyDiv w:val="1"/>
      <w:marLeft w:val="0"/>
      <w:marRight w:val="0"/>
      <w:marTop w:val="0"/>
      <w:marBottom w:val="0"/>
      <w:divBdr>
        <w:top w:val="none" w:sz="0" w:space="0" w:color="auto"/>
        <w:left w:val="none" w:sz="0" w:space="0" w:color="auto"/>
        <w:bottom w:val="none" w:sz="0" w:space="0" w:color="auto"/>
        <w:right w:val="none" w:sz="0" w:space="0" w:color="auto"/>
      </w:divBdr>
      <w:divsChild>
        <w:div w:id="515390900">
          <w:marLeft w:val="749"/>
          <w:marRight w:val="0"/>
          <w:marTop w:val="120"/>
          <w:marBottom w:val="0"/>
          <w:divBdr>
            <w:top w:val="none" w:sz="0" w:space="0" w:color="auto"/>
            <w:left w:val="none" w:sz="0" w:space="0" w:color="auto"/>
            <w:bottom w:val="none" w:sz="0" w:space="0" w:color="auto"/>
            <w:right w:val="none" w:sz="0" w:space="0" w:color="auto"/>
          </w:divBdr>
        </w:div>
        <w:div w:id="1797020260">
          <w:marLeft w:val="274"/>
          <w:marRight w:val="0"/>
          <w:marTop w:val="120"/>
          <w:marBottom w:val="0"/>
          <w:divBdr>
            <w:top w:val="none" w:sz="0" w:space="0" w:color="auto"/>
            <w:left w:val="none" w:sz="0" w:space="0" w:color="auto"/>
            <w:bottom w:val="none" w:sz="0" w:space="0" w:color="auto"/>
            <w:right w:val="none" w:sz="0" w:space="0" w:color="auto"/>
          </w:divBdr>
        </w:div>
      </w:divsChild>
    </w:div>
    <w:div w:id="1096092090">
      <w:bodyDiv w:val="1"/>
      <w:marLeft w:val="0"/>
      <w:marRight w:val="0"/>
      <w:marTop w:val="0"/>
      <w:marBottom w:val="0"/>
      <w:divBdr>
        <w:top w:val="none" w:sz="0" w:space="0" w:color="auto"/>
        <w:left w:val="none" w:sz="0" w:space="0" w:color="auto"/>
        <w:bottom w:val="none" w:sz="0" w:space="0" w:color="auto"/>
        <w:right w:val="none" w:sz="0" w:space="0" w:color="auto"/>
      </w:divBdr>
      <w:divsChild>
        <w:div w:id="671445071">
          <w:marLeft w:val="274"/>
          <w:marRight w:val="0"/>
          <w:marTop w:val="0"/>
          <w:marBottom w:val="120"/>
          <w:divBdr>
            <w:top w:val="none" w:sz="0" w:space="0" w:color="auto"/>
            <w:left w:val="none" w:sz="0" w:space="0" w:color="auto"/>
            <w:bottom w:val="none" w:sz="0" w:space="0" w:color="auto"/>
            <w:right w:val="none" w:sz="0" w:space="0" w:color="auto"/>
          </w:divBdr>
        </w:div>
      </w:divsChild>
    </w:div>
    <w:div w:id="1097554526">
      <w:bodyDiv w:val="1"/>
      <w:marLeft w:val="0"/>
      <w:marRight w:val="0"/>
      <w:marTop w:val="0"/>
      <w:marBottom w:val="0"/>
      <w:divBdr>
        <w:top w:val="none" w:sz="0" w:space="0" w:color="auto"/>
        <w:left w:val="none" w:sz="0" w:space="0" w:color="auto"/>
        <w:bottom w:val="none" w:sz="0" w:space="0" w:color="auto"/>
        <w:right w:val="none" w:sz="0" w:space="0" w:color="auto"/>
      </w:divBdr>
    </w:div>
    <w:div w:id="1102726672">
      <w:bodyDiv w:val="1"/>
      <w:marLeft w:val="0"/>
      <w:marRight w:val="0"/>
      <w:marTop w:val="0"/>
      <w:marBottom w:val="0"/>
      <w:divBdr>
        <w:top w:val="none" w:sz="0" w:space="0" w:color="auto"/>
        <w:left w:val="none" w:sz="0" w:space="0" w:color="auto"/>
        <w:bottom w:val="none" w:sz="0" w:space="0" w:color="auto"/>
        <w:right w:val="none" w:sz="0" w:space="0" w:color="auto"/>
      </w:divBdr>
      <w:divsChild>
        <w:div w:id="461844515">
          <w:marLeft w:val="403"/>
          <w:marRight w:val="0"/>
          <w:marTop w:val="0"/>
          <w:marBottom w:val="120"/>
          <w:divBdr>
            <w:top w:val="none" w:sz="0" w:space="0" w:color="auto"/>
            <w:left w:val="none" w:sz="0" w:space="0" w:color="auto"/>
            <w:bottom w:val="none" w:sz="0" w:space="0" w:color="auto"/>
            <w:right w:val="none" w:sz="0" w:space="0" w:color="auto"/>
          </w:divBdr>
        </w:div>
        <w:div w:id="1070153423">
          <w:marLeft w:val="403"/>
          <w:marRight w:val="0"/>
          <w:marTop w:val="0"/>
          <w:marBottom w:val="120"/>
          <w:divBdr>
            <w:top w:val="none" w:sz="0" w:space="0" w:color="auto"/>
            <w:left w:val="none" w:sz="0" w:space="0" w:color="auto"/>
            <w:bottom w:val="none" w:sz="0" w:space="0" w:color="auto"/>
            <w:right w:val="none" w:sz="0" w:space="0" w:color="auto"/>
          </w:divBdr>
        </w:div>
      </w:divsChild>
    </w:div>
    <w:div w:id="1102989481">
      <w:bodyDiv w:val="1"/>
      <w:marLeft w:val="0"/>
      <w:marRight w:val="0"/>
      <w:marTop w:val="0"/>
      <w:marBottom w:val="0"/>
      <w:divBdr>
        <w:top w:val="none" w:sz="0" w:space="0" w:color="auto"/>
        <w:left w:val="none" w:sz="0" w:space="0" w:color="auto"/>
        <w:bottom w:val="none" w:sz="0" w:space="0" w:color="auto"/>
        <w:right w:val="none" w:sz="0" w:space="0" w:color="auto"/>
      </w:divBdr>
    </w:div>
    <w:div w:id="1106000806">
      <w:bodyDiv w:val="1"/>
      <w:marLeft w:val="0"/>
      <w:marRight w:val="0"/>
      <w:marTop w:val="0"/>
      <w:marBottom w:val="0"/>
      <w:divBdr>
        <w:top w:val="none" w:sz="0" w:space="0" w:color="auto"/>
        <w:left w:val="none" w:sz="0" w:space="0" w:color="auto"/>
        <w:bottom w:val="none" w:sz="0" w:space="0" w:color="auto"/>
        <w:right w:val="none" w:sz="0" w:space="0" w:color="auto"/>
      </w:divBdr>
      <w:divsChild>
        <w:div w:id="1398089822">
          <w:marLeft w:val="403"/>
          <w:marRight w:val="0"/>
          <w:marTop w:val="150"/>
          <w:marBottom w:val="0"/>
          <w:divBdr>
            <w:top w:val="none" w:sz="0" w:space="0" w:color="auto"/>
            <w:left w:val="none" w:sz="0" w:space="0" w:color="auto"/>
            <w:bottom w:val="none" w:sz="0" w:space="0" w:color="auto"/>
            <w:right w:val="none" w:sz="0" w:space="0" w:color="auto"/>
          </w:divBdr>
        </w:div>
      </w:divsChild>
    </w:div>
    <w:div w:id="1114521441">
      <w:bodyDiv w:val="1"/>
      <w:marLeft w:val="0"/>
      <w:marRight w:val="0"/>
      <w:marTop w:val="0"/>
      <w:marBottom w:val="0"/>
      <w:divBdr>
        <w:top w:val="none" w:sz="0" w:space="0" w:color="auto"/>
        <w:left w:val="none" w:sz="0" w:space="0" w:color="auto"/>
        <w:bottom w:val="none" w:sz="0" w:space="0" w:color="auto"/>
        <w:right w:val="none" w:sz="0" w:space="0" w:color="auto"/>
      </w:divBdr>
    </w:div>
    <w:div w:id="1131484308">
      <w:bodyDiv w:val="1"/>
      <w:marLeft w:val="0"/>
      <w:marRight w:val="0"/>
      <w:marTop w:val="0"/>
      <w:marBottom w:val="0"/>
      <w:divBdr>
        <w:top w:val="none" w:sz="0" w:space="0" w:color="auto"/>
        <w:left w:val="none" w:sz="0" w:space="0" w:color="auto"/>
        <w:bottom w:val="none" w:sz="0" w:space="0" w:color="auto"/>
        <w:right w:val="none" w:sz="0" w:space="0" w:color="auto"/>
      </w:divBdr>
    </w:div>
    <w:div w:id="1140927821">
      <w:bodyDiv w:val="1"/>
      <w:marLeft w:val="0"/>
      <w:marRight w:val="0"/>
      <w:marTop w:val="0"/>
      <w:marBottom w:val="0"/>
      <w:divBdr>
        <w:top w:val="none" w:sz="0" w:space="0" w:color="auto"/>
        <w:left w:val="none" w:sz="0" w:space="0" w:color="auto"/>
        <w:bottom w:val="none" w:sz="0" w:space="0" w:color="auto"/>
        <w:right w:val="none" w:sz="0" w:space="0" w:color="auto"/>
      </w:divBdr>
      <w:divsChild>
        <w:div w:id="1442531421">
          <w:marLeft w:val="403"/>
          <w:marRight w:val="0"/>
          <w:marTop w:val="150"/>
          <w:marBottom w:val="0"/>
          <w:divBdr>
            <w:top w:val="none" w:sz="0" w:space="0" w:color="auto"/>
            <w:left w:val="none" w:sz="0" w:space="0" w:color="auto"/>
            <w:bottom w:val="none" w:sz="0" w:space="0" w:color="auto"/>
            <w:right w:val="none" w:sz="0" w:space="0" w:color="auto"/>
          </w:divBdr>
        </w:div>
      </w:divsChild>
    </w:div>
    <w:div w:id="1166625593">
      <w:bodyDiv w:val="1"/>
      <w:marLeft w:val="0"/>
      <w:marRight w:val="0"/>
      <w:marTop w:val="0"/>
      <w:marBottom w:val="0"/>
      <w:divBdr>
        <w:top w:val="none" w:sz="0" w:space="0" w:color="auto"/>
        <w:left w:val="none" w:sz="0" w:space="0" w:color="auto"/>
        <w:bottom w:val="none" w:sz="0" w:space="0" w:color="auto"/>
        <w:right w:val="none" w:sz="0" w:space="0" w:color="auto"/>
      </w:divBdr>
      <w:divsChild>
        <w:div w:id="414714221">
          <w:marLeft w:val="403"/>
          <w:marRight w:val="0"/>
          <w:marTop w:val="0"/>
          <w:marBottom w:val="150"/>
          <w:divBdr>
            <w:top w:val="none" w:sz="0" w:space="0" w:color="auto"/>
            <w:left w:val="none" w:sz="0" w:space="0" w:color="auto"/>
            <w:bottom w:val="none" w:sz="0" w:space="0" w:color="auto"/>
            <w:right w:val="none" w:sz="0" w:space="0" w:color="auto"/>
          </w:divBdr>
        </w:div>
        <w:div w:id="416706701">
          <w:marLeft w:val="878"/>
          <w:marRight w:val="0"/>
          <w:marTop w:val="0"/>
          <w:marBottom w:val="0"/>
          <w:divBdr>
            <w:top w:val="none" w:sz="0" w:space="0" w:color="auto"/>
            <w:left w:val="none" w:sz="0" w:space="0" w:color="auto"/>
            <w:bottom w:val="none" w:sz="0" w:space="0" w:color="auto"/>
            <w:right w:val="none" w:sz="0" w:space="0" w:color="auto"/>
          </w:divBdr>
        </w:div>
        <w:div w:id="1045523900">
          <w:marLeft w:val="878"/>
          <w:marRight w:val="0"/>
          <w:marTop w:val="0"/>
          <w:marBottom w:val="0"/>
          <w:divBdr>
            <w:top w:val="none" w:sz="0" w:space="0" w:color="auto"/>
            <w:left w:val="none" w:sz="0" w:space="0" w:color="auto"/>
            <w:bottom w:val="none" w:sz="0" w:space="0" w:color="auto"/>
            <w:right w:val="none" w:sz="0" w:space="0" w:color="auto"/>
          </w:divBdr>
        </w:div>
        <w:div w:id="1392078264">
          <w:marLeft w:val="878"/>
          <w:marRight w:val="0"/>
          <w:marTop w:val="0"/>
          <w:marBottom w:val="0"/>
          <w:divBdr>
            <w:top w:val="none" w:sz="0" w:space="0" w:color="auto"/>
            <w:left w:val="none" w:sz="0" w:space="0" w:color="auto"/>
            <w:bottom w:val="none" w:sz="0" w:space="0" w:color="auto"/>
            <w:right w:val="none" w:sz="0" w:space="0" w:color="auto"/>
          </w:divBdr>
        </w:div>
        <w:div w:id="1544251524">
          <w:marLeft w:val="878"/>
          <w:marRight w:val="0"/>
          <w:marTop w:val="0"/>
          <w:marBottom w:val="0"/>
          <w:divBdr>
            <w:top w:val="none" w:sz="0" w:space="0" w:color="auto"/>
            <w:left w:val="none" w:sz="0" w:space="0" w:color="auto"/>
            <w:bottom w:val="none" w:sz="0" w:space="0" w:color="auto"/>
            <w:right w:val="none" w:sz="0" w:space="0" w:color="auto"/>
          </w:divBdr>
        </w:div>
        <w:div w:id="1650397151">
          <w:marLeft w:val="878"/>
          <w:marRight w:val="0"/>
          <w:marTop w:val="0"/>
          <w:marBottom w:val="0"/>
          <w:divBdr>
            <w:top w:val="none" w:sz="0" w:space="0" w:color="auto"/>
            <w:left w:val="none" w:sz="0" w:space="0" w:color="auto"/>
            <w:bottom w:val="none" w:sz="0" w:space="0" w:color="auto"/>
            <w:right w:val="none" w:sz="0" w:space="0" w:color="auto"/>
          </w:divBdr>
        </w:div>
        <w:div w:id="1676179009">
          <w:marLeft w:val="878"/>
          <w:marRight w:val="0"/>
          <w:marTop w:val="0"/>
          <w:marBottom w:val="0"/>
          <w:divBdr>
            <w:top w:val="none" w:sz="0" w:space="0" w:color="auto"/>
            <w:left w:val="none" w:sz="0" w:space="0" w:color="auto"/>
            <w:bottom w:val="none" w:sz="0" w:space="0" w:color="auto"/>
            <w:right w:val="none" w:sz="0" w:space="0" w:color="auto"/>
          </w:divBdr>
        </w:div>
      </w:divsChild>
    </w:div>
    <w:div w:id="1167088110">
      <w:bodyDiv w:val="1"/>
      <w:marLeft w:val="0"/>
      <w:marRight w:val="0"/>
      <w:marTop w:val="0"/>
      <w:marBottom w:val="0"/>
      <w:divBdr>
        <w:top w:val="none" w:sz="0" w:space="0" w:color="auto"/>
        <w:left w:val="none" w:sz="0" w:space="0" w:color="auto"/>
        <w:bottom w:val="none" w:sz="0" w:space="0" w:color="auto"/>
        <w:right w:val="none" w:sz="0" w:space="0" w:color="auto"/>
      </w:divBdr>
      <w:divsChild>
        <w:div w:id="534276225">
          <w:marLeft w:val="403"/>
          <w:marRight w:val="0"/>
          <w:marTop w:val="0"/>
          <w:marBottom w:val="120"/>
          <w:divBdr>
            <w:top w:val="none" w:sz="0" w:space="0" w:color="auto"/>
            <w:left w:val="none" w:sz="0" w:space="0" w:color="auto"/>
            <w:bottom w:val="none" w:sz="0" w:space="0" w:color="auto"/>
            <w:right w:val="none" w:sz="0" w:space="0" w:color="auto"/>
          </w:divBdr>
        </w:div>
      </w:divsChild>
    </w:div>
    <w:div w:id="1169175834">
      <w:bodyDiv w:val="1"/>
      <w:marLeft w:val="0"/>
      <w:marRight w:val="0"/>
      <w:marTop w:val="0"/>
      <w:marBottom w:val="0"/>
      <w:divBdr>
        <w:top w:val="none" w:sz="0" w:space="0" w:color="auto"/>
        <w:left w:val="none" w:sz="0" w:space="0" w:color="auto"/>
        <w:bottom w:val="none" w:sz="0" w:space="0" w:color="auto"/>
        <w:right w:val="none" w:sz="0" w:space="0" w:color="auto"/>
      </w:divBdr>
      <w:divsChild>
        <w:div w:id="2001158664">
          <w:marLeft w:val="403"/>
          <w:marRight w:val="0"/>
          <w:marTop w:val="150"/>
          <w:marBottom w:val="0"/>
          <w:divBdr>
            <w:top w:val="none" w:sz="0" w:space="0" w:color="auto"/>
            <w:left w:val="none" w:sz="0" w:space="0" w:color="auto"/>
            <w:bottom w:val="none" w:sz="0" w:space="0" w:color="auto"/>
            <w:right w:val="none" w:sz="0" w:space="0" w:color="auto"/>
          </w:divBdr>
        </w:div>
      </w:divsChild>
    </w:div>
    <w:div w:id="1182009635">
      <w:bodyDiv w:val="1"/>
      <w:marLeft w:val="0"/>
      <w:marRight w:val="0"/>
      <w:marTop w:val="0"/>
      <w:marBottom w:val="0"/>
      <w:divBdr>
        <w:top w:val="none" w:sz="0" w:space="0" w:color="auto"/>
        <w:left w:val="none" w:sz="0" w:space="0" w:color="auto"/>
        <w:bottom w:val="none" w:sz="0" w:space="0" w:color="auto"/>
        <w:right w:val="none" w:sz="0" w:space="0" w:color="auto"/>
      </w:divBdr>
    </w:div>
    <w:div w:id="1183057743">
      <w:bodyDiv w:val="1"/>
      <w:marLeft w:val="0"/>
      <w:marRight w:val="0"/>
      <w:marTop w:val="0"/>
      <w:marBottom w:val="0"/>
      <w:divBdr>
        <w:top w:val="none" w:sz="0" w:space="0" w:color="auto"/>
        <w:left w:val="none" w:sz="0" w:space="0" w:color="auto"/>
        <w:bottom w:val="none" w:sz="0" w:space="0" w:color="auto"/>
        <w:right w:val="none" w:sz="0" w:space="0" w:color="auto"/>
      </w:divBdr>
      <w:divsChild>
        <w:div w:id="9265476">
          <w:marLeft w:val="274"/>
          <w:marRight w:val="0"/>
          <w:marTop w:val="150"/>
          <w:marBottom w:val="0"/>
          <w:divBdr>
            <w:top w:val="none" w:sz="0" w:space="0" w:color="auto"/>
            <w:left w:val="none" w:sz="0" w:space="0" w:color="auto"/>
            <w:bottom w:val="none" w:sz="0" w:space="0" w:color="auto"/>
            <w:right w:val="none" w:sz="0" w:space="0" w:color="auto"/>
          </w:divBdr>
        </w:div>
        <w:div w:id="67534102">
          <w:marLeft w:val="274"/>
          <w:marRight w:val="0"/>
          <w:marTop w:val="120"/>
          <w:marBottom w:val="0"/>
          <w:divBdr>
            <w:top w:val="none" w:sz="0" w:space="0" w:color="auto"/>
            <w:left w:val="none" w:sz="0" w:space="0" w:color="auto"/>
            <w:bottom w:val="none" w:sz="0" w:space="0" w:color="auto"/>
            <w:right w:val="none" w:sz="0" w:space="0" w:color="auto"/>
          </w:divBdr>
        </w:div>
        <w:div w:id="646855928">
          <w:marLeft w:val="274"/>
          <w:marRight w:val="0"/>
          <w:marTop w:val="150"/>
          <w:marBottom w:val="0"/>
          <w:divBdr>
            <w:top w:val="none" w:sz="0" w:space="0" w:color="auto"/>
            <w:left w:val="none" w:sz="0" w:space="0" w:color="auto"/>
            <w:bottom w:val="none" w:sz="0" w:space="0" w:color="auto"/>
            <w:right w:val="none" w:sz="0" w:space="0" w:color="auto"/>
          </w:divBdr>
        </w:div>
        <w:div w:id="672531183">
          <w:marLeft w:val="274"/>
          <w:marRight w:val="0"/>
          <w:marTop w:val="150"/>
          <w:marBottom w:val="0"/>
          <w:divBdr>
            <w:top w:val="none" w:sz="0" w:space="0" w:color="auto"/>
            <w:left w:val="none" w:sz="0" w:space="0" w:color="auto"/>
            <w:bottom w:val="none" w:sz="0" w:space="0" w:color="auto"/>
            <w:right w:val="none" w:sz="0" w:space="0" w:color="auto"/>
          </w:divBdr>
        </w:div>
        <w:div w:id="705448879">
          <w:marLeft w:val="274"/>
          <w:marRight w:val="0"/>
          <w:marTop w:val="150"/>
          <w:marBottom w:val="0"/>
          <w:divBdr>
            <w:top w:val="none" w:sz="0" w:space="0" w:color="auto"/>
            <w:left w:val="none" w:sz="0" w:space="0" w:color="auto"/>
            <w:bottom w:val="none" w:sz="0" w:space="0" w:color="auto"/>
            <w:right w:val="none" w:sz="0" w:space="0" w:color="auto"/>
          </w:divBdr>
        </w:div>
        <w:div w:id="1049722203">
          <w:marLeft w:val="274"/>
          <w:marRight w:val="0"/>
          <w:marTop w:val="150"/>
          <w:marBottom w:val="0"/>
          <w:divBdr>
            <w:top w:val="none" w:sz="0" w:space="0" w:color="auto"/>
            <w:left w:val="none" w:sz="0" w:space="0" w:color="auto"/>
            <w:bottom w:val="none" w:sz="0" w:space="0" w:color="auto"/>
            <w:right w:val="none" w:sz="0" w:space="0" w:color="auto"/>
          </w:divBdr>
        </w:div>
        <w:div w:id="1666014249">
          <w:marLeft w:val="274"/>
          <w:marRight w:val="0"/>
          <w:marTop w:val="120"/>
          <w:marBottom w:val="0"/>
          <w:divBdr>
            <w:top w:val="none" w:sz="0" w:space="0" w:color="auto"/>
            <w:left w:val="none" w:sz="0" w:space="0" w:color="auto"/>
            <w:bottom w:val="none" w:sz="0" w:space="0" w:color="auto"/>
            <w:right w:val="none" w:sz="0" w:space="0" w:color="auto"/>
          </w:divBdr>
        </w:div>
        <w:div w:id="1723479722">
          <w:marLeft w:val="274"/>
          <w:marRight w:val="0"/>
          <w:marTop w:val="150"/>
          <w:marBottom w:val="0"/>
          <w:divBdr>
            <w:top w:val="none" w:sz="0" w:space="0" w:color="auto"/>
            <w:left w:val="none" w:sz="0" w:space="0" w:color="auto"/>
            <w:bottom w:val="none" w:sz="0" w:space="0" w:color="auto"/>
            <w:right w:val="none" w:sz="0" w:space="0" w:color="auto"/>
          </w:divBdr>
        </w:div>
        <w:div w:id="1840073091">
          <w:marLeft w:val="274"/>
          <w:marRight w:val="0"/>
          <w:marTop w:val="150"/>
          <w:marBottom w:val="0"/>
          <w:divBdr>
            <w:top w:val="none" w:sz="0" w:space="0" w:color="auto"/>
            <w:left w:val="none" w:sz="0" w:space="0" w:color="auto"/>
            <w:bottom w:val="none" w:sz="0" w:space="0" w:color="auto"/>
            <w:right w:val="none" w:sz="0" w:space="0" w:color="auto"/>
          </w:divBdr>
        </w:div>
        <w:div w:id="1971200566">
          <w:marLeft w:val="274"/>
          <w:marRight w:val="0"/>
          <w:marTop w:val="120"/>
          <w:marBottom w:val="0"/>
          <w:divBdr>
            <w:top w:val="none" w:sz="0" w:space="0" w:color="auto"/>
            <w:left w:val="none" w:sz="0" w:space="0" w:color="auto"/>
            <w:bottom w:val="none" w:sz="0" w:space="0" w:color="auto"/>
            <w:right w:val="none" w:sz="0" w:space="0" w:color="auto"/>
          </w:divBdr>
        </w:div>
        <w:div w:id="2077776217">
          <w:marLeft w:val="274"/>
          <w:marRight w:val="0"/>
          <w:marTop w:val="120"/>
          <w:marBottom w:val="0"/>
          <w:divBdr>
            <w:top w:val="none" w:sz="0" w:space="0" w:color="auto"/>
            <w:left w:val="none" w:sz="0" w:space="0" w:color="auto"/>
            <w:bottom w:val="none" w:sz="0" w:space="0" w:color="auto"/>
            <w:right w:val="none" w:sz="0" w:space="0" w:color="auto"/>
          </w:divBdr>
        </w:div>
      </w:divsChild>
    </w:div>
    <w:div w:id="1183930643">
      <w:bodyDiv w:val="1"/>
      <w:marLeft w:val="0"/>
      <w:marRight w:val="0"/>
      <w:marTop w:val="0"/>
      <w:marBottom w:val="0"/>
      <w:divBdr>
        <w:top w:val="none" w:sz="0" w:space="0" w:color="auto"/>
        <w:left w:val="none" w:sz="0" w:space="0" w:color="auto"/>
        <w:bottom w:val="none" w:sz="0" w:space="0" w:color="auto"/>
        <w:right w:val="none" w:sz="0" w:space="0" w:color="auto"/>
      </w:divBdr>
      <w:divsChild>
        <w:div w:id="1393195892">
          <w:marLeft w:val="403"/>
          <w:marRight w:val="0"/>
          <w:marTop w:val="0"/>
          <w:marBottom w:val="120"/>
          <w:divBdr>
            <w:top w:val="none" w:sz="0" w:space="0" w:color="auto"/>
            <w:left w:val="none" w:sz="0" w:space="0" w:color="auto"/>
            <w:bottom w:val="none" w:sz="0" w:space="0" w:color="auto"/>
            <w:right w:val="none" w:sz="0" w:space="0" w:color="auto"/>
          </w:divBdr>
        </w:div>
      </w:divsChild>
    </w:div>
    <w:div w:id="1190487099">
      <w:bodyDiv w:val="1"/>
      <w:marLeft w:val="0"/>
      <w:marRight w:val="0"/>
      <w:marTop w:val="0"/>
      <w:marBottom w:val="0"/>
      <w:divBdr>
        <w:top w:val="none" w:sz="0" w:space="0" w:color="auto"/>
        <w:left w:val="none" w:sz="0" w:space="0" w:color="auto"/>
        <w:bottom w:val="none" w:sz="0" w:space="0" w:color="auto"/>
        <w:right w:val="none" w:sz="0" w:space="0" w:color="auto"/>
      </w:divBdr>
    </w:div>
    <w:div w:id="1193301082">
      <w:bodyDiv w:val="1"/>
      <w:marLeft w:val="0"/>
      <w:marRight w:val="0"/>
      <w:marTop w:val="0"/>
      <w:marBottom w:val="0"/>
      <w:divBdr>
        <w:top w:val="none" w:sz="0" w:space="0" w:color="auto"/>
        <w:left w:val="none" w:sz="0" w:space="0" w:color="auto"/>
        <w:bottom w:val="none" w:sz="0" w:space="0" w:color="auto"/>
        <w:right w:val="none" w:sz="0" w:space="0" w:color="auto"/>
      </w:divBdr>
    </w:div>
    <w:div w:id="1193805185">
      <w:bodyDiv w:val="1"/>
      <w:marLeft w:val="0"/>
      <w:marRight w:val="0"/>
      <w:marTop w:val="0"/>
      <w:marBottom w:val="0"/>
      <w:divBdr>
        <w:top w:val="none" w:sz="0" w:space="0" w:color="auto"/>
        <w:left w:val="none" w:sz="0" w:space="0" w:color="auto"/>
        <w:bottom w:val="none" w:sz="0" w:space="0" w:color="auto"/>
        <w:right w:val="none" w:sz="0" w:space="0" w:color="auto"/>
      </w:divBdr>
      <w:divsChild>
        <w:div w:id="293292286">
          <w:marLeft w:val="403"/>
          <w:marRight w:val="0"/>
          <w:marTop w:val="0"/>
          <w:marBottom w:val="120"/>
          <w:divBdr>
            <w:top w:val="none" w:sz="0" w:space="0" w:color="auto"/>
            <w:left w:val="none" w:sz="0" w:space="0" w:color="auto"/>
            <w:bottom w:val="none" w:sz="0" w:space="0" w:color="auto"/>
            <w:right w:val="none" w:sz="0" w:space="0" w:color="auto"/>
          </w:divBdr>
        </w:div>
      </w:divsChild>
    </w:div>
    <w:div w:id="1198005932">
      <w:bodyDiv w:val="1"/>
      <w:marLeft w:val="0"/>
      <w:marRight w:val="0"/>
      <w:marTop w:val="0"/>
      <w:marBottom w:val="0"/>
      <w:divBdr>
        <w:top w:val="none" w:sz="0" w:space="0" w:color="auto"/>
        <w:left w:val="none" w:sz="0" w:space="0" w:color="auto"/>
        <w:bottom w:val="none" w:sz="0" w:space="0" w:color="auto"/>
        <w:right w:val="none" w:sz="0" w:space="0" w:color="auto"/>
      </w:divBdr>
      <w:divsChild>
        <w:div w:id="1385373003">
          <w:marLeft w:val="403"/>
          <w:marRight w:val="0"/>
          <w:marTop w:val="150"/>
          <w:marBottom w:val="0"/>
          <w:divBdr>
            <w:top w:val="none" w:sz="0" w:space="0" w:color="auto"/>
            <w:left w:val="none" w:sz="0" w:space="0" w:color="auto"/>
            <w:bottom w:val="none" w:sz="0" w:space="0" w:color="auto"/>
            <w:right w:val="none" w:sz="0" w:space="0" w:color="auto"/>
          </w:divBdr>
        </w:div>
      </w:divsChild>
    </w:div>
    <w:div w:id="1205097411">
      <w:bodyDiv w:val="1"/>
      <w:marLeft w:val="0"/>
      <w:marRight w:val="0"/>
      <w:marTop w:val="0"/>
      <w:marBottom w:val="0"/>
      <w:divBdr>
        <w:top w:val="none" w:sz="0" w:space="0" w:color="auto"/>
        <w:left w:val="none" w:sz="0" w:space="0" w:color="auto"/>
        <w:bottom w:val="none" w:sz="0" w:space="0" w:color="auto"/>
        <w:right w:val="none" w:sz="0" w:space="0" w:color="auto"/>
      </w:divBdr>
      <w:divsChild>
        <w:div w:id="1924604312">
          <w:marLeft w:val="274"/>
          <w:marRight w:val="0"/>
          <w:marTop w:val="120"/>
          <w:marBottom w:val="0"/>
          <w:divBdr>
            <w:top w:val="none" w:sz="0" w:space="0" w:color="auto"/>
            <w:left w:val="none" w:sz="0" w:space="0" w:color="auto"/>
            <w:bottom w:val="none" w:sz="0" w:space="0" w:color="auto"/>
            <w:right w:val="none" w:sz="0" w:space="0" w:color="auto"/>
          </w:divBdr>
        </w:div>
        <w:div w:id="2114011239">
          <w:marLeft w:val="274"/>
          <w:marRight w:val="0"/>
          <w:marTop w:val="120"/>
          <w:marBottom w:val="0"/>
          <w:divBdr>
            <w:top w:val="none" w:sz="0" w:space="0" w:color="auto"/>
            <w:left w:val="none" w:sz="0" w:space="0" w:color="auto"/>
            <w:bottom w:val="none" w:sz="0" w:space="0" w:color="auto"/>
            <w:right w:val="none" w:sz="0" w:space="0" w:color="auto"/>
          </w:divBdr>
        </w:div>
      </w:divsChild>
    </w:div>
    <w:div w:id="1205366111">
      <w:bodyDiv w:val="1"/>
      <w:marLeft w:val="0"/>
      <w:marRight w:val="0"/>
      <w:marTop w:val="0"/>
      <w:marBottom w:val="0"/>
      <w:divBdr>
        <w:top w:val="none" w:sz="0" w:space="0" w:color="auto"/>
        <w:left w:val="none" w:sz="0" w:space="0" w:color="auto"/>
        <w:bottom w:val="none" w:sz="0" w:space="0" w:color="auto"/>
        <w:right w:val="none" w:sz="0" w:space="0" w:color="auto"/>
      </w:divBdr>
    </w:div>
    <w:div w:id="1205606719">
      <w:bodyDiv w:val="1"/>
      <w:marLeft w:val="0"/>
      <w:marRight w:val="0"/>
      <w:marTop w:val="0"/>
      <w:marBottom w:val="0"/>
      <w:divBdr>
        <w:top w:val="none" w:sz="0" w:space="0" w:color="auto"/>
        <w:left w:val="none" w:sz="0" w:space="0" w:color="auto"/>
        <w:bottom w:val="none" w:sz="0" w:space="0" w:color="auto"/>
        <w:right w:val="none" w:sz="0" w:space="0" w:color="auto"/>
      </w:divBdr>
    </w:div>
    <w:div w:id="1210650122">
      <w:bodyDiv w:val="1"/>
      <w:marLeft w:val="0"/>
      <w:marRight w:val="0"/>
      <w:marTop w:val="0"/>
      <w:marBottom w:val="0"/>
      <w:divBdr>
        <w:top w:val="none" w:sz="0" w:space="0" w:color="auto"/>
        <w:left w:val="none" w:sz="0" w:space="0" w:color="auto"/>
        <w:bottom w:val="none" w:sz="0" w:space="0" w:color="auto"/>
        <w:right w:val="none" w:sz="0" w:space="0" w:color="auto"/>
      </w:divBdr>
    </w:div>
    <w:div w:id="1212035089">
      <w:bodyDiv w:val="1"/>
      <w:marLeft w:val="0"/>
      <w:marRight w:val="0"/>
      <w:marTop w:val="0"/>
      <w:marBottom w:val="0"/>
      <w:divBdr>
        <w:top w:val="none" w:sz="0" w:space="0" w:color="auto"/>
        <w:left w:val="none" w:sz="0" w:space="0" w:color="auto"/>
        <w:bottom w:val="none" w:sz="0" w:space="0" w:color="auto"/>
        <w:right w:val="none" w:sz="0" w:space="0" w:color="auto"/>
      </w:divBdr>
    </w:div>
    <w:div w:id="1213617539">
      <w:bodyDiv w:val="1"/>
      <w:marLeft w:val="0"/>
      <w:marRight w:val="0"/>
      <w:marTop w:val="0"/>
      <w:marBottom w:val="0"/>
      <w:divBdr>
        <w:top w:val="none" w:sz="0" w:space="0" w:color="auto"/>
        <w:left w:val="none" w:sz="0" w:space="0" w:color="auto"/>
        <w:bottom w:val="none" w:sz="0" w:space="0" w:color="auto"/>
        <w:right w:val="none" w:sz="0" w:space="0" w:color="auto"/>
      </w:divBdr>
      <w:divsChild>
        <w:div w:id="116991627">
          <w:marLeft w:val="403"/>
          <w:marRight w:val="0"/>
          <w:marTop w:val="0"/>
          <w:marBottom w:val="120"/>
          <w:divBdr>
            <w:top w:val="none" w:sz="0" w:space="0" w:color="auto"/>
            <w:left w:val="none" w:sz="0" w:space="0" w:color="auto"/>
            <w:bottom w:val="none" w:sz="0" w:space="0" w:color="auto"/>
            <w:right w:val="none" w:sz="0" w:space="0" w:color="auto"/>
          </w:divBdr>
        </w:div>
        <w:div w:id="386496858">
          <w:marLeft w:val="403"/>
          <w:marRight w:val="0"/>
          <w:marTop w:val="0"/>
          <w:marBottom w:val="120"/>
          <w:divBdr>
            <w:top w:val="none" w:sz="0" w:space="0" w:color="auto"/>
            <w:left w:val="none" w:sz="0" w:space="0" w:color="auto"/>
            <w:bottom w:val="none" w:sz="0" w:space="0" w:color="auto"/>
            <w:right w:val="none" w:sz="0" w:space="0" w:color="auto"/>
          </w:divBdr>
        </w:div>
        <w:div w:id="1578829574">
          <w:marLeft w:val="403"/>
          <w:marRight w:val="0"/>
          <w:marTop w:val="0"/>
          <w:marBottom w:val="120"/>
          <w:divBdr>
            <w:top w:val="none" w:sz="0" w:space="0" w:color="auto"/>
            <w:left w:val="none" w:sz="0" w:space="0" w:color="auto"/>
            <w:bottom w:val="none" w:sz="0" w:space="0" w:color="auto"/>
            <w:right w:val="none" w:sz="0" w:space="0" w:color="auto"/>
          </w:divBdr>
        </w:div>
      </w:divsChild>
    </w:div>
    <w:div w:id="1215044300">
      <w:bodyDiv w:val="1"/>
      <w:marLeft w:val="0"/>
      <w:marRight w:val="0"/>
      <w:marTop w:val="0"/>
      <w:marBottom w:val="0"/>
      <w:divBdr>
        <w:top w:val="none" w:sz="0" w:space="0" w:color="auto"/>
        <w:left w:val="none" w:sz="0" w:space="0" w:color="auto"/>
        <w:bottom w:val="none" w:sz="0" w:space="0" w:color="auto"/>
        <w:right w:val="none" w:sz="0" w:space="0" w:color="auto"/>
      </w:divBdr>
      <w:divsChild>
        <w:div w:id="404688379">
          <w:marLeft w:val="475"/>
          <w:marRight w:val="0"/>
          <w:marTop w:val="0"/>
          <w:marBottom w:val="120"/>
          <w:divBdr>
            <w:top w:val="none" w:sz="0" w:space="0" w:color="auto"/>
            <w:left w:val="none" w:sz="0" w:space="0" w:color="auto"/>
            <w:bottom w:val="none" w:sz="0" w:space="0" w:color="auto"/>
            <w:right w:val="none" w:sz="0" w:space="0" w:color="auto"/>
          </w:divBdr>
        </w:div>
        <w:div w:id="1581672091">
          <w:marLeft w:val="1195"/>
          <w:marRight w:val="0"/>
          <w:marTop w:val="0"/>
          <w:marBottom w:val="120"/>
          <w:divBdr>
            <w:top w:val="none" w:sz="0" w:space="0" w:color="auto"/>
            <w:left w:val="none" w:sz="0" w:space="0" w:color="auto"/>
            <w:bottom w:val="none" w:sz="0" w:space="0" w:color="auto"/>
            <w:right w:val="none" w:sz="0" w:space="0" w:color="auto"/>
          </w:divBdr>
        </w:div>
        <w:div w:id="1671441987">
          <w:marLeft w:val="475"/>
          <w:marRight w:val="0"/>
          <w:marTop w:val="0"/>
          <w:marBottom w:val="120"/>
          <w:divBdr>
            <w:top w:val="none" w:sz="0" w:space="0" w:color="auto"/>
            <w:left w:val="none" w:sz="0" w:space="0" w:color="auto"/>
            <w:bottom w:val="none" w:sz="0" w:space="0" w:color="auto"/>
            <w:right w:val="none" w:sz="0" w:space="0" w:color="auto"/>
          </w:divBdr>
        </w:div>
        <w:div w:id="1683774731">
          <w:marLeft w:val="475"/>
          <w:marRight w:val="0"/>
          <w:marTop w:val="0"/>
          <w:marBottom w:val="120"/>
          <w:divBdr>
            <w:top w:val="none" w:sz="0" w:space="0" w:color="auto"/>
            <w:left w:val="none" w:sz="0" w:space="0" w:color="auto"/>
            <w:bottom w:val="none" w:sz="0" w:space="0" w:color="auto"/>
            <w:right w:val="none" w:sz="0" w:space="0" w:color="auto"/>
          </w:divBdr>
        </w:div>
      </w:divsChild>
    </w:div>
    <w:div w:id="1223059647">
      <w:bodyDiv w:val="1"/>
      <w:marLeft w:val="0"/>
      <w:marRight w:val="0"/>
      <w:marTop w:val="0"/>
      <w:marBottom w:val="0"/>
      <w:divBdr>
        <w:top w:val="none" w:sz="0" w:space="0" w:color="auto"/>
        <w:left w:val="none" w:sz="0" w:space="0" w:color="auto"/>
        <w:bottom w:val="none" w:sz="0" w:space="0" w:color="auto"/>
        <w:right w:val="none" w:sz="0" w:space="0" w:color="auto"/>
      </w:divBdr>
    </w:div>
    <w:div w:id="1227909631">
      <w:bodyDiv w:val="1"/>
      <w:marLeft w:val="0"/>
      <w:marRight w:val="0"/>
      <w:marTop w:val="0"/>
      <w:marBottom w:val="0"/>
      <w:divBdr>
        <w:top w:val="none" w:sz="0" w:space="0" w:color="auto"/>
        <w:left w:val="none" w:sz="0" w:space="0" w:color="auto"/>
        <w:bottom w:val="none" w:sz="0" w:space="0" w:color="auto"/>
        <w:right w:val="none" w:sz="0" w:space="0" w:color="auto"/>
      </w:divBdr>
    </w:div>
    <w:div w:id="1236164620">
      <w:bodyDiv w:val="1"/>
      <w:marLeft w:val="0"/>
      <w:marRight w:val="0"/>
      <w:marTop w:val="0"/>
      <w:marBottom w:val="0"/>
      <w:divBdr>
        <w:top w:val="none" w:sz="0" w:space="0" w:color="auto"/>
        <w:left w:val="none" w:sz="0" w:space="0" w:color="auto"/>
        <w:bottom w:val="none" w:sz="0" w:space="0" w:color="auto"/>
        <w:right w:val="none" w:sz="0" w:space="0" w:color="auto"/>
      </w:divBdr>
    </w:div>
    <w:div w:id="1242258926">
      <w:bodyDiv w:val="1"/>
      <w:marLeft w:val="0"/>
      <w:marRight w:val="0"/>
      <w:marTop w:val="0"/>
      <w:marBottom w:val="0"/>
      <w:divBdr>
        <w:top w:val="none" w:sz="0" w:space="0" w:color="auto"/>
        <w:left w:val="none" w:sz="0" w:space="0" w:color="auto"/>
        <w:bottom w:val="none" w:sz="0" w:space="0" w:color="auto"/>
        <w:right w:val="none" w:sz="0" w:space="0" w:color="auto"/>
      </w:divBdr>
    </w:div>
    <w:div w:id="1247492744">
      <w:bodyDiv w:val="1"/>
      <w:marLeft w:val="0"/>
      <w:marRight w:val="0"/>
      <w:marTop w:val="0"/>
      <w:marBottom w:val="0"/>
      <w:divBdr>
        <w:top w:val="none" w:sz="0" w:space="0" w:color="auto"/>
        <w:left w:val="none" w:sz="0" w:space="0" w:color="auto"/>
        <w:bottom w:val="none" w:sz="0" w:space="0" w:color="auto"/>
        <w:right w:val="none" w:sz="0" w:space="0" w:color="auto"/>
      </w:divBdr>
    </w:div>
    <w:div w:id="1248538135">
      <w:bodyDiv w:val="1"/>
      <w:marLeft w:val="0"/>
      <w:marRight w:val="0"/>
      <w:marTop w:val="0"/>
      <w:marBottom w:val="0"/>
      <w:divBdr>
        <w:top w:val="none" w:sz="0" w:space="0" w:color="auto"/>
        <w:left w:val="none" w:sz="0" w:space="0" w:color="auto"/>
        <w:bottom w:val="none" w:sz="0" w:space="0" w:color="auto"/>
        <w:right w:val="none" w:sz="0" w:space="0" w:color="auto"/>
      </w:divBdr>
    </w:div>
    <w:div w:id="1252396796">
      <w:bodyDiv w:val="1"/>
      <w:marLeft w:val="0"/>
      <w:marRight w:val="0"/>
      <w:marTop w:val="0"/>
      <w:marBottom w:val="0"/>
      <w:divBdr>
        <w:top w:val="none" w:sz="0" w:space="0" w:color="auto"/>
        <w:left w:val="none" w:sz="0" w:space="0" w:color="auto"/>
        <w:bottom w:val="none" w:sz="0" w:space="0" w:color="auto"/>
        <w:right w:val="none" w:sz="0" w:space="0" w:color="auto"/>
      </w:divBdr>
      <w:divsChild>
        <w:div w:id="1677922499">
          <w:marLeft w:val="403"/>
          <w:marRight w:val="0"/>
          <w:marTop w:val="0"/>
          <w:marBottom w:val="120"/>
          <w:divBdr>
            <w:top w:val="none" w:sz="0" w:space="0" w:color="auto"/>
            <w:left w:val="none" w:sz="0" w:space="0" w:color="auto"/>
            <w:bottom w:val="none" w:sz="0" w:space="0" w:color="auto"/>
            <w:right w:val="none" w:sz="0" w:space="0" w:color="auto"/>
          </w:divBdr>
        </w:div>
        <w:div w:id="1971782458">
          <w:marLeft w:val="403"/>
          <w:marRight w:val="0"/>
          <w:marTop w:val="0"/>
          <w:marBottom w:val="120"/>
          <w:divBdr>
            <w:top w:val="none" w:sz="0" w:space="0" w:color="auto"/>
            <w:left w:val="none" w:sz="0" w:space="0" w:color="auto"/>
            <w:bottom w:val="none" w:sz="0" w:space="0" w:color="auto"/>
            <w:right w:val="none" w:sz="0" w:space="0" w:color="auto"/>
          </w:divBdr>
        </w:div>
      </w:divsChild>
    </w:div>
    <w:div w:id="1255016840">
      <w:bodyDiv w:val="1"/>
      <w:marLeft w:val="0"/>
      <w:marRight w:val="0"/>
      <w:marTop w:val="0"/>
      <w:marBottom w:val="0"/>
      <w:divBdr>
        <w:top w:val="none" w:sz="0" w:space="0" w:color="auto"/>
        <w:left w:val="none" w:sz="0" w:space="0" w:color="auto"/>
        <w:bottom w:val="none" w:sz="0" w:space="0" w:color="auto"/>
        <w:right w:val="none" w:sz="0" w:space="0" w:color="auto"/>
      </w:divBdr>
      <w:divsChild>
        <w:div w:id="835420054">
          <w:marLeft w:val="403"/>
          <w:marRight w:val="0"/>
          <w:marTop w:val="0"/>
          <w:marBottom w:val="120"/>
          <w:divBdr>
            <w:top w:val="none" w:sz="0" w:space="0" w:color="auto"/>
            <w:left w:val="none" w:sz="0" w:space="0" w:color="auto"/>
            <w:bottom w:val="none" w:sz="0" w:space="0" w:color="auto"/>
            <w:right w:val="none" w:sz="0" w:space="0" w:color="auto"/>
          </w:divBdr>
        </w:div>
      </w:divsChild>
    </w:div>
    <w:div w:id="1268153684">
      <w:bodyDiv w:val="1"/>
      <w:marLeft w:val="0"/>
      <w:marRight w:val="0"/>
      <w:marTop w:val="0"/>
      <w:marBottom w:val="0"/>
      <w:divBdr>
        <w:top w:val="none" w:sz="0" w:space="0" w:color="auto"/>
        <w:left w:val="none" w:sz="0" w:space="0" w:color="auto"/>
        <w:bottom w:val="none" w:sz="0" w:space="0" w:color="auto"/>
        <w:right w:val="none" w:sz="0" w:space="0" w:color="auto"/>
      </w:divBdr>
    </w:div>
    <w:div w:id="1268537125">
      <w:bodyDiv w:val="1"/>
      <w:marLeft w:val="0"/>
      <w:marRight w:val="0"/>
      <w:marTop w:val="0"/>
      <w:marBottom w:val="0"/>
      <w:divBdr>
        <w:top w:val="none" w:sz="0" w:space="0" w:color="auto"/>
        <w:left w:val="none" w:sz="0" w:space="0" w:color="auto"/>
        <w:bottom w:val="none" w:sz="0" w:space="0" w:color="auto"/>
        <w:right w:val="none" w:sz="0" w:space="0" w:color="auto"/>
      </w:divBdr>
    </w:div>
    <w:div w:id="1276868318">
      <w:bodyDiv w:val="1"/>
      <w:marLeft w:val="0"/>
      <w:marRight w:val="0"/>
      <w:marTop w:val="0"/>
      <w:marBottom w:val="0"/>
      <w:divBdr>
        <w:top w:val="none" w:sz="0" w:space="0" w:color="auto"/>
        <w:left w:val="none" w:sz="0" w:space="0" w:color="auto"/>
        <w:bottom w:val="none" w:sz="0" w:space="0" w:color="auto"/>
        <w:right w:val="none" w:sz="0" w:space="0" w:color="auto"/>
      </w:divBdr>
      <w:divsChild>
        <w:div w:id="1206138422">
          <w:marLeft w:val="475"/>
          <w:marRight w:val="0"/>
          <w:marTop w:val="0"/>
          <w:marBottom w:val="120"/>
          <w:divBdr>
            <w:top w:val="none" w:sz="0" w:space="0" w:color="auto"/>
            <w:left w:val="none" w:sz="0" w:space="0" w:color="auto"/>
            <w:bottom w:val="none" w:sz="0" w:space="0" w:color="auto"/>
            <w:right w:val="none" w:sz="0" w:space="0" w:color="auto"/>
          </w:divBdr>
        </w:div>
        <w:div w:id="1383824577">
          <w:marLeft w:val="475"/>
          <w:marRight w:val="0"/>
          <w:marTop w:val="0"/>
          <w:marBottom w:val="120"/>
          <w:divBdr>
            <w:top w:val="none" w:sz="0" w:space="0" w:color="auto"/>
            <w:left w:val="none" w:sz="0" w:space="0" w:color="auto"/>
            <w:bottom w:val="none" w:sz="0" w:space="0" w:color="auto"/>
            <w:right w:val="none" w:sz="0" w:space="0" w:color="auto"/>
          </w:divBdr>
        </w:div>
      </w:divsChild>
    </w:div>
    <w:div w:id="1282687564">
      <w:bodyDiv w:val="1"/>
      <w:marLeft w:val="0"/>
      <w:marRight w:val="0"/>
      <w:marTop w:val="0"/>
      <w:marBottom w:val="0"/>
      <w:divBdr>
        <w:top w:val="none" w:sz="0" w:space="0" w:color="auto"/>
        <w:left w:val="none" w:sz="0" w:space="0" w:color="auto"/>
        <w:bottom w:val="none" w:sz="0" w:space="0" w:color="auto"/>
        <w:right w:val="none" w:sz="0" w:space="0" w:color="auto"/>
      </w:divBdr>
    </w:div>
    <w:div w:id="1288975001">
      <w:bodyDiv w:val="1"/>
      <w:marLeft w:val="0"/>
      <w:marRight w:val="0"/>
      <w:marTop w:val="0"/>
      <w:marBottom w:val="0"/>
      <w:divBdr>
        <w:top w:val="none" w:sz="0" w:space="0" w:color="auto"/>
        <w:left w:val="none" w:sz="0" w:space="0" w:color="auto"/>
        <w:bottom w:val="none" w:sz="0" w:space="0" w:color="auto"/>
        <w:right w:val="none" w:sz="0" w:space="0" w:color="auto"/>
      </w:divBdr>
    </w:div>
    <w:div w:id="1302424261">
      <w:bodyDiv w:val="1"/>
      <w:marLeft w:val="0"/>
      <w:marRight w:val="0"/>
      <w:marTop w:val="0"/>
      <w:marBottom w:val="0"/>
      <w:divBdr>
        <w:top w:val="none" w:sz="0" w:space="0" w:color="auto"/>
        <w:left w:val="none" w:sz="0" w:space="0" w:color="auto"/>
        <w:bottom w:val="none" w:sz="0" w:space="0" w:color="auto"/>
        <w:right w:val="none" w:sz="0" w:space="0" w:color="auto"/>
      </w:divBdr>
    </w:div>
    <w:div w:id="1303463627">
      <w:bodyDiv w:val="1"/>
      <w:marLeft w:val="0"/>
      <w:marRight w:val="0"/>
      <w:marTop w:val="0"/>
      <w:marBottom w:val="0"/>
      <w:divBdr>
        <w:top w:val="none" w:sz="0" w:space="0" w:color="auto"/>
        <w:left w:val="none" w:sz="0" w:space="0" w:color="auto"/>
        <w:bottom w:val="none" w:sz="0" w:space="0" w:color="auto"/>
        <w:right w:val="none" w:sz="0" w:space="0" w:color="auto"/>
      </w:divBdr>
      <w:divsChild>
        <w:div w:id="63266521">
          <w:marLeft w:val="403"/>
          <w:marRight w:val="0"/>
          <w:marTop w:val="150"/>
          <w:marBottom w:val="0"/>
          <w:divBdr>
            <w:top w:val="none" w:sz="0" w:space="0" w:color="auto"/>
            <w:left w:val="none" w:sz="0" w:space="0" w:color="auto"/>
            <w:bottom w:val="none" w:sz="0" w:space="0" w:color="auto"/>
            <w:right w:val="none" w:sz="0" w:space="0" w:color="auto"/>
          </w:divBdr>
        </w:div>
        <w:div w:id="1838570684">
          <w:marLeft w:val="403"/>
          <w:marRight w:val="0"/>
          <w:marTop w:val="150"/>
          <w:marBottom w:val="0"/>
          <w:divBdr>
            <w:top w:val="none" w:sz="0" w:space="0" w:color="auto"/>
            <w:left w:val="none" w:sz="0" w:space="0" w:color="auto"/>
            <w:bottom w:val="none" w:sz="0" w:space="0" w:color="auto"/>
            <w:right w:val="none" w:sz="0" w:space="0" w:color="auto"/>
          </w:divBdr>
        </w:div>
      </w:divsChild>
    </w:div>
    <w:div w:id="1306424399">
      <w:bodyDiv w:val="1"/>
      <w:marLeft w:val="0"/>
      <w:marRight w:val="0"/>
      <w:marTop w:val="0"/>
      <w:marBottom w:val="0"/>
      <w:divBdr>
        <w:top w:val="none" w:sz="0" w:space="0" w:color="auto"/>
        <w:left w:val="none" w:sz="0" w:space="0" w:color="auto"/>
        <w:bottom w:val="none" w:sz="0" w:space="0" w:color="auto"/>
        <w:right w:val="none" w:sz="0" w:space="0" w:color="auto"/>
      </w:divBdr>
    </w:div>
    <w:div w:id="1308511630">
      <w:bodyDiv w:val="1"/>
      <w:marLeft w:val="0"/>
      <w:marRight w:val="0"/>
      <w:marTop w:val="0"/>
      <w:marBottom w:val="0"/>
      <w:divBdr>
        <w:top w:val="none" w:sz="0" w:space="0" w:color="auto"/>
        <w:left w:val="none" w:sz="0" w:space="0" w:color="auto"/>
        <w:bottom w:val="none" w:sz="0" w:space="0" w:color="auto"/>
        <w:right w:val="none" w:sz="0" w:space="0" w:color="auto"/>
      </w:divBdr>
    </w:div>
    <w:div w:id="1314680854">
      <w:bodyDiv w:val="1"/>
      <w:marLeft w:val="0"/>
      <w:marRight w:val="0"/>
      <w:marTop w:val="0"/>
      <w:marBottom w:val="0"/>
      <w:divBdr>
        <w:top w:val="none" w:sz="0" w:space="0" w:color="auto"/>
        <w:left w:val="none" w:sz="0" w:space="0" w:color="auto"/>
        <w:bottom w:val="none" w:sz="0" w:space="0" w:color="auto"/>
        <w:right w:val="none" w:sz="0" w:space="0" w:color="auto"/>
      </w:divBdr>
    </w:div>
    <w:div w:id="1315798541">
      <w:bodyDiv w:val="1"/>
      <w:marLeft w:val="0"/>
      <w:marRight w:val="0"/>
      <w:marTop w:val="0"/>
      <w:marBottom w:val="0"/>
      <w:divBdr>
        <w:top w:val="none" w:sz="0" w:space="0" w:color="auto"/>
        <w:left w:val="none" w:sz="0" w:space="0" w:color="auto"/>
        <w:bottom w:val="none" w:sz="0" w:space="0" w:color="auto"/>
        <w:right w:val="none" w:sz="0" w:space="0" w:color="auto"/>
      </w:divBdr>
    </w:div>
    <w:div w:id="1321151822">
      <w:bodyDiv w:val="1"/>
      <w:marLeft w:val="0"/>
      <w:marRight w:val="0"/>
      <w:marTop w:val="0"/>
      <w:marBottom w:val="0"/>
      <w:divBdr>
        <w:top w:val="none" w:sz="0" w:space="0" w:color="auto"/>
        <w:left w:val="none" w:sz="0" w:space="0" w:color="auto"/>
        <w:bottom w:val="none" w:sz="0" w:space="0" w:color="auto"/>
        <w:right w:val="none" w:sz="0" w:space="0" w:color="auto"/>
      </w:divBdr>
      <w:divsChild>
        <w:div w:id="765921593">
          <w:marLeft w:val="475"/>
          <w:marRight w:val="0"/>
          <w:marTop w:val="0"/>
          <w:marBottom w:val="120"/>
          <w:divBdr>
            <w:top w:val="none" w:sz="0" w:space="0" w:color="auto"/>
            <w:left w:val="none" w:sz="0" w:space="0" w:color="auto"/>
            <w:bottom w:val="none" w:sz="0" w:space="0" w:color="auto"/>
            <w:right w:val="none" w:sz="0" w:space="0" w:color="auto"/>
          </w:divBdr>
        </w:div>
        <w:div w:id="1803500760">
          <w:marLeft w:val="475"/>
          <w:marRight w:val="0"/>
          <w:marTop w:val="0"/>
          <w:marBottom w:val="120"/>
          <w:divBdr>
            <w:top w:val="none" w:sz="0" w:space="0" w:color="auto"/>
            <w:left w:val="none" w:sz="0" w:space="0" w:color="auto"/>
            <w:bottom w:val="none" w:sz="0" w:space="0" w:color="auto"/>
            <w:right w:val="none" w:sz="0" w:space="0" w:color="auto"/>
          </w:divBdr>
        </w:div>
      </w:divsChild>
    </w:div>
    <w:div w:id="1326979358">
      <w:bodyDiv w:val="1"/>
      <w:marLeft w:val="0"/>
      <w:marRight w:val="0"/>
      <w:marTop w:val="0"/>
      <w:marBottom w:val="0"/>
      <w:divBdr>
        <w:top w:val="none" w:sz="0" w:space="0" w:color="auto"/>
        <w:left w:val="none" w:sz="0" w:space="0" w:color="auto"/>
        <w:bottom w:val="none" w:sz="0" w:space="0" w:color="auto"/>
        <w:right w:val="none" w:sz="0" w:space="0" w:color="auto"/>
      </w:divBdr>
      <w:divsChild>
        <w:div w:id="206181451">
          <w:marLeft w:val="403"/>
          <w:marRight w:val="0"/>
          <w:marTop w:val="0"/>
          <w:marBottom w:val="120"/>
          <w:divBdr>
            <w:top w:val="none" w:sz="0" w:space="0" w:color="auto"/>
            <w:left w:val="none" w:sz="0" w:space="0" w:color="auto"/>
            <w:bottom w:val="none" w:sz="0" w:space="0" w:color="auto"/>
            <w:right w:val="none" w:sz="0" w:space="0" w:color="auto"/>
          </w:divBdr>
        </w:div>
        <w:div w:id="206798687">
          <w:marLeft w:val="403"/>
          <w:marRight w:val="0"/>
          <w:marTop w:val="0"/>
          <w:marBottom w:val="120"/>
          <w:divBdr>
            <w:top w:val="none" w:sz="0" w:space="0" w:color="auto"/>
            <w:left w:val="none" w:sz="0" w:space="0" w:color="auto"/>
            <w:bottom w:val="none" w:sz="0" w:space="0" w:color="auto"/>
            <w:right w:val="none" w:sz="0" w:space="0" w:color="auto"/>
          </w:divBdr>
        </w:div>
        <w:div w:id="383523628">
          <w:marLeft w:val="403"/>
          <w:marRight w:val="0"/>
          <w:marTop w:val="0"/>
          <w:marBottom w:val="120"/>
          <w:divBdr>
            <w:top w:val="none" w:sz="0" w:space="0" w:color="auto"/>
            <w:left w:val="none" w:sz="0" w:space="0" w:color="auto"/>
            <w:bottom w:val="none" w:sz="0" w:space="0" w:color="auto"/>
            <w:right w:val="none" w:sz="0" w:space="0" w:color="auto"/>
          </w:divBdr>
        </w:div>
        <w:div w:id="951593787">
          <w:marLeft w:val="403"/>
          <w:marRight w:val="0"/>
          <w:marTop w:val="0"/>
          <w:marBottom w:val="120"/>
          <w:divBdr>
            <w:top w:val="none" w:sz="0" w:space="0" w:color="auto"/>
            <w:left w:val="none" w:sz="0" w:space="0" w:color="auto"/>
            <w:bottom w:val="none" w:sz="0" w:space="0" w:color="auto"/>
            <w:right w:val="none" w:sz="0" w:space="0" w:color="auto"/>
          </w:divBdr>
        </w:div>
        <w:div w:id="1344356915">
          <w:marLeft w:val="403"/>
          <w:marRight w:val="0"/>
          <w:marTop w:val="0"/>
          <w:marBottom w:val="120"/>
          <w:divBdr>
            <w:top w:val="none" w:sz="0" w:space="0" w:color="auto"/>
            <w:left w:val="none" w:sz="0" w:space="0" w:color="auto"/>
            <w:bottom w:val="none" w:sz="0" w:space="0" w:color="auto"/>
            <w:right w:val="none" w:sz="0" w:space="0" w:color="auto"/>
          </w:divBdr>
        </w:div>
        <w:div w:id="1686401731">
          <w:marLeft w:val="403"/>
          <w:marRight w:val="0"/>
          <w:marTop w:val="0"/>
          <w:marBottom w:val="120"/>
          <w:divBdr>
            <w:top w:val="none" w:sz="0" w:space="0" w:color="auto"/>
            <w:left w:val="none" w:sz="0" w:space="0" w:color="auto"/>
            <w:bottom w:val="none" w:sz="0" w:space="0" w:color="auto"/>
            <w:right w:val="none" w:sz="0" w:space="0" w:color="auto"/>
          </w:divBdr>
        </w:div>
      </w:divsChild>
    </w:div>
    <w:div w:id="1327169884">
      <w:bodyDiv w:val="1"/>
      <w:marLeft w:val="0"/>
      <w:marRight w:val="0"/>
      <w:marTop w:val="0"/>
      <w:marBottom w:val="0"/>
      <w:divBdr>
        <w:top w:val="none" w:sz="0" w:space="0" w:color="auto"/>
        <w:left w:val="none" w:sz="0" w:space="0" w:color="auto"/>
        <w:bottom w:val="none" w:sz="0" w:space="0" w:color="auto"/>
        <w:right w:val="none" w:sz="0" w:space="0" w:color="auto"/>
      </w:divBdr>
    </w:div>
    <w:div w:id="1332099303">
      <w:bodyDiv w:val="1"/>
      <w:marLeft w:val="0"/>
      <w:marRight w:val="0"/>
      <w:marTop w:val="0"/>
      <w:marBottom w:val="0"/>
      <w:divBdr>
        <w:top w:val="none" w:sz="0" w:space="0" w:color="auto"/>
        <w:left w:val="none" w:sz="0" w:space="0" w:color="auto"/>
        <w:bottom w:val="none" w:sz="0" w:space="0" w:color="auto"/>
        <w:right w:val="none" w:sz="0" w:space="0" w:color="auto"/>
      </w:divBdr>
    </w:div>
    <w:div w:id="1337459032">
      <w:bodyDiv w:val="1"/>
      <w:marLeft w:val="0"/>
      <w:marRight w:val="0"/>
      <w:marTop w:val="0"/>
      <w:marBottom w:val="0"/>
      <w:divBdr>
        <w:top w:val="none" w:sz="0" w:space="0" w:color="auto"/>
        <w:left w:val="none" w:sz="0" w:space="0" w:color="auto"/>
        <w:bottom w:val="none" w:sz="0" w:space="0" w:color="auto"/>
        <w:right w:val="none" w:sz="0" w:space="0" w:color="auto"/>
      </w:divBdr>
    </w:div>
    <w:div w:id="1346444806">
      <w:bodyDiv w:val="1"/>
      <w:marLeft w:val="0"/>
      <w:marRight w:val="0"/>
      <w:marTop w:val="0"/>
      <w:marBottom w:val="0"/>
      <w:divBdr>
        <w:top w:val="none" w:sz="0" w:space="0" w:color="auto"/>
        <w:left w:val="none" w:sz="0" w:space="0" w:color="auto"/>
        <w:bottom w:val="none" w:sz="0" w:space="0" w:color="auto"/>
        <w:right w:val="none" w:sz="0" w:space="0" w:color="auto"/>
      </w:divBdr>
    </w:div>
    <w:div w:id="1346833085">
      <w:bodyDiv w:val="1"/>
      <w:marLeft w:val="0"/>
      <w:marRight w:val="0"/>
      <w:marTop w:val="0"/>
      <w:marBottom w:val="0"/>
      <w:divBdr>
        <w:top w:val="none" w:sz="0" w:space="0" w:color="auto"/>
        <w:left w:val="none" w:sz="0" w:space="0" w:color="auto"/>
        <w:bottom w:val="none" w:sz="0" w:space="0" w:color="auto"/>
        <w:right w:val="none" w:sz="0" w:space="0" w:color="auto"/>
      </w:divBdr>
      <w:divsChild>
        <w:div w:id="264583711">
          <w:marLeft w:val="274"/>
          <w:marRight w:val="0"/>
          <w:marTop w:val="0"/>
          <w:marBottom w:val="0"/>
          <w:divBdr>
            <w:top w:val="none" w:sz="0" w:space="0" w:color="auto"/>
            <w:left w:val="none" w:sz="0" w:space="0" w:color="auto"/>
            <w:bottom w:val="none" w:sz="0" w:space="0" w:color="auto"/>
            <w:right w:val="none" w:sz="0" w:space="0" w:color="auto"/>
          </w:divBdr>
        </w:div>
        <w:div w:id="827474836">
          <w:marLeft w:val="274"/>
          <w:marRight w:val="0"/>
          <w:marTop w:val="0"/>
          <w:marBottom w:val="0"/>
          <w:divBdr>
            <w:top w:val="none" w:sz="0" w:space="0" w:color="auto"/>
            <w:left w:val="none" w:sz="0" w:space="0" w:color="auto"/>
            <w:bottom w:val="none" w:sz="0" w:space="0" w:color="auto"/>
            <w:right w:val="none" w:sz="0" w:space="0" w:color="auto"/>
          </w:divBdr>
        </w:div>
        <w:div w:id="857619608">
          <w:marLeft w:val="274"/>
          <w:marRight w:val="0"/>
          <w:marTop w:val="0"/>
          <w:marBottom w:val="0"/>
          <w:divBdr>
            <w:top w:val="none" w:sz="0" w:space="0" w:color="auto"/>
            <w:left w:val="none" w:sz="0" w:space="0" w:color="auto"/>
            <w:bottom w:val="none" w:sz="0" w:space="0" w:color="auto"/>
            <w:right w:val="none" w:sz="0" w:space="0" w:color="auto"/>
          </w:divBdr>
        </w:div>
        <w:div w:id="956523893">
          <w:marLeft w:val="274"/>
          <w:marRight w:val="0"/>
          <w:marTop w:val="0"/>
          <w:marBottom w:val="0"/>
          <w:divBdr>
            <w:top w:val="none" w:sz="0" w:space="0" w:color="auto"/>
            <w:left w:val="none" w:sz="0" w:space="0" w:color="auto"/>
            <w:bottom w:val="none" w:sz="0" w:space="0" w:color="auto"/>
            <w:right w:val="none" w:sz="0" w:space="0" w:color="auto"/>
          </w:divBdr>
        </w:div>
        <w:div w:id="1188524848">
          <w:marLeft w:val="274"/>
          <w:marRight w:val="0"/>
          <w:marTop w:val="0"/>
          <w:marBottom w:val="0"/>
          <w:divBdr>
            <w:top w:val="none" w:sz="0" w:space="0" w:color="auto"/>
            <w:left w:val="none" w:sz="0" w:space="0" w:color="auto"/>
            <w:bottom w:val="none" w:sz="0" w:space="0" w:color="auto"/>
            <w:right w:val="none" w:sz="0" w:space="0" w:color="auto"/>
          </w:divBdr>
        </w:div>
        <w:div w:id="1323312540">
          <w:marLeft w:val="274"/>
          <w:marRight w:val="0"/>
          <w:marTop w:val="0"/>
          <w:marBottom w:val="0"/>
          <w:divBdr>
            <w:top w:val="none" w:sz="0" w:space="0" w:color="auto"/>
            <w:left w:val="none" w:sz="0" w:space="0" w:color="auto"/>
            <w:bottom w:val="none" w:sz="0" w:space="0" w:color="auto"/>
            <w:right w:val="none" w:sz="0" w:space="0" w:color="auto"/>
          </w:divBdr>
        </w:div>
        <w:div w:id="1447968631">
          <w:marLeft w:val="274"/>
          <w:marRight w:val="0"/>
          <w:marTop w:val="0"/>
          <w:marBottom w:val="0"/>
          <w:divBdr>
            <w:top w:val="none" w:sz="0" w:space="0" w:color="auto"/>
            <w:left w:val="none" w:sz="0" w:space="0" w:color="auto"/>
            <w:bottom w:val="none" w:sz="0" w:space="0" w:color="auto"/>
            <w:right w:val="none" w:sz="0" w:space="0" w:color="auto"/>
          </w:divBdr>
        </w:div>
        <w:div w:id="1773931969">
          <w:marLeft w:val="274"/>
          <w:marRight w:val="0"/>
          <w:marTop w:val="0"/>
          <w:marBottom w:val="0"/>
          <w:divBdr>
            <w:top w:val="none" w:sz="0" w:space="0" w:color="auto"/>
            <w:left w:val="none" w:sz="0" w:space="0" w:color="auto"/>
            <w:bottom w:val="none" w:sz="0" w:space="0" w:color="auto"/>
            <w:right w:val="none" w:sz="0" w:space="0" w:color="auto"/>
          </w:divBdr>
        </w:div>
        <w:div w:id="2077974816">
          <w:marLeft w:val="274"/>
          <w:marRight w:val="0"/>
          <w:marTop w:val="0"/>
          <w:marBottom w:val="0"/>
          <w:divBdr>
            <w:top w:val="none" w:sz="0" w:space="0" w:color="auto"/>
            <w:left w:val="none" w:sz="0" w:space="0" w:color="auto"/>
            <w:bottom w:val="none" w:sz="0" w:space="0" w:color="auto"/>
            <w:right w:val="none" w:sz="0" w:space="0" w:color="auto"/>
          </w:divBdr>
        </w:div>
      </w:divsChild>
    </w:div>
    <w:div w:id="1350790033">
      <w:bodyDiv w:val="1"/>
      <w:marLeft w:val="0"/>
      <w:marRight w:val="0"/>
      <w:marTop w:val="0"/>
      <w:marBottom w:val="0"/>
      <w:divBdr>
        <w:top w:val="none" w:sz="0" w:space="0" w:color="auto"/>
        <w:left w:val="none" w:sz="0" w:space="0" w:color="auto"/>
        <w:bottom w:val="none" w:sz="0" w:space="0" w:color="auto"/>
        <w:right w:val="none" w:sz="0" w:space="0" w:color="auto"/>
      </w:divBdr>
    </w:div>
    <w:div w:id="1357004148">
      <w:bodyDiv w:val="1"/>
      <w:marLeft w:val="0"/>
      <w:marRight w:val="0"/>
      <w:marTop w:val="0"/>
      <w:marBottom w:val="0"/>
      <w:divBdr>
        <w:top w:val="none" w:sz="0" w:space="0" w:color="auto"/>
        <w:left w:val="none" w:sz="0" w:space="0" w:color="auto"/>
        <w:bottom w:val="none" w:sz="0" w:space="0" w:color="auto"/>
        <w:right w:val="none" w:sz="0" w:space="0" w:color="auto"/>
      </w:divBdr>
    </w:div>
    <w:div w:id="1373386987">
      <w:bodyDiv w:val="1"/>
      <w:marLeft w:val="0"/>
      <w:marRight w:val="0"/>
      <w:marTop w:val="0"/>
      <w:marBottom w:val="0"/>
      <w:divBdr>
        <w:top w:val="none" w:sz="0" w:space="0" w:color="auto"/>
        <w:left w:val="none" w:sz="0" w:space="0" w:color="auto"/>
        <w:bottom w:val="none" w:sz="0" w:space="0" w:color="auto"/>
        <w:right w:val="none" w:sz="0" w:space="0" w:color="auto"/>
      </w:divBdr>
    </w:div>
    <w:div w:id="1401633787">
      <w:bodyDiv w:val="1"/>
      <w:marLeft w:val="0"/>
      <w:marRight w:val="0"/>
      <w:marTop w:val="0"/>
      <w:marBottom w:val="0"/>
      <w:divBdr>
        <w:top w:val="none" w:sz="0" w:space="0" w:color="auto"/>
        <w:left w:val="none" w:sz="0" w:space="0" w:color="auto"/>
        <w:bottom w:val="none" w:sz="0" w:space="0" w:color="auto"/>
        <w:right w:val="none" w:sz="0" w:space="0" w:color="auto"/>
      </w:divBdr>
      <w:divsChild>
        <w:div w:id="1349598321">
          <w:marLeft w:val="403"/>
          <w:marRight w:val="0"/>
          <w:marTop w:val="150"/>
          <w:marBottom w:val="0"/>
          <w:divBdr>
            <w:top w:val="none" w:sz="0" w:space="0" w:color="auto"/>
            <w:left w:val="none" w:sz="0" w:space="0" w:color="auto"/>
            <w:bottom w:val="none" w:sz="0" w:space="0" w:color="auto"/>
            <w:right w:val="none" w:sz="0" w:space="0" w:color="auto"/>
          </w:divBdr>
        </w:div>
      </w:divsChild>
    </w:div>
    <w:div w:id="1413160330">
      <w:bodyDiv w:val="1"/>
      <w:marLeft w:val="0"/>
      <w:marRight w:val="0"/>
      <w:marTop w:val="0"/>
      <w:marBottom w:val="0"/>
      <w:divBdr>
        <w:top w:val="none" w:sz="0" w:space="0" w:color="auto"/>
        <w:left w:val="none" w:sz="0" w:space="0" w:color="auto"/>
        <w:bottom w:val="none" w:sz="0" w:space="0" w:color="auto"/>
        <w:right w:val="none" w:sz="0" w:space="0" w:color="auto"/>
      </w:divBdr>
    </w:div>
    <w:div w:id="1422946598">
      <w:bodyDiv w:val="1"/>
      <w:marLeft w:val="0"/>
      <w:marRight w:val="0"/>
      <w:marTop w:val="0"/>
      <w:marBottom w:val="0"/>
      <w:divBdr>
        <w:top w:val="none" w:sz="0" w:space="0" w:color="auto"/>
        <w:left w:val="none" w:sz="0" w:space="0" w:color="auto"/>
        <w:bottom w:val="none" w:sz="0" w:space="0" w:color="auto"/>
        <w:right w:val="none" w:sz="0" w:space="0" w:color="auto"/>
      </w:divBdr>
    </w:div>
    <w:div w:id="1425147268">
      <w:bodyDiv w:val="1"/>
      <w:marLeft w:val="0"/>
      <w:marRight w:val="0"/>
      <w:marTop w:val="0"/>
      <w:marBottom w:val="0"/>
      <w:divBdr>
        <w:top w:val="none" w:sz="0" w:space="0" w:color="auto"/>
        <w:left w:val="none" w:sz="0" w:space="0" w:color="auto"/>
        <w:bottom w:val="none" w:sz="0" w:space="0" w:color="auto"/>
        <w:right w:val="none" w:sz="0" w:space="0" w:color="auto"/>
      </w:divBdr>
      <w:divsChild>
        <w:div w:id="1710102545">
          <w:marLeft w:val="403"/>
          <w:marRight w:val="0"/>
          <w:marTop w:val="0"/>
          <w:marBottom w:val="120"/>
          <w:divBdr>
            <w:top w:val="none" w:sz="0" w:space="0" w:color="auto"/>
            <w:left w:val="none" w:sz="0" w:space="0" w:color="auto"/>
            <w:bottom w:val="none" w:sz="0" w:space="0" w:color="auto"/>
            <w:right w:val="none" w:sz="0" w:space="0" w:color="auto"/>
          </w:divBdr>
        </w:div>
      </w:divsChild>
    </w:div>
    <w:div w:id="1431781347">
      <w:bodyDiv w:val="1"/>
      <w:marLeft w:val="0"/>
      <w:marRight w:val="0"/>
      <w:marTop w:val="0"/>
      <w:marBottom w:val="0"/>
      <w:divBdr>
        <w:top w:val="none" w:sz="0" w:space="0" w:color="auto"/>
        <w:left w:val="none" w:sz="0" w:space="0" w:color="auto"/>
        <w:bottom w:val="none" w:sz="0" w:space="0" w:color="auto"/>
        <w:right w:val="none" w:sz="0" w:space="0" w:color="auto"/>
      </w:divBdr>
    </w:div>
    <w:div w:id="1434979293">
      <w:bodyDiv w:val="1"/>
      <w:marLeft w:val="0"/>
      <w:marRight w:val="0"/>
      <w:marTop w:val="0"/>
      <w:marBottom w:val="0"/>
      <w:divBdr>
        <w:top w:val="none" w:sz="0" w:space="0" w:color="auto"/>
        <w:left w:val="none" w:sz="0" w:space="0" w:color="auto"/>
        <w:bottom w:val="none" w:sz="0" w:space="0" w:color="auto"/>
        <w:right w:val="none" w:sz="0" w:space="0" w:color="auto"/>
      </w:divBdr>
      <w:divsChild>
        <w:div w:id="1698042882">
          <w:marLeft w:val="403"/>
          <w:marRight w:val="0"/>
          <w:marTop w:val="150"/>
          <w:marBottom w:val="0"/>
          <w:divBdr>
            <w:top w:val="none" w:sz="0" w:space="0" w:color="auto"/>
            <w:left w:val="none" w:sz="0" w:space="0" w:color="auto"/>
            <w:bottom w:val="none" w:sz="0" w:space="0" w:color="auto"/>
            <w:right w:val="none" w:sz="0" w:space="0" w:color="auto"/>
          </w:divBdr>
        </w:div>
        <w:div w:id="1831291378">
          <w:marLeft w:val="403"/>
          <w:marRight w:val="0"/>
          <w:marTop w:val="150"/>
          <w:marBottom w:val="0"/>
          <w:divBdr>
            <w:top w:val="none" w:sz="0" w:space="0" w:color="auto"/>
            <w:left w:val="none" w:sz="0" w:space="0" w:color="auto"/>
            <w:bottom w:val="none" w:sz="0" w:space="0" w:color="auto"/>
            <w:right w:val="none" w:sz="0" w:space="0" w:color="auto"/>
          </w:divBdr>
        </w:div>
      </w:divsChild>
    </w:div>
    <w:div w:id="1440682239">
      <w:bodyDiv w:val="1"/>
      <w:marLeft w:val="0"/>
      <w:marRight w:val="0"/>
      <w:marTop w:val="0"/>
      <w:marBottom w:val="0"/>
      <w:divBdr>
        <w:top w:val="none" w:sz="0" w:space="0" w:color="auto"/>
        <w:left w:val="none" w:sz="0" w:space="0" w:color="auto"/>
        <w:bottom w:val="none" w:sz="0" w:space="0" w:color="auto"/>
        <w:right w:val="none" w:sz="0" w:space="0" w:color="auto"/>
      </w:divBdr>
    </w:div>
    <w:div w:id="1450927331">
      <w:bodyDiv w:val="1"/>
      <w:marLeft w:val="0"/>
      <w:marRight w:val="0"/>
      <w:marTop w:val="0"/>
      <w:marBottom w:val="0"/>
      <w:divBdr>
        <w:top w:val="none" w:sz="0" w:space="0" w:color="auto"/>
        <w:left w:val="none" w:sz="0" w:space="0" w:color="auto"/>
        <w:bottom w:val="none" w:sz="0" w:space="0" w:color="auto"/>
        <w:right w:val="none" w:sz="0" w:space="0" w:color="auto"/>
      </w:divBdr>
      <w:divsChild>
        <w:div w:id="480000952">
          <w:marLeft w:val="403"/>
          <w:marRight w:val="0"/>
          <w:marTop w:val="0"/>
          <w:marBottom w:val="120"/>
          <w:divBdr>
            <w:top w:val="none" w:sz="0" w:space="0" w:color="auto"/>
            <w:left w:val="none" w:sz="0" w:space="0" w:color="auto"/>
            <w:bottom w:val="none" w:sz="0" w:space="0" w:color="auto"/>
            <w:right w:val="none" w:sz="0" w:space="0" w:color="auto"/>
          </w:divBdr>
        </w:div>
        <w:div w:id="970937362">
          <w:marLeft w:val="403"/>
          <w:marRight w:val="0"/>
          <w:marTop w:val="0"/>
          <w:marBottom w:val="120"/>
          <w:divBdr>
            <w:top w:val="none" w:sz="0" w:space="0" w:color="auto"/>
            <w:left w:val="none" w:sz="0" w:space="0" w:color="auto"/>
            <w:bottom w:val="none" w:sz="0" w:space="0" w:color="auto"/>
            <w:right w:val="none" w:sz="0" w:space="0" w:color="auto"/>
          </w:divBdr>
        </w:div>
        <w:div w:id="1438913850">
          <w:marLeft w:val="403"/>
          <w:marRight w:val="0"/>
          <w:marTop w:val="0"/>
          <w:marBottom w:val="120"/>
          <w:divBdr>
            <w:top w:val="none" w:sz="0" w:space="0" w:color="auto"/>
            <w:left w:val="none" w:sz="0" w:space="0" w:color="auto"/>
            <w:bottom w:val="none" w:sz="0" w:space="0" w:color="auto"/>
            <w:right w:val="none" w:sz="0" w:space="0" w:color="auto"/>
          </w:divBdr>
        </w:div>
      </w:divsChild>
    </w:div>
    <w:div w:id="1451630475">
      <w:bodyDiv w:val="1"/>
      <w:marLeft w:val="0"/>
      <w:marRight w:val="0"/>
      <w:marTop w:val="0"/>
      <w:marBottom w:val="0"/>
      <w:divBdr>
        <w:top w:val="none" w:sz="0" w:space="0" w:color="auto"/>
        <w:left w:val="none" w:sz="0" w:space="0" w:color="auto"/>
        <w:bottom w:val="none" w:sz="0" w:space="0" w:color="auto"/>
        <w:right w:val="none" w:sz="0" w:space="0" w:color="auto"/>
      </w:divBdr>
      <w:divsChild>
        <w:div w:id="885607586">
          <w:marLeft w:val="274"/>
          <w:marRight w:val="0"/>
          <w:marTop w:val="0"/>
          <w:marBottom w:val="0"/>
          <w:divBdr>
            <w:top w:val="none" w:sz="0" w:space="0" w:color="auto"/>
            <w:left w:val="none" w:sz="0" w:space="0" w:color="auto"/>
            <w:bottom w:val="none" w:sz="0" w:space="0" w:color="auto"/>
            <w:right w:val="none" w:sz="0" w:space="0" w:color="auto"/>
          </w:divBdr>
        </w:div>
        <w:div w:id="1242594999">
          <w:marLeft w:val="274"/>
          <w:marRight w:val="0"/>
          <w:marTop w:val="0"/>
          <w:marBottom w:val="0"/>
          <w:divBdr>
            <w:top w:val="none" w:sz="0" w:space="0" w:color="auto"/>
            <w:left w:val="none" w:sz="0" w:space="0" w:color="auto"/>
            <w:bottom w:val="none" w:sz="0" w:space="0" w:color="auto"/>
            <w:right w:val="none" w:sz="0" w:space="0" w:color="auto"/>
          </w:divBdr>
        </w:div>
        <w:div w:id="1619338515">
          <w:marLeft w:val="576"/>
          <w:marRight w:val="0"/>
          <w:marTop w:val="0"/>
          <w:marBottom w:val="0"/>
          <w:divBdr>
            <w:top w:val="none" w:sz="0" w:space="0" w:color="auto"/>
            <w:left w:val="none" w:sz="0" w:space="0" w:color="auto"/>
            <w:bottom w:val="none" w:sz="0" w:space="0" w:color="auto"/>
            <w:right w:val="none" w:sz="0" w:space="0" w:color="auto"/>
          </w:divBdr>
        </w:div>
        <w:div w:id="1787694965">
          <w:marLeft w:val="274"/>
          <w:marRight w:val="0"/>
          <w:marTop w:val="0"/>
          <w:marBottom w:val="0"/>
          <w:divBdr>
            <w:top w:val="none" w:sz="0" w:space="0" w:color="auto"/>
            <w:left w:val="none" w:sz="0" w:space="0" w:color="auto"/>
            <w:bottom w:val="none" w:sz="0" w:space="0" w:color="auto"/>
            <w:right w:val="none" w:sz="0" w:space="0" w:color="auto"/>
          </w:divBdr>
        </w:div>
        <w:div w:id="2143886852">
          <w:marLeft w:val="576"/>
          <w:marRight w:val="0"/>
          <w:marTop w:val="0"/>
          <w:marBottom w:val="0"/>
          <w:divBdr>
            <w:top w:val="none" w:sz="0" w:space="0" w:color="auto"/>
            <w:left w:val="none" w:sz="0" w:space="0" w:color="auto"/>
            <w:bottom w:val="none" w:sz="0" w:space="0" w:color="auto"/>
            <w:right w:val="none" w:sz="0" w:space="0" w:color="auto"/>
          </w:divBdr>
        </w:div>
      </w:divsChild>
    </w:div>
    <w:div w:id="1453280397">
      <w:bodyDiv w:val="1"/>
      <w:marLeft w:val="0"/>
      <w:marRight w:val="0"/>
      <w:marTop w:val="0"/>
      <w:marBottom w:val="0"/>
      <w:divBdr>
        <w:top w:val="none" w:sz="0" w:space="0" w:color="auto"/>
        <w:left w:val="none" w:sz="0" w:space="0" w:color="auto"/>
        <w:bottom w:val="none" w:sz="0" w:space="0" w:color="auto"/>
        <w:right w:val="none" w:sz="0" w:space="0" w:color="auto"/>
      </w:divBdr>
    </w:div>
    <w:div w:id="1454983611">
      <w:bodyDiv w:val="1"/>
      <w:marLeft w:val="0"/>
      <w:marRight w:val="0"/>
      <w:marTop w:val="0"/>
      <w:marBottom w:val="0"/>
      <w:divBdr>
        <w:top w:val="none" w:sz="0" w:space="0" w:color="auto"/>
        <w:left w:val="none" w:sz="0" w:space="0" w:color="auto"/>
        <w:bottom w:val="none" w:sz="0" w:space="0" w:color="auto"/>
        <w:right w:val="none" w:sz="0" w:space="0" w:color="auto"/>
      </w:divBdr>
    </w:div>
    <w:div w:id="1458379754">
      <w:bodyDiv w:val="1"/>
      <w:marLeft w:val="0"/>
      <w:marRight w:val="0"/>
      <w:marTop w:val="0"/>
      <w:marBottom w:val="0"/>
      <w:divBdr>
        <w:top w:val="none" w:sz="0" w:space="0" w:color="auto"/>
        <w:left w:val="none" w:sz="0" w:space="0" w:color="auto"/>
        <w:bottom w:val="none" w:sz="0" w:space="0" w:color="auto"/>
        <w:right w:val="none" w:sz="0" w:space="0" w:color="auto"/>
      </w:divBdr>
      <w:divsChild>
        <w:div w:id="138084921">
          <w:marLeft w:val="274"/>
          <w:marRight w:val="0"/>
          <w:marTop w:val="150"/>
          <w:marBottom w:val="0"/>
          <w:divBdr>
            <w:top w:val="none" w:sz="0" w:space="0" w:color="auto"/>
            <w:left w:val="none" w:sz="0" w:space="0" w:color="auto"/>
            <w:bottom w:val="none" w:sz="0" w:space="0" w:color="auto"/>
            <w:right w:val="none" w:sz="0" w:space="0" w:color="auto"/>
          </w:divBdr>
        </w:div>
        <w:div w:id="1156065292">
          <w:marLeft w:val="274"/>
          <w:marRight w:val="0"/>
          <w:marTop w:val="150"/>
          <w:marBottom w:val="0"/>
          <w:divBdr>
            <w:top w:val="none" w:sz="0" w:space="0" w:color="auto"/>
            <w:left w:val="none" w:sz="0" w:space="0" w:color="auto"/>
            <w:bottom w:val="none" w:sz="0" w:space="0" w:color="auto"/>
            <w:right w:val="none" w:sz="0" w:space="0" w:color="auto"/>
          </w:divBdr>
        </w:div>
        <w:div w:id="1535539423">
          <w:marLeft w:val="274"/>
          <w:marRight w:val="0"/>
          <w:marTop w:val="150"/>
          <w:marBottom w:val="0"/>
          <w:divBdr>
            <w:top w:val="none" w:sz="0" w:space="0" w:color="auto"/>
            <w:left w:val="none" w:sz="0" w:space="0" w:color="auto"/>
            <w:bottom w:val="none" w:sz="0" w:space="0" w:color="auto"/>
            <w:right w:val="none" w:sz="0" w:space="0" w:color="auto"/>
          </w:divBdr>
        </w:div>
        <w:div w:id="1949698893">
          <w:marLeft w:val="274"/>
          <w:marRight w:val="0"/>
          <w:marTop w:val="150"/>
          <w:marBottom w:val="0"/>
          <w:divBdr>
            <w:top w:val="none" w:sz="0" w:space="0" w:color="auto"/>
            <w:left w:val="none" w:sz="0" w:space="0" w:color="auto"/>
            <w:bottom w:val="none" w:sz="0" w:space="0" w:color="auto"/>
            <w:right w:val="none" w:sz="0" w:space="0" w:color="auto"/>
          </w:divBdr>
        </w:div>
      </w:divsChild>
    </w:div>
    <w:div w:id="1459109130">
      <w:bodyDiv w:val="1"/>
      <w:marLeft w:val="0"/>
      <w:marRight w:val="0"/>
      <w:marTop w:val="0"/>
      <w:marBottom w:val="0"/>
      <w:divBdr>
        <w:top w:val="none" w:sz="0" w:space="0" w:color="auto"/>
        <w:left w:val="none" w:sz="0" w:space="0" w:color="auto"/>
        <w:bottom w:val="none" w:sz="0" w:space="0" w:color="auto"/>
        <w:right w:val="none" w:sz="0" w:space="0" w:color="auto"/>
      </w:divBdr>
    </w:div>
    <w:div w:id="1465080222">
      <w:bodyDiv w:val="1"/>
      <w:marLeft w:val="0"/>
      <w:marRight w:val="0"/>
      <w:marTop w:val="0"/>
      <w:marBottom w:val="0"/>
      <w:divBdr>
        <w:top w:val="none" w:sz="0" w:space="0" w:color="auto"/>
        <w:left w:val="none" w:sz="0" w:space="0" w:color="auto"/>
        <w:bottom w:val="none" w:sz="0" w:space="0" w:color="auto"/>
        <w:right w:val="none" w:sz="0" w:space="0" w:color="auto"/>
      </w:divBdr>
    </w:div>
    <w:div w:id="1465385584">
      <w:bodyDiv w:val="1"/>
      <w:marLeft w:val="0"/>
      <w:marRight w:val="0"/>
      <w:marTop w:val="0"/>
      <w:marBottom w:val="0"/>
      <w:divBdr>
        <w:top w:val="none" w:sz="0" w:space="0" w:color="auto"/>
        <w:left w:val="none" w:sz="0" w:space="0" w:color="auto"/>
        <w:bottom w:val="none" w:sz="0" w:space="0" w:color="auto"/>
        <w:right w:val="none" w:sz="0" w:space="0" w:color="auto"/>
      </w:divBdr>
    </w:div>
    <w:div w:id="1469856050">
      <w:bodyDiv w:val="1"/>
      <w:marLeft w:val="0"/>
      <w:marRight w:val="0"/>
      <w:marTop w:val="0"/>
      <w:marBottom w:val="0"/>
      <w:divBdr>
        <w:top w:val="none" w:sz="0" w:space="0" w:color="auto"/>
        <w:left w:val="none" w:sz="0" w:space="0" w:color="auto"/>
        <w:bottom w:val="none" w:sz="0" w:space="0" w:color="auto"/>
        <w:right w:val="none" w:sz="0" w:space="0" w:color="auto"/>
      </w:divBdr>
    </w:div>
    <w:div w:id="1476143811">
      <w:bodyDiv w:val="1"/>
      <w:marLeft w:val="0"/>
      <w:marRight w:val="0"/>
      <w:marTop w:val="0"/>
      <w:marBottom w:val="0"/>
      <w:divBdr>
        <w:top w:val="none" w:sz="0" w:space="0" w:color="auto"/>
        <w:left w:val="none" w:sz="0" w:space="0" w:color="auto"/>
        <w:bottom w:val="none" w:sz="0" w:space="0" w:color="auto"/>
        <w:right w:val="none" w:sz="0" w:space="0" w:color="auto"/>
      </w:divBdr>
    </w:div>
    <w:div w:id="1484352811">
      <w:bodyDiv w:val="1"/>
      <w:marLeft w:val="0"/>
      <w:marRight w:val="0"/>
      <w:marTop w:val="0"/>
      <w:marBottom w:val="0"/>
      <w:divBdr>
        <w:top w:val="none" w:sz="0" w:space="0" w:color="auto"/>
        <w:left w:val="none" w:sz="0" w:space="0" w:color="auto"/>
        <w:bottom w:val="none" w:sz="0" w:space="0" w:color="auto"/>
        <w:right w:val="none" w:sz="0" w:space="0" w:color="auto"/>
      </w:divBdr>
    </w:div>
    <w:div w:id="1486581843">
      <w:bodyDiv w:val="1"/>
      <w:marLeft w:val="0"/>
      <w:marRight w:val="0"/>
      <w:marTop w:val="0"/>
      <w:marBottom w:val="0"/>
      <w:divBdr>
        <w:top w:val="none" w:sz="0" w:space="0" w:color="auto"/>
        <w:left w:val="none" w:sz="0" w:space="0" w:color="auto"/>
        <w:bottom w:val="none" w:sz="0" w:space="0" w:color="auto"/>
        <w:right w:val="none" w:sz="0" w:space="0" w:color="auto"/>
      </w:divBdr>
    </w:div>
    <w:div w:id="1488087420">
      <w:bodyDiv w:val="1"/>
      <w:marLeft w:val="0"/>
      <w:marRight w:val="0"/>
      <w:marTop w:val="0"/>
      <w:marBottom w:val="0"/>
      <w:divBdr>
        <w:top w:val="none" w:sz="0" w:space="0" w:color="auto"/>
        <w:left w:val="none" w:sz="0" w:space="0" w:color="auto"/>
        <w:bottom w:val="none" w:sz="0" w:space="0" w:color="auto"/>
        <w:right w:val="none" w:sz="0" w:space="0" w:color="auto"/>
      </w:divBdr>
      <w:divsChild>
        <w:div w:id="328139255">
          <w:marLeft w:val="403"/>
          <w:marRight w:val="0"/>
          <w:marTop w:val="150"/>
          <w:marBottom w:val="0"/>
          <w:divBdr>
            <w:top w:val="none" w:sz="0" w:space="0" w:color="auto"/>
            <w:left w:val="none" w:sz="0" w:space="0" w:color="auto"/>
            <w:bottom w:val="none" w:sz="0" w:space="0" w:color="auto"/>
            <w:right w:val="none" w:sz="0" w:space="0" w:color="auto"/>
          </w:divBdr>
        </w:div>
      </w:divsChild>
    </w:div>
    <w:div w:id="1497070685">
      <w:bodyDiv w:val="1"/>
      <w:marLeft w:val="0"/>
      <w:marRight w:val="0"/>
      <w:marTop w:val="0"/>
      <w:marBottom w:val="0"/>
      <w:divBdr>
        <w:top w:val="none" w:sz="0" w:space="0" w:color="auto"/>
        <w:left w:val="none" w:sz="0" w:space="0" w:color="auto"/>
        <w:bottom w:val="none" w:sz="0" w:space="0" w:color="auto"/>
        <w:right w:val="none" w:sz="0" w:space="0" w:color="auto"/>
      </w:divBdr>
    </w:div>
    <w:div w:id="1498233070">
      <w:bodyDiv w:val="1"/>
      <w:marLeft w:val="0"/>
      <w:marRight w:val="0"/>
      <w:marTop w:val="0"/>
      <w:marBottom w:val="0"/>
      <w:divBdr>
        <w:top w:val="none" w:sz="0" w:space="0" w:color="auto"/>
        <w:left w:val="none" w:sz="0" w:space="0" w:color="auto"/>
        <w:bottom w:val="none" w:sz="0" w:space="0" w:color="auto"/>
        <w:right w:val="none" w:sz="0" w:space="0" w:color="auto"/>
      </w:divBdr>
    </w:div>
    <w:div w:id="1501192073">
      <w:bodyDiv w:val="1"/>
      <w:marLeft w:val="0"/>
      <w:marRight w:val="0"/>
      <w:marTop w:val="0"/>
      <w:marBottom w:val="0"/>
      <w:divBdr>
        <w:top w:val="none" w:sz="0" w:space="0" w:color="auto"/>
        <w:left w:val="none" w:sz="0" w:space="0" w:color="auto"/>
        <w:bottom w:val="none" w:sz="0" w:space="0" w:color="auto"/>
        <w:right w:val="none" w:sz="0" w:space="0" w:color="auto"/>
      </w:divBdr>
    </w:div>
    <w:div w:id="1501891196">
      <w:bodyDiv w:val="1"/>
      <w:marLeft w:val="0"/>
      <w:marRight w:val="0"/>
      <w:marTop w:val="0"/>
      <w:marBottom w:val="0"/>
      <w:divBdr>
        <w:top w:val="none" w:sz="0" w:space="0" w:color="auto"/>
        <w:left w:val="none" w:sz="0" w:space="0" w:color="auto"/>
        <w:bottom w:val="none" w:sz="0" w:space="0" w:color="auto"/>
        <w:right w:val="none" w:sz="0" w:space="0" w:color="auto"/>
      </w:divBdr>
    </w:div>
    <w:div w:id="1506282503">
      <w:bodyDiv w:val="1"/>
      <w:marLeft w:val="0"/>
      <w:marRight w:val="0"/>
      <w:marTop w:val="0"/>
      <w:marBottom w:val="0"/>
      <w:divBdr>
        <w:top w:val="none" w:sz="0" w:space="0" w:color="auto"/>
        <w:left w:val="none" w:sz="0" w:space="0" w:color="auto"/>
        <w:bottom w:val="none" w:sz="0" w:space="0" w:color="auto"/>
        <w:right w:val="none" w:sz="0" w:space="0" w:color="auto"/>
      </w:divBdr>
    </w:div>
    <w:div w:id="1514294669">
      <w:bodyDiv w:val="1"/>
      <w:marLeft w:val="0"/>
      <w:marRight w:val="0"/>
      <w:marTop w:val="0"/>
      <w:marBottom w:val="0"/>
      <w:divBdr>
        <w:top w:val="none" w:sz="0" w:space="0" w:color="auto"/>
        <w:left w:val="none" w:sz="0" w:space="0" w:color="auto"/>
        <w:bottom w:val="none" w:sz="0" w:space="0" w:color="auto"/>
        <w:right w:val="none" w:sz="0" w:space="0" w:color="auto"/>
      </w:divBdr>
    </w:div>
    <w:div w:id="1514417370">
      <w:bodyDiv w:val="1"/>
      <w:marLeft w:val="0"/>
      <w:marRight w:val="0"/>
      <w:marTop w:val="0"/>
      <w:marBottom w:val="0"/>
      <w:divBdr>
        <w:top w:val="none" w:sz="0" w:space="0" w:color="auto"/>
        <w:left w:val="none" w:sz="0" w:space="0" w:color="auto"/>
        <w:bottom w:val="none" w:sz="0" w:space="0" w:color="auto"/>
        <w:right w:val="none" w:sz="0" w:space="0" w:color="auto"/>
      </w:divBdr>
    </w:div>
    <w:div w:id="1525096662">
      <w:bodyDiv w:val="1"/>
      <w:marLeft w:val="0"/>
      <w:marRight w:val="0"/>
      <w:marTop w:val="0"/>
      <w:marBottom w:val="0"/>
      <w:divBdr>
        <w:top w:val="none" w:sz="0" w:space="0" w:color="auto"/>
        <w:left w:val="none" w:sz="0" w:space="0" w:color="auto"/>
        <w:bottom w:val="none" w:sz="0" w:space="0" w:color="auto"/>
        <w:right w:val="none" w:sz="0" w:space="0" w:color="auto"/>
      </w:divBdr>
      <w:divsChild>
        <w:div w:id="1787232378">
          <w:marLeft w:val="403"/>
          <w:marRight w:val="0"/>
          <w:marTop w:val="150"/>
          <w:marBottom w:val="0"/>
          <w:divBdr>
            <w:top w:val="none" w:sz="0" w:space="0" w:color="auto"/>
            <w:left w:val="none" w:sz="0" w:space="0" w:color="auto"/>
            <w:bottom w:val="none" w:sz="0" w:space="0" w:color="auto"/>
            <w:right w:val="none" w:sz="0" w:space="0" w:color="auto"/>
          </w:divBdr>
        </w:div>
      </w:divsChild>
    </w:div>
    <w:div w:id="1525703222">
      <w:bodyDiv w:val="1"/>
      <w:marLeft w:val="0"/>
      <w:marRight w:val="0"/>
      <w:marTop w:val="0"/>
      <w:marBottom w:val="0"/>
      <w:divBdr>
        <w:top w:val="none" w:sz="0" w:space="0" w:color="auto"/>
        <w:left w:val="none" w:sz="0" w:space="0" w:color="auto"/>
        <w:bottom w:val="none" w:sz="0" w:space="0" w:color="auto"/>
        <w:right w:val="none" w:sz="0" w:space="0" w:color="auto"/>
      </w:divBdr>
      <w:divsChild>
        <w:div w:id="208685634">
          <w:marLeft w:val="403"/>
          <w:marRight w:val="0"/>
          <w:marTop w:val="150"/>
          <w:marBottom w:val="0"/>
          <w:divBdr>
            <w:top w:val="none" w:sz="0" w:space="0" w:color="auto"/>
            <w:left w:val="none" w:sz="0" w:space="0" w:color="auto"/>
            <w:bottom w:val="none" w:sz="0" w:space="0" w:color="auto"/>
            <w:right w:val="none" w:sz="0" w:space="0" w:color="auto"/>
          </w:divBdr>
        </w:div>
        <w:div w:id="2109812090">
          <w:marLeft w:val="403"/>
          <w:marRight w:val="0"/>
          <w:marTop w:val="150"/>
          <w:marBottom w:val="0"/>
          <w:divBdr>
            <w:top w:val="none" w:sz="0" w:space="0" w:color="auto"/>
            <w:left w:val="none" w:sz="0" w:space="0" w:color="auto"/>
            <w:bottom w:val="none" w:sz="0" w:space="0" w:color="auto"/>
            <w:right w:val="none" w:sz="0" w:space="0" w:color="auto"/>
          </w:divBdr>
        </w:div>
      </w:divsChild>
    </w:div>
    <w:div w:id="1535196189">
      <w:bodyDiv w:val="1"/>
      <w:marLeft w:val="0"/>
      <w:marRight w:val="0"/>
      <w:marTop w:val="0"/>
      <w:marBottom w:val="0"/>
      <w:divBdr>
        <w:top w:val="none" w:sz="0" w:space="0" w:color="auto"/>
        <w:left w:val="none" w:sz="0" w:space="0" w:color="auto"/>
        <w:bottom w:val="none" w:sz="0" w:space="0" w:color="auto"/>
        <w:right w:val="none" w:sz="0" w:space="0" w:color="auto"/>
      </w:divBdr>
    </w:div>
    <w:div w:id="1535460096">
      <w:bodyDiv w:val="1"/>
      <w:marLeft w:val="0"/>
      <w:marRight w:val="0"/>
      <w:marTop w:val="0"/>
      <w:marBottom w:val="0"/>
      <w:divBdr>
        <w:top w:val="none" w:sz="0" w:space="0" w:color="auto"/>
        <w:left w:val="none" w:sz="0" w:space="0" w:color="auto"/>
        <w:bottom w:val="none" w:sz="0" w:space="0" w:color="auto"/>
        <w:right w:val="none" w:sz="0" w:space="0" w:color="auto"/>
      </w:divBdr>
    </w:div>
    <w:div w:id="1550336962">
      <w:bodyDiv w:val="1"/>
      <w:marLeft w:val="0"/>
      <w:marRight w:val="0"/>
      <w:marTop w:val="0"/>
      <w:marBottom w:val="0"/>
      <w:divBdr>
        <w:top w:val="none" w:sz="0" w:space="0" w:color="auto"/>
        <w:left w:val="none" w:sz="0" w:space="0" w:color="auto"/>
        <w:bottom w:val="none" w:sz="0" w:space="0" w:color="auto"/>
        <w:right w:val="none" w:sz="0" w:space="0" w:color="auto"/>
      </w:divBdr>
    </w:div>
    <w:div w:id="1555577011">
      <w:bodyDiv w:val="1"/>
      <w:marLeft w:val="0"/>
      <w:marRight w:val="0"/>
      <w:marTop w:val="0"/>
      <w:marBottom w:val="0"/>
      <w:divBdr>
        <w:top w:val="none" w:sz="0" w:space="0" w:color="auto"/>
        <w:left w:val="none" w:sz="0" w:space="0" w:color="auto"/>
        <w:bottom w:val="none" w:sz="0" w:space="0" w:color="auto"/>
        <w:right w:val="none" w:sz="0" w:space="0" w:color="auto"/>
      </w:divBdr>
    </w:div>
    <w:div w:id="1560482710">
      <w:bodyDiv w:val="1"/>
      <w:marLeft w:val="0"/>
      <w:marRight w:val="0"/>
      <w:marTop w:val="0"/>
      <w:marBottom w:val="0"/>
      <w:divBdr>
        <w:top w:val="none" w:sz="0" w:space="0" w:color="auto"/>
        <w:left w:val="none" w:sz="0" w:space="0" w:color="auto"/>
        <w:bottom w:val="none" w:sz="0" w:space="0" w:color="auto"/>
        <w:right w:val="none" w:sz="0" w:space="0" w:color="auto"/>
      </w:divBdr>
    </w:div>
    <w:div w:id="1562251686">
      <w:bodyDiv w:val="1"/>
      <w:marLeft w:val="0"/>
      <w:marRight w:val="0"/>
      <w:marTop w:val="0"/>
      <w:marBottom w:val="0"/>
      <w:divBdr>
        <w:top w:val="none" w:sz="0" w:space="0" w:color="auto"/>
        <w:left w:val="none" w:sz="0" w:space="0" w:color="auto"/>
        <w:bottom w:val="none" w:sz="0" w:space="0" w:color="auto"/>
        <w:right w:val="none" w:sz="0" w:space="0" w:color="auto"/>
      </w:divBdr>
    </w:div>
    <w:div w:id="1571186394">
      <w:bodyDiv w:val="1"/>
      <w:marLeft w:val="0"/>
      <w:marRight w:val="0"/>
      <w:marTop w:val="0"/>
      <w:marBottom w:val="0"/>
      <w:divBdr>
        <w:top w:val="none" w:sz="0" w:space="0" w:color="auto"/>
        <w:left w:val="none" w:sz="0" w:space="0" w:color="auto"/>
        <w:bottom w:val="none" w:sz="0" w:space="0" w:color="auto"/>
        <w:right w:val="none" w:sz="0" w:space="0" w:color="auto"/>
      </w:divBdr>
    </w:div>
    <w:div w:id="1577322521">
      <w:bodyDiv w:val="1"/>
      <w:marLeft w:val="0"/>
      <w:marRight w:val="0"/>
      <w:marTop w:val="0"/>
      <w:marBottom w:val="0"/>
      <w:divBdr>
        <w:top w:val="none" w:sz="0" w:space="0" w:color="auto"/>
        <w:left w:val="none" w:sz="0" w:space="0" w:color="auto"/>
        <w:bottom w:val="none" w:sz="0" w:space="0" w:color="auto"/>
        <w:right w:val="none" w:sz="0" w:space="0" w:color="auto"/>
      </w:divBdr>
    </w:div>
    <w:div w:id="1581059709">
      <w:bodyDiv w:val="1"/>
      <w:marLeft w:val="0"/>
      <w:marRight w:val="0"/>
      <w:marTop w:val="0"/>
      <w:marBottom w:val="0"/>
      <w:divBdr>
        <w:top w:val="none" w:sz="0" w:space="0" w:color="auto"/>
        <w:left w:val="none" w:sz="0" w:space="0" w:color="auto"/>
        <w:bottom w:val="none" w:sz="0" w:space="0" w:color="auto"/>
        <w:right w:val="none" w:sz="0" w:space="0" w:color="auto"/>
      </w:divBdr>
      <w:divsChild>
        <w:div w:id="660891579">
          <w:marLeft w:val="403"/>
          <w:marRight w:val="0"/>
          <w:marTop w:val="0"/>
          <w:marBottom w:val="150"/>
          <w:divBdr>
            <w:top w:val="none" w:sz="0" w:space="0" w:color="auto"/>
            <w:left w:val="none" w:sz="0" w:space="0" w:color="auto"/>
            <w:bottom w:val="none" w:sz="0" w:space="0" w:color="auto"/>
            <w:right w:val="none" w:sz="0" w:space="0" w:color="auto"/>
          </w:divBdr>
        </w:div>
        <w:div w:id="2024359666">
          <w:marLeft w:val="403"/>
          <w:marRight w:val="0"/>
          <w:marTop w:val="0"/>
          <w:marBottom w:val="150"/>
          <w:divBdr>
            <w:top w:val="none" w:sz="0" w:space="0" w:color="auto"/>
            <w:left w:val="none" w:sz="0" w:space="0" w:color="auto"/>
            <w:bottom w:val="none" w:sz="0" w:space="0" w:color="auto"/>
            <w:right w:val="none" w:sz="0" w:space="0" w:color="auto"/>
          </w:divBdr>
        </w:div>
      </w:divsChild>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95626474">
      <w:bodyDiv w:val="1"/>
      <w:marLeft w:val="0"/>
      <w:marRight w:val="0"/>
      <w:marTop w:val="0"/>
      <w:marBottom w:val="0"/>
      <w:divBdr>
        <w:top w:val="none" w:sz="0" w:space="0" w:color="auto"/>
        <w:left w:val="none" w:sz="0" w:space="0" w:color="auto"/>
        <w:bottom w:val="none" w:sz="0" w:space="0" w:color="auto"/>
        <w:right w:val="none" w:sz="0" w:space="0" w:color="auto"/>
      </w:divBdr>
    </w:div>
    <w:div w:id="1601598450">
      <w:bodyDiv w:val="1"/>
      <w:marLeft w:val="0"/>
      <w:marRight w:val="0"/>
      <w:marTop w:val="0"/>
      <w:marBottom w:val="0"/>
      <w:divBdr>
        <w:top w:val="none" w:sz="0" w:space="0" w:color="auto"/>
        <w:left w:val="none" w:sz="0" w:space="0" w:color="auto"/>
        <w:bottom w:val="none" w:sz="0" w:space="0" w:color="auto"/>
        <w:right w:val="none" w:sz="0" w:space="0" w:color="auto"/>
      </w:divBdr>
      <w:divsChild>
        <w:div w:id="1426220442">
          <w:marLeft w:val="403"/>
          <w:marRight w:val="0"/>
          <w:marTop w:val="0"/>
          <w:marBottom w:val="120"/>
          <w:divBdr>
            <w:top w:val="none" w:sz="0" w:space="0" w:color="auto"/>
            <w:left w:val="none" w:sz="0" w:space="0" w:color="auto"/>
            <w:bottom w:val="none" w:sz="0" w:space="0" w:color="auto"/>
            <w:right w:val="none" w:sz="0" w:space="0" w:color="auto"/>
          </w:divBdr>
        </w:div>
        <w:div w:id="2131242364">
          <w:marLeft w:val="403"/>
          <w:marRight w:val="0"/>
          <w:marTop w:val="0"/>
          <w:marBottom w:val="120"/>
          <w:divBdr>
            <w:top w:val="none" w:sz="0" w:space="0" w:color="auto"/>
            <w:left w:val="none" w:sz="0" w:space="0" w:color="auto"/>
            <w:bottom w:val="none" w:sz="0" w:space="0" w:color="auto"/>
            <w:right w:val="none" w:sz="0" w:space="0" w:color="auto"/>
          </w:divBdr>
        </w:div>
      </w:divsChild>
    </w:div>
    <w:div w:id="1604996811">
      <w:bodyDiv w:val="1"/>
      <w:marLeft w:val="0"/>
      <w:marRight w:val="0"/>
      <w:marTop w:val="0"/>
      <w:marBottom w:val="0"/>
      <w:divBdr>
        <w:top w:val="none" w:sz="0" w:space="0" w:color="auto"/>
        <w:left w:val="none" w:sz="0" w:space="0" w:color="auto"/>
        <w:bottom w:val="none" w:sz="0" w:space="0" w:color="auto"/>
        <w:right w:val="none" w:sz="0" w:space="0" w:color="auto"/>
      </w:divBdr>
    </w:div>
    <w:div w:id="1606688391">
      <w:bodyDiv w:val="1"/>
      <w:marLeft w:val="0"/>
      <w:marRight w:val="0"/>
      <w:marTop w:val="0"/>
      <w:marBottom w:val="0"/>
      <w:divBdr>
        <w:top w:val="none" w:sz="0" w:space="0" w:color="auto"/>
        <w:left w:val="none" w:sz="0" w:space="0" w:color="auto"/>
        <w:bottom w:val="none" w:sz="0" w:space="0" w:color="auto"/>
        <w:right w:val="none" w:sz="0" w:space="0" w:color="auto"/>
      </w:divBdr>
    </w:div>
    <w:div w:id="1608587169">
      <w:bodyDiv w:val="1"/>
      <w:marLeft w:val="0"/>
      <w:marRight w:val="0"/>
      <w:marTop w:val="0"/>
      <w:marBottom w:val="0"/>
      <w:divBdr>
        <w:top w:val="none" w:sz="0" w:space="0" w:color="auto"/>
        <w:left w:val="none" w:sz="0" w:space="0" w:color="auto"/>
        <w:bottom w:val="none" w:sz="0" w:space="0" w:color="auto"/>
        <w:right w:val="none" w:sz="0" w:space="0" w:color="auto"/>
      </w:divBdr>
      <w:divsChild>
        <w:div w:id="297415934">
          <w:marLeft w:val="274"/>
          <w:marRight w:val="0"/>
          <w:marTop w:val="120"/>
          <w:marBottom w:val="0"/>
          <w:divBdr>
            <w:top w:val="none" w:sz="0" w:space="0" w:color="auto"/>
            <w:left w:val="none" w:sz="0" w:space="0" w:color="auto"/>
            <w:bottom w:val="none" w:sz="0" w:space="0" w:color="auto"/>
            <w:right w:val="none" w:sz="0" w:space="0" w:color="auto"/>
          </w:divBdr>
        </w:div>
        <w:div w:id="502165741">
          <w:marLeft w:val="274"/>
          <w:marRight w:val="0"/>
          <w:marTop w:val="120"/>
          <w:marBottom w:val="0"/>
          <w:divBdr>
            <w:top w:val="none" w:sz="0" w:space="0" w:color="auto"/>
            <w:left w:val="none" w:sz="0" w:space="0" w:color="auto"/>
            <w:bottom w:val="none" w:sz="0" w:space="0" w:color="auto"/>
            <w:right w:val="none" w:sz="0" w:space="0" w:color="auto"/>
          </w:divBdr>
        </w:div>
        <w:div w:id="593368522">
          <w:marLeft w:val="274"/>
          <w:marRight w:val="0"/>
          <w:marTop w:val="120"/>
          <w:marBottom w:val="0"/>
          <w:divBdr>
            <w:top w:val="none" w:sz="0" w:space="0" w:color="auto"/>
            <w:left w:val="none" w:sz="0" w:space="0" w:color="auto"/>
            <w:bottom w:val="none" w:sz="0" w:space="0" w:color="auto"/>
            <w:right w:val="none" w:sz="0" w:space="0" w:color="auto"/>
          </w:divBdr>
        </w:div>
        <w:div w:id="636911165">
          <w:marLeft w:val="274"/>
          <w:marRight w:val="0"/>
          <w:marTop w:val="120"/>
          <w:marBottom w:val="0"/>
          <w:divBdr>
            <w:top w:val="none" w:sz="0" w:space="0" w:color="auto"/>
            <w:left w:val="none" w:sz="0" w:space="0" w:color="auto"/>
            <w:bottom w:val="none" w:sz="0" w:space="0" w:color="auto"/>
            <w:right w:val="none" w:sz="0" w:space="0" w:color="auto"/>
          </w:divBdr>
        </w:div>
        <w:div w:id="887960948">
          <w:marLeft w:val="274"/>
          <w:marRight w:val="0"/>
          <w:marTop w:val="120"/>
          <w:marBottom w:val="0"/>
          <w:divBdr>
            <w:top w:val="none" w:sz="0" w:space="0" w:color="auto"/>
            <w:left w:val="none" w:sz="0" w:space="0" w:color="auto"/>
            <w:bottom w:val="none" w:sz="0" w:space="0" w:color="auto"/>
            <w:right w:val="none" w:sz="0" w:space="0" w:color="auto"/>
          </w:divBdr>
        </w:div>
        <w:div w:id="925456307">
          <w:marLeft w:val="274"/>
          <w:marRight w:val="0"/>
          <w:marTop w:val="150"/>
          <w:marBottom w:val="0"/>
          <w:divBdr>
            <w:top w:val="none" w:sz="0" w:space="0" w:color="auto"/>
            <w:left w:val="none" w:sz="0" w:space="0" w:color="auto"/>
            <w:bottom w:val="none" w:sz="0" w:space="0" w:color="auto"/>
            <w:right w:val="none" w:sz="0" w:space="0" w:color="auto"/>
          </w:divBdr>
        </w:div>
        <w:div w:id="1786462668">
          <w:marLeft w:val="274"/>
          <w:marRight w:val="0"/>
          <w:marTop w:val="120"/>
          <w:marBottom w:val="0"/>
          <w:divBdr>
            <w:top w:val="none" w:sz="0" w:space="0" w:color="auto"/>
            <w:left w:val="none" w:sz="0" w:space="0" w:color="auto"/>
            <w:bottom w:val="none" w:sz="0" w:space="0" w:color="auto"/>
            <w:right w:val="none" w:sz="0" w:space="0" w:color="auto"/>
          </w:divBdr>
        </w:div>
        <w:div w:id="1802066722">
          <w:marLeft w:val="274"/>
          <w:marRight w:val="0"/>
          <w:marTop w:val="120"/>
          <w:marBottom w:val="0"/>
          <w:divBdr>
            <w:top w:val="none" w:sz="0" w:space="0" w:color="auto"/>
            <w:left w:val="none" w:sz="0" w:space="0" w:color="auto"/>
            <w:bottom w:val="none" w:sz="0" w:space="0" w:color="auto"/>
            <w:right w:val="none" w:sz="0" w:space="0" w:color="auto"/>
          </w:divBdr>
        </w:div>
        <w:div w:id="2143382440">
          <w:marLeft w:val="274"/>
          <w:marRight w:val="0"/>
          <w:marTop w:val="120"/>
          <w:marBottom w:val="0"/>
          <w:divBdr>
            <w:top w:val="none" w:sz="0" w:space="0" w:color="auto"/>
            <w:left w:val="none" w:sz="0" w:space="0" w:color="auto"/>
            <w:bottom w:val="none" w:sz="0" w:space="0" w:color="auto"/>
            <w:right w:val="none" w:sz="0" w:space="0" w:color="auto"/>
          </w:divBdr>
        </w:div>
      </w:divsChild>
    </w:div>
    <w:div w:id="1613049764">
      <w:bodyDiv w:val="1"/>
      <w:marLeft w:val="0"/>
      <w:marRight w:val="0"/>
      <w:marTop w:val="0"/>
      <w:marBottom w:val="0"/>
      <w:divBdr>
        <w:top w:val="none" w:sz="0" w:space="0" w:color="auto"/>
        <w:left w:val="none" w:sz="0" w:space="0" w:color="auto"/>
        <w:bottom w:val="none" w:sz="0" w:space="0" w:color="auto"/>
        <w:right w:val="none" w:sz="0" w:space="0" w:color="auto"/>
      </w:divBdr>
    </w:div>
    <w:div w:id="1623531749">
      <w:bodyDiv w:val="1"/>
      <w:marLeft w:val="0"/>
      <w:marRight w:val="0"/>
      <w:marTop w:val="0"/>
      <w:marBottom w:val="0"/>
      <w:divBdr>
        <w:top w:val="none" w:sz="0" w:space="0" w:color="auto"/>
        <w:left w:val="none" w:sz="0" w:space="0" w:color="auto"/>
        <w:bottom w:val="none" w:sz="0" w:space="0" w:color="auto"/>
        <w:right w:val="none" w:sz="0" w:space="0" w:color="auto"/>
      </w:divBdr>
      <w:divsChild>
        <w:div w:id="2116556887">
          <w:marLeft w:val="403"/>
          <w:marRight w:val="0"/>
          <w:marTop w:val="150"/>
          <w:marBottom w:val="0"/>
          <w:divBdr>
            <w:top w:val="none" w:sz="0" w:space="0" w:color="auto"/>
            <w:left w:val="none" w:sz="0" w:space="0" w:color="auto"/>
            <w:bottom w:val="none" w:sz="0" w:space="0" w:color="auto"/>
            <w:right w:val="none" w:sz="0" w:space="0" w:color="auto"/>
          </w:divBdr>
        </w:div>
      </w:divsChild>
    </w:div>
    <w:div w:id="1623923889">
      <w:bodyDiv w:val="1"/>
      <w:marLeft w:val="0"/>
      <w:marRight w:val="0"/>
      <w:marTop w:val="0"/>
      <w:marBottom w:val="0"/>
      <w:divBdr>
        <w:top w:val="none" w:sz="0" w:space="0" w:color="auto"/>
        <w:left w:val="none" w:sz="0" w:space="0" w:color="auto"/>
        <w:bottom w:val="none" w:sz="0" w:space="0" w:color="auto"/>
        <w:right w:val="none" w:sz="0" w:space="0" w:color="auto"/>
      </w:divBdr>
    </w:div>
    <w:div w:id="1629816796">
      <w:bodyDiv w:val="1"/>
      <w:marLeft w:val="0"/>
      <w:marRight w:val="0"/>
      <w:marTop w:val="0"/>
      <w:marBottom w:val="0"/>
      <w:divBdr>
        <w:top w:val="none" w:sz="0" w:space="0" w:color="auto"/>
        <w:left w:val="none" w:sz="0" w:space="0" w:color="auto"/>
        <w:bottom w:val="none" w:sz="0" w:space="0" w:color="auto"/>
        <w:right w:val="none" w:sz="0" w:space="0" w:color="auto"/>
      </w:divBdr>
      <w:divsChild>
        <w:div w:id="24723072">
          <w:marLeft w:val="720"/>
          <w:marRight w:val="0"/>
          <w:marTop w:val="150"/>
          <w:marBottom w:val="0"/>
          <w:divBdr>
            <w:top w:val="none" w:sz="0" w:space="0" w:color="auto"/>
            <w:left w:val="none" w:sz="0" w:space="0" w:color="auto"/>
            <w:bottom w:val="none" w:sz="0" w:space="0" w:color="auto"/>
            <w:right w:val="none" w:sz="0" w:space="0" w:color="auto"/>
          </w:divBdr>
        </w:div>
        <w:div w:id="169948660">
          <w:marLeft w:val="720"/>
          <w:marRight w:val="0"/>
          <w:marTop w:val="150"/>
          <w:marBottom w:val="0"/>
          <w:divBdr>
            <w:top w:val="none" w:sz="0" w:space="0" w:color="auto"/>
            <w:left w:val="none" w:sz="0" w:space="0" w:color="auto"/>
            <w:bottom w:val="none" w:sz="0" w:space="0" w:color="auto"/>
            <w:right w:val="none" w:sz="0" w:space="0" w:color="auto"/>
          </w:divBdr>
        </w:div>
        <w:div w:id="303775472">
          <w:marLeft w:val="274"/>
          <w:marRight w:val="0"/>
          <w:marTop w:val="150"/>
          <w:marBottom w:val="0"/>
          <w:divBdr>
            <w:top w:val="none" w:sz="0" w:space="0" w:color="auto"/>
            <w:left w:val="none" w:sz="0" w:space="0" w:color="auto"/>
            <w:bottom w:val="none" w:sz="0" w:space="0" w:color="auto"/>
            <w:right w:val="none" w:sz="0" w:space="0" w:color="auto"/>
          </w:divBdr>
        </w:div>
        <w:div w:id="482694817">
          <w:marLeft w:val="274"/>
          <w:marRight w:val="0"/>
          <w:marTop w:val="150"/>
          <w:marBottom w:val="0"/>
          <w:divBdr>
            <w:top w:val="none" w:sz="0" w:space="0" w:color="auto"/>
            <w:left w:val="none" w:sz="0" w:space="0" w:color="auto"/>
            <w:bottom w:val="none" w:sz="0" w:space="0" w:color="auto"/>
            <w:right w:val="none" w:sz="0" w:space="0" w:color="auto"/>
          </w:divBdr>
        </w:div>
        <w:div w:id="903956582">
          <w:marLeft w:val="274"/>
          <w:marRight w:val="0"/>
          <w:marTop w:val="150"/>
          <w:marBottom w:val="0"/>
          <w:divBdr>
            <w:top w:val="none" w:sz="0" w:space="0" w:color="auto"/>
            <w:left w:val="none" w:sz="0" w:space="0" w:color="auto"/>
            <w:bottom w:val="none" w:sz="0" w:space="0" w:color="auto"/>
            <w:right w:val="none" w:sz="0" w:space="0" w:color="auto"/>
          </w:divBdr>
        </w:div>
        <w:div w:id="914707623">
          <w:marLeft w:val="274"/>
          <w:marRight w:val="0"/>
          <w:marTop w:val="150"/>
          <w:marBottom w:val="0"/>
          <w:divBdr>
            <w:top w:val="none" w:sz="0" w:space="0" w:color="auto"/>
            <w:left w:val="none" w:sz="0" w:space="0" w:color="auto"/>
            <w:bottom w:val="none" w:sz="0" w:space="0" w:color="auto"/>
            <w:right w:val="none" w:sz="0" w:space="0" w:color="auto"/>
          </w:divBdr>
        </w:div>
        <w:div w:id="1211839307">
          <w:marLeft w:val="274"/>
          <w:marRight w:val="0"/>
          <w:marTop w:val="150"/>
          <w:marBottom w:val="0"/>
          <w:divBdr>
            <w:top w:val="none" w:sz="0" w:space="0" w:color="auto"/>
            <w:left w:val="none" w:sz="0" w:space="0" w:color="auto"/>
            <w:bottom w:val="none" w:sz="0" w:space="0" w:color="auto"/>
            <w:right w:val="none" w:sz="0" w:space="0" w:color="auto"/>
          </w:divBdr>
        </w:div>
        <w:div w:id="1766073492">
          <w:marLeft w:val="576"/>
          <w:marRight w:val="0"/>
          <w:marTop w:val="150"/>
          <w:marBottom w:val="0"/>
          <w:divBdr>
            <w:top w:val="none" w:sz="0" w:space="0" w:color="auto"/>
            <w:left w:val="none" w:sz="0" w:space="0" w:color="auto"/>
            <w:bottom w:val="none" w:sz="0" w:space="0" w:color="auto"/>
            <w:right w:val="none" w:sz="0" w:space="0" w:color="auto"/>
          </w:divBdr>
        </w:div>
        <w:div w:id="1853837273">
          <w:marLeft w:val="274"/>
          <w:marRight w:val="0"/>
          <w:marTop w:val="150"/>
          <w:marBottom w:val="0"/>
          <w:divBdr>
            <w:top w:val="none" w:sz="0" w:space="0" w:color="auto"/>
            <w:left w:val="none" w:sz="0" w:space="0" w:color="auto"/>
            <w:bottom w:val="none" w:sz="0" w:space="0" w:color="auto"/>
            <w:right w:val="none" w:sz="0" w:space="0" w:color="auto"/>
          </w:divBdr>
        </w:div>
        <w:div w:id="1934702612">
          <w:marLeft w:val="274"/>
          <w:marRight w:val="0"/>
          <w:marTop w:val="150"/>
          <w:marBottom w:val="0"/>
          <w:divBdr>
            <w:top w:val="none" w:sz="0" w:space="0" w:color="auto"/>
            <w:left w:val="none" w:sz="0" w:space="0" w:color="auto"/>
            <w:bottom w:val="none" w:sz="0" w:space="0" w:color="auto"/>
            <w:right w:val="none" w:sz="0" w:space="0" w:color="auto"/>
          </w:divBdr>
        </w:div>
      </w:divsChild>
    </w:div>
    <w:div w:id="1629821297">
      <w:bodyDiv w:val="1"/>
      <w:marLeft w:val="0"/>
      <w:marRight w:val="0"/>
      <w:marTop w:val="0"/>
      <w:marBottom w:val="0"/>
      <w:divBdr>
        <w:top w:val="none" w:sz="0" w:space="0" w:color="auto"/>
        <w:left w:val="none" w:sz="0" w:space="0" w:color="auto"/>
        <w:bottom w:val="none" w:sz="0" w:space="0" w:color="auto"/>
        <w:right w:val="none" w:sz="0" w:space="0" w:color="auto"/>
      </w:divBdr>
    </w:div>
    <w:div w:id="1644195034">
      <w:bodyDiv w:val="1"/>
      <w:marLeft w:val="0"/>
      <w:marRight w:val="0"/>
      <w:marTop w:val="0"/>
      <w:marBottom w:val="0"/>
      <w:divBdr>
        <w:top w:val="none" w:sz="0" w:space="0" w:color="auto"/>
        <w:left w:val="none" w:sz="0" w:space="0" w:color="auto"/>
        <w:bottom w:val="none" w:sz="0" w:space="0" w:color="auto"/>
        <w:right w:val="none" w:sz="0" w:space="0" w:color="auto"/>
      </w:divBdr>
    </w:div>
    <w:div w:id="1645621360">
      <w:bodyDiv w:val="1"/>
      <w:marLeft w:val="0"/>
      <w:marRight w:val="0"/>
      <w:marTop w:val="0"/>
      <w:marBottom w:val="0"/>
      <w:divBdr>
        <w:top w:val="none" w:sz="0" w:space="0" w:color="auto"/>
        <w:left w:val="none" w:sz="0" w:space="0" w:color="auto"/>
        <w:bottom w:val="none" w:sz="0" w:space="0" w:color="auto"/>
        <w:right w:val="none" w:sz="0" w:space="0" w:color="auto"/>
      </w:divBdr>
    </w:div>
    <w:div w:id="1652825612">
      <w:bodyDiv w:val="1"/>
      <w:marLeft w:val="0"/>
      <w:marRight w:val="0"/>
      <w:marTop w:val="0"/>
      <w:marBottom w:val="0"/>
      <w:divBdr>
        <w:top w:val="none" w:sz="0" w:space="0" w:color="auto"/>
        <w:left w:val="none" w:sz="0" w:space="0" w:color="auto"/>
        <w:bottom w:val="none" w:sz="0" w:space="0" w:color="auto"/>
        <w:right w:val="none" w:sz="0" w:space="0" w:color="auto"/>
      </w:divBdr>
    </w:div>
    <w:div w:id="1665667103">
      <w:bodyDiv w:val="1"/>
      <w:marLeft w:val="0"/>
      <w:marRight w:val="0"/>
      <w:marTop w:val="0"/>
      <w:marBottom w:val="0"/>
      <w:divBdr>
        <w:top w:val="none" w:sz="0" w:space="0" w:color="auto"/>
        <w:left w:val="none" w:sz="0" w:space="0" w:color="auto"/>
        <w:bottom w:val="none" w:sz="0" w:space="0" w:color="auto"/>
        <w:right w:val="none" w:sz="0" w:space="0" w:color="auto"/>
      </w:divBdr>
    </w:div>
    <w:div w:id="1668552095">
      <w:bodyDiv w:val="1"/>
      <w:marLeft w:val="0"/>
      <w:marRight w:val="0"/>
      <w:marTop w:val="0"/>
      <w:marBottom w:val="0"/>
      <w:divBdr>
        <w:top w:val="none" w:sz="0" w:space="0" w:color="auto"/>
        <w:left w:val="none" w:sz="0" w:space="0" w:color="auto"/>
        <w:bottom w:val="none" w:sz="0" w:space="0" w:color="auto"/>
        <w:right w:val="none" w:sz="0" w:space="0" w:color="auto"/>
      </w:divBdr>
    </w:div>
    <w:div w:id="1690644684">
      <w:bodyDiv w:val="1"/>
      <w:marLeft w:val="0"/>
      <w:marRight w:val="0"/>
      <w:marTop w:val="0"/>
      <w:marBottom w:val="0"/>
      <w:divBdr>
        <w:top w:val="none" w:sz="0" w:space="0" w:color="auto"/>
        <w:left w:val="none" w:sz="0" w:space="0" w:color="auto"/>
        <w:bottom w:val="none" w:sz="0" w:space="0" w:color="auto"/>
        <w:right w:val="none" w:sz="0" w:space="0" w:color="auto"/>
      </w:divBdr>
      <w:divsChild>
        <w:div w:id="261108257">
          <w:marLeft w:val="274"/>
          <w:marRight w:val="0"/>
          <w:marTop w:val="150"/>
          <w:marBottom w:val="0"/>
          <w:divBdr>
            <w:top w:val="none" w:sz="0" w:space="0" w:color="auto"/>
            <w:left w:val="none" w:sz="0" w:space="0" w:color="auto"/>
            <w:bottom w:val="none" w:sz="0" w:space="0" w:color="auto"/>
            <w:right w:val="none" w:sz="0" w:space="0" w:color="auto"/>
          </w:divBdr>
        </w:div>
        <w:div w:id="1647278054">
          <w:marLeft w:val="274"/>
          <w:marRight w:val="0"/>
          <w:marTop w:val="150"/>
          <w:marBottom w:val="0"/>
          <w:divBdr>
            <w:top w:val="none" w:sz="0" w:space="0" w:color="auto"/>
            <w:left w:val="none" w:sz="0" w:space="0" w:color="auto"/>
            <w:bottom w:val="none" w:sz="0" w:space="0" w:color="auto"/>
            <w:right w:val="none" w:sz="0" w:space="0" w:color="auto"/>
          </w:divBdr>
        </w:div>
        <w:div w:id="2102413980">
          <w:marLeft w:val="274"/>
          <w:marRight w:val="0"/>
          <w:marTop w:val="150"/>
          <w:marBottom w:val="0"/>
          <w:divBdr>
            <w:top w:val="none" w:sz="0" w:space="0" w:color="auto"/>
            <w:left w:val="none" w:sz="0" w:space="0" w:color="auto"/>
            <w:bottom w:val="none" w:sz="0" w:space="0" w:color="auto"/>
            <w:right w:val="none" w:sz="0" w:space="0" w:color="auto"/>
          </w:divBdr>
        </w:div>
      </w:divsChild>
    </w:div>
    <w:div w:id="1696074059">
      <w:bodyDiv w:val="1"/>
      <w:marLeft w:val="0"/>
      <w:marRight w:val="0"/>
      <w:marTop w:val="0"/>
      <w:marBottom w:val="0"/>
      <w:divBdr>
        <w:top w:val="none" w:sz="0" w:space="0" w:color="auto"/>
        <w:left w:val="none" w:sz="0" w:space="0" w:color="auto"/>
        <w:bottom w:val="none" w:sz="0" w:space="0" w:color="auto"/>
        <w:right w:val="none" w:sz="0" w:space="0" w:color="auto"/>
      </w:divBdr>
      <w:divsChild>
        <w:div w:id="1112015691">
          <w:marLeft w:val="274"/>
          <w:marRight w:val="0"/>
          <w:marTop w:val="0"/>
          <w:marBottom w:val="120"/>
          <w:divBdr>
            <w:top w:val="none" w:sz="0" w:space="0" w:color="auto"/>
            <w:left w:val="none" w:sz="0" w:space="0" w:color="auto"/>
            <w:bottom w:val="none" w:sz="0" w:space="0" w:color="auto"/>
            <w:right w:val="none" w:sz="0" w:space="0" w:color="auto"/>
          </w:divBdr>
        </w:div>
      </w:divsChild>
    </w:div>
    <w:div w:id="1697805139">
      <w:bodyDiv w:val="1"/>
      <w:marLeft w:val="0"/>
      <w:marRight w:val="0"/>
      <w:marTop w:val="0"/>
      <w:marBottom w:val="0"/>
      <w:divBdr>
        <w:top w:val="none" w:sz="0" w:space="0" w:color="auto"/>
        <w:left w:val="none" w:sz="0" w:space="0" w:color="auto"/>
        <w:bottom w:val="none" w:sz="0" w:space="0" w:color="auto"/>
        <w:right w:val="none" w:sz="0" w:space="0" w:color="auto"/>
      </w:divBdr>
      <w:divsChild>
        <w:div w:id="545604215">
          <w:marLeft w:val="475"/>
          <w:marRight w:val="0"/>
          <w:marTop w:val="0"/>
          <w:marBottom w:val="120"/>
          <w:divBdr>
            <w:top w:val="none" w:sz="0" w:space="0" w:color="auto"/>
            <w:left w:val="none" w:sz="0" w:space="0" w:color="auto"/>
            <w:bottom w:val="none" w:sz="0" w:space="0" w:color="auto"/>
            <w:right w:val="none" w:sz="0" w:space="0" w:color="auto"/>
          </w:divBdr>
        </w:div>
        <w:div w:id="1496071598">
          <w:marLeft w:val="475"/>
          <w:marRight w:val="0"/>
          <w:marTop w:val="0"/>
          <w:marBottom w:val="120"/>
          <w:divBdr>
            <w:top w:val="none" w:sz="0" w:space="0" w:color="auto"/>
            <w:left w:val="none" w:sz="0" w:space="0" w:color="auto"/>
            <w:bottom w:val="none" w:sz="0" w:space="0" w:color="auto"/>
            <w:right w:val="none" w:sz="0" w:space="0" w:color="auto"/>
          </w:divBdr>
        </w:div>
      </w:divsChild>
    </w:div>
    <w:div w:id="1700352239">
      <w:bodyDiv w:val="1"/>
      <w:marLeft w:val="0"/>
      <w:marRight w:val="0"/>
      <w:marTop w:val="0"/>
      <w:marBottom w:val="0"/>
      <w:divBdr>
        <w:top w:val="none" w:sz="0" w:space="0" w:color="auto"/>
        <w:left w:val="none" w:sz="0" w:space="0" w:color="auto"/>
        <w:bottom w:val="none" w:sz="0" w:space="0" w:color="auto"/>
        <w:right w:val="none" w:sz="0" w:space="0" w:color="auto"/>
      </w:divBdr>
    </w:div>
    <w:div w:id="1703632202">
      <w:bodyDiv w:val="1"/>
      <w:marLeft w:val="0"/>
      <w:marRight w:val="0"/>
      <w:marTop w:val="0"/>
      <w:marBottom w:val="0"/>
      <w:divBdr>
        <w:top w:val="none" w:sz="0" w:space="0" w:color="auto"/>
        <w:left w:val="none" w:sz="0" w:space="0" w:color="auto"/>
        <w:bottom w:val="none" w:sz="0" w:space="0" w:color="auto"/>
        <w:right w:val="none" w:sz="0" w:space="0" w:color="auto"/>
      </w:divBdr>
      <w:divsChild>
        <w:div w:id="512381385">
          <w:marLeft w:val="403"/>
          <w:marRight w:val="0"/>
          <w:marTop w:val="0"/>
          <w:marBottom w:val="120"/>
          <w:divBdr>
            <w:top w:val="none" w:sz="0" w:space="0" w:color="auto"/>
            <w:left w:val="none" w:sz="0" w:space="0" w:color="auto"/>
            <w:bottom w:val="none" w:sz="0" w:space="0" w:color="auto"/>
            <w:right w:val="none" w:sz="0" w:space="0" w:color="auto"/>
          </w:divBdr>
        </w:div>
        <w:div w:id="730232588">
          <w:marLeft w:val="403"/>
          <w:marRight w:val="0"/>
          <w:marTop w:val="0"/>
          <w:marBottom w:val="120"/>
          <w:divBdr>
            <w:top w:val="none" w:sz="0" w:space="0" w:color="auto"/>
            <w:left w:val="none" w:sz="0" w:space="0" w:color="auto"/>
            <w:bottom w:val="none" w:sz="0" w:space="0" w:color="auto"/>
            <w:right w:val="none" w:sz="0" w:space="0" w:color="auto"/>
          </w:divBdr>
        </w:div>
        <w:div w:id="876696488">
          <w:marLeft w:val="403"/>
          <w:marRight w:val="0"/>
          <w:marTop w:val="0"/>
          <w:marBottom w:val="120"/>
          <w:divBdr>
            <w:top w:val="none" w:sz="0" w:space="0" w:color="auto"/>
            <w:left w:val="none" w:sz="0" w:space="0" w:color="auto"/>
            <w:bottom w:val="none" w:sz="0" w:space="0" w:color="auto"/>
            <w:right w:val="none" w:sz="0" w:space="0" w:color="auto"/>
          </w:divBdr>
        </w:div>
        <w:div w:id="1772161831">
          <w:marLeft w:val="403"/>
          <w:marRight w:val="0"/>
          <w:marTop w:val="0"/>
          <w:marBottom w:val="120"/>
          <w:divBdr>
            <w:top w:val="none" w:sz="0" w:space="0" w:color="auto"/>
            <w:left w:val="none" w:sz="0" w:space="0" w:color="auto"/>
            <w:bottom w:val="none" w:sz="0" w:space="0" w:color="auto"/>
            <w:right w:val="none" w:sz="0" w:space="0" w:color="auto"/>
          </w:divBdr>
        </w:div>
        <w:div w:id="1882981633">
          <w:marLeft w:val="403"/>
          <w:marRight w:val="0"/>
          <w:marTop w:val="0"/>
          <w:marBottom w:val="120"/>
          <w:divBdr>
            <w:top w:val="none" w:sz="0" w:space="0" w:color="auto"/>
            <w:left w:val="none" w:sz="0" w:space="0" w:color="auto"/>
            <w:bottom w:val="none" w:sz="0" w:space="0" w:color="auto"/>
            <w:right w:val="none" w:sz="0" w:space="0" w:color="auto"/>
          </w:divBdr>
        </w:div>
        <w:div w:id="2050955108">
          <w:marLeft w:val="403"/>
          <w:marRight w:val="0"/>
          <w:marTop w:val="0"/>
          <w:marBottom w:val="120"/>
          <w:divBdr>
            <w:top w:val="none" w:sz="0" w:space="0" w:color="auto"/>
            <w:left w:val="none" w:sz="0" w:space="0" w:color="auto"/>
            <w:bottom w:val="none" w:sz="0" w:space="0" w:color="auto"/>
            <w:right w:val="none" w:sz="0" w:space="0" w:color="auto"/>
          </w:divBdr>
        </w:div>
      </w:divsChild>
    </w:div>
    <w:div w:id="1704208813">
      <w:bodyDiv w:val="1"/>
      <w:marLeft w:val="0"/>
      <w:marRight w:val="0"/>
      <w:marTop w:val="0"/>
      <w:marBottom w:val="0"/>
      <w:divBdr>
        <w:top w:val="none" w:sz="0" w:space="0" w:color="auto"/>
        <w:left w:val="none" w:sz="0" w:space="0" w:color="auto"/>
        <w:bottom w:val="none" w:sz="0" w:space="0" w:color="auto"/>
        <w:right w:val="none" w:sz="0" w:space="0" w:color="auto"/>
      </w:divBdr>
    </w:div>
    <w:div w:id="1707175537">
      <w:bodyDiv w:val="1"/>
      <w:marLeft w:val="0"/>
      <w:marRight w:val="0"/>
      <w:marTop w:val="0"/>
      <w:marBottom w:val="0"/>
      <w:divBdr>
        <w:top w:val="none" w:sz="0" w:space="0" w:color="auto"/>
        <w:left w:val="none" w:sz="0" w:space="0" w:color="auto"/>
        <w:bottom w:val="none" w:sz="0" w:space="0" w:color="auto"/>
        <w:right w:val="none" w:sz="0" w:space="0" w:color="auto"/>
      </w:divBdr>
    </w:div>
    <w:div w:id="1707295836">
      <w:bodyDiv w:val="1"/>
      <w:marLeft w:val="0"/>
      <w:marRight w:val="0"/>
      <w:marTop w:val="0"/>
      <w:marBottom w:val="0"/>
      <w:divBdr>
        <w:top w:val="none" w:sz="0" w:space="0" w:color="auto"/>
        <w:left w:val="none" w:sz="0" w:space="0" w:color="auto"/>
        <w:bottom w:val="none" w:sz="0" w:space="0" w:color="auto"/>
        <w:right w:val="none" w:sz="0" w:space="0" w:color="auto"/>
      </w:divBdr>
      <w:divsChild>
        <w:div w:id="1892109387">
          <w:marLeft w:val="878"/>
          <w:marRight w:val="0"/>
          <w:marTop w:val="0"/>
          <w:marBottom w:val="120"/>
          <w:divBdr>
            <w:top w:val="none" w:sz="0" w:space="0" w:color="auto"/>
            <w:left w:val="none" w:sz="0" w:space="0" w:color="auto"/>
            <w:bottom w:val="none" w:sz="0" w:space="0" w:color="auto"/>
            <w:right w:val="none" w:sz="0" w:space="0" w:color="auto"/>
          </w:divBdr>
        </w:div>
        <w:div w:id="2042853173">
          <w:marLeft w:val="403"/>
          <w:marRight w:val="0"/>
          <w:marTop w:val="0"/>
          <w:marBottom w:val="120"/>
          <w:divBdr>
            <w:top w:val="none" w:sz="0" w:space="0" w:color="auto"/>
            <w:left w:val="none" w:sz="0" w:space="0" w:color="auto"/>
            <w:bottom w:val="none" w:sz="0" w:space="0" w:color="auto"/>
            <w:right w:val="none" w:sz="0" w:space="0" w:color="auto"/>
          </w:divBdr>
        </w:div>
      </w:divsChild>
    </w:div>
    <w:div w:id="1714500501">
      <w:bodyDiv w:val="1"/>
      <w:marLeft w:val="0"/>
      <w:marRight w:val="0"/>
      <w:marTop w:val="0"/>
      <w:marBottom w:val="0"/>
      <w:divBdr>
        <w:top w:val="none" w:sz="0" w:space="0" w:color="auto"/>
        <w:left w:val="none" w:sz="0" w:space="0" w:color="auto"/>
        <w:bottom w:val="none" w:sz="0" w:space="0" w:color="auto"/>
        <w:right w:val="none" w:sz="0" w:space="0" w:color="auto"/>
      </w:divBdr>
    </w:div>
    <w:div w:id="1716926468">
      <w:bodyDiv w:val="1"/>
      <w:marLeft w:val="0"/>
      <w:marRight w:val="0"/>
      <w:marTop w:val="0"/>
      <w:marBottom w:val="0"/>
      <w:divBdr>
        <w:top w:val="none" w:sz="0" w:space="0" w:color="auto"/>
        <w:left w:val="none" w:sz="0" w:space="0" w:color="auto"/>
        <w:bottom w:val="none" w:sz="0" w:space="0" w:color="auto"/>
        <w:right w:val="none" w:sz="0" w:space="0" w:color="auto"/>
      </w:divBdr>
    </w:div>
    <w:div w:id="1717504006">
      <w:bodyDiv w:val="1"/>
      <w:marLeft w:val="0"/>
      <w:marRight w:val="0"/>
      <w:marTop w:val="0"/>
      <w:marBottom w:val="0"/>
      <w:divBdr>
        <w:top w:val="none" w:sz="0" w:space="0" w:color="auto"/>
        <w:left w:val="none" w:sz="0" w:space="0" w:color="auto"/>
        <w:bottom w:val="none" w:sz="0" w:space="0" w:color="auto"/>
        <w:right w:val="none" w:sz="0" w:space="0" w:color="auto"/>
      </w:divBdr>
    </w:div>
    <w:div w:id="1719013389">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
    <w:div w:id="1741632943">
      <w:bodyDiv w:val="1"/>
      <w:marLeft w:val="0"/>
      <w:marRight w:val="0"/>
      <w:marTop w:val="0"/>
      <w:marBottom w:val="0"/>
      <w:divBdr>
        <w:top w:val="none" w:sz="0" w:space="0" w:color="auto"/>
        <w:left w:val="none" w:sz="0" w:space="0" w:color="auto"/>
        <w:bottom w:val="none" w:sz="0" w:space="0" w:color="auto"/>
        <w:right w:val="none" w:sz="0" w:space="0" w:color="auto"/>
      </w:divBdr>
    </w:div>
    <w:div w:id="1744372630">
      <w:bodyDiv w:val="1"/>
      <w:marLeft w:val="0"/>
      <w:marRight w:val="0"/>
      <w:marTop w:val="0"/>
      <w:marBottom w:val="0"/>
      <w:divBdr>
        <w:top w:val="none" w:sz="0" w:space="0" w:color="auto"/>
        <w:left w:val="none" w:sz="0" w:space="0" w:color="auto"/>
        <w:bottom w:val="none" w:sz="0" w:space="0" w:color="auto"/>
        <w:right w:val="none" w:sz="0" w:space="0" w:color="auto"/>
      </w:divBdr>
      <w:divsChild>
        <w:div w:id="697585859">
          <w:marLeft w:val="403"/>
          <w:marRight w:val="0"/>
          <w:marTop w:val="0"/>
          <w:marBottom w:val="120"/>
          <w:divBdr>
            <w:top w:val="none" w:sz="0" w:space="0" w:color="auto"/>
            <w:left w:val="none" w:sz="0" w:space="0" w:color="auto"/>
            <w:bottom w:val="none" w:sz="0" w:space="0" w:color="auto"/>
            <w:right w:val="none" w:sz="0" w:space="0" w:color="auto"/>
          </w:divBdr>
        </w:div>
      </w:divsChild>
    </w:div>
    <w:div w:id="1745956341">
      <w:bodyDiv w:val="1"/>
      <w:marLeft w:val="0"/>
      <w:marRight w:val="0"/>
      <w:marTop w:val="0"/>
      <w:marBottom w:val="0"/>
      <w:divBdr>
        <w:top w:val="none" w:sz="0" w:space="0" w:color="auto"/>
        <w:left w:val="none" w:sz="0" w:space="0" w:color="auto"/>
        <w:bottom w:val="none" w:sz="0" w:space="0" w:color="auto"/>
        <w:right w:val="none" w:sz="0" w:space="0" w:color="auto"/>
      </w:divBdr>
    </w:div>
    <w:div w:id="1755198732">
      <w:bodyDiv w:val="1"/>
      <w:marLeft w:val="0"/>
      <w:marRight w:val="0"/>
      <w:marTop w:val="0"/>
      <w:marBottom w:val="0"/>
      <w:divBdr>
        <w:top w:val="none" w:sz="0" w:space="0" w:color="auto"/>
        <w:left w:val="none" w:sz="0" w:space="0" w:color="auto"/>
        <w:bottom w:val="none" w:sz="0" w:space="0" w:color="auto"/>
        <w:right w:val="none" w:sz="0" w:space="0" w:color="auto"/>
      </w:divBdr>
    </w:div>
    <w:div w:id="1767340804">
      <w:bodyDiv w:val="1"/>
      <w:marLeft w:val="0"/>
      <w:marRight w:val="0"/>
      <w:marTop w:val="0"/>
      <w:marBottom w:val="0"/>
      <w:divBdr>
        <w:top w:val="none" w:sz="0" w:space="0" w:color="auto"/>
        <w:left w:val="none" w:sz="0" w:space="0" w:color="auto"/>
        <w:bottom w:val="none" w:sz="0" w:space="0" w:color="auto"/>
        <w:right w:val="none" w:sz="0" w:space="0" w:color="auto"/>
      </w:divBdr>
    </w:div>
    <w:div w:id="1767456517">
      <w:bodyDiv w:val="1"/>
      <w:marLeft w:val="0"/>
      <w:marRight w:val="0"/>
      <w:marTop w:val="0"/>
      <w:marBottom w:val="0"/>
      <w:divBdr>
        <w:top w:val="none" w:sz="0" w:space="0" w:color="auto"/>
        <w:left w:val="none" w:sz="0" w:space="0" w:color="auto"/>
        <w:bottom w:val="none" w:sz="0" w:space="0" w:color="auto"/>
        <w:right w:val="none" w:sz="0" w:space="0" w:color="auto"/>
      </w:divBdr>
      <w:divsChild>
        <w:div w:id="2141342891">
          <w:marLeft w:val="403"/>
          <w:marRight w:val="0"/>
          <w:marTop w:val="150"/>
          <w:marBottom w:val="0"/>
          <w:divBdr>
            <w:top w:val="none" w:sz="0" w:space="0" w:color="auto"/>
            <w:left w:val="none" w:sz="0" w:space="0" w:color="auto"/>
            <w:bottom w:val="none" w:sz="0" w:space="0" w:color="auto"/>
            <w:right w:val="none" w:sz="0" w:space="0" w:color="auto"/>
          </w:divBdr>
        </w:div>
      </w:divsChild>
    </w:div>
    <w:div w:id="1770662136">
      <w:bodyDiv w:val="1"/>
      <w:marLeft w:val="0"/>
      <w:marRight w:val="0"/>
      <w:marTop w:val="0"/>
      <w:marBottom w:val="0"/>
      <w:divBdr>
        <w:top w:val="none" w:sz="0" w:space="0" w:color="auto"/>
        <w:left w:val="none" w:sz="0" w:space="0" w:color="auto"/>
        <w:bottom w:val="none" w:sz="0" w:space="0" w:color="auto"/>
        <w:right w:val="none" w:sz="0" w:space="0" w:color="auto"/>
      </w:divBdr>
      <w:divsChild>
        <w:div w:id="875435114">
          <w:marLeft w:val="475"/>
          <w:marRight w:val="0"/>
          <w:marTop w:val="0"/>
          <w:marBottom w:val="120"/>
          <w:divBdr>
            <w:top w:val="none" w:sz="0" w:space="0" w:color="auto"/>
            <w:left w:val="none" w:sz="0" w:space="0" w:color="auto"/>
            <w:bottom w:val="none" w:sz="0" w:space="0" w:color="auto"/>
            <w:right w:val="none" w:sz="0" w:space="0" w:color="auto"/>
          </w:divBdr>
        </w:div>
        <w:div w:id="923152420">
          <w:marLeft w:val="475"/>
          <w:marRight w:val="0"/>
          <w:marTop w:val="0"/>
          <w:marBottom w:val="120"/>
          <w:divBdr>
            <w:top w:val="none" w:sz="0" w:space="0" w:color="auto"/>
            <w:left w:val="none" w:sz="0" w:space="0" w:color="auto"/>
            <w:bottom w:val="none" w:sz="0" w:space="0" w:color="auto"/>
            <w:right w:val="none" w:sz="0" w:space="0" w:color="auto"/>
          </w:divBdr>
        </w:div>
      </w:divsChild>
    </w:div>
    <w:div w:id="1776359850">
      <w:bodyDiv w:val="1"/>
      <w:marLeft w:val="0"/>
      <w:marRight w:val="0"/>
      <w:marTop w:val="0"/>
      <w:marBottom w:val="0"/>
      <w:divBdr>
        <w:top w:val="none" w:sz="0" w:space="0" w:color="auto"/>
        <w:left w:val="none" w:sz="0" w:space="0" w:color="auto"/>
        <w:bottom w:val="none" w:sz="0" w:space="0" w:color="auto"/>
        <w:right w:val="none" w:sz="0" w:space="0" w:color="auto"/>
      </w:divBdr>
    </w:div>
    <w:div w:id="1776362625">
      <w:bodyDiv w:val="1"/>
      <w:marLeft w:val="0"/>
      <w:marRight w:val="0"/>
      <w:marTop w:val="0"/>
      <w:marBottom w:val="0"/>
      <w:divBdr>
        <w:top w:val="none" w:sz="0" w:space="0" w:color="auto"/>
        <w:left w:val="none" w:sz="0" w:space="0" w:color="auto"/>
        <w:bottom w:val="none" w:sz="0" w:space="0" w:color="auto"/>
        <w:right w:val="none" w:sz="0" w:space="0" w:color="auto"/>
      </w:divBdr>
    </w:div>
    <w:div w:id="1779174973">
      <w:bodyDiv w:val="1"/>
      <w:marLeft w:val="0"/>
      <w:marRight w:val="0"/>
      <w:marTop w:val="0"/>
      <w:marBottom w:val="0"/>
      <w:divBdr>
        <w:top w:val="none" w:sz="0" w:space="0" w:color="auto"/>
        <w:left w:val="none" w:sz="0" w:space="0" w:color="auto"/>
        <w:bottom w:val="none" w:sz="0" w:space="0" w:color="auto"/>
        <w:right w:val="none" w:sz="0" w:space="0" w:color="auto"/>
      </w:divBdr>
    </w:div>
    <w:div w:id="1786341255">
      <w:bodyDiv w:val="1"/>
      <w:marLeft w:val="0"/>
      <w:marRight w:val="0"/>
      <w:marTop w:val="0"/>
      <w:marBottom w:val="0"/>
      <w:divBdr>
        <w:top w:val="none" w:sz="0" w:space="0" w:color="auto"/>
        <w:left w:val="none" w:sz="0" w:space="0" w:color="auto"/>
        <w:bottom w:val="none" w:sz="0" w:space="0" w:color="auto"/>
        <w:right w:val="none" w:sz="0" w:space="0" w:color="auto"/>
      </w:divBdr>
    </w:div>
    <w:div w:id="1798336332">
      <w:bodyDiv w:val="1"/>
      <w:marLeft w:val="0"/>
      <w:marRight w:val="0"/>
      <w:marTop w:val="0"/>
      <w:marBottom w:val="0"/>
      <w:divBdr>
        <w:top w:val="none" w:sz="0" w:space="0" w:color="auto"/>
        <w:left w:val="none" w:sz="0" w:space="0" w:color="auto"/>
        <w:bottom w:val="none" w:sz="0" w:space="0" w:color="auto"/>
        <w:right w:val="none" w:sz="0" w:space="0" w:color="auto"/>
      </w:divBdr>
    </w:div>
    <w:div w:id="1799839058">
      <w:bodyDiv w:val="1"/>
      <w:marLeft w:val="0"/>
      <w:marRight w:val="0"/>
      <w:marTop w:val="0"/>
      <w:marBottom w:val="0"/>
      <w:divBdr>
        <w:top w:val="none" w:sz="0" w:space="0" w:color="auto"/>
        <w:left w:val="none" w:sz="0" w:space="0" w:color="auto"/>
        <w:bottom w:val="none" w:sz="0" w:space="0" w:color="auto"/>
        <w:right w:val="none" w:sz="0" w:space="0" w:color="auto"/>
      </w:divBdr>
    </w:div>
    <w:div w:id="1807745288">
      <w:bodyDiv w:val="1"/>
      <w:marLeft w:val="0"/>
      <w:marRight w:val="0"/>
      <w:marTop w:val="0"/>
      <w:marBottom w:val="0"/>
      <w:divBdr>
        <w:top w:val="none" w:sz="0" w:space="0" w:color="auto"/>
        <w:left w:val="none" w:sz="0" w:space="0" w:color="auto"/>
        <w:bottom w:val="none" w:sz="0" w:space="0" w:color="auto"/>
        <w:right w:val="none" w:sz="0" w:space="0" w:color="auto"/>
      </w:divBdr>
    </w:div>
    <w:div w:id="1813017050">
      <w:bodyDiv w:val="1"/>
      <w:marLeft w:val="0"/>
      <w:marRight w:val="0"/>
      <w:marTop w:val="0"/>
      <w:marBottom w:val="0"/>
      <w:divBdr>
        <w:top w:val="none" w:sz="0" w:space="0" w:color="auto"/>
        <w:left w:val="none" w:sz="0" w:space="0" w:color="auto"/>
        <w:bottom w:val="none" w:sz="0" w:space="0" w:color="auto"/>
        <w:right w:val="none" w:sz="0" w:space="0" w:color="auto"/>
      </w:divBdr>
    </w:div>
    <w:div w:id="1814174825">
      <w:bodyDiv w:val="1"/>
      <w:marLeft w:val="0"/>
      <w:marRight w:val="0"/>
      <w:marTop w:val="0"/>
      <w:marBottom w:val="0"/>
      <w:divBdr>
        <w:top w:val="none" w:sz="0" w:space="0" w:color="auto"/>
        <w:left w:val="none" w:sz="0" w:space="0" w:color="auto"/>
        <w:bottom w:val="none" w:sz="0" w:space="0" w:color="auto"/>
        <w:right w:val="none" w:sz="0" w:space="0" w:color="auto"/>
      </w:divBdr>
    </w:div>
    <w:div w:id="1816531484">
      <w:bodyDiv w:val="1"/>
      <w:marLeft w:val="0"/>
      <w:marRight w:val="0"/>
      <w:marTop w:val="0"/>
      <w:marBottom w:val="0"/>
      <w:divBdr>
        <w:top w:val="none" w:sz="0" w:space="0" w:color="auto"/>
        <w:left w:val="none" w:sz="0" w:space="0" w:color="auto"/>
        <w:bottom w:val="none" w:sz="0" w:space="0" w:color="auto"/>
        <w:right w:val="none" w:sz="0" w:space="0" w:color="auto"/>
      </w:divBdr>
      <w:divsChild>
        <w:div w:id="2127894015">
          <w:marLeft w:val="403"/>
          <w:marRight w:val="0"/>
          <w:marTop w:val="0"/>
          <w:marBottom w:val="120"/>
          <w:divBdr>
            <w:top w:val="none" w:sz="0" w:space="0" w:color="auto"/>
            <w:left w:val="none" w:sz="0" w:space="0" w:color="auto"/>
            <w:bottom w:val="none" w:sz="0" w:space="0" w:color="auto"/>
            <w:right w:val="none" w:sz="0" w:space="0" w:color="auto"/>
          </w:divBdr>
        </w:div>
      </w:divsChild>
    </w:div>
    <w:div w:id="1823080994">
      <w:bodyDiv w:val="1"/>
      <w:marLeft w:val="0"/>
      <w:marRight w:val="0"/>
      <w:marTop w:val="0"/>
      <w:marBottom w:val="0"/>
      <w:divBdr>
        <w:top w:val="none" w:sz="0" w:space="0" w:color="auto"/>
        <w:left w:val="none" w:sz="0" w:space="0" w:color="auto"/>
        <w:bottom w:val="none" w:sz="0" w:space="0" w:color="auto"/>
        <w:right w:val="none" w:sz="0" w:space="0" w:color="auto"/>
      </w:divBdr>
    </w:div>
    <w:div w:id="1829051503">
      <w:bodyDiv w:val="1"/>
      <w:marLeft w:val="0"/>
      <w:marRight w:val="0"/>
      <w:marTop w:val="0"/>
      <w:marBottom w:val="0"/>
      <w:divBdr>
        <w:top w:val="none" w:sz="0" w:space="0" w:color="auto"/>
        <w:left w:val="none" w:sz="0" w:space="0" w:color="auto"/>
        <w:bottom w:val="none" w:sz="0" w:space="0" w:color="auto"/>
        <w:right w:val="none" w:sz="0" w:space="0" w:color="auto"/>
      </w:divBdr>
    </w:div>
    <w:div w:id="1831359378">
      <w:bodyDiv w:val="1"/>
      <w:marLeft w:val="0"/>
      <w:marRight w:val="0"/>
      <w:marTop w:val="0"/>
      <w:marBottom w:val="0"/>
      <w:divBdr>
        <w:top w:val="none" w:sz="0" w:space="0" w:color="auto"/>
        <w:left w:val="none" w:sz="0" w:space="0" w:color="auto"/>
        <w:bottom w:val="none" w:sz="0" w:space="0" w:color="auto"/>
        <w:right w:val="none" w:sz="0" w:space="0" w:color="auto"/>
      </w:divBdr>
    </w:div>
    <w:div w:id="1833057245">
      <w:bodyDiv w:val="1"/>
      <w:marLeft w:val="0"/>
      <w:marRight w:val="0"/>
      <w:marTop w:val="0"/>
      <w:marBottom w:val="0"/>
      <w:divBdr>
        <w:top w:val="none" w:sz="0" w:space="0" w:color="auto"/>
        <w:left w:val="none" w:sz="0" w:space="0" w:color="auto"/>
        <w:bottom w:val="none" w:sz="0" w:space="0" w:color="auto"/>
        <w:right w:val="none" w:sz="0" w:space="0" w:color="auto"/>
      </w:divBdr>
    </w:div>
    <w:div w:id="1833639401">
      <w:bodyDiv w:val="1"/>
      <w:marLeft w:val="0"/>
      <w:marRight w:val="0"/>
      <w:marTop w:val="0"/>
      <w:marBottom w:val="0"/>
      <w:divBdr>
        <w:top w:val="none" w:sz="0" w:space="0" w:color="auto"/>
        <w:left w:val="none" w:sz="0" w:space="0" w:color="auto"/>
        <w:bottom w:val="none" w:sz="0" w:space="0" w:color="auto"/>
        <w:right w:val="none" w:sz="0" w:space="0" w:color="auto"/>
      </w:divBdr>
    </w:div>
    <w:div w:id="1835795921">
      <w:bodyDiv w:val="1"/>
      <w:marLeft w:val="0"/>
      <w:marRight w:val="0"/>
      <w:marTop w:val="0"/>
      <w:marBottom w:val="0"/>
      <w:divBdr>
        <w:top w:val="none" w:sz="0" w:space="0" w:color="auto"/>
        <w:left w:val="none" w:sz="0" w:space="0" w:color="auto"/>
        <w:bottom w:val="none" w:sz="0" w:space="0" w:color="auto"/>
        <w:right w:val="none" w:sz="0" w:space="0" w:color="auto"/>
      </w:divBdr>
      <w:divsChild>
        <w:div w:id="463084205">
          <w:marLeft w:val="403"/>
          <w:marRight w:val="0"/>
          <w:marTop w:val="0"/>
          <w:marBottom w:val="120"/>
          <w:divBdr>
            <w:top w:val="none" w:sz="0" w:space="0" w:color="auto"/>
            <w:left w:val="none" w:sz="0" w:space="0" w:color="auto"/>
            <w:bottom w:val="none" w:sz="0" w:space="0" w:color="auto"/>
            <w:right w:val="none" w:sz="0" w:space="0" w:color="auto"/>
          </w:divBdr>
        </w:div>
        <w:div w:id="1449004082">
          <w:marLeft w:val="403"/>
          <w:marRight w:val="0"/>
          <w:marTop w:val="0"/>
          <w:marBottom w:val="120"/>
          <w:divBdr>
            <w:top w:val="none" w:sz="0" w:space="0" w:color="auto"/>
            <w:left w:val="none" w:sz="0" w:space="0" w:color="auto"/>
            <w:bottom w:val="none" w:sz="0" w:space="0" w:color="auto"/>
            <w:right w:val="none" w:sz="0" w:space="0" w:color="auto"/>
          </w:divBdr>
        </w:div>
      </w:divsChild>
    </w:div>
    <w:div w:id="1843427449">
      <w:bodyDiv w:val="1"/>
      <w:marLeft w:val="0"/>
      <w:marRight w:val="0"/>
      <w:marTop w:val="0"/>
      <w:marBottom w:val="0"/>
      <w:divBdr>
        <w:top w:val="none" w:sz="0" w:space="0" w:color="auto"/>
        <w:left w:val="none" w:sz="0" w:space="0" w:color="auto"/>
        <w:bottom w:val="none" w:sz="0" w:space="0" w:color="auto"/>
        <w:right w:val="none" w:sz="0" w:space="0" w:color="auto"/>
      </w:divBdr>
      <w:divsChild>
        <w:div w:id="1519077767">
          <w:marLeft w:val="403"/>
          <w:marRight w:val="0"/>
          <w:marTop w:val="150"/>
          <w:marBottom w:val="0"/>
          <w:divBdr>
            <w:top w:val="none" w:sz="0" w:space="0" w:color="auto"/>
            <w:left w:val="none" w:sz="0" w:space="0" w:color="auto"/>
            <w:bottom w:val="none" w:sz="0" w:space="0" w:color="auto"/>
            <w:right w:val="none" w:sz="0" w:space="0" w:color="auto"/>
          </w:divBdr>
        </w:div>
      </w:divsChild>
    </w:div>
    <w:div w:id="1844512377">
      <w:bodyDiv w:val="1"/>
      <w:marLeft w:val="0"/>
      <w:marRight w:val="0"/>
      <w:marTop w:val="0"/>
      <w:marBottom w:val="0"/>
      <w:divBdr>
        <w:top w:val="none" w:sz="0" w:space="0" w:color="auto"/>
        <w:left w:val="none" w:sz="0" w:space="0" w:color="auto"/>
        <w:bottom w:val="none" w:sz="0" w:space="0" w:color="auto"/>
        <w:right w:val="none" w:sz="0" w:space="0" w:color="auto"/>
      </w:divBdr>
      <w:divsChild>
        <w:div w:id="137190551">
          <w:marLeft w:val="274"/>
          <w:marRight w:val="0"/>
          <w:marTop w:val="150"/>
          <w:marBottom w:val="0"/>
          <w:divBdr>
            <w:top w:val="none" w:sz="0" w:space="0" w:color="auto"/>
            <w:left w:val="none" w:sz="0" w:space="0" w:color="auto"/>
            <w:bottom w:val="none" w:sz="0" w:space="0" w:color="auto"/>
            <w:right w:val="none" w:sz="0" w:space="0" w:color="auto"/>
          </w:divBdr>
        </w:div>
        <w:div w:id="857042880">
          <w:marLeft w:val="274"/>
          <w:marRight w:val="0"/>
          <w:marTop w:val="150"/>
          <w:marBottom w:val="0"/>
          <w:divBdr>
            <w:top w:val="none" w:sz="0" w:space="0" w:color="auto"/>
            <w:left w:val="none" w:sz="0" w:space="0" w:color="auto"/>
            <w:bottom w:val="none" w:sz="0" w:space="0" w:color="auto"/>
            <w:right w:val="none" w:sz="0" w:space="0" w:color="auto"/>
          </w:divBdr>
        </w:div>
        <w:div w:id="1288052564">
          <w:marLeft w:val="274"/>
          <w:marRight w:val="0"/>
          <w:marTop w:val="150"/>
          <w:marBottom w:val="0"/>
          <w:divBdr>
            <w:top w:val="none" w:sz="0" w:space="0" w:color="auto"/>
            <w:left w:val="none" w:sz="0" w:space="0" w:color="auto"/>
            <w:bottom w:val="none" w:sz="0" w:space="0" w:color="auto"/>
            <w:right w:val="none" w:sz="0" w:space="0" w:color="auto"/>
          </w:divBdr>
        </w:div>
        <w:div w:id="1524587456">
          <w:marLeft w:val="274"/>
          <w:marRight w:val="0"/>
          <w:marTop w:val="150"/>
          <w:marBottom w:val="0"/>
          <w:divBdr>
            <w:top w:val="none" w:sz="0" w:space="0" w:color="auto"/>
            <w:left w:val="none" w:sz="0" w:space="0" w:color="auto"/>
            <w:bottom w:val="none" w:sz="0" w:space="0" w:color="auto"/>
            <w:right w:val="none" w:sz="0" w:space="0" w:color="auto"/>
          </w:divBdr>
        </w:div>
      </w:divsChild>
    </w:div>
    <w:div w:id="1845170811">
      <w:bodyDiv w:val="1"/>
      <w:marLeft w:val="0"/>
      <w:marRight w:val="0"/>
      <w:marTop w:val="0"/>
      <w:marBottom w:val="0"/>
      <w:divBdr>
        <w:top w:val="none" w:sz="0" w:space="0" w:color="auto"/>
        <w:left w:val="none" w:sz="0" w:space="0" w:color="auto"/>
        <w:bottom w:val="none" w:sz="0" w:space="0" w:color="auto"/>
        <w:right w:val="none" w:sz="0" w:space="0" w:color="auto"/>
      </w:divBdr>
    </w:div>
    <w:div w:id="1859587035">
      <w:bodyDiv w:val="1"/>
      <w:marLeft w:val="0"/>
      <w:marRight w:val="0"/>
      <w:marTop w:val="0"/>
      <w:marBottom w:val="0"/>
      <w:divBdr>
        <w:top w:val="none" w:sz="0" w:space="0" w:color="auto"/>
        <w:left w:val="none" w:sz="0" w:space="0" w:color="auto"/>
        <w:bottom w:val="none" w:sz="0" w:space="0" w:color="auto"/>
        <w:right w:val="none" w:sz="0" w:space="0" w:color="auto"/>
      </w:divBdr>
      <w:divsChild>
        <w:div w:id="110247846">
          <w:marLeft w:val="403"/>
          <w:marRight w:val="0"/>
          <w:marTop w:val="150"/>
          <w:marBottom w:val="0"/>
          <w:divBdr>
            <w:top w:val="none" w:sz="0" w:space="0" w:color="auto"/>
            <w:left w:val="none" w:sz="0" w:space="0" w:color="auto"/>
            <w:bottom w:val="none" w:sz="0" w:space="0" w:color="auto"/>
            <w:right w:val="none" w:sz="0" w:space="0" w:color="auto"/>
          </w:divBdr>
        </w:div>
        <w:div w:id="545414153">
          <w:marLeft w:val="403"/>
          <w:marRight w:val="0"/>
          <w:marTop w:val="150"/>
          <w:marBottom w:val="0"/>
          <w:divBdr>
            <w:top w:val="none" w:sz="0" w:space="0" w:color="auto"/>
            <w:left w:val="none" w:sz="0" w:space="0" w:color="auto"/>
            <w:bottom w:val="none" w:sz="0" w:space="0" w:color="auto"/>
            <w:right w:val="none" w:sz="0" w:space="0" w:color="auto"/>
          </w:divBdr>
        </w:div>
      </w:divsChild>
    </w:div>
    <w:div w:id="1859931350">
      <w:bodyDiv w:val="1"/>
      <w:marLeft w:val="0"/>
      <w:marRight w:val="0"/>
      <w:marTop w:val="0"/>
      <w:marBottom w:val="0"/>
      <w:divBdr>
        <w:top w:val="none" w:sz="0" w:space="0" w:color="auto"/>
        <w:left w:val="none" w:sz="0" w:space="0" w:color="auto"/>
        <w:bottom w:val="none" w:sz="0" w:space="0" w:color="auto"/>
        <w:right w:val="none" w:sz="0" w:space="0" w:color="auto"/>
      </w:divBdr>
    </w:div>
    <w:div w:id="1863587703">
      <w:bodyDiv w:val="1"/>
      <w:marLeft w:val="0"/>
      <w:marRight w:val="0"/>
      <w:marTop w:val="0"/>
      <w:marBottom w:val="0"/>
      <w:divBdr>
        <w:top w:val="none" w:sz="0" w:space="0" w:color="auto"/>
        <w:left w:val="none" w:sz="0" w:space="0" w:color="auto"/>
        <w:bottom w:val="none" w:sz="0" w:space="0" w:color="auto"/>
        <w:right w:val="none" w:sz="0" w:space="0" w:color="auto"/>
      </w:divBdr>
    </w:div>
    <w:div w:id="1867675844">
      <w:bodyDiv w:val="1"/>
      <w:marLeft w:val="0"/>
      <w:marRight w:val="0"/>
      <w:marTop w:val="0"/>
      <w:marBottom w:val="0"/>
      <w:divBdr>
        <w:top w:val="none" w:sz="0" w:space="0" w:color="auto"/>
        <w:left w:val="none" w:sz="0" w:space="0" w:color="auto"/>
        <w:bottom w:val="none" w:sz="0" w:space="0" w:color="auto"/>
        <w:right w:val="none" w:sz="0" w:space="0" w:color="auto"/>
      </w:divBdr>
    </w:div>
    <w:div w:id="1890145246">
      <w:bodyDiv w:val="1"/>
      <w:marLeft w:val="0"/>
      <w:marRight w:val="0"/>
      <w:marTop w:val="0"/>
      <w:marBottom w:val="0"/>
      <w:divBdr>
        <w:top w:val="none" w:sz="0" w:space="0" w:color="auto"/>
        <w:left w:val="none" w:sz="0" w:space="0" w:color="auto"/>
        <w:bottom w:val="none" w:sz="0" w:space="0" w:color="auto"/>
        <w:right w:val="none" w:sz="0" w:space="0" w:color="auto"/>
      </w:divBdr>
    </w:div>
    <w:div w:id="1893539926">
      <w:bodyDiv w:val="1"/>
      <w:marLeft w:val="0"/>
      <w:marRight w:val="0"/>
      <w:marTop w:val="0"/>
      <w:marBottom w:val="0"/>
      <w:divBdr>
        <w:top w:val="none" w:sz="0" w:space="0" w:color="auto"/>
        <w:left w:val="none" w:sz="0" w:space="0" w:color="auto"/>
        <w:bottom w:val="none" w:sz="0" w:space="0" w:color="auto"/>
        <w:right w:val="none" w:sz="0" w:space="0" w:color="auto"/>
      </w:divBdr>
    </w:div>
    <w:div w:id="1895778755">
      <w:bodyDiv w:val="1"/>
      <w:marLeft w:val="0"/>
      <w:marRight w:val="0"/>
      <w:marTop w:val="0"/>
      <w:marBottom w:val="0"/>
      <w:divBdr>
        <w:top w:val="none" w:sz="0" w:space="0" w:color="auto"/>
        <w:left w:val="none" w:sz="0" w:space="0" w:color="auto"/>
        <w:bottom w:val="none" w:sz="0" w:space="0" w:color="auto"/>
        <w:right w:val="none" w:sz="0" w:space="0" w:color="auto"/>
      </w:divBdr>
    </w:div>
    <w:div w:id="1897348940">
      <w:bodyDiv w:val="1"/>
      <w:marLeft w:val="0"/>
      <w:marRight w:val="0"/>
      <w:marTop w:val="0"/>
      <w:marBottom w:val="0"/>
      <w:divBdr>
        <w:top w:val="none" w:sz="0" w:space="0" w:color="auto"/>
        <w:left w:val="none" w:sz="0" w:space="0" w:color="auto"/>
        <w:bottom w:val="none" w:sz="0" w:space="0" w:color="auto"/>
        <w:right w:val="none" w:sz="0" w:space="0" w:color="auto"/>
      </w:divBdr>
    </w:div>
    <w:div w:id="1897622984">
      <w:bodyDiv w:val="1"/>
      <w:marLeft w:val="0"/>
      <w:marRight w:val="0"/>
      <w:marTop w:val="0"/>
      <w:marBottom w:val="0"/>
      <w:divBdr>
        <w:top w:val="none" w:sz="0" w:space="0" w:color="auto"/>
        <w:left w:val="none" w:sz="0" w:space="0" w:color="auto"/>
        <w:bottom w:val="none" w:sz="0" w:space="0" w:color="auto"/>
        <w:right w:val="none" w:sz="0" w:space="0" w:color="auto"/>
      </w:divBdr>
      <w:divsChild>
        <w:div w:id="1256406176">
          <w:marLeft w:val="274"/>
          <w:marRight w:val="0"/>
          <w:marTop w:val="0"/>
          <w:marBottom w:val="120"/>
          <w:divBdr>
            <w:top w:val="none" w:sz="0" w:space="0" w:color="auto"/>
            <w:left w:val="none" w:sz="0" w:space="0" w:color="auto"/>
            <w:bottom w:val="none" w:sz="0" w:space="0" w:color="auto"/>
            <w:right w:val="none" w:sz="0" w:space="0" w:color="auto"/>
          </w:divBdr>
        </w:div>
      </w:divsChild>
    </w:div>
    <w:div w:id="1900702514">
      <w:bodyDiv w:val="1"/>
      <w:marLeft w:val="0"/>
      <w:marRight w:val="0"/>
      <w:marTop w:val="0"/>
      <w:marBottom w:val="0"/>
      <w:divBdr>
        <w:top w:val="none" w:sz="0" w:space="0" w:color="auto"/>
        <w:left w:val="none" w:sz="0" w:space="0" w:color="auto"/>
        <w:bottom w:val="none" w:sz="0" w:space="0" w:color="auto"/>
        <w:right w:val="none" w:sz="0" w:space="0" w:color="auto"/>
      </w:divBdr>
    </w:div>
    <w:div w:id="1908803420">
      <w:bodyDiv w:val="1"/>
      <w:marLeft w:val="0"/>
      <w:marRight w:val="0"/>
      <w:marTop w:val="0"/>
      <w:marBottom w:val="0"/>
      <w:divBdr>
        <w:top w:val="none" w:sz="0" w:space="0" w:color="auto"/>
        <w:left w:val="none" w:sz="0" w:space="0" w:color="auto"/>
        <w:bottom w:val="none" w:sz="0" w:space="0" w:color="auto"/>
        <w:right w:val="none" w:sz="0" w:space="0" w:color="auto"/>
      </w:divBdr>
      <w:divsChild>
        <w:div w:id="267082317">
          <w:marLeft w:val="403"/>
          <w:marRight w:val="0"/>
          <w:marTop w:val="150"/>
          <w:marBottom w:val="0"/>
          <w:divBdr>
            <w:top w:val="none" w:sz="0" w:space="0" w:color="auto"/>
            <w:left w:val="none" w:sz="0" w:space="0" w:color="auto"/>
            <w:bottom w:val="none" w:sz="0" w:space="0" w:color="auto"/>
            <w:right w:val="none" w:sz="0" w:space="0" w:color="auto"/>
          </w:divBdr>
        </w:div>
        <w:div w:id="1723207580">
          <w:marLeft w:val="403"/>
          <w:marRight w:val="0"/>
          <w:marTop w:val="150"/>
          <w:marBottom w:val="0"/>
          <w:divBdr>
            <w:top w:val="none" w:sz="0" w:space="0" w:color="auto"/>
            <w:left w:val="none" w:sz="0" w:space="0" w:color="auto"/>
            <w:bottom w:val="none" w:sz="0" w:space="0" w:color="auto"/>
            <w:right w:val="none" w:sz="0" w:space="0" w:color="auto"/>
          </w:divBdr>
        </w:div>
      </w:divsChild>
    </w:div>
    <w:div w:id="1916011344">
      <w:bodyDiv w:val="1"/>
      <w:marLeft w:val="0"/>
      <w:marRight w:val="0"/>
      <w:marTop w:val="0"/>
      <w:marBottom w:val="0"/>
      <w:divBdr>
        <w:top w:val="none" w:sz="0" w:space="0" w:color="auto"/>
        <w:left w:val="none" w:sz="0" w:space="0" w:color="auto"/>
        <w:bottom w:val="none" w:sz="0" w:space="0" w:color="auto"/>
        <w:right w:val="none" w:sz="0" w:space="0" w:color="auto"/>
      </w:divBdr>
    </w:div>
    <w:div w:id="1919051940">
      <w:bodyDiv w:val="1"/>
      <w:marLeft w:val="0"/>
      <w:marRight w:val="0"/>
      <w:marTop w:val="0"/>
      <w:marBottom w:val="0"/>
      <w:divBdr>
        <w:top w:val="none" w:sz="0" w:space="0" w:color="auto"/>
        <w:left w:val="none" w:sz="0" w:space="0" w:color="auto"/>
        <w:bottom w:val="none" w:sz="0" w:space="0" w:color="auto"/>
        <w:right w:val="none" w:sz="0" w:space="0" w:color="auto"/>
      </w:divBdr>
      <w:divsChild>
        <w:div w:id="253362849">
          <w:marLeft w:val="403"/>
          <w:marRight w:val="0"/>
          <w:marTop w:val="0"/>
          <w:marBottom w:val="150"/>
          <w:divBdr>
            <w:top w:val="none" w:sz="0" w:space="0" w:color="auto"/>
            <w:left w:val="none" w:sz="0" w:space="0" w:color="auto"/>
            <w:bottom w:val="none" w:sz="0" w:space="0" w:color="auto"/>
            <w:right w:val="none" w:sz="0" w:space="0" w:color="auto"/>
          </w:divBdr>
        </w:div>
        <w:div w:id="891381043">
          <w:marLeft w:val="878"/>
          <w:marRight w:val="0"/>
          <w:marTop w:val="0"/>
          <w:marBottom w:val="0"/>
          <w:divBdr>
            <w:top w:val="none" w:sz="0" w:space="0" w:color="auto"/>
            <w:left w:val="none" w:sz="0" w:space="0" w:color="auto"/>
            <w:bottom w:val="none" w:sz="0" w:space="0" w:color="auto"/>
            <w:right w:val="none" w:sz="0" w:space="0" w:color="auto"/>
          </w:divBdr>
        </w:div>
        <w:div w:id="1211965961">
          <w:marLeft w:val="878"/>
          <w:marRight w:val="0"/>
          <w:marTop w:val="0"/>
          <w:marBottom w:val="0"/>
          <w:divBdr>
            <w:top w:val="none" w:sz="0" w:space="0" w:color="auto"/>
            <w:left w:val="none" w:sz="0" w:space="0" w:color="auto"/>
            <w:bottom w:val="none" w:sz="0" w:space="0" w:color="auto"/>
            <w:right w:val="none" w:sz="0" w:space="0" w:color="auto"/>
          </w:divBdr>
        </w:div>
        <w:div w:id="1218469841">
          <w:marLeft w:val="878"/>
          <w:marRight w:val="0"/>
          <w:marTop w:val="0"/>
          <w:marBottom w:val="0"/>
          <w:divBdr>
            <w:top w:val="none" w:sz="0" w:space="0" w:color="auto"/>
            <w:left w:val="none" w:sz="0" w:space="0" w:color="auto"/>
            <w:bottom w:val="none" w:sz="0" w:space="0" w:color="auto"/>
            <w:right w:val="none" w:sz="0" w:space="0" w:color="auto"/>
          </w:divBdr>
        </w:div>
      </w:divsChild>
    </w:div>
    <w:div w:id="1932158988">
      <w:bodyDiv w:val="1"/>
      <w:marLeft w:val="0"/>
      <w:marRight w:val="0"/>
      <w:marTop w:val="0"/>
      <w:marBottom w:val="0"/>
      <w:divBdr>
        <w:top w:val="none" w:sz="0" w:space="0" w:color="auto"/>
        <w:left w:val="none" w:sz="0" w:space="0" w:color="auto"/>
        <w:bottom w:val="none" w:sz="0" w:space="0" w:color="auto"/>
        <w:right w:val="none" w:sz="0" w:space="0" w:color="auto"/>
      </w:divBdr>
      <w:divsChild>
        <w:div w:id="1644970315">
          <w:marLeft w:val="274"/>
          <w:marRight w:val="0"/>
          <w:marTop w:val="120"/>
          <w:marBottom w:val="0"/>
          <w:divBdr>
            <w:top w:val="none" w:sz="0" w:space="0" w:color="auto"/>
            <w:left w:val="none" w:sz="0" w:space="0" w:color="auto"/>
            <w:bottom w:val="none" w:sz="0" w:space="0" w:color="auto"/>
            <w:right w:val="none" w:sz="0" w:space="0" w:color="auto"/>
          </w:divBdr>
        </w:div>
      </w:divsChild>
    </w:div>
    <w:div w:id="1940261232">
      <w:bodyDiv w:val="1"/>
      <w:marLeft w:val="0"/>
      <w:marRight w:val="0"/>
      <w:marTop w:val="0"/>
      <w:marBottom w:val="0"/>
      <w:divBdr>
        <w:top w:val="none" w:sz="0" w:space="0" w:color="auto"/>
        <w:left w:val="none" w:sz="0" w:space="0" w:color="auto"/>
        <w:bottom w:val="none" w:sz="0" w:space="0" w:color="auto"/>
        <w:right w:val="none" w:sz="0" w:space="0" w:color="auto"/>
      </w:divBdr>
    </w:div>
    <w:div w:id="1942226561">
      <w:bodyDiv w:val="1"/>
      <w:marLeft w:val="0"/>
      <w:marRight w:val="0"/>
      <w:marTop w:val="0"/>
      <w:marBottom w:val="0"/>
      <w:divBdr>
        <w:top w:val="none" w:sz="0" w:space="0" w:color="auto"/>
        <w:left w:val="none" w:sz="0" w:space="0" w:color="auto"/>
        <w:bottom w:val="none" w:sz="0" w:space="0" w:color="auto"/>
        <w:right w:val="none" w:sz="0" w:space="0" w:color="auto"/>
      </w:divBdr>
    </w:div>
    <w:div w:id="1942298077">
      <w:bodyDiv w:val="1"/>
      <w:marLeft w:val="0"/>
      <w:marRight w:val="0"/>
      <w:marTop w:val="0"/>
      <w:marBottom w:val="0"/>
      <w:divBdr>
        <w:top w:val="none" w:sz="0" w:space="0" w:color="auto"/>
        <w:left w:val="none" w:sz="0" w:space="0" w:color="auto"/>
        <w:bottom w:val="none" w:sz="0" w:space="0" w:color="auto"/>
        <w:right w:val="none" w:sz="0" w:space="0" w:color="auto"/>
      </w:divBdr>
    </w:div>
    <w:div w:id="1947495343">
      <w:bodyDiv w:val="1"/>
      <w:marLeft w:val="0"/>
      <w:marRight w:val="0"/>
      <w:marTop w:val="0"/>
      <w:marBottom w:val="0"/>
      <w:divBdr>
        <w:top w:val="none" w:sz="0" w:space="0" w:color="auto"/>
        <w:left w:val="none" w:sz="0" w:space="0" w:color="auto"/>
        <w:bottom w:val="none" w:sz="0" w:space="0" w:color="auto"/>
        <w:right w:val="none" w:sz="0" w:space="0" w:color="auto"/>
      </w:divBdr>
      <w:divsChild>
        <w:div w:id="484661860">
          <w:marLeft w:val="720"/>
          <w:marRight w:val="0"/>
          <w:marTop w:val="150"/>
          <w:marBottom w:val="0"/>
          <w:divBdr>
            <w:top w:val="none" w:sz="0" w:space="0" w:color="auto"/>
            <w:left w:val="none" w:sz="0" w:space="0" w:color="auto"/>
            <w:bottom w:val="none" w:sz="0" w:space="0" w:color="auto"/>
            <w:right w:val="none" w:sz="0" w:space="0" w:color="auto"/>
          </w:divBdr>
        </w:div>
        <w:div w:id="1928146363">
          <w:marLeft w:val="720"/>
          <w:marRight w:val="0"/>
          <w:marTop w:val="150"/>
          <w:marBottom w:val="0"/>
          <w:divBdr>
            <w:top w:val="none" w:sz="0" w:space="0" w:color="auto"/>
            <w:left w:val="none" w:sz="0" w:space="0" w:color="auto"/>
            <w:bottom w:val="none" w:sz="0" w:space="0" w:color="auto"/>
            <w:right w:val="none" w:sz="0" w:space="0" w:color="auto"/>
          </w:divBdr>
        </w:div>
      </w:divsChild>
    </w:div>
    <w:div w:id="1960841518">
      <w:bodyDiv w:val="1"/>
      <w:marLeft w:val="0"/>
      <w:marRight w:val="0"/>
      <w:marTop w:val="0"/>
      <w:marBottom w:val="0"/>
      <w:divBdr>
        <w:top w:val="none" w:sz="0" w:space="0" w:color="auto"/>
        <w:left w:val="none" w:sz="0" w:space="0" w:color="auto"/>
        <w:bottom w:val="none" w:sz="0" w:space="0" w:color="auto"/>
        <w:right w:val="none" w:sz="0" w:space="0" w:color="auto"/>
      </w:divBdr>
      <w:divsChild>
        <w:div w:id="47147762">
          <w:marLeft w:val="403"/>
          <w:marRight w:val="0"/>
          <w:marTop w:val="0"/>
          <w:marBottom w:val="120"/>
          <w:divBdr>
            <w:top w:val="none" w:sz="0" w:space="0" w:color="auto"/>
            <w:left w:val="none" w:sz="0" w:space="0" w:color="auto"/>
            <w:bottom w:val="none" w:sz="0" w:space="0" w:color="auto"/>
            <w:right w:val="none" w:sz="0" w:space="0" w:color="auto"/>
          </w:divBdr>
        </w:div>
      </w:divsChild>
    </w:div>
    <w:div w:id="1972591457">
      <w:bodyDiv w:val="1"/>
      <w:marLeft w:val="0"/>
      <w:marRight w:val="0"/>
      <w:marTop w:val="0"/>
      <w:marBottom w:val="0"/>
      <w:divBdr>
        <w:top w:val="none" w:sz="0" w:space="0" w:color="auto"/>
        <w:left w:val="none" w:sz="0" w:space="0" w:color="auto"/>
        <w:bottom w:val="none" w:sz="0" w:space="0" w:color="auto"/>
        <w:right w:val="none" w:sz="0" w:space="0" w:color="auto"/>
      </w:divBdr>
    </w:div>
    <w:div w:id="1974600602">
      <w:bodyDiv w:val="1"/>
      <w:marLeft w:val="0"/>
      <w:marRight w:val="0"/>
      <w:marTop w:val="0"/>
      <w:marBottom w:val="0"/>
      <w:divBdr>
        <w:top w:val="none" w:sz="0" w:space="0" w:color="auto"/>
        <w:left w:val="none" w:sz="0" w:space="0" w:color="auto"/>
        <w:bottom w:val="none" w:sz="0" w:space="0" w:color="auto"/>
        <w:right w:val="none" w:sz="0" w:space="0" w:color="auto"/>
      </w:divBdr>
      <w:divsChild>
        <w:div w:id="1594780646">
          <w:marLeft w:val="403"/>
          <w:marRight w:val="0"/>
          <w:marTop w:val="0"/>
          <w:marBottom w:val="150"/>
          <w:divBdr>
            <w:top w:val="none" w:sz="0" w:space="0" w:color="auto"/>
            <w:left w:val="none" w:sz="0" w:space="0" w:color="auto"/>
            <w:bottom w:val="none" w:sz="0" w:space="0" w:color="auto"/>
            <w:right w:val="none" w:sz="0" w:space="0" w:color="auto"/>
          </w:divBdr>
        </w:div>
      </w:divsChild>
    </w:div>
    <w:div w:id="1976376547">
      <w:bodyDiv w:val="1"/>
      <w:marLeft w:val="0"/>
      <w:marRight w:val="0"/>
      <w:marTop w:val="0"/>
      <w:marBottom w:val="0"/>
      <w:divBdr>
        <w:top w:val="none" w:sz="0" w:space="0" w:color="auto"/>
        <w:left w:val="none" w:sz="0" w:space="0" w:color="auto"/>
        <w:bottom w:val="none" w:sz="0" w:space="0" w:color="auto"/>
        <w:right w:val="none" w:sz="0" w:space="0" w:color="auto"/>
      </w:divBdr>
    </w:div>
    <w:div w:id="1976637759">
      <w:bodyDiv w:val="1"/>
      <w:marLeft w:val="0"/>
      <w:marRight w:val="0"/>
      <w:marTop w:val="0"/>
      <w:marBottom w:val="0"/>
      <w:divBdr>
        <w:top w:val="none" w:sz="0" w:space="0" w:color="auto"/>
        <w:left w:val="none" w:sz="0" w:space="0" w:color="auto"/>
        <w:bottom w:val="none" w:sz="0" w:space="0" w:color="auto"/>
        <w:right w:val="none" w:sz="0" w:space="0" w:color="auto"/>
      </w:divBdr>
      <w:divsChild>
        <w:div w:id="605114617">
          <w:marLeft w:val="403"/>
          <w:marRight w:val="0"/>
          <w:marTop w:val="150"/>
          <w:marBottom w:val="0"/>
          <w:divBdr>
            <w:top w:val="none" w:sz="0" w:space="0" w:color="auto"/>
            <w:left w:val="none" w:sz="0" w:space="0" w:color="auto"/>
            <w:bottom w:val="none" w:sz="0" w:space="0" w:color="auto"/>
            <w:right w:val="none" w:sz="0" w:space="0" w:color="auto"/>
          </w:divBdr>
        </w:div>
      </w:divsChild>
    </w:div>
    <w:div w:id="1979454874">
      <w:bodyDiv w:val="1"/>
      <w:marLeft w:val="0"/>
      <w:marRight w:val="0"/>
      <w:marTop w:val="0"/>
      <w:marBottom w:val="0"/>
      <w:divBdr>
        <w:top w:val="none" w:sz="0" w:space="0" w:color="auto"/>
        <w:left w:val="none" w:sz="0" w:space="0" w:color="auto"/>
        <w:bottom w:val="none" w:sz="0" w:space="0" w:color="auto"/>
        <w:right w:val="none" w:sz="0" w:space="0" w:color="auto"/>
      </w:divBdr>
    </w:div>
    <w:div w:id="1988389867">
      <w:bodyDiv w:val="1"/>
      <w:marLeft w:val="0"/>
      <w:marRight w:val="0"/>
      <w:marTop w:val="0"/>
      <w:marBottom w:val="0"/>
      <w:divBdr>
        <w:top w:val="none" w:sz="0" w:space="0" w:color="auto"/>
        <w:left w:val="none" w:sz="0" w:space="0" w:color="auto"/>
        <w:bottom w:val="none" w:sz="0" w:space="0" w:color="auto"/>
        <w:right w:val="none" w:sz="0" w:space="0" w:color="auto"/>
      </w:divBdr>
      <w:divsChild>
        <w:div w:id="38863838">
          <w:marLeft w:val="403"/>
          <w:marRight w:val="0"/>
          <w:marTop w:val="0"/>
          <w:marBottom w:val="120"/>
          <w:divBdr>
            <w:top w:val="none" w:sz="0" w:space="0" w:color="auto"/>
            <w:left w:val="none" w:sz="0" w:space="0" w:color="auto"/>
            <w:bottom w:val="none" w:sz="0" w:space="0" w:color="auto"/>
            <w:right w:val="none" w:sz="0" w:space="0" w:color="auto"/>
          </w:divBdr>
        </w:div>
        <w:div w:id="790250737">
          <w:marLeft w:val="403"/>
          <w:marRight w:val="0"/>
          <w:marTop w:val="0"/>
          <w:marBottom w:val="120"/>
          <w:divBdr>
            <w:top w:val="none" w:sz="0" w:space="0" w:color="auto"/>
            <w:left w:val="none" w:sz="0" w:space="0" w:color="auto"/>
            <w:bottom w:val="none" w:sz="0" w:space="0" w:color="auto"/>
            <w:right w:val="none" w:sz="0" w:space="0" w:color="auto"/>
          </w:divBdr>
        </w:div>
        <w:div w:id="1149595780">
          <w:marLeft w:val="403"/>
          <w:marRight w:val="0"/>
          <w:marTop w:val="0"/>
          <w:marBottom w:val="120"/>
          <w:divBdr>
            <w:top w:val="none" w:sz="0" w:space="0" w:color="auto"/>
            <w:left w:val="none" w:sz="0" w:space="0" w:color="auto"/>
            <w:bottom w:val="none" w:sz="0" w:space="0" w:color="auto"/>
            <w:right w:val="none" w:sz="0" w:space="0" w:color="auto"/>
          </w:divBdr>
        </w:div>
      </w:divsChild>
    </w:div>
    <w:div w:id="1996377519">
      <w:bodyDiv w:val="1"/>
      <w:marLeft w:val="0"/>
      <w:marRight w:val="0"/>
      <w:marTop w:val="0"/>
      <w:marBottom w:val="0"/>
      <w:divBdr>
        <w:top w:val="none" w:sz="0" w:space="0" w:color="auto"/>
        <w:left w:val="none" w:sz="0" w:space="0" w:color="auto"/>
        <w:bottom w:val="none" w:sz="0" w:space="0" w:color="auto"/>
        <w:right w:val="none" w:sz="0" w:space="0" w:color="auto"/>
      </w:divBdr>
    </w:div>
    <w:div w:id="2002268162">
      <w:bodyDiv w:val="1"/>
      <w:marLeft w:val="0"/>
      <w:marRight w:val="0"/>
      <w:marTop w:val="0"/>
      <w:marBottom w:val="0"/>
      <w:divBdr>
        <w:top w:val="none" w:sz="0" w:space="0" w:color="auto"/>
        <w:left w:val="none" w:sz="0" w:space="0" w:color="auto"/>
        <w:bottom w:val="none" w:sz="0" w:space="0" w:color="auto"/>
        <w:right w:val="none" w:sz="0" w:space="0" w:color="auto"/>
      </w:divBdr>
      <w:divsChild>
        <w:div w:id="117261136">
          <w:marLeft w:val="403"/>
          <w:marRight w:val="0"/>
          <w:marTop w:val="150"/>
          <w:marBottom w:val="0"/>
          <w:divBdr>
            <w:top w:val="none" w:sz="0" w:space="0" w:color="auto"/>
            <w:left w:val="none" w:sz="0" w:space="0" w:color="auto"/>
            <w:bottom w:val="none" w:sz="0" w:space="0" w:color="auto"/>
            <w:right w:val="none" w:sz="0" w:space="0" w:color="auto"/>
          </w:divBdr>
        </w:div>
        <w:div w:id="1718893060">
          <w:marLeft w:val="403"/>
          <w:marRight w:val="0"/>
          <w:marTop w:val="150"/>
          <w:marBottom w:val="0"/>
          <w:divBdr>
            <w:top w:val="none" w:sz="0" w:space="0" w:color="auto"/>
            <w:left w:val="none" w:sz="0" w:space="0" w:color="auto"/>
            <w:bottom w:val="none" w:sz="0" w:space="0" w:color="auto"/>
            <w:right w:val="none" w:sz="0" w:space="0" w:color="auto"/>
          </w:divBdr>
        </w:div>
        <w:div w:id="1747262749">
          <w:marLeft w:val="403"/>
          <w:marRight w:val="0"/>
          <w:marTop w:val="150"/>
          <w:marBottom w:val="0"/>
          <w:divBdr>
            <w:top w:val="none" w:sz="0" w:space="0" w:color="auto"/>
            <w:left w:val="none" w:sz="0" w:space="0" w:color="auto"/>
            <w:bottom w:val="none" w:sz="0" w:space="0" w:color="auto"/>
            <w:right w:val="none" w:sz="0" w:space="0" w:color="auto"/>
          </w:divBdr>
        </w:div>
      </w:divsChild>
    </w:div>
    <w:div w:id="2004501262">
      <w:bodyDiv w:val="1"/>
      <w:marLeft w:val="0"/>
      <w:marRight w:val="0"/>
      <w:marTop w:val="0"/>
      <w:marBottom w:val="0"/>
      <w:divBdr>
        <w:top w:val="none" w:sz="0" w:space="0" w:color="auto"/>
        <w:left w:val="none" w:sz="0" w:space="0" w:color="auto"/>
        <w:bottom w:val="none" w:sz="0" w:space="0" w:color="auto"/>
        <w:right w:val="none" w:sz="0" w:space="0" w:color="auto"/>
      </w:divBdr>
    </w:div>
    <w:div w:id="2006742037">
      <w:bodyDiv w:val="1"/>
      <w:marLeft w:val="0"/>
      <w:marRight w:val="0"/>
      <w:marTop w:val="0"/>
      <w:marBottom w:val="0"/>
      <w:divBdr>
        <w:top w:val="none" w:sz="0" w:space="0" w:color="auto"/>
        <w:left w:val="none" w:sz="0" w:space="0" w:color="auto"/>
        <w:bottom w:val="none" w:sz="0" w:space="0" w:color="auto"/>
        <w:right w:val="none" w:sz="0" w:space="0" w:color="auto"/>
      </w:divBdr>
      <w:divsChild>
        <w:div w:id="176695528">
          <w:marLeft w:val="274"/>
          <w:marRight w:val="0"/>
          <w:marTop w:val="120"/>
          <w:marBottom w:val="0"/>
          <w:divBdr>
            <w:top w:val="none" w:sz="0" w:space="0" w:color="auto"/>
            <w:left w:val="none" w:sz="0" w:space="0" w:color="auto"/>
            <w:bottom w:val="none" w:sz="0" w:space="0" w:color="auto"/>
            <w:right w:val="none" w:sz="0" w:space="0" w:color="auto"/>
          </w:divBdr>
        </w:div>
        <w:div w:id="682515189">
          <w:marLeft w:val="274"/>
          <w:marRight w:val="0"/>
          <w:marTop w:val="120"/>
          <w:marBottom w:val="0"/>
          <w:divBdr>
            <w:top w:val="none" w:sz="0" w:space="0" w:color="auto"/>
            <w:left w:val="none" w:sz="0" w:space="0" w:color="auto"/>
            <w:bottom w:val="none" w:sz="0" w:space="0" w:color="auto"/>
            <w:right w:val="none" w:sz="0" w:space="0" w:color="auto"/>
          </w:divBdr>
        </w:div>
        <w:div w:id="960455810">
          <w:marLeft w:val="274"/>
          <w:marRight w:val="0"/>
          <w:marTop w:val="120"/>
          <w:marBottom w:val="0"/>
          <w:divBdr>
            <w:top w:val="none" w:sz="0" w:space="0" w:color="auto"/>
            <w:left w:val="none" w:sz="0" w:space="0" w:color="auto"/>
            <w:bottom w:val="none" w:sz="0" w:space="0" w:color="auto"/>
            <w:right w:val="none" w:sz="0" w:space="0" w:color="auto"/>
          </w:divBdr>
        </w:div>
        <w:div w:id="1301107173">
          <w:marLeft w:val="274"/>
          <w:marRight w:val="0"/>
          <w:marTop w:val="120"/>
          <w:marBottom w:val="0"/>
          <w:divBdr>
            <w:top w:val="none" w:sz="0" w:space="0" w:color="auto"/>
            <w:left w:val="none" w:sz="0" w:space="0" w:color="auto"/>
            <w:bottom w:val="none" w:sz="0" w:space="0" w:color="auto"/>
            <w:right w:val="none" w:sz="0" w:space="0" w:color="auto"/>
          </w:divBdr>
        </w:div>
        <w:div w:id="1335573007">
          <w:marLeft w:val="274"/>
          <w:marRight w:val="0"/>
          <w:marTop w:val="120"/>
          <w:marBottom w:val="0"/>
          <w:divBdr>
            <w:top w:val="none" w:sz="0" w:space="0" w:color="auto"/>
            <w:left w:val="none" w:sz="0" w:space="0" w:color="auto"/>
            <w:bottom w:val="none" w:sz="0" w:space="0" w:color="auto"/>
            <w:right w:val="none" w:sz="0" w:space="0" w:color="auto"/>
          </w:divBdr>
        </w:div>
        <w:div w:id="1728189441">
          <w:marLeft w:val="274"/>
          <w:marRight w:val="0"/>
          <w:marTop w:val="120"/>
          <w:marBottom w:val="0"/>
          <w:divBdr>
            <w:top w:val="none" w:sz="0" w:space="0" w:color="auto"/>
            <w:left w:val="none" w:sz="0" w:space="0" w:color="auto"/>
            <w:bottom w:val="none" w:sz="0" w:space="0" w:color="auto"/>
            <w:right w:val="none" w:sz="0" w:space="0" w:color="auto"/>
          </w:divBdr>
        </w:div>
      </w:divsChild>
    </w:div>
    <w:div w:id="2008633372">
      <w:bodyDiv w:val="1"/>
      <w:marLeft w:val="0"/>
      <w:marRight w:val="0"/>
      <w:marTop w:val="0"/>
      <w:marBottom w:val="0"/>
      <w:divBdr>
        <w:top w:val="none" w:sz="0" w:space="0" w:color="auto"/>
        <w:left w:val="none" w:sz="0" w:space="0" w:color="auto"/>
        <w:bottom w:val="none" w:sz="0" w:space="0" w:color="auto"/>
        <w:right w:val="none" w:sz="0" w:space="0" w:color="auto"/>
      </w:divBdr>
    </w:div>
    <w:div w:id="2012752694">
      <w:bodyDiv w:val="1"/>
      <w:marLeft w:val="0"/>
      <w:marRight w:val="0"/>
      <w:marTop w:val="0"/>
      <w:marBottom w:val="0"/>
      <w:divBdr>
        <w:top w:val="none" w:sz="0" w:space="0" w:color="auto"/>
        <w:left w:val="none" w:sz="0" w:space="0" w:color="auto"/>
        <w:bottom w:val="none" w:sz="0" w:space="0" w:color="auto"/>
        <w:right w:val="none" w:sz="0" w:space="0" w:color="auto"/>
      </w:divBdr>
    </w:div>
    <w:div w:id="2020544043">
      <w:bodyDiv w:val="1"/>
      <w:marLeft w:val="0"/>
      <w:marRight w:val="0"/>
      <w:marTop w:val="0"/>
      <w:marBottom w:val="0"/>
      <w:divBdr>
        <w:top w:val="none" w:sz="0" w:space="0" w:color="auto"/>
        <w:left w:val="none" w:sz="0" w:space="0" w:color="auto"/>
        <w:bottom w:val="none" w:sz="0" w:space="0" w:color="auto"/>
        <w:right w:val="none" w:sz="0" w:space="0" w:color="auto"/>
      </w:divBdr>
    </w:div>
    <w:div w:id="2029982937">
      <w:bodyDiv w:val="1"/>
      <w:marLeft w:val="0"/>
      <w:marRight w:val="0"/>
      <w:marTop w:val="0"/>
      <w:marBottom w:val="0"/>
      <w:divBdr>
        <w:top w:val="none" w:sz="0" w:space="0" w:color="auto"/>
        <w:left w:val="none" w:sz="0" w:space="0" w:color="auto"/>
        <w:bottom w:val="none" w:sz="0" w:space="0" w:color="auto"/>
        <w:right w:val="none" w:sz="0" w:space="0" w:color="auto"/>
      </w:divBdr>
    </w:div>
    <w:div w:id="2034259752">
      <w:bodyDiv w:val="1"/>
      <w:marLeft w:val="0"/>
      <w:marRight w:val="0"/>
      <w:marTop w:val="0"/>
      <w:marBottom w:val="0"/>
      <w:divBdr>
        <w:top w:val="none" w:sz="0" w:space="0" w:color="auto"/>
        <w:left w:val="none" w:sz="0" w:space="0" w:color="auto"/>
        <w:bottom w:val="none" w:sz="0" w:space="0" w:color="auto"/>
        <w:right w:val="none" w:sz="0" w:space="0" w:color="auto"/>
      </w:divBdr>
    </w:div>
    <w:div w:id="2049260473">
      <w:bodyDiv w:val="1"/>
      <w:marLeft w:val="0"/>
      <w:marRight w:val="0"/>
      <w:marTop w:val="0"/>
      <w:marBottom w:val="0"/>
      <w:divBdr>
        <w:top w:val="none" w:sz="0" w:space="0" w:color="auto"/>
        <w:left w:val="none" w:sz="0" w:space="0" w:color="auto"/>
        <w:bottom w:val="none" w:sz="0" w:space="0" w:color="auto"/>
        <w:right w:val="none" w:sz="0" w:space="0" w:color="auto"/>
      </w:divBdr>
    </w:div>
    <w:div w:id="2052797673">
      <w:bodyDiv w:val="1"/>
      <w:marLeft w:val="0"/>
      <w:marRight w:val="0"/>
      <w:marTop w:val="0"/>
      <w:marBottom w:val="0"/>
      <w:divBdr>
        <w:top w:val="none" w:sz="0" w:space="0" w:color="auto"/>
        <w:left w:val="none" w:sz="0" w:space="0" w:color="auto"/>
        <w:bottom w:val="none" w:sz="0" w:space="0" w:color="auto"/>
        <w:right w:val="none" w:sz="0" w:space="0" w:color="auto"/>
      </w:divBdr>
    </w:div>
    <w:div w:id="2053461846">
      <w:bodyDiv w:val="1"/>
      <w:marLeft w:val="0"/>
      <w:marRight w:val="0"/>
      <w:marTop w:val="0"/>
      <w:marBottom w:val="0"/>
      <w:divBdr>
        <w:top w:val="none" w:sz="0" w:space="0" w:color="auto"/>
        <w:left w:val="none" w:sz="0" w:space="0" w:color="auto"/>
        <w:bottom w:val="none" w:sz="0" w:space="0" w:color="auto"/>
        <w:right w:val="none" w:sz="0" w:space="0" w:color="auto"/>
      </w:divBdr>
    </w:div>
    <w:div w:id="2054695199">
      <w:bodyDiv w:val="1"/>
      <w:marLeft w:val="0"/>
      <w:marRight w:val="0"/>
      <w:marTop w:val="0"/>
      <w:marBottom w:val="0"/>
      <w:divBdr>
        <w:top w:val="none" w:sz="0" w:space="0" w:color="auto"/>
        <w:left w:val="none" w:sz="0" w:space="0" w:color="auto"/>
        <w:bottom w:val="none" w:sz="0" w:space="0" w:color="auto"/>
        <w:right w:val="none" w:sz="0" w:space="0" w:color="auto"/>
      </w:divBdr>
      <w:divsChild>
        <w:div w:id="34473240">
          <w:marLeft w:val="403"/>
          <w:marRight w:val="0"/>
          <w:marTop w:val="0"/>
          <w:marBottom w:val="120"/>
          <w:divBdr>
            <w:top w:val="none" w:sz="0" w:space="0" w:color="auto"/>
            <w:left w:val="none" w:sz="0" w:space="0" w:color="auto"/>
            <w:bottom w:val="none" w:sz="0" w:space="0" w:color="auto"/>
            <w:right w:val="none" w:sz="0" w:space="0" w:color="auto"/>
          </w:divBdr>
        </w:div>
        <w:div w:id="77792269">
          <w:marLeft w:val="403"/>
          <w:marRight w:val="0"/>
          <w:marTop w:val="0"/>
          <w:marBottom w:val="120"/>
          <w:divBdr>
            <w:top w:val="none" w:sz="0" w:space="0" w:color="auto"/>
            <w:left w:val="none" w:sz="0" w:space="0" w:color="auto"/>
            <w:bottom w:val="none" w:sz="0" w:space="0" w:color="auto"/>
            <w:right w:val="none" w:sz="0" w:space="0" w:color="auto"/>
          </w:divBdr>
        </w:div>
        <w:div w:id="1958288296">
          <w:marLeft w:val="403"/>
          <w:marRight w:val="0"/>
          <w:marTop w:val="0"/>
          <w:marBottom w:val="120"/>
          <w:divBdr>
            <w:top w:val="none" w:sz="0" w:space="0" w:color="auto"/>
            <w:left w:val="none" w:sz="0" w:space="0" w:color="auto"/>
            <w:bottom w:val="none" w:sz="0" w:space="0" w:color="auto"/>
            <w:right w:val="none" w:sz="0" w:space="0" w:color="auto"/>
          </w:divBdr>
        </w:div>
      </w:divsChild>
    </w:div>
    <w:div w:id="2057198173">
      <w:bodyDiv w:val="1"/>
      <w:marLeft w:val="0"/>
      <w:marRight w:val="0"/>
      <w:marTop w:val="0"/>
      <w:marBottom w:val="0"/>
      <w:divBdr>
        <w:top w:val="none" w:sz="0" w:space="0" w:color="auto"/>
        <w:left w:val="none" w:sz="0" w:space="0" w:color="auto"/>
        <w:bottom w:val="none" w:sz="0" w:space="0" w:color="auto"/>
        <w:right w:val="none" w:sz="0" w:space="0" w:color="auto"/>
      </w:divBdr>
      <w:divsChild>
        <w:div w:id="1755711502">
          <w:marLeft w:val="274"/>
          <w:marRight w:val="0"/>
          <w:marTop w:val="120"/>
          <w:marBottom w:val="0"/>
          <w:divBdr>
            <w:top w:val="none" w:sz="0" w:space="0" w:color="auto"/>
            <w:left w:val="none" w:sz="0" w:space="0" w:color="auto"/>
            <w:bottom w:val="none" w:sz="0" w:space="0" w:color="auto"/>
            <w:right w:val="none" w:sz="0" w:space="0" w:color="auto"/>
          </w:divBdr>
        </w:div>
      </w:divsChild>
    </w:div>
    <w:div w:id="2070110347">
      <w:bodyDiv w:val="1"/>
      <w:marLeft w:val="0"/>
      <w:marRight w:val="0"/>
      <w:marTop w:val="0"/>
      <w:marBottom w:val="0"/>
      <w:divBdr>
        <w:top w:val="none" w:sz="0" w:space="0" w:color="auto"/>
        <w:left w:val="none" w:sz="0" w:space="0" w:color="auto"/>
        <w:bottom w:val="none" w:sz="0" w:space="0" w:color="auto"/>
        <w:right w:val="none" w:sz="0" w:space="0" w:color="auto"/>
      </w:divBdr>
    </w:div>
    <w:div w:id="2077049504">
      <w:bodyDiv w:val="1"/>
      <w:marLeft w:val="0"/>
      <w:marRight w:val="0"/>
      <w:marTop w:val="0"/>
      <w:marBottom w:val="0"/>
      <w:divBdr>
        <w:top w:val="none" w:sz="0" w:space="0" w:color="auto"/>
        <w:left w:val="none" w:sz="0" w:space="0" w:color="auto"/>
        <w:bottom w:val="none" w:sz="0" w:space="0" w:color="auto"/>
        <w:right w:val="none" w:sz="0" w:space="0" w:color="auto"/>
      </w:divBdr>
      <w:divsChild>
        <w:div w:id="97258790">
          <w:marLeft w:val="403"/>
          <w:marRight w:val="0"/>
          <w:marTop w:val="0"/>
          <w:marBottom w:val="120"/>
          <w:divBdr>
            <w:top w:val="none" w:sz="0" w:space="0" w:color="auto"/>
            <w:left w:val="none" w:sz="0" w:space="0" w:color="auto"/>
            <w:bottom w:val="none" w:sz="0" w:space="0" w:color="auto"/>
            <w:right w:val="none" w:sz="0" w:space="0" w:color="auto"/>
          </w:divBdr>
        </w:div>
        <w:div w:id="123430725">
          <w:marLeft w:val="403"/>
          <w:marRight w:val="0"/>
          <w:marTop w:val="0"/>
          <w:marBottom w:val="120"/>
          <w:divBdr>
            <w:top w:val="none" w:sz="0" w:space="0" w:color="auto"/>
            <w:left w:val="none" w:sz="0" w:space="0" w:color="auto"/>
            <w:bottom w:val="none" w:sz="0" w:space="0" w:color="auto"/>
            <w:right w:val="none" w:sz="0" w:space="0" w:color="auto"/>
          </w:divBdr>
        </w:div>
      </w:divsChild>
    </w:div>
    <w:div w:id="2077779326">
      <w:bodyDiv w:val="1"/>
      <w:marLeft w:val="0"/>
      <w:marRight w:val="0"/>
      <w:marTop w:val="0"/>
      <w:marBottom w:val="0"/>
      <w:divBdr>
        <w:top w:val="none" w:sz="0" w:space="0" w:color="auto"/>
        <w:left w:val="none" w:sz="0" w:space="0" w:color="auto"/>
        <w:bottom w:val="none" w:sz="0" w:space="0" w:color="auto"/>
        <w:right w:val="none" w:sz="0" w:space="0" w:color="auto"/>
      </w:divBdr>
    </w:div>
    <w:div w:id="2085711804">
      <w:bodyDiv w:val="1"/>
      <w:marLeft w:val="0"/>
      <w:marRight w:val="0"/>
      <w:marTop w:val="0"/>
      <w:marBottom w:val="0"/>
      <w:divBdr>
        <w:top w:val="none" w:sz="0" w:space="0" w:color="auto"/>
        <w:left w:val="none" w:sz="0" w:space="0" w:color="auto"/>
        <w:bottom w:val="none" w:sz="0" w:space="0" w:color="auto"/>
        <w:right w:val="none" w:sz="0" w:space="0" w:color="auto"/>
      </w:divBdr>
      <w:divsChild>
        <w:div w:id="621687342">
          <w:marLeft w:val="475"/>
          <w:marRight w:val="0"/>
          <w:marTop w:val="0"/>
          <w:marBottom w:val="120"/>
          <w:divBdr>
            <w:top w:val="none" w:sz="0" w:space="0" w:color="auto"/>
            <w:left w:val="none" w:sz="0" w:space="0" w:color="auto"/>
            <w:bottom w:val="none" w:sz="0" w:space="0" w:color="auto"/>
            <w:right w:val="none" w:sz="0" w:space="0" w:color="auto"/>
          </w:divBdr>
        </w:div>
        <w:div w:id="2034068594">
          <w:marLeft w:val="475"/>
          <w:marRight w:val="0"/>
          <w:marTop w:val="0"/>
          <w:marBottom w:val="120"/>
          <w:divBdr>
            <w:top w:val="none" w:sz="0" w:space="0" w:color="auto"/>
            <w:left w:val="none" w:sz="0" w:space="0" w:color="auto"/>
            <w:bottom w:val="none" w:sz="0" w:space="0" w:color="auto"/>
            <w:right w:val="none" w:sz="0" w:space="0" w:color="auto"/>
          </w:divBdr>
        </w:div>
      </w:divsChild>
    </w:div>
    <w:div w:id="2096896270">
      <w:bodyDiv w:val="1"/>
      <w:marLeft w:val="0"/>
      <w:marRight w:val="0"/>
      <w:marTop w:val="0"/>
      <w:marBottom w:val="0"/>
      <w:divBdr>
        <w:top w:val="none" w:sz="0" w:space="0" w:color="auto"/>
        <w:left w:val="none" w:sz="0" w:space="0" w:color="auto"/>
        <w:bottom w:val="none" w:sz="0" w:space="0" w:color="auto"/>
        <w:right w:val="none" w:sz="0" w:space="0" w:color="auto"/>
      </w:divBdr>
    </w:div>
    <w:div w:id="2102604437">
      <w:bodyDiv w:val="1"/>
      <w:marLeft w:val="0"/>
      <w:marRight w:val="0"/>
      <w:marTop w:val="0"/>
      <w:marBottom w:val="0"/>
      <w:divBdr>
        <w:top w:val="none" w:sz="0" w:space="0" w:color="auto"/>
        <w:left w:val="none" w:sz="0" w:space="0" w:color="auto"/>
        <w:bottom w:val="none" w:sz="0" w:space="0" w:color="auto"/>
        <w:right w:val="none" w:sz="0" w:space="0" w:color="auto"/>
      </w:divBdr>
      <w:divsChild>
        <w:div w:id="1077940432">
          <w:marLeft w:val="403"/>
          <w:marRight w:val="0"/>
          <w:marTop w:val="0"/>
          <w:marBottom w:val="150"/>
          <w:divBdr>
            <w:top w:val="none" w:sz="0" w:space="0" w:color="auto"/>
            <w:left w:val="none" w:sz="0" w:space="0" w:color="auto"/>
            <w:bottom w:val="none" w:sz="0" w:space="0" w:color="auto"/>
            <w:right w:val="none" w:sz="0" w:space="0" w:color="auto"/>
          </w:divBdr>
        </w:div>
      </w:divsChild>
    </w:div>
    <w:div w:id="2104953577">
      <w:bodyDiv w:val="1"/>
      <w:marLeft w:val="0"/>
      <w:marRight w:val="0"/>
      <w:marTop w:val="0"/>
      <w:marBottom w:val="0"/>
      <w:divBdr>
        <w:top w:val="none" w:sz="0" w:space="0" w:color="auto"/>
        <w:left w:val="none" w:sz="0" w:space="0" w:color="auto"/>
        <w:bottom w:val="none" w:sz="0" w:space="0" w:color="auto"/>
        <w:right w:val="none" w:sz="0" w:space="0" w:color="auto"/>
      </w:divBdr>
    </w:div>
    <w:div w:id="2105414395">
      <w:bodyDiv w:val="1"/>
      <w:marLeft w:val="0"/>
      <w:marRight w:val="0"/>
      <w:marTop w:val="0"/>
      <w:marBottom w:val="0"/>
      <w:divBdr>
        <w:top w:val="none" w:sz="0" w:space="0" w:color="auto"/>
        <w:left w:val="none" w:sz="0" w:space="0" w:color="auto"/>
        <w:bottom w:val="none" w:sz="0" w:space="0" w:color="auto"/>
        <w:right w:val="none" w:sz="0" w:space="0" w:color="auto"/>
      </w:divBdr>
    </w:div>
    <w:div w:id="2107075045">
      <w:bodyDiv w:val="1"/>
      <w:marLeft w:val="0"/>
      <w:marRight w:val="0"/>
      <w:marTop w:val="0"/>
      <w:marBottom w:val="0"/>
      <w:divBdr>
        <w:top w:val="none" w:sz="0" w:space="0" w:color="auto"/>
        <w:left w:val="none" w:sz="0" w:space="0" w:color="auto"/>
        <w:bottom w:val="none" w:sz="0" w:space="0" w:color="auto"/>
        <w:right w:val="none" w:sz="0" w:space="0" w:color="auto"/>
      </w:divBdr>
      <w:divsChild>
        <w:div w:id="63721988">
          <w:marLeft w:val="403"/>
          <w:marRight w:val="0"/>
          <w:marTop w:val="120"/>
          <w:marBottom w:val="0"/>
          <w:divBdr>
            <w:top w:val="none" w:sz="0" w:space="0" w:color="auto"/>
            <w:left w:val="none" w:sz="0" w:space="0" w:color="auto"/>
            <w:bottom w:val="none" w:sz="0" w:space="0" w:color="auto"/>
            <w:right w:val="none" w:sz="0" w:space="0" w:color="auto"/>
          </w:divBdr>
        </w:div>
        <w:div w:id="326174368">
          <w:marLeft w:val="403"/>
          <w:marRight w:val="0"/>
          <w:marTop w:val="120"/>
          <w:marBottom w:val="0"/>
          <w:divBdr>
            <w:top w:val="none" w:sz="0" w:space="0" w:color="auto"/>
            <w:left w:val="none" w:sz="0" w:space="0" w:color="auto"/>
            <w:bottom w:val="none" w:sz="0" w:space="0" w:color="auto"/>
            <w:right w:val="none" w:sz="0" w:space="0" w:color="auto"/>
          </w:divBdr>
        </w:div>
      </w:divsChild>
    </w:div>
    <w:div w:id="2109881758">
      <w:bodyDiv w:val="1"/>
      <w:marLeft w:val="0"/>
      <w:marRight w:val="0"/>
      <w:marTop w:val="0"/>
      <w:marBottom w:val="0"/>
      <w:divBdr>
        <w:top w:val="none" w:sz="0" w:space="0" w:color="auto"/>
        <w:left w:val="none" w:sz="0" w:space="0" w:color="auto"/>
        <w:bottom w:val="none" w:sz="0" w:space="0" w:color="auto"/>
        <w:right w:val="none" w:sz="0" w:space="0" w:color="auto"/>
      </w:divBdr>
      <w:divsChild>
        <w:div w:id="207842922">
          <w:marLeft w:val="878"/>
          <w:marRight w:val="0"/>
          <w:marTop w:val="0"/>
          <w:marBottom w:val="120"/>
          <w:divBdr>
            <w:top w:val="none" w:sz="0" w:space="0" w:color="auto"/>
            <w:left w:val="none" w:sz="0" w:space="0" w:color="auto"/>
            <w:bottom w:val="none" w:sz="0" w:space="0" w:color="auto"/>
            <w:right w:val="none" w:sz="0" w:space="0" w:color="auto"/>
          </w:divBdr>
        </w:div>
        <w:div w:id="953756374">
          <w:marLeft w:val="878"/>
          <w:marRight w:val="0"/>
          <w:marTop w:val="0"/>
          <w:marBottom w:val="120"/>
          <w:divBdr>
            <w:top w:val="none" w:sz="0" w:space="0" w:color="auto"/>
            <w:left w:val="none" w:sz="0" w:space="0" w:color="auto"/>
            <w:bottom w:val="none" w:sz="0" w:space="0" w:color="auto"/>
            <w:right w:val="none" w:sz="0" w:space="0" w:color="auto"/>
          </w:divBdr>
        </w:div>
        <w:div w:id="2122993546">
          <w:marLeft w:val="878"/>
          <w:marRight w:val="0"/>
          <w:marTop w:val="0"/>
          <w:marBottom w:val="120"/>
          <w:divBdr>
            <w:top w:val="none" w:sz="0" w:space="0" w:color="auto"/>
            <w:left w:val="none" w:sz="0" w:space="0" w:color="auto"/>
            <w:bottom w:val="none" w:sz="0" w:space="0" w:color="auto"/>
            <w:right w:val="none" w:sz="0" w:space="0" w:color="auto"/>
          </w:divBdr>
        </w:div>
      </w:divsChild>
    </w:div>
    <w:div w:id="2118483117">
      <w:bodyDiv w:val="1"/>
      <w:marLeft w:val="0"/>
      <w:marRight w:val="0"/>
      <w:marTop w:val="0"/>
      <w:marBottom w:val="0"/>
      <w:divBdr>
        <w:top w:val="none" w:sz="0" w:space="0" w:color="auto"/>
        <w:left w:val="none" w:sz="0" w:space="0" w:color="auto"/>
        <w:bottom w:val="none" w:sz="0" w:space="0" w:color="auto"/>
        <w:right w:val="none" w:sz="0" w:space="0" w:color="auto"/>
      </w:divBdr>
      <w:divsChild>
        <w:div w:id="2101020662">
          <w:marLeft w:val="403"/>
          <w:marRight w:val="0"/>
          <w:marTop w:val="150"/>
          <w:marBottom w:val="0"/>
          <w:divBdr>
            <w:top w:val="none" w:sz="0" w:space="0" w:color="auto"/>
            <w:left w:val="none" w:sz="0" w:space="0" w:color="auto"/>
            <w:bottom w:val="none" w:sz="0" w:space="0" w:color="auto"/>
            <w:right w:val="none" w:sz="0" w:space="0" w:color="auto"/>
          </w:divBdr>
        </w:div>
      </w:divsChild>
    </w:div>
    <w:div w:id="2119567172">
      <w:bodyDiv w:val="1"/>
      <w:marLeft w:val="0"/>
      <w:marRight w:val="0"/>
      <w:marTop w:val="0"/>
      <w:marBottom w:val="0"/>
      <w:divBdr>
        <w:top w:val="none" w:sz="0" w:space="0" w:color="auto"/>
        <w:left w:val="none" w:sz="0" w:space="0" w:color="auto"/>
        <w:bottom w:val="none" w:sz="0" w:space="0" w:color="auto"/>
        <w:right w:val="none" w:sz="0" w:space="0" w:color="auto"/>
      </w:divBdr>
    </w:div>
    <w:div w:id="2123301102">
      <w:bodyDiv w:val="1"/>
      <w:marLeft w:val="0"/>
      <w:marRight w:val="0"/>
      <w:marTop w:val="0"/>
      <w:marBottom w:val="0"/>
      <w:divBdr>
        <w:top w:val="none" w:sz="0" w:space="0" w:color="auto"/>
        <w:left w:val="none" w:sz="0" w:space="0" w:color="auto"/>
        <w:bottom w:val="none" w:sz="0" w:space="0" w:color="auto"/>
        <w:right w:val="none" w:sz="0" w:space="0" w:color="auto"/>
      </w:divBdr>
      <w:divsChild>
        <w:div w:id="2070882180">
          <w:marLeft w:val="403"/>
          <w:marRight w:val="0"/>
          <w:marTop w:val="150"/>
          <w:marBottom w:val="0"/>
          <w:divBdr>
            <w:top w:val="none" w:sz="0" w:space="0" w:color="auto"/>
            <w:left w:val="none" w:sz="0" w:space="0" w:color="auto"/>
            <w:bottom w:val="none" w:sz="0" w:space="0" w:color="auto"/>
            <w:right w:val="none" w:sz="0" w:space="0" w:color="auto"/>
          </w:divBdr>
        </w:div>
      </w:divsChild>
    </w:div>
    <w:div w:id="2124962197">
      <w:bodyDiv w:val="1"/>
      <w:marLeft w:val="0"/>
      <w:marRight w:val="0"/>
      <w:marTop w:val="0"/>
      <w:marBottom w:val="0"/>
      <w:divBdr>
        <w:top w:val="none" w:sz="0" w:space="0" w:color="auto"/>
        <w:left w:val="none" w:sz="0" w:space="0" w:color="auto"/>
        <w:bottom w:val="none" w:sz="0" w:space="0" w:color="auto"/>
        <w:right w:val="none" w:sz="0" w:space="0" w:color="auto"/>
      </w:divBdr>
      <w:divsChild>
        <w:div w:id="139739408">
          <w:marLeft w:val="403"/>
          <w:marRight w:val="0"/>
          <w:marTop w:val="0"/>
          <w:marBottom w:val="120"/>
          <w:divBdr>
            <w:top w:val="none" w:sz="0" w:space="0" w:color="auto"/>
            <w:left w:val="none" w:sz="0" w:space="0" w:color="auto"/>
            <w:bottom w:val="none" w:sz="0" w:space="0" w:color="auto"/>
            <w:right w:val="none" w:sz="0" w:space="0" w:color="auto"/>
          </w:divBdr>
        </w:div>
        <w:div w:id="558441485">
          <w:marLeft w:val="403"/>
          <w:marRight w:val="0"/>
          <w:marTop w:val="0"/>
          <w:marBottom w:val="120"/>
          <w:divBdr>
            <w:top w:val="none" w:sz="0" w:space="0" w:color="auto"/>
            <w:left w:val="none" w:sz="0" w:space="0" w:color="auto"/>
            <w:bottom w:val="none" w:sz="0" w:space="0" w:color="auto"/>
            <w:right w:val="none" w:sz="0" w:space="0" w:color="auto"/>
          </w:divBdr>
        </w:div>
        <w:div w:id="1769347741">
          <w:marLeft w:val="403"/>
          <w:marRight w:val="0"/>
          <w:marTop w:val="0"/>
          <w:marBottom w:val="120"/>
          <w:divBdr>
            <w:top w:val="none" w:sz="0" w:space="0" w:color="auto"/>
            <w:left w:val="none" w:sz="0" w:space="0" w:color="auto"/>
            <w:bottom w:val="none" w:sz="0" w:space="0" w:color="auto"/>
            <w:right w:val="none" w:sz="0" w:space="0" w:color="auto"/>
          </w:divBdr>
        </w:div>
        <w:div w:id="2110732992">
          <w:marLeft w:val="403"/>
          <w:marRight w:val="0"/>
          <w:marTop w:val="0"/>
          <w:marBottom w:val="120"/>
          <w:divBdr>
            <w:top w:val="none" w:sz="0" w:space="0" w:color="auto"/>
            <w:left w:val="none" w:sz="0" w:space="0" w:color="auto"/>
            <w:bottom w:val="none" w:sz="0" w:space="0" w:color="auto"/>
            <w:right w:val="none" w:sz="0" w:space="0" w:color="auto"/>
          </w:divBdr>
        </w:div>
      </w:divsChild>
    </w:div>
    <w:div w:id="2126609592">
      <w:bodyDiv w:val="1"/>
      <w:marLeft w:val="0"/>
      <w:marRight w:val="0"/>
      <w:marTop w:val="0"/>
      <w:marBottom w:val="0"/>
      <w:divBdr>
        <w:top w:val="none" w:sz="0" w:space="0" w:color="auto"/>
        <w:left w:val="none" w:sz="0" w:space="0" w:color="auto"/>
        <w:bottom w:val="none" w:sz="0" w:space="0" w:color="auto"/>
        <w:right w:val="none" w:sz="0" w:space="0" w:color="auto"/>
      </w:divBdr>
    </w:div>
    <w:div w:id="2143109981">
      <w:bodyDiv w:val="1"/>
      <w:marLeft w:val="0"/>
      <w:marRight w:val="0"/>
      <w:marTop w:val="0"/>
      <w:marBottom w:val="0"/>
      <w:divBdr>
        <w:top w:val="none" w:sz="0" w:space="0" w:color="auto"/>
        <w:left w:val="none" w:sz="0" w:space="0" w:color="auto"/>
        <w:bottom w:val="none" w:sz="0" w:space="0" w:color="auto"/>
        <w:right w:val="none" w:sz="0" w:space="0" w:color="auto"/>
      </w:divBdr>
      <w:divsChild>
        <w:div w:id="1521162372">
          <w:marLeft w:val="403"/>
          <w:marRight w:val="0"/>
          <w:marTop w:val="150"/>
          <w:marBottom w:val="0"/>
          <w:divBdr>
            <w:top w:val="none" w:sz="0" w:space="0" w:color="auto"/>
            <w:left w:val="none" w:sz="0" w:space="0" w:color="auto"/>
            <w:bottom w:val="none" w:sz="0" w:space="0" w:color="auto"/>
            <w:right w:val="none" w:sz="0" w:space="0" w:color="auto"/>
          </w:divBdr>
        </w:div>
      </w:divsChild>
    </w:div>
    <w:div w:id="2145661237">
      <w:bodyDiv w:val="1"/>
      <w:marLeft w:val="0"/>
      <w:marRight w:val="0"/>
      <w:marTop w:val="0"/>
      <w:marBottom w:val="0"/>
      <w:divBdr>
        <w:top w:val="none" w:sz="0" w:space="0" w:color="auto"/>
        <w:left w:val="none" w:sz="0" w:space="0" w:color="auto"/>
        <w:bottom w:val="none" w:sz="0" w:space="0" w:color="auto"/>
        <w:right w:val="none" w:sz="0" w:space="0" w:color="auto"/>
      </w:divBdr>
    </w:div>
    <w:div w:id="214697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cdc.gov" TargetMode="External"/><Relationship Id="rId21" Type="http://schemas.openxmlformats.org/officeDocument/2006/relationships/hyperlink" Target="https://www.cdc.gov/std/chlamydia/stdfact-chlamydia-detailed.htm"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https://www.mass.gov/lists/massachusetts-youth-health-survey-myhs" TargetMode="External"/><Relationship Id="rId89" Type="http://schemas.openxmlformats.org/officeDocument/2006/relationships/hyperlink" Target="mailto:Janine.Dyer@state.ma.us" TargetMode="External"/><Relationship Id="rId112" Type="http://schemas.openxmlformats.org/officeDocument/2006/relationships/hyperlink" Target="http://www.mass.gov/HepA" TargetMode="External"/><Relationship Id="rId16" Type="http://schemas.openxmlformats.org/officeDocument/2006/relationships/header" Target="header2.xml"/><Relationship Id="rId107" Type="http://schemas.openxmlformats.org/officeDocument/2006/relationships/hyperlink" Target="https://massclearinghouse.ehs.state.ma.us/" TargetMode="External"/><Relationship Id="rId11" Type="http://schemas.openxmlformats.org/officeDocument/2006/relationships/hyperlink" Target="https://www.mass.gov/doc/2023-integrated-hiv-std-and-viral-hepatitis-report-pdf/download" TargetMode="Externa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www.mass.gov/doc/congenital-syphilis-clinical-alert-6-30-2020/download" TargetMode="External"/><Relationship Id="rId79" Type="http://schemas.openxmlformats.org/officeDocument/2006/relationships/image" Target="media/image54.png"/><Relationship Id="rId102" Type="http://schemas.openxmlformats.org/officeDocument/2006/relationships/hyperlink" Target="http://www.mass.gov/HepB" TargetMode="External"/><Relationship Id="rId123"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mailto:Betsey.John@state.ma.us" TargetMode="External"/><Relationship Id="rId95" Type="http://schemas.openxmlformats.org/officeDocument/2006/relationships/hyperlink" Target="mailto:Barry.Callis@state.ma.us" TargetMode="External"/><Relationship Id="rId22" Type="http://schemas.openxmlformats.org/officeDocument/2006/relationships/image" Target="media/image1.png"/><Relationship Id="rId27" Type="http://schemas.openxmlformats.org/officeDocument/2006/relationships/hyperlink" Target="https://www.mass.gov/doc/clinical-alert-on-non-susceptible-gonorrhea-january-19-2023/download"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hyperlink" Target="http://www.mass.gov/HepB" TargetMode="External"/><Relationship Id="rId118" Type="http://schemas.openxmlformats.org/officeDocument/2006/relationships/hyperlink" Target="http://www.cdc.gov/std" TargetMode="External"/><Relationship Id="rId80" Type="http://schemas.openxmlformats.org/officeDocument/2006/relationships/image" Target="media/image55.png"/><Relationship Id="rId85" Type="http://schemas.openxmlformats.org/officeDocument/2006/relationships/hyperlink" Target="https://www.mass.gov/lists/death-data" TargetMode="External"/><Relationship Id="rId12" Type="http://schemas.openxmlformats.org/officeDocument/2006/relationships/hyperlink" Target="https://www.mass.gov/lists/infectious-disease-data-reports-and-requests" TargetMode="External"/><Relationship Id="rId17" Type="http://schemas.openxmlformats.org/officeDocument/2006/relationships/footer" Target="footer2.xml"/><Relationship Id="rId33" Type="http://schemas.openxmlformats.org/officeDocument/2006/relationships/hyperlink" Target="https://www.cdc.gov/std/syphilis/stdfact-syphilis-detailed.htm" TargetMode="Externa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yperlink" Target="http://www.mass.gov/HepC" TargetMode="External"/><Relationship Id="rId108" Type="http://schemas.openxmlformats.org/officeDocument/2006/relationships/hyperlink" Target="http://www.ratelleptc.org/" TargetMode="External"/><Relationship Id="rId124" Type="http://schemas.openxmlformats.org/officeDocument/2006/relationships/footer" Target="footer4.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0.png"/><Relationship Id="rId91" Type="http://schemas.openxmlformats.org/officeDocument/2006/relationships/hyperlink" Target="mailto:Katherine.Hsu@state.ma.us" TargetMode="External"/><Relationship Id="rId96" Type="http://schemas.openxmlformats.org/officeDocument/2006/relationships/hyperlink" Target="mailto:Lindsay.Bouton@state.ma.u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hyperlink" Target="https://www.cdc.gov/std/gonorrhea/stdfact-gonorrhea-detailed.htm" TargetMode="External"/><Relationship Id="rId49" Type="http://schemas.openxmlformats.org/officeDocument/2006/relationships/image" Target="media/image25.png"/><Relationship Id="rId114" Type="http://schemas.openxmlformats.org/officeDocument/2006/relationships/hyperlink" Target="http://www.mass.gov/HepC" TargetMode="External"/><Relationship Id="rId119" Type="http://schemas.openxmlformats.org/officeDocument/2006/relationships/hyperlink" Target="http://www.cdc.gov/hiv" TargetMode="Externa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6.png"/><Relationship Id="rId86" Type="http://schemas.openxmlformats.org/officeDocument/2006/relationships/hyperlink" Target="http://www.donahue.umassp.edu/business-groups/economic-public-policy-research/massachusetts-population-estimates-program" TargetMode="External"/><Relationship Id="rId13" Type="http://schemas.openxmlformats.org/officeDocument/2006/relationships/hyperlink" Target="https://www.mass.gov/lists/std-data-and-reports" TargetMode="External"/><Relationship Id="rId18" Type="http://schemas.openxmlformats.org/officeDocument/2006/relationships/header" Target="header3.xml"/><Relationship Id="rId39" Type="http://schemas.openxmlformats.org/officeDocument/2006/relationships/image" Target="media/image15.png"/><Relationship Id="rId109" Type="http://schemas.openxmlformats.org/officeDocument/2006/relationships/hyperlink" Target="https://www.mass.gov/partner-services-program-psp" TargetMode="Externa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hyperlink" Target="mailto:Anthony.Osinski@state.ma.us" TargetMode="External"/><Relationship Id="rId104" Type="http://schemas.openxmlformats.org/officeDocument/2006/relationships/hyperlink" Target="http://www.ratelleptc.org/" TargetMode="External"/><Relationship Id="rId120" Type="http://schemas.openxmlformats.org/officeDocument/2006/relationships/hyperlink" Target="http://www.cdc.gov/hepatitis"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yperlink" Target="mailto:Kaitlin.Nichols@mass.gov"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hyperlink" Target="mailto:Brenda.Hernandez@state.ma.us" TargetMode="External"/><Relationship Id="rId110" Type="http://schemas.openxmlformats.org/officeDocument/2006/relationships/hyperlink" Target="http://www.mass.gov/orgs/bureau-of-infectious-disease-" TargetMode="External"/><Relationship Id="rId115" Type="http://schemas.openxmlformats.org/officeDocument/2006/relationships/hyperlink" Target="http://www.RatellePTC.org" TargetMode="External"/><Relationship Id="rId61" Type="http://schemas.openxmlformats.org/officeDocument/2006/relationships/image" Target="media/image37.png"/><Relationship Id="rId82" Type="http://schemas.openxmlformats.org/officeDocument/2006/relationships/image" Target="media/image57.pn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2.png"/><Relationship Id="rId100" Type="http://schemas.openxmlformats.org/officeDocument/2006/relationships/hyperlink" Target="http://www.mass.gov/dph/aids" TargetMode="External"/><Relationship Id="rId105" Type="http://schemas.openxmlformats.org/officeDocument/2006/relationships/hyperlink" Target="https://www.mass.gov/lists/hivaids-epidemiologic-profiles"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yperlink" Target="mailto:linda.goldman@state.ma.us" TargetMode="External"/><Relationship Id="rId98" Type="http://schemas.openxmlformats.org/officeDocument/2006/relationships/hyperlink" Target="http://www.mass.gov/dph/cdc/std" TargetMode="External"/><Relationship Id="rId121" Type="http://schemas.openxmlformats.org/officeDocument/2006/relationships/hyperlink" Target="http://www.nnptc.org"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hyperlink" Target="http://www.mass.gov/dph/cdc/std" TargetMode="External"/><Relationship Id="rId20" Type="http://schemas.openxmlformats.org/officeDocument/2006/relationships/footer" Target="footer3.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8.png"/><Relationship Id="rId88" Type="http://schemas.openxmlformats.org/officeDocument/2006/relationships/hyperlink" Target="mailto:Katherine.Hsu@state.ma.us" TargetMode="External"/><Relationship Id="rId111" Type="http://schemas.openxmlformats.org/officeDocument/2006/relationships/hyperlink" Target="http://www.mass.gov/dph/aids" TargetMode="External"/><Relationship Id="rId15" Type="http://schemas.openxmlformats.org/officeDocument/2006/relationships/header" Target="header1.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hyperlink" Target="https://www.mass.gov/infectious-disease-surveillance-reporting-and-control" TargetMode="External"/><Relationship Id="rId127"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3.png"/><Relationship Id="rId94" Type="http://schemas.openxmlformats.org/officeDocument/2006/relationships/hyperlink" Target="mailto:linda.goldman@state.ma.us" TargetMode="External"/><Relationship Id="rId99" Type="http://schemas.openxmlformats.org/officeDocument/2006/relationships/hyperlink" Target="http://www.mass.gov/dph/cdc/aids" TargetMode="External"/><Relationship Id="rId101" Type="http://schemas.openxmlformats.org/officeDocument/2006/relationships/hyperlink" Target="http://www.mass.gov/HepA" TargetMode="External"/><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07/s40615-022-01456-7" TargetMode="External"/><Relationship Id="rId13" Type="http://schemas.openxmlformats.org/officeDocument/2006/relationships/hyperlink" Target="https://wwwn.cdc.gov/nndss/conditions/" TargetMode="External"/><Relationship Id="rId18" Type="http://schemas.openxmlformats.org/officeDocument/2006/relationships/hyperlink" Target="http://www.cdc.gov/std/stats/congenitalsyphilisdef-rev-jan-2015.pdf" TargetMode="External"/><Relationship Id="rId3" Type="http://schemas.openxmlformats.org/officeDocument/2006/relationships/hyperlink" Target="https://www.cdc.gov/std/statistics/2021/default.htm" TargetMode="External"/><Relationship Id="rId21" Type="http://schemas.openxmlformats.org/officeDocument/2006/relationships/hyperlink" Target="https://www.cdc.gov/std/statistics/2020/impact.htm" TargetMode="External"/><Relationship Id="rId7" Type="http://schemas.openxmlformats.org/officeDocument/2006/relationships/hyperlink" Target="https://www.atsdr.cdc.gov/placeandhealth/svi/index.html" TargetMode="External"/><Relationship Id="rId12" Type="http://schemas.openxmlformats.org/officeDocument/2006/relationships/hyperlink" Target="https://wwwn.cdc.gov/nndss/conditions/" TargetMode="External"/><Relationship Id="rId17" Type="http://schemas.openxmlformats.org/officeDocument/2006/relationships/hyperlink" Target="https://www.mass.gov/doc/joint-mdph-and-bphc-clinical-advisory-hiv-transmission-through-injection-drug-use-in-boston-march-15-2021/download" TargetMode="External"/><Relationship Id="rId2" Type="http://schemas.openxmlformats.org/officeDocument/2006/relationships/hyperlink" Target="https://www.mass.gov/doc/joint-mdph-and-bphc-clinical-advisory-hiv-transmission-through-injection-drug-use-in-boston-march-15-2021/download" TargetMode="External"/><Relationship Id="rId16" Type="http://schemas.openxmlformats.org/officeDocument/2006/relationships/hyperlink" Target="https://doi.org/10.2105/AJPH.2019.305366" TargetMode="External"/><Relationship Id="rId20" Type="http://schemas.openxmlformats.org/officeDocument/2006/relationships/hyperlink" Target="https://www.cdc.gov/std/statistics/2021/default.htm" TargetMode="External"/><Relationship Id="rId1" Type="http://schemas.openxmlformats.org/officeDocument/2006/relationships/hyperlink" Target="https://www.mass.gov/service-details/partner-services-program-information-for-healthcare-providers" TargetMode="External"/><Relationship Id="rId6" Type="http://schemas.openxmlformats.org/officeDocument/2006/relationships/hyperlink" Target="https://www.cdc.gov/std/statistics/2021/default.htm" TargetMode="External"/><Relationship Id="rId11" Type="http://schemas.openxmlformats.org/officeDocument/2006/relationships/hyperlink" Target="http://dx.doi.org/10.15585/mmwr.rr6905a1" TargetMode="External"/><Relationship Id="rId5" Type="http://schemas.openxmlformats.org/officeDocument/2006/relationships/hyperlink" Target="https://www.mass.gov/doc/chlamydia-screening-advisory-2022/download" TargetMode="External"/><Relationship Id="rId15" Type="http://schemas.openxmlformats.org/officeDocument/2006/relationships/hyperlink" Target="https://www.mass.gov/doc/joint-mdph-and-bphc-clinical-advisory-hiv-transmission-through-injection-drug-use-in-boston-march-15-2021/download" TargetMode="External"/><Relationship Id="rId10" Type="http://schemas.openxmlformats.org/officeDocument/2006/relationships/hyperlink" Target="https://www.cdc.gov/hiv/statistics/deaths/index.html" TargetMode="External"/><Relationship Id="rId19" Type="http://schemas.openxmlformats.org/officeDocument/2006/relationships/hyperlink" Target="https://www.cdc.gov/nchhstp/newsroom/2021/2020-std-trend-report.html" TargetMode="External"/><Relationship Id="rId4" Type="http://schemas.openxmlformats.org/officeDocument/2006/relationships/hyperlink" Target="https://www.uspreventiveservicestaskforce.org/uspstf/recommendation/chlamydia-and-gonorrhea-screening" TargetMode="External"/><Relationship Id="rId9" Type="http://schemas.openxmlformats.org/officeDocument/2006/relationships/hyperlink" Target="http://dx.doi.org/10.15585/mmwr.mm6942a3" TargetMode="External"/><Relationship Id="rId14" Type="http://schemas.openxmlformats.org/officeDocument/2006/relationships/hyperlink" Target="https://doi.org/10.2105/AJPH.2019.305366" TargetMode="External"/></Relationships>
</file>

<file path=word/documenttasks/documenttasks1.xml><?xml version="1.0" encoding="utf-8"?>
<t:Tasks xmlns:t="http://schemas.microsoft.com/office/tasks/2019/documenttasks" xmlns:oel="http://schemas.microsoft.com/office/2019/extlst">
  <t:Task id="{D814CCE5-7042-40E2-B0A9-DC2A8539EDEE}">
    <t:Anchor>
      <t:Comment id="1046226530"/>
    </t:Anchor>
    <t:History>
      <t:Event id="{13304233-88F7-4941-ADF9-9829E73D8296}" time="2024-10-17T14:37:45.865Z">
        <t:Attribution userId="S::betsey.john@mass.gov::267331b4-5181-4a01-978f-2746dd2147ee" userProvider="AD" userName="John, Betsey (DPH)"/>
        <t:Anchor>
          <t:Comment id="1046226530"/>
        </t:Anchor>
        <t:Create/>
      </t:Event>
      <t:Event id="{519CF202-4B09-42F9-BB6B-257F5996F212}" time="2024-10-17T14:37:45.865Z">
        <t:Attribution userId="S::betsey.john@mass.gov::267331b4-5181-4a01-978f-2746dd2147ee" userProvider="AD" userName="John, Betsey (DPH)"/>
        <t:Anchor>
          <t:Comment id="1046226530"/>
        </t:Anchor>
        <t:Assign userId="S::heather.elder@mass.gov::0d91cc33-0ed7-4524-baf7-b2e54d97ad15" userProvider="AD" userName="Elder, Heather (DPH)"/>
      </t:Event>
      <t:Event id="{E90BBAD3-1C1C-4B57-AB50-3511D1101506}" time="2024-10-17T14:37:45.865Z">
        <t:Attribution userId="S::betsey.john@mass.gov::267331b4-5181-4a01-978f-2746dd2147ee" userProvider="AD" userName="John, Betsey (DPH)"/>
        <t:Anchor>
          <t:Comment id="1046226530"/>
        </t:Anchor>
        <t:SetTitle title="@Elder, Heather (DPH) What's the number (or %) of cases without an age reported? Don't we get dob to be able to calcula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26F6B51A8CE64A84A594A767808327" ma:contentTypeVersion="4" ma:contentTypeDescription="Create a new document." ma:contentTypeScope="" ma:versionID="5a411499e1398efea05aacfd683c6518">
  <xsd:schema xmlns:xsd="http://www.w3.org/2001/XMLSchema" xmlns:xs="http://www.w3.org/2001/XMLSchema" xmlns:p="http://schemas.microsoft.com/office/2006/metadata/properties" xmlns:ns2="9d8f8cbb-be7f-4f82-880f-e044c26b0a0d" targetNamespace="http://schemas.microsoft.com/office/2006/metadata/properties" ma:root="true" ma:fieldsID="583f2fb9e4f6e1add2413d1ae46d783c" ns2:_="">
    <xsd:import namespace="9d8f8cbb-be7f-4f82-880f-e044c26b0a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f8cbb-be7f-4f82-880f-e044c26b0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D84D03-93DB-43F2-BBCA-6CA8DFA27BE4}">
  <ds:schemaRefs>
    <ds:schemaRef ds:uri="http://schemas.openxmlformats.org/officeDocument/2006/bibliography"/>
  </ds:schemaRefs>
</ds:datastoreItem>
</file>

<file path=customXml/itemProps2.xml><?xml version="1.0" encoding="utf-8"?>
<ds:datastoreItem xmlns:ds="http://schemas.openxmlformats.org/officeDocument/2006/customXml" ds:itemID="{68A86438-C804-46C9-A41D-39874D11026C}">
  <ds:schemaRefs>
    <ds:schemaRef ds:uri="http://schemas.microsoft.com/sharepoint/v3/contenttype/forms"/>
  </ds:schemaRefs>
</ds:datastoreItem>
</file>

<file path=customXml/itemProps3.xml><?xml version="1.0" encoding="utf-8"?>
<ds:datastoreItem xmlns:ds="http://schemas.openxmlformats.org/officeDocument/2006/customXml" ds:itemID="{A2C46EF7-18A6-4C3D-969A-35A88D65C1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FFE4FF-F91F-4FED-9D29-BA39D882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f8cbb-be7f-4f82-880f-e044c26b0a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116</Pages>
  <Words>22621</Words>
  <Characters>128941</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2023 Massachusetts Integrated HIV, STD and Viral Hepatitis Surveillance Report, Accessible Version</vt:lpstr>
    </vt:vector>
  </TitlesOfParts>
  <Company/>
  <LinksUpToDate>false</LinksUpToDate>
  <CharactersWithSpaces>151260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Massachusetts Integrated HIV, STD and Viral Hepatitis Surveillance Report, Accessible Version</dc:title>
  <dc:subject/>
  <dc:creator>Bureau of Infectious Disease and Laboratory Sciences</dc:creator>
  <cp:keywords>HIV, AIDS, chlamydia, gonorrhea, syphilis, viral hepatitis, hepatitis A, hepatitis B, hepatitis C, co-infections, Massachusetts, surveillance data</cp:keywords>
  <dc:description/>
  <cp:lastModifiedBy>Beatty, Maile (DPH)</cp:lastModifiedBy>
  <cp:revision>601</cp:revision>
  <dcterms:created xsi:type="dcterms:W3CDTF">2024-09-17T03:22:00Z</dcterms:created>
  <dcterms:modified xsi:type="dcterms:W3CDTF">2024-12-19T20:17:00Z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0x0101002026F6B51A8CE64A84A594A767808327</vt:lpwstr>
  </property>
</Properties>
</file>