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3CB28" w14:textId="17E4642E" w:rsidR="006B35DF" w:rsidRDefault="006B35DF" w:rsidP="00AF5A19">
      <w:pPr>
        <w:rPr>
          <w:rFonts w:ascii="Times New Roman" w:hAnsi="Times New Roman" w:cs="Times New Roman"/>
          <w:sz w:val="24"/>
          <w:szCs w:val="24"/>
        </w:rPr>
      </w:pPr>
      <w:r w:rsidRPr="006B35DF">
        <w:rPr>
          <w:rFonts w:ascii="Times New Roman" w:hAnsi="Times New Roman" w:cs="Times New Roman"/>
          <w:sz w:val="24"/>
          <w:szCs w:val="24"/>
        </w:rPr>
        <w:t>Massachusetts Data Profile: Statewide information about social determinants of health and child fatalities</w:t>
      </w:r>
    </w:p>
    <w:p w14:paraId="17F2905C" w14:textId="71FBE8ED" w:rsidR="006B35DF" w:rsidRDefault="0825F179" w:rsidP="0825F17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825F179">
        <w:rPr>
          <w:rFonts w:ascii="Times New Roman" w:hAnsi="Times New Roman" w:cs="Times New Roman"/>
          <w:b/>
          <w:bCs/>
          <w:sz w:val="28"/>
          <w:szCs w:val="28"/>
        </w:rPr>
        <w:t xml:space="preserve">State Demographics </w:t>
      </w:r>
      <w:r w:rsidRPr="0825F1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</w:t>
      </w:r>
      <w:r w:rsidRPr="0825F17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ED5849" w14:textId="2B4BB9E8" w:rsidR="00CD281D" w:rsidRDefault="00043C30" w:rsidP="00CD2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3C30">
        <w:rPr>
          <w:rFonts w:ascii="Times New Roman" w:hAnsi="Times New Roman" w:cs="Times New Roman"/>
          <w:sz w:val="24"/>
          <w:szCs w:val="24"/>
        </w:rPr>
        <w:t>~7,029,920</w:t>
      </w:r>
      <w:r w:rsidR="002B329E">
        <w:rPr>
          <w:rFonts w:ascii="Times New Roman" w:hAnsi="Times New Roman" w:cs="Times New Roman"/>
          <w:sz w:val="24"/>
          <w:szCs w:val="24"/>
        </w:rPr>
        <w:t xml:space="preserve"> Total population in 2020</w:t>
      </w:r>
    </w:p>
    <w:p w14:paraId="2A2AD6E3" w14:textId="4A026B0B" w:rsidR="00637591" w:rsidRDefault="002B329E" w:rsidP="00273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29E">
        <w:rPr>
          <w:rFonts w:ascii="Times New Roman" w:hAnsi="Times New Roman" w:cs="Times New Roman"/>
          <w:sz w:val="24"/>
          <w:szCs w:val="24"/>
        </w:rPr>
        <w:t>~1,366,190 (17% of total population)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9E">
        <w:rPr>
          <w:rFonts w:ascii="Times New Roman" w:hAnsi="Times New Roman" w:cs="Times New Roman"/>
          <w:sz w:val="24"/>
          <w:szCs w:val="24"/>
        </w:rPr>
        <w:t>Population under the 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9E">
        <w:rPr>
          <w:rFonts w:ascii="Times New Roman" w:hAnsi="Times New Roman" w:cs="Times New Roman"/>
          <w:sz w:val="24"/>
          <w:szCs w:val="24"/>
        </w:rPr>
        <w:t>of 18 in 2020</w:t>
      </w:r>
    </w:p>
    <w:p w14:paraId="46DCF69A" w14:textId="7FE043B8" w:rsidR="00D526B3" w:rsidRPr="00844E82" w:rsidRDefault="00637591" w:rsidP="0825F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3C89D6" wp14:editId="69313726">
            <wp:extent cx="4673379" cy="3036711"/>
            <wp:effectExtent l="0" t="0" r="0" b="0"/>
            <wp:docPr id="2033166020" name="Picture 1" descr="A bar chart showing population proportions by race and ethnicity.&#10;&#10;0.1 percent were American Indian/Alaska Native;&#10;0.8 percent were another race;&#10;6.6 percent were Asian/Pacific Islander;&#10;6.9 percent were Black;&#10;11.8 percent were Hispanic/Latinx;&#10;1.9 percent were Multiracial;&#10;and 71.6 percent were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66020" name="Picture 1" descr="A bar chart showing population proportions by race and ethnicity.&#10;&#10;0.1 percent were American Indian/Alaska Native;&#10;0.8 percent were another race;&#10;6.6 percent were Asian/Pacific Islander;&#10;6.9 percent were Black;&#10;11.8 percent were Hispanic/Latinx;&#10;1.9 percent were Multiracial;&#10;and 71.6 percent were Whi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7" b="5221"/>
                    <a:stretch/>
                  </pic:blipFill>
                  <pic:spPr bwMode="auto">
                    <a:xfrm>
                      <a:off x="0" y="0"/>
                      <a:ext cx="4674395" cy="3037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C2383" w14:textId="00834439" w:rsidR="0027323D" w:rsidRDefault="0825F179" w:rsidP="0825F179">
      <w:pPr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825F179">
        <w:rPr>
          <w:rFonts w:ascii="Times New Roman" w:hAnsi="Times New Roman" w:cs="Times New Roman"/>
          <w:b/>
          <w:bCs/>
          <w:sz w:val="28"/>
          <w:szCs w:val="28"/>
        </w:rPr>
        <w:t xml:space="preserve">Education &amp; Income </w:t>
      </w:r>
      <w:proofErr w:type="gramStart"/>
      <w:r w:rsidRPr="0825F1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III,IV</w:t>
      </w:r>
      <w:proofErr w:type="gramEnd"/>
      <w:r w:rsidRPr="0825F17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:</w:t>
      </w:r>
    </w:p>
    <w:p w14:paraId="0438E31A" w14:textId="1A2D04AA" w:rsidR="0087561C" w:rsidRPr="0087561C" w:rsidRDefault="0087561C" w:rsidP="009F2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61C">
        <w:rPr>
          <w:rFonts w:ascii="Times New Roman" w:hAnsi="Times New Roman" w:cs="Times New Roman"/>
          <w:sz w:val="24"/>
          <w:szCs w:val="24"/>
        </w:rPr>
        <w:t>$81,215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Median household income</w:t>
      </w:r>
    </w:p>
    <w:p w14:paraId="156D1133" w14:textId="59FDB9E0" w:rsidR="0087561C" w:rsidRPr="0087561C" w:rsidRDefault="0087561C" w:rsidP="009F2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61C">
        <w:rPr>
          <w:rFonts w:ascii="Times New Roman" w:hAnsi="Times New Roman" w:cs="Times New Roman"/>
          <w:sz w:val="24"/>
          <w:szCs w:val="24"/>
        </w:rPr>
        <w:t xml:space="preserve">$55,429 </w:t>
      </w:r>
      <w:r w:rsidR="004E3A5F">
        <w:rPr>
          <w:rFonts w:ascii="Times New Roman" w:hAnsi="Times New Roman" w:cs="Times New Roman"/>
          <w:sz w:val="24"/>
          <w:szCs w:val="24"/>
        </w:rPr>
        <w:t xml:space="preserve">(Hampden) </w:t>
      </w:r>
      <w:r w:rsidRPr="0087561C">
        <w:rPr>
          <w:rFonts w:ascii="Times New Roman" w:hAnsi="Times New Roman" w:cs="Times New Roman"/>
          <w:sz w:val="24"/>
          <w:szCs w:val="24"/>
        </w:rPr>
        <w:t>- $103,291</w:t>
      </w:r>
      <w:r w:rsidR="004E3A5F">
        <w:rPr>
          <w:rFonts w:ascii="Times New Roman" w:hAnsi="Times New Roman" w:cs="Times New Roman"/>
          <w:sz w:val="24"/>
          <w:szCs w:val="24"/>
        </w:rPr>
        <w:t>(Norfolk)</w:t>
      </w:r>
    </w:p>
    <w:p w14:paraId="0DFCC9D7" w14:textId="491ED40B" w:rsidR="0087561C" w:rsidRPr="0087561C" w:rsidRDefault="0087561C" w:rsidP="009F2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61C">
        <w:rPr>
          <w:rFonts w:ascii="Times New Roman" w:hAnsi="Times New Roman" w:cs="Times New Roman"/>
          <w:sz w:val="24"/>
          <w:szCs w:val="24"/>
        </w:rPr>
        <w:t>13.2%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Percent of children living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poverty</w:t>
      </w:r>
    </w:p>
    <w:p w14:paraId="6E88E3E6" w14:textId="2F7BDD0C" w:rsidR="0087561C" w:rsidRPr="0087561C" w:rsidRDefault="0087561C" w:rsidP="009F2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61C">
        <w:rPr>
          <w:rFonts w:ascii="Times New Roman" w:hAnsi="Times New Roman" w:cs="Times New Roman"/>
          <w:sz w:val="24"/>
          <w:szCs w:val="24"/>
        </w:rPr>
        <w:t>24.1%</w:t>
      </w:r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Percent of adult population</w:t>
      </w:r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with a college degree</w:t>
      </w:r>
    </w:p>
    <w:p w14:paraId="6DE8B0D3" w14:textId="0402DFA7" w:rsidR="0087561C" w:rsidRDefault="0087561C" w:rsidP="009F26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61C">
        <w:rPr>
          <w:rFonts w:ascii="Times New Roman" w:hAnsi="Times New Roman" w:cs="Times New Roman"/>
          <w:sz w:val="24"/>
          <w:szCs w:val="24"/>
        </w:rPr>
        <w:t>4.8%</w:t>
      </w:r>
      <w:r w:rsidR="004E3A5F">
        <w:rPr>
          <w:rFonts w:ascii="Times New Roman" w:hAnsi="Times New Roman" w:cs="Times New Roman"/>
          <w:sz w:val="24"/>
          <w:szCs w:val="24"/>
        </w:rPr>
        <w:t xml:space="preserve"> </w:t>
      </w:r>
      <w:r w:rsidRPr="0087561C">
        <w:rPr>
          <w:rFonts w:ascii="Times New Roman" w:hAnsi="Times New Roman" w:cs="Times New Roman"/>
          <w:sz w:val="24"/>
          <w:szCs w:val="24"/>
        </w:rPr>
        <w:t>Unemployment rate</w:t>
      </w:r>
    </w:p>
    <w:p w14:paraId="526BCC1E" w14:textId="77777777" w:rsidR="00AF5A19" w:rsidRDefault="00AF5A19" w:rsidP="00AF5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6A77A7" w14:textId="304B4391" w:rsidR="00D814E5" w:rsidRPr="00AF5A19" w:rsidRDefault="00AF5A19" w:rsidP="00AF5A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A19">
        <w:rPr>
          <w:rFonts w:ascii="Times New Roman" w:hAnsi="Times New Roman" w:cs="Times New Roman"/>
          <w:sz w:val="20"/>
          <w:szCs w:val="20"/>
        </w:rPr>
        <w:t xml:space="preserve">I. </w:t>
      </w:r>
      <w:r w:rsidR="00D814E5" w:rsidRPr="00AF5A19">
        <w:rPr>
          <w:rFonts w:ascii="Times New Roman" w:hAnsi="Times New Roman" w:cs="Times New Roman"/>
          <w:sz w:val="20"/>
          <w:szCs w:val="20"/>
        </w:rPr>
        <w:t>Population estimates developed by the University of Massachusetts Donahue Institute (UMDI) in partnership with</w:t>
      </w:r>
    </w:p>
    <w:p w14:paraId="7D4AB8DF" w14:textId="7F34E562" w:rsidR="006B32EA" w:rsidRPr="00AF5A19" w:rsidRDefault="00D814E5" w:rsidP="00D01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A19">
        <w:rPr>
          <w:rFonts w:ascii="Times New Roman" w:hAnsi="Times New Roman" w:cs="Times New Roman"/>
          <w:sz w:val="20"/>
          <w:szCs w:val="20"/>
        </w:rPr>
        <w:t>the Massachusetts Department of Public Health, Bureau of Environmental Health.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 xml:space="preserve">II. </w:t>
      </w:r>
      <w:proofErr w:type="spellStart"/>
      <w:r w:rsidRPr="00AF5A19">
        <w:rPr>
          <w:rFonts w:ascii="Times New Roman" w:hAnsi="Times New Roman" w:cs="Times New Roman"/>
          <w:sz w:val="20"/>
          <w:szCs w:val="20"/>
        </w:rPr>
        <w:t>nH</w:t>
      </w:r>
      <w:proofErr w:type="spellEnd"/>
      <w:r w:rsidRPr="00AF5A1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F5A19">
        <w:rPr>
          <w:rFonts w:ascii="Times New Roman" w:hAnsi="Times New Roman" w:cs="Times New Roman"/>
          <w:sz w:val="20"/>
          <w:szCs w:val="20"/>
        </w:rPr>
        <w:t>nL</w:t>
      </w:r>
      <w:proofErr w:type="spellEnd"/>
      <w:r w:rsidRPr="00AF5A19">
        <w:rPr>
          <w:rFonts w:ascii="Times New Roman" w:hAnsi="Times New Roman" w:cs="Times New Roman"/>
          <w:sz w:val="20"/>
          <w:szCs w:val="20"/>
        </w:rPr>
        <w:t xml:space="preserve"> = non-Hispanic/non-Latinx. Hispanic/Latinx refers to the ethnic background of people of Cuban, Mexican,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>Puerto Rican, or other Spanish or South or Central American culture or origin regardless of race. The terms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>Hispanic and Latinx are not necessarily interchangeable and include people from many ethnic, national, racial,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>and linguistic groups. Latinx is a gender-neutral term referring to people of Latin American ancestry.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>III. American Community Survey (ACS), 5-Year Estimates, 2015-2019</w:t>
      </w:r>
      <w:r w:rsidR="000C542F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Pr="00AF5A19">
        <w:rPr>
          <w:rFonts w:ascii="Times New Roman" w:hAnsi="Times New Roman" w:cs="Times New Roman"/>
          <w:sz w:val="20"/>
          <w:szCs w:val="20"/>
        </w:rPr>
        <w:t>IV. Metropolitan Area Planning Council Data Common:</w:t>
      </w:r>
      <w:r w:rsidR="00D01438" w:rsidRPr="00AF5A19">
        <w:rPr>
          <w:rFonts w:ascii="Times New Roman" w:hAnsi="Times New Roman" w:cs="Times New Roman"/>
          <w:sz w:val="20"/>
          <w:szCs w:val="20"/>
        </w:rPr>
        <w:t xml:space="preserve"> </w:t>
      </w:r>
      <w:r w:rsidR="000C542F" w:rsidRPr="00AF5A19">
        <w:rPr>
          <w:rFonts w:ascii="Times New Roman" w:hAnsi="Times New Roman" w:cs="Times New Roman"/>
          <w:sz w:val="20"/>
          <w:szCs w:val="20"/>
        </w:rPr>
        <w:t>h</w:t>
      </w:r>
      <w:r w:rsidRPr="00AF5A19">
        <w:rPr>
          <w:rFonts w:ascii="Times New Roman" w:hAnsi="Times New Roman" w:cs="Times New Roman"/>
          <w:sz w:val="20"/>
          <w:szCs w:val="20"/>
        </w:rPr>
        <w:t>ttps://datacommon.mapc.org/browser/</w:t>
      </w:r>
    </w:p>
    <w:p w14:paraId="4F792527" w14:textId="75931751" w:rsidR="00920055" w:rsidRDefault="00920055" w:rsidP="0825F1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26993" w14:textId="4E59D27E" w:rsidR="00920055" w:rsidRDefault="0825F179" w:rsidP="0825F17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825F179">
        <w:rPr>
          <w:rFonts w:ascii="Times New Roman" w:hAnsi="Times New Roman" w:cs="Times New Roman"/>
          <w:b/>
          <w:bCs/>
          <w:sz w:val="28"/>
          <w:szCs w:val="28"/>
        </w:rPr>
        <w:t>Resources</w:t>
      </w:r>
    </w:p>
    <w:p w14:paraId="29C0F9B2" w14:textId="77777777" w:rsidR="00444E9E" w:rsidRPr="00444E9E" w:rsidRDefault="00444E9E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E9E">
        <w:rPr>
          <w:rFonts w:ascii="Times New Roman" w:hAnsi="Times New Roman" w:cs="Times New Roman"/>
          <w:sz w:val="24"/>
          <w:szCs w:val="24"/>
        </w:rPr>
        <w:t>The resources below can help Child Fatality Review teams better understand how social</w:t>
      </w:r>
    </w:p>
    <w:p w14:paraId="6B37F92E" w14:textId="77777777" w:rsidR="00444E9E" w:rsidRPr="00444E9E" w:rsidRDefault="00444E9E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E9E">
        <w:rPr>
          <w:rFonts w:ascii="Times New Roman" w:hAnsi="Times New Roman" w:cs="Times New Roman"/>
          <w:sz w:val="24"/>
          <w:szCs w:val="24"/>
        </w:rPr>
        <w:lastRenderedPageBreak/>
        <w:t>determinants of health in their communities affect child fatality rates. The Child Fatality Review</w:t>
      </w:r>
    </w:p>
    <w:p w14:paraId="5D5F398B" w14:textId="77777777" w:rsidR="00444E9E" w:rsidRPr="00444E9E" w:rsidRDefault="00444E9E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E9E">
        <w:rPr>
          <w:rFonts w:ascii="Times New Roman" w:hAnsi="Times New Roman" w:cs="Times New Roman"/>
          <w:sz w:val="24"/>
          <w:szCs w:val="24"/>
        </w:rPr>
        <w:t>Program epidemiologists can provide you with technical assistance in navigating these and other</w:t>
      </w:r>
    </w:p>
    <w:p w14:paraId="292F6FA0" w14:textId="0B7E2B2B" w:rsidR="00444E9E" w:rsidRDefault="00444E9E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E9E">
        <w:rPr>
          <w:rFonts w:ascii="Times New Roman" w:hAnsi="Times New Roman" w:cs="Times New Roman"/>
          <w:sz w:val="24"/>
          <w:szCs w:val="24"/>
        </w:rPr>
        <w:t xml:space="preserve">data sources. Please contact us at </w:t>
      </w:r>
      <w:hyperlink r:id="rId11" w:history="1">
        <w:r w:rsidRPr="00F113C1">
          <w:rPr>
            <w:rStyle w:val="Hyperlink"/>
            <w:rFonts w:ascii="Times New Roman" w:hAnsi="Times New Roman" w:cs="Times New Roman"/>
            <w:sz w:val="24"/>
            <w:szCs w:val="24"/>
          </w:rPr>
          <w:t>mdph-isp@mass.gov</w:t>
        </w:r>
      </w:hyperlink>
      <w:r w:rsidRPr="00444E9E">
        <w:rPr>
          <w:rFonts w:ascii="Times New Roman" w:hAnsi="Times New Roman" w:cs="Times New Roman"/>
          <w:sz w:val="24"/>
          <w:szCs w:val="24"/>
        </w:rPr>
        <w:t xml:space="preserve"> for more information.</w:t>
      </w:r>
      <w:r w:rsidR="00F11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AEA90" w14:textId="6952A703" w:rsidR="007242D6" w:rsidRDefault="007242D6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14EB" w14:paraId="6F5BC08B" w14:textId="77777777" w:rsidTr="00031AF6">
        <w:tc>
          <w:tcPr>
            <w:tcW w:w="4675" w:type="dxa"/>
          </w:tcPr>
          <w:p w14:paraId="52BADA87" w14:textId="563E49E7" w:rsidR="00D414EB" w:rsidRPr="005F3570" w:rsidRDefault="00F43D86" w:rsidP="00D41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:~:text=Find%20community%2Dspecific%20health%20data,Housing%2C%20Social%20Environment%20and%20Violence" w:history="1">
              <w:r w:rsidR="00D414EB" w:rsidRPr="009A3CAA">
                <w:rPr>
                  <w:rStyle w:val="Hyperlink"/>
                </w:rPr>
                <w:t>PHIT Community Reports</w:t>
              </w:r>
            </w:hyperlink>
          </w:p>
        </w:tc>
        <w:tc>
          <w:tcPr>
            <w:tcW w:w="4675" w:type="dxa"/>
          </w:tcPr>
          <w:p w14:paraId="655E57D0" w14:textId="1E3D8A55" w:rsidR="00D414EB" w:rsidRPr="00D414EB" w:rsidRDefault="00F43D86" w:rsidP="00D41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414EB" w:rsidRPr="00FC560B">
                <w:rPr>
                  <w:rStyle w:val="Hyperlink"/>
                </w:rPr>
                <w:t>Metropolitan Area Planning Council Data Common</w:t>
              </w:r>
            </w:hyperlink>
          </w:p>
        </w:tc>
      </w:tr>
      <w:tr w:rsidR="00D414EB" w14:paraId="28121C79" w14:textId="77777777" w:rsidTr="00031AF6">
        <w:tc>
          <w:tcPr>
            <w:tcW w:w="4675" w:type="dxa"/>
          </w:tcPr>
          <w:p w14:paraId="2DF6899C" w14:textId="1A72C84A" w:rsidR="00D414EB" w:rsidRPr="005F3570" w:rsidRDefault="00F43D86" w:rsidP="00D41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414EB" w:rsidRPr="00966873">
                <w:rPr>
                  <w:rStyle w:val="Hyperlink"/>
                </w:rPr>
                <w:t>Child Opportunity Index &amp; Map</w:t>
              </w:r>
            </w:hyperlink>
          </w:p>
        </w:tc>
        <w:tc>
          <w:tcPr>
            <w:tcW w:w="4675" w:type="dxa"/>
          </w:tcPr>
          <w:p w14:paraId="6609FBEA" w14:textId="02D45BE2" w:rsidR="00D414EB" w:rsidRPr="00D414EB" w:rsidRDefault="00F43D86" w:rsidP="00D41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414EB" w:rsidRPr="00FC56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Massachusetts Data Hub</w:t>
              </w:r>
            </w:hyperlink>
          </w:p>
        </w:tc>
      </w:tr>
      <w:tr w:rsidR="005F3570" w14:paraId="30033BF0" w14:textId="77777777" w:rsidTr="00031AF6">
        <w:tc>
          <w:tcPr>
            <w:tcW w:w="4675" w:type="dxa"/>
          </w:tcPr>
          <w:p w14:paraId="59DB06FA" w14:textId="7F65FD6B" w:rsidR="005F3570" w:rsidRPr="005F3570" w:rsidRDefault="00F43D86" w:rsidP="005F35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3570" w:rsidRPr="00966873">
                <w:rPr>
                  <w:rStyle w:val="Hyperlink"/>
                </w:rPr>
                <w:t>U.S. Census Facts</w:t>
              </w:r>
            </w:hyperlink>
          </w:p>
        </w:tc>
        <w:tc>
          <w:tcPr>
            <w:tcW w:w="4675" w:type="dxa"/>
          </w:tcPr>
          <w:p w14:paraId="42A7876D" w14:textId="77777777" w:rsidR="005F3570" w:rsidRDefault="005F3570" w:rsidP="005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E1980" w14:textId="27D5AAB2" w:rsidR="008F1CB5" w:rsidRDefault="008F1CB5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7825"/>
      </w:tblGrid>
      <w:tr w:rsidR="00D0237E" w14:paraId="72C50A2B" w14:textId="77777777" w:rsidTr="00364E55">
        <w:trPr>
          <w:trHeight w:val="602"/>
          <w:jc w:val="center"/>
        </w:trPr>
        <w:tc>
          <w:tcPr>
            <w:tcW w:w="9350" w:type="dxa"/>
            <w:gridSpan w:val="2"/>
            <w:vAlign w:val="center"/>
          </w:tcPr>
          <w:p w14:paraId="3131D8B6" w14:textId="60537E1B" w:rsidR="001D29EF" w:rsidRDefault="001D29EF" w:rsidP="001D29EF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D29EF">
              <w:rPr>
                <w:rFonts w:ascii="Times New Roman" w:hAnsi="Times New Roman" w:cs="Times New Roman"/>
                <w:sz w:val="24"/>
                <w:szCs w:val="24"/>
              </w:rPr>
              <w:t>Infant Fatalities (2016-</w:t>
            </w:r>
            <w:proofErr w:type="gramStart"/>
            <w:r w:rsidRPr="001D29EF">
              <w:rPr>
                <w:rFonts w:ascii="Times New Roman" w:hAnsi="Times New Roman" w:cs="Times New Roman"/>
                <w:sz w:val="24"/>
                <w:szCs w:val="24"/>
              </w:rPr>
              <w:t>2020)</w:t>
            </w:r>
            <w:r w:rsidRPr="001D29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V</w:t>
            </w:r>
            <w:proofErr w:type="gramEnd"/>
          </w:p>
          <w:p w14:paraId="1C5B39CC" w14:textId="05C3521D" w:rsidR="00D0237E" w:rsidRDefault="001D29EF" w:rsidP="001D29EF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EF">
              <w:rPr>
                <w:rFonts w:ascii="Times New Roman" w:hAnsi="Times New Roman" w:cs="Times New Roman"/>
                <w:sz w:val="20"/>
                <w:szCs w:val="20"/>
              </w:rPr>
              <w:t>All rates are per 100,000 population</w:t>
            </w:r>
          </w:p>
        </w:tc>
      </w:tr>
      <w:tr w:rsidR="00D0237E" w14:paraId="37743A73" w14:textId="77777777" w:rsidTr="0015182B">
        <w:trPr>
          <w:trHeight w:val="818"/>
          <w:jc w:val="center"/>
        </w:trPr>
        <w:tc>
          <w:tcPr>
            <w:tcW w:w="1525" w:type="dxa"/>
            <w:vAlign w:val="center"/>
          </w:tcPr>
          <w:p w14:paraId="2A6DDB3F" w14:textId="77777777" w:rsidR="00C11337" w:rsidRPr="00C11337" w:rsidRDefault="00C11337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</w:p>
          <w:p w14:paraId="0C240345" w14:textId="5380BB27" w:rsidR="00D0237E" w:rsidRDefault="00C11337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fatalities</w:t>
            </w:r>
          </w:p>
        </w:tc>
        <w:tc>
          <w:tcPr>
            <w:tcW w:w="7825" w:type="dxa"/>
            <w:vAlign w:val="center"/>
          </w:tcPr>
          <w:p w14:paraId="7FA922A5" w14:textId="77777777" w:rsidR="005A4CF9" w:rsidRDefault="005A4CF9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BA7B" w14:textId="2EB8B94A" w:rsidR="005A4CF9" w:rsidRDefault="00633BBA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BA">
              <w:rPr>
                <w:rFonts w:ascii="Times New Roman" w:hAnsi="Times New Roman" w:cs="Times New Roman"/>
                <w:sz w:val="24"/>
                <w:szCs w:val="24"/>
              </w:rPr>
              <w:t>1,348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A1F8A" w14:textId="77777777" w:rsidR="005A4CF9" w:rsidRDefault="005A4CF9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140E" w14:textId="7EB9C3D1" w:rsidR="00D0237E" w:rsidRDefault="00633BBA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BA">
              <w:rPr>
                <w:rFonts w:ascii="Times New Roman" w:hAnsi="Times New Roman" w:cs="Times New Roman"/>
                <w:sz w:val="24"/>
                <w:szCs w:val="24"/>
              </w:rPr>
              <w:t>(2016: 277; 2020: 263)</w:t>
            </w:r>
          </w:p>
        </w:tc>
      </w:tr>
      <w:tr w:rsidR="00D0237E" w14:paraId="32B52FC3" w14:textId="77777777" w:rsidTr="0015182B">
        <w:trPr>
          <w:trHeight w:val="503"/>
          <w:jc w:val="center"/>
        </w:trPr>
        <w:tc>
          <w:tcPr>
            <w:tcW w:w="1525" w:type="dxa"/>
            <w:vAlign w:val="center"/>
          </w:tcPr>
          <w:p w14:paraId="00F30DB2" w14:textId="42AEEA48" w:rsidR="00D0237E" w:rsidRDefault="00C11337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Fatality rate</w:t>
            </w:r>
          </w:p>
        </w:tc>
        <w:tc>
          <w:tcPr>
            <w:tcW w:w="7825" w:type="dxa"/>
            <w:vAlign w:val="center"/>
          </w:tcPr>
          <w:p w14:paraId="076116D2" w14:textId="4ADBA9E8" w:rsidR="00D0237E" w:rsidRDefault="005A4CF9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CF9">
              <w:rPr>
                <w:rFonts w:ascii="Times New Roman" w:hAnsi="Times New Roman" w:cs="Times New Roman"/>
                <w:sz w:val="24"/>
                <w:szCs w:val="24"/>
              </w:rPr>
              <w:t>376.4</w:t>
            </w:r>
          </w:p>
        </w:tc>
      </w:tr>
      <w:tr w:rsidR="00D0237E" w14:paraId="1FF5BAFB" w14:textId="77777777" w:rsidTr="0015182B">
        <w:trPr>
          <w:trHeight w:val="728"/>
          <w:jc w:val="center"/>
        </w:trPr>
        <w:tc>
          <w:tcPr>
            <w:tcW w:w="1525" w:type="dxa"/>
            <w:vAlign w:val="center"/>
          </w:tcPr>
          <w:p w14:paraId="18732AAA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Inequities by</w:t>
            </w:r>
          </w:p>
          <w:p w14:paraId="6BF61707" w14:textId="15386951" w:rsidR="00D0237E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7825" w:type="dxa"/>
            <w:vAlign w:val="center"/>
          </w:tcPr>
          <w:p w14:paraId="1CD610E5" w14:textId="77777777" w:rsidR="00F90A64" w:rsidRPr="00F90A64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The infant death rate for Black non-Hispanic/non-Latinx (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) infants was</w:t>
            </w:r>
          </w:p>
          <w:p w14:paraId="146D6D85" w14:textId="45D7EDA4" w:rsidR="00F90A64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highest, followed by the rates for Hispanic/Latinx, White 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, and Asian/Pacific</w:t>
            </w:r>
            <w:r w:rsidR="005A4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Islander (API) 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 infants.</w:t>
            </w:r>
          </w:p>
          <w:p w14:paraId="07C48838" w14:textId="77777777" w:rsidR="005A4CF9" w:rsidRPr="00F90A64" w:rsidRDefault="005A4CF9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3F23" w14:textId="77777777" w:rsidR="00F90A64" w:rsidRPr="00F90A64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The Black 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 infant death rate was almost 3 times the White 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 infant</w:t>
            </w:r>
          </w:p>
          <w:p w14:paraId="74F607EA" w14:textId="77777777" w:rsidR="00F90A64" w:rsidRPr="00F90A64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 xml:space="preserve">death rate. The Hispanic/Latinx infant death rate was 1.5 times the White 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</w:p>
          <w:p w14:paraId="5ADE5F2A" w14:textId="1D9A92EC" w:rsidR="00D0237E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infants’</w:t>
            </w:r>
            <w:proofErr w:type="gramEnd"/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237E" w14:paraId="5906FF2F" w14:textId="77777777" w:rsidTr="00364E55">
        <w:trPr>
          <w:trHeight w:val="647"/>
          <w:jc w:val="center"/>
        </w:trPr>
        <w:tc>
          <w:tcPr>
            <w:tcW w:w="1525" w:type="dxa"/>
            <w:vAlign w:val="center"/>
          </w:tcPr>
          <w:p w14:paraId="6904FF32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Inequities by</w:t>
            </w:r>
          </w:p>
          <w:p w14:paraId="3112F82A" w14:textId="7FBF075D" w:rsidR="00D0237E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7825" w:type="dxa"/>
            <w:vAlign w:val="center"/>
          </w:tcPr>
          <w:p w14:paraId="1160D619" w14:textId="77777777" w:rsidR="00F90A64" w:rsidRPr="00F90A64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The male infant death rate (407.5) was 1.2 times the female infant death rate</w:t>
            </w:r>
          </w:p>
          <w:p w14:paraId="3FC739F3" w14:textId="4B022611" w:rsidR="00D0237E" w:rsidRDefault="00F90A64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A64">
              <w:rPr>
                <w:rFonts w:ascii="Times New Roman" w:hAnsi="Times New Roman" w:cs="Times New Roman"/>
                <w:sz w:val="24"/>
                <w:szCs w:val="24"/>
              </w:rPr>
              <w:t>(341.9).</w:t>
            </w:r>
          </w:p>
        </w:tc>
      </w:tr>
      <w:tr w:rsidR="00D0237E" w14:paraId="4CCEE9C2" w14:textId="77777777" w:rsidTr="0015182B">
        <w:trPr>
          <w:trHeight w:val="1520"/>
          <w:jc w:val="center"/>
        </w:trPr>
        <w:tc>
          <w:tcPr>
            <w:tcW w:w="1525" w:type="dxa"/>
            <w:vAlign w:val="center"/>
          </w:tcPr>
          <w:p w14:paraId="69291F94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Leading</w:t>
            </w:r>
          </w:p>
          <w:p w14:paraId="69AD54A5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causes of</w:t>
            </w:r>
          </w:p>
          <w:p w14:paraId="7C789B17" w14:textId="39951CA7" w:rsidR="00D0237E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7825" w:type="dxa"/>
            <w:vAlign w:val="center"/>
          </w:tcPr>
          <w:p w14:paraId="00E87877" w14:textId="77777777" w:rsidR="005A4CF9" w:rsidRDefault="004D5698" w:rsidP="004D5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CF9">
              <w:rPr>
                <w:rFonts w:ascii="Times New Roman" w:hAnsi="Times New Roman" w:cs="Times New Roman"/>
                <w:sz w:val="24"/>
                <w:szCs w:val="24"/>
              </w:rPr>
              <w:t>Short gestation/low birthweight</w:t>
            </w:r>
          </w:p>
          <w:p w14:paraId="654EC344" w14:textId="3EA6D872" w:rsidR="00D97206" w:rsidRDefault="004D5698" w:rsidP="004D5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CF9">
              <w:rPr>
                <w:rFonts w:ascii="Times New Roman" w:hAnsi="Times New Roman" w:cs="Times New Roman"/>
                <w:sz w:val="24"/>
                <w:szCs w:val="24"/>
              </w:rPr>
              <w:t>Congenital malformations</w:t>
            </w:r>
          </w:p>
          <w:p w14:paraId="0FBC1CBB" w14:textId="21CA7531" w:rsidR="00D97206" w:rsidRDefault="004D5698" w:rsidP="004D5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7206">
              <w:rPr>
                <w:rFonts w:ascii="Times New Roman" w:hAnsi="Times New Roman" w:cs="Times New Roman"/>
                <w:sz w:val="24"/>
                <w:szCs w:val="24"/>
              </w:rPr>
              <w:t>Sudden infant death syndrome (SIDS)</w:t>
            </w:r>
          </w:p>
          <w:p w14:paraId="39E2CC93" w14:textId="6EFEA23A" w:rsidR="00D0237E" w:rsidRPr="00D97206" w:rsidRDefault="004D5698" w:rsidP="004D569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7206">
              <w:rPr>
                <w:rFonts w:ascii="Times New Roman" w:hAnsi="Times New Roman" w:cs="Times New Roman"/>
                <w:sz w:val="24"/>
                <w:szCs w:val="24"/>
              </w:rPr>
              <w:t>Pregnancy complications</w:t>
            </w:r>
          </w:p>
        </w:tc>
      </w:tr>
      <w:tr w:rsidR="00D0237E" w14:paraId="54A92917" w14:textId="77777777" w:rsidTr="0015182B">
        <w:trPr>
          <w:trHeight w:val="1682"/>
          <w:jc w:val="center"/>
        </w:trPr>
        <w:tc>
          <w:tcPr>
            <w:tcW w:w="1525" w:type="dxa"/>
            <w:vAlign w:val="center"/>
          </w:tcPr>
          <w:p w14:paraId="11F81936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Leading</w:t>
            </w:r>
          </w:p>
          <w:p w14:paraId="75EBF1A0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causes of</w:t>
            </w:r>
          </w:p>
          <w:p w14:paraId="77A16C20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death by sex</w:t>
            </w:r>
          </w:p>
          <w:p w14:paraId="06BE0223" w14:textId="77777777" w:rsidR="007C734A" w:rsidRPr="007C734A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and race/</w:t>
            </w:r>
          </w:p>
          <w:p w14:paraId="38EAA6D2" w14:textId="4264AB97" w:rsidR="00D0237E" w:rsidRDefault="007C734A" w:rsidP="0038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7825" w:type="dxa"/>
            <w:vAlign w:val="center"/>
          </w:tcPr>
          <w:p w14:paraId="2BD14DA9" w14:textId="77777777" w:rsidR="00D97206" w:rsidRDefault="00D97206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8032B" w14:textId="39A28B93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For SIDS, male infants had a death rate (34.5) that was 1.5 times the rate for</w:t>
            </w:r>
          </w:p>
          <w:p w14:paraId="75DE8287" w14:textId="77777777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female infants (22.3).</w:t>
            </w:r>
          </w:p>
          <w:p w14:paraId="01524EAC" w14:textId="77777777" w:rsidR="00D97206" w:rsidRDefault="00D97206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B887" w14:textId="16BA4C84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Short gestation/low birthweight was highest among male Black 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and male</w:t>
            </w:r>
            <w:r w:rsidR="00D4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Hispanic/Latinx infants, whose death rates were 4.4 and 2.3 times the rate for</w:t>
            </w:r>
            <w:r w:rsidR="00D4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male White 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infants.</w:t>
            </w:r>
          </w:p>
          <w:p w14:paraId="2EEC2FCE" w14:textId="77777777" w:rsidR="00D97206" w:rsidRDefault="00D97206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D6ED" w14:textId="4DA0DA86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The male Black 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infant SIDS rate was 2.2 times the rate for male White</w:t>
            </w:r>
          </w:p>
          <w:p w14:paraId="31EB31AB" w14:textId="77777777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infants.</w:t>
            </w:r>
          </w:p>
          <w:p w14:paraId="3F4B7435" w14:textId="77777777" w:rsidR="00D97206" w:rsidRDefault="00D97206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D3DF8" w14:textId="35F2D112" w:rsidR="004D5698" w:rsidRPr="004D5698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For congenital malformations, the Black 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female infant death rate was 1.4</w:t>
            </w:r>
          </w:p>
          <w:p w14:paraId="1D0E9CFC" w14:textId="109F2C90" w:rsidR="00D0237E" w:rsidRDefault="004D5698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times the rate for Black 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4D5698">
              <w:rPr>
                <w:rFonts w:ascii="Times New Roman" w:hAnsi="Times New Roman" w:cs="Times New Roman"/>
                <w:sz w:val="24"/>
                <w:szCs w:val="24"/>
              </w:rPr>
              <w:t xml:space="preserve"> male infant deaths.</w:t>
            </w:r>
          </w:p>
        </w:tc>
      </w:tr>
      <w:tr w:rsidR="00364E55" w14:paraId="1DCED95E" w14:textId="77777777" w:rsidTr="00364E55">
        <w:trPr>
          <w:trHeight w:val="80"/>
          <w:jc w:val="center"/>
        </w:trPr>
        <w:tc>
          <w:tcPr>
            <w:tcW w:w="9350" w:type="dxa"/>
            <w:gridSpan w:val="2"/>
            <w:vAlign w:val="center"/>
          </w:tcPr>
          <w:p w14:paraId="534BCB9B" w14:textId="74B63C9E" w:rsidR="00364E55" w:rsidRDefault="00364E55" w:rsidP="004D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55">
              <w:rPr>
                <w:rFonts w:ascii="Times New Roman" w:hAnsi="Times New Roman" w:cs="Times New Roman"/>
              </w:rPr>
              <w:lastRenderedPageBreak/>
              <w:t>V. Massachusetts Department of Public Health, Registry of Vital Records and Statistics, 2016-2020</w:t>
            </w:r>
          </w:p>
        </w:tc>
      </w:tr>
    </w:tbl>
    <w:p w14:paraId="37D76D3B" w14:textId="5E863870" w:rsidR="00BE09E7" w:rsidRDefault="00BE09E7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D6FF2" w14:textId="50CA13CB" w:rsidR="0825F179" w:rsidRDefault="0825F179" w:rsidP="0825F1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364E55" w14:paraId="19720904" w14:textId="77777777" w:rsidTr="007226E6">
        <w:trPr>
          <w:trHeight w:val="710"/>
        </w:trPr>
        <w:tc>
          <w:tcPr>
            <w:tcW w:w="9350" w:type="dxa"/>
            <w:gridSpan w:val="2"/>
            <w:vAlign w:val="center"/>
          </w:tcPr>
          <w:p w14:paraId="45FB4B68" w14:textId="77777777" w:rsidR="00364E55" w:rsidRPr="006C333C" w:rsidRDefault="00364E55" w:rsidP="0072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3C">
              <w:rPr>
                <w:rFonts w:ascii="Times New Roman" w:hAnsi="Times New Roman" w:cs="Times New Roman"/>
                <w:sz w:val="24"/>
                <w:szCs w:val="24"/>
              </w:rPr>
              <w:t>Child Fatalities, Ages 1-17 (2016-</w:t>
            </w:r>
            <w:proofErr w:type="gramStart"/>
            <w:r w:rsidRPr="006C333C">
              <w:rPr>
                <w:rFonts w:ascii="Times New Roman" w:hAnsi="Times New Roman" w:cs="Times New Roman"/>
                <w:sz w:val="24"/>
                <w:szCs w:val="24"/>
              </w:rPr>
              <w:t>2020)</w:t>
            </w:r>
            <w:r w:rsidRPr="006C33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VI</w:t>
            </w:r>
            <w:proofErr w:type="gramEnd"/>
          </w:p>
          <w:p w14:paraId="5488A6C0" w14:textId="77777777" w:rsidR="00364E55" w:rsidRDefault="00364E55" w:rsidP="0072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3C">
              <w:rPr>
                <w:rFonts w:ascii="Times New Roman" w:hAnsi="Times New Roman" w:cs="Times New Roman"/>
                <w:sz w:val="20"/>
                <w:szCs w:val="20"/>
              </w:rPr>
              <w:t>All rates are per 100, 000 population</w:t>
            </w:r>
          </w:p>
        </w:tc>
      </w:tr>
      <w:tr w:rsidR="00364E55" w14:paraId="51C9E78A" w14:textId="77777777" w:rsidTr="007226E6">
        <w:trPr>
          <w:trHeight w:val="980"/>
        </w:trPr>
        <w:tc>
          <w:tcPr>
            <w:tcW w:w="1525" w:type="dxa"/>
            <w:vAlign w:val="center"/>
          </w:tcPr>
          <w:p w14:paraId="46D09C32" w14:textId="77777777" w:rsidR="00364E55" w:rsidRPr="00C11337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</w:p>
          <w:p w14:paraId="4C04F76A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fatalities</w:t>
            </w:r>
          </w:p>
        </w:tc>
        <w:tc>
          <w:tcPr>
            <w:tcW w:w="7825" w:type="dxa"/>
            <w:vAlign w:val="center"/>
          </w:tcPr>
          <w:p w14:paraId="759481C2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2F107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14:paraId="6C2575A1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8464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(2016: 179; 2020: 127)</w:t>
            </w:r>
          </w:p>
        </w:tc>
      </w:tr>
      <w:tr w:rsidR="00364E55" w14:paraId="35A1FFD1" w14:textId="77777777" w:rsidTr="007226E6">
        <w:trPr>
          <w:trHeight w:val="593"/>
        </w:trPr>
        <w:tc>
          <w:tcPr>
            <w:tcW w:w="1525" w:type="dxa"/>
            <w:vAlign w:val="center"/>
          </w:tcPr>
          <w:p w14:paraId="49C472AC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37">
              <w:rPr>
                <w:rFonts w:ascii="Times New Roman" w:hAnsi="Times New Roman" w:cs="Times New Roman"/>
                <w:sz w:val="24"/>
                <w:szCs w:val="24"/>
              </w:rPr>
              <w:t>Fatality rate</w:t>
            </w:r>
          </w:p>
        </w:tc>
        <w:tc>
          <w:tcPr>
            <w:tcW w:w="7825" w:type="dxa"/>
            <w:vAlign w:val="center"/>
          </w:tcPr>
          <w:p w14:paraId="10700CA6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</w:tr>
      <w:tr w:rsidR="00364E55" w14:paraId="3AB09CF5" w14:textId="77777777" w:rsidTr="007226E6">
        <w:trPr>
          <w:trHeight w:val="2510"/>
        </w:trPr>
        <w:tc>
          <w:tcPr>
            <w:tcW w:w="1525" w:type="dxa"/>
            <w:vAlign w:val="center"/>
          </w:tcPr>
          <w:p w14:paraId="22DFC1A8" w14:textId="77777777" w:rsidR="00364E55" w:rsidRPr="007C734A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Inequities by</w:t>
            </w:r>
          </w:p>
          <w:p w14:paraId="7D14FD81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</w:tc>
        <w:tc>
          <w:tcPr>
            <w:tcW w:w="7825" w:type="dxa"/>
            <w:vAlign w:val="center"/>
          </w:tcPr>
          <w:p w14:paraId="294E35E6" w14:textId="77777777" w:rsidR="00364E55" w:rsidRPr="00F062D1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The death rate for American Indian/Alaska Native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children was highest,</w:t>
            </w:r>
          </w:p>
          <w:p w14:paraId="38769218" w14:textId="77777777" w:rsidR="00364E55" w:rsidRPr="00F062D1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followed by rates for Black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, API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, Hispanic, and White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children.</w:t>
            </w:r>
          </w:p>
          <w:p w14:paraId="37CF7EE2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679D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The American Indian/Alaska Native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 death rate was more than 5 times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the White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 death rate.</w:t>
            </w:r>
          </w:p>
          <w:p w14:paraId="6AEABEC2" w14:textId="77777777" w:rsidR="00364E55" w:rsidRPr="00F062D1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518AE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The Black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 death rate was twice the rate for White 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F062D1">
              <w:rPr>
                <w:rFonts w:ascii="Times New Roman" w:hAnsi="Times New Roman" w:cs="Times New Roman"/>
                <w:sz w:val="24"/>
                <w:szCs w:val="24"/>
              </w:rPr>
              <w:t xml:space="preserve"> children.</w:t>
            </w:r>
          </w:p>
        </w:tc>
      </w:tr>
      <w:tr w:rsidR="00364E55" w14:paraId="31386D76" w14:textId="77777777" w:rsidTr="007226E6">
        <w:trPr>
          <w:trHeight w:val="890"/>
        </w:trPr>
        <w:tc>
          <w:tcPr>
            <w:tcW w:w="1525" w:type="dxa"/>
            <w:vAlign w:val="center"/>
          </w:tcPr>
          <w:p w14:paraId="2482435D" w14:textId="77777777" w:rsidR="00364E55" w:rsidRPr="007C734A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Inequities by</w:t>
            </w:r>
          </w:p>
          <w:p w14:paraId="345F10E4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34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7825" w:type="dxa"/>
            <w:vAlign w:val="center"/>
          </w:tcPr>
          <w:p w14:paraId="3E17C6F5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297">
              <w:rPr>
                <w:rFonts w:ascii="Times New Roman" w:hAnsi="Times New Roman" w:cs="Times New Roman"/>
                <w:sz w:val="24"/>
                <w:szCs w:val="24"/>
              </w:rPr>
              <w:t>The male child death rate (14.4) was 1.5 times the female child death rate (9.9).</w:t>
            </w:r>
          </w:p>
        </w:tc>
      </w:tr>
      <w:tr w:rsidR="00364E55" w14:paraId="5CD0C781" w14:textId="77777777" w:rsidTr="007226E6">
        <w:trPr>
          <w:trHeight w:val="1610"/>
        </w:trPr>
        <w:tc>
          <w:tcPr>
            <w:tcW w:w="1525" w:type="dxa"/>
            <w:vAlign w:val="center"/>
          </w:tcPr>
          <w:p w14:paraId="5CCC1425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825" w:type="dxa"/>
            <w:vAlign w:val="center"/>
          </w:tcPr>
          <w:p w14:paraId="1C2DA5D6" w14:textId="77777777" w:rsidR="00364E55" w:rsidRPr="00DE4297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297">
              <w:rPr>
                <w:rFonts w:ascii="Times New Roman" w:hAnsi="Times New Roman" w:cs="Times New Roman"/>
                <w:sz w:val="24"/>
                <w:szCs w:val="24"/>
              </w:rPr>
              <w:t>The 15-17 age group had the highest death rate (21.3) followed by the 1-4 age</w:t>
            </w:r>
          </w:p>
          <w:p w14:paraId="1E3FC6C8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297">
              <w:rPr>
                <w:rFonts w:ascii="Times New Roman" w:hAnsi="Times New Roman" w:cs="Times New Roman"/>
                <w:sz w:val="24"/>
                <w:szCs w:val="24"/>
              </w:rPr>
              <w:t>group (13.6).</w:t>
            </w:r>
          </w:p>
          <w:p w14:paraId="0FB99770" w14:textId="77777777" w:rsidR="00364E55" w:rsidRPr="00DE4297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60AD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297">
              <w:rPr>
                <w:rFonts w:ascii="Times New Roman" w:hAnsi="Times New Roman" w:cs="Times New Roman"/>
                <w:sz w:val="24"/>
                <w:szCs w:val="24"/>
              </w:rPr>
              <w:t>Most unintentional injuries, suicides, and homicides occurred among children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297">
              <w:rPr>
                <w:rFonts w:ascii="Times New Roman" w:hAnsi="Times New Roman" w:cs="Times New Roman"/>
                <w:sz w:val="24"/>
                <w:szCs w:val="24"/>
              </w:rPr>
              <w:t>the 15-17 age group.</w:t>
            </w:r>
          </w:p>
        </w:tc>
      </w:tr>
      <w:tr w:rsidR="00364E55" w14:paraId="012CAC73" w14:textId="77777777" w:rsidTr="007226E6">
        <w:tc>
          <w:tcPr>
            <w:tcW w:w="1525" w:type="dxa"/>
            <w:vAlign w:val="center"/>
          </w:tcPr>
          <w:p w14:paraId="508286F7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Leading</w:t>
            </w:r>
          </w:p>
          <w:p w14:paraId="3A80892C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causes of</w:t>
            </w:r>
          </w:p>
          <w:p w14:paraId="701B35D9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7825" w:type="dxa"/>
            <w:vAlign w:val="center"/>
          </w:tcPr>
          <w:p w14:paraId="5EEDB001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ab/>
              <w:t>Unintentional injuries</w:t>
            </w:r>
          </w:p>
          <w:p w14:paraId="5F85FF09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ab/>
              <w:t>Cancer</w:t>
            </w:r>
          </w:p>
          <w:p w14:paraId="3295F2F5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ab/>
              <w:t>Suicide</w:t>
            </w:r>
          </w:p>
          <w:p w14:paraId="3D96700E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ab/>
              <w:t>Homicide</w:t>
            </w:r>
          </w:p>
          <w:p w14:paraId="4F5594C3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E837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Unintentional injuries and cancer were the top causes for children ages 1-14.</w:t>
            </w:r>
          </w:p>
          <w:p w14:paraId="1F31449F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25BE8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Unintentional injuries and suicide were the top causes for children ages 15-17.</w:t>
            </w:r>
          </w:p>
        </w:tc>
      </w:tr>
      <w:tr w:rsidR="00364E55" w14:paraId="1B4ED7E5" w14:textId="77777777" w:rsidTr="007226E6">
        <w:trPr>
          <w:trHeight w:val="1070"/>
        </w:trPr>
        <w:tc>
          <w:tcPr>
            <w:tcW w:w="1525" w:type="dxa"/>
            <w:vAlign w:val="center"/>
          </w:tcPr>
          <w:p w14:paraId="29E07119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Leading</w:t>
            </w:r>
          </w:p>
          <w:p w14:paraId="225FA433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causes of</w:t>
            </w:r>
          </w:p>
          <w:p w14:paraId="4A2B0EE2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death by sex</w:t>
            </w:r>
          </w:p>
          <w:p w14:paraId="70E6C7D5" w14:textId="77777777" w:rsidR="00364E55" w:rsidRPr="003A6E3F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and race/</w:t>
            </w:r>
          </w:p>
          <w:p w14:paraId="608D22B9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E3F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7825" w:type="dxa"/>
            <w:vAlign w:val="center"/>
          </w:tcPr>
          <w:p w14:paraId="217A0639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D8B93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Rates of unintentional injuries were higher among male children for all age groups</w:t>
            </w:r>
          </w:p>
          <w:p w14:paraId="76F0828E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compared to female children. Suicide and homicide rates were also higher among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male children ages 15-17 compared to females.</w:t>
            </w:r>
          </w:p>
          <w:p w14:paraId="03CD80F8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95579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Among male children ages 1-17, unintentional injuries were twice as frequent</w:t>
            </w:r>
          </w:p>
          <w:p w14:paraId="15B109AE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among Black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 compared to White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children.</w:t>
            </w:r>
          </w:p>
          <w:p w14:paraId="43CD2277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094C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Among children ages 15-17, the homicide rate was 17.4 times as high for male</w:t>
            </w:r>
          </w:p>
          <w:p w14:paraId="0F6168D4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 and 8.3 times as high for male Hispanic/Latinx children</w:t>
            </w:r>
          </w:p>
          <w:p w14:paraId="26FF33AE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compared to male White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children.</w:t>
            </w:r>
          </w:p>
          <w:p w14:paraId="276E6990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47A80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5B63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Cancer and suicide rates among female API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 were more than 3</w:t>
            </w:r>
          </w:p>
          <w:p w14:paraId="5AFACB77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times the rate for female White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 children. Cancer and suicide rates among</w:t>
            </w:r>
          </w:p>
          <w:p w14:paraId="625C80A6" w14:textId="77777777" w:rsidR="00364E55" w:rsidRPr="005B3690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 xml:space="preserve">female Hispanic/Latinx children were 1.5 times the rate for female White 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</w:p>
          <w:p w14:paraId="11C05A24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90">
              <w:rPr>
                <w:rFonts w:ascii="Times New Roman" w:hAnsi="Times New Roman" w:cs="Times New Roman"/>
                <w:sz w:val="24"/>
                <w:szCs w:val="24"/>
              </w:rPr>
              <w:t>children.</w:t>
            </w:r>
          </w:p>
        </w:tc>
      </w:tr>
      <w:tr w:rsidR="00364E55" w14:paraId="05240CE8" w14:textId="77777777" w:rsidTr="007226E6">
        <w:trPr>
          <w:trHeight w:val="377"/>
        </w:trPr>
        <w:tc>
          <w:tcPr>
            <w:tcW w:w="9350" w:type="dxa"/>
            <w:gridSpan w:val="2"/>
            <w:vAlign w:val="center"/>
          </w:tcPr>
          <w:p w14:paraId="3ABD243D" w14:textId="77777777" w:rsidR="00364E55" w:rsidRDefault="00364E55" w:rsidP="0072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05">
              <w:rPr>
                <w:rFonts w:ascii="Times New Roman" w:hAnsi="Times New Roman" w:cs="Times New Roman"/>
                <w:sz w:val="20"/>
                <w:szCs w:val="20"/>
              </w:rPr>
              <w:t>VI. Massachusetts Department of Public Health, Registry of Vital Records and Statistics, 2016-2020</w:t>
            </w:r>
          </w:p>
        </w:tc>
      </w:tr>
    </w:tbl>
    <w:p w14:paraId="5E300FE1" w14:textId="77777777" w:rsidR="00BE09E7" w:rsidRPr="00444E9E" w:rsidRDefault="00BE09E7" w:rsidP="004A2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09E7" w:rsidRPr="00444E9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EE9E" w14:textId="77777777" w:rsidR="00BD5200" w:rsidRDefault="00BD5200" w:rsidP="00FD59DE">
      <w:pPr>
        <w:spacing w:after="0" w:line="240" w:lineRule="auto"/>
      </w:pPr>
      <w:r>
        <w:separator/>
      </w:r>
    </w:p>
  </w:endnote>
  <w:endnote w:type="continuationSeparator" w:id="0">
    <w:p w14:paraId="0C15319B" w14:textId="77777777" w:rsidR="00BD5200" w:rsidRDefault="00BD5200" w:rsidP="00FD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641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F3738" w14:textId="6E939060" w:rsidR="00FD59DE" w:rsidRDefault="00FD5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2A8AA" w14:textId="77777777" w:rsidR="00FD59DE" w:rsidRDefault="00FD5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8454" w14:textId="77777777" w:rsidR="00BD5200" w:rsidRDefault="00BD5200" w:rsidP="00FD59DE">
      <w:pPr>
        <w:spacing w:after="0" w:line="240" w:lineRule="auto"/>
      </w:pPr>
      <w:r>
        <w:separator/>
      </w:r>
    </w:p>
  </w:footnote>
  <w:footnote w:type="continuationSeparator" w:id="0">
    <w:p w14:paraId="550559CD" w14:textId="77777777" w:rsidR="00BD5200" w:rsidRDefault="00BD5200" w:rsidP="00FD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304F9" w14:textId="21062F96" w:rsidR="000F3A1A" w:rsidRPr="001970D2" w:rsidRDefault="001970D2">
    <w:pPr>
      <w:pStyle w:val="Header"/>
      <w:rPr>
        <w:sz w:val="20"/>
        <w:szCs w:val="20"/>
      </w:rPr>
    </w:pPr>
    <w:r w:rsidRPr="001970D2">
      <w:rPr>
        <w:sz w:val="20"/>
        <w:szCs w:val="20"/>
      </w:rPr>
      <w:t>Massachusetts Department of Public Health | Injury Surveillance Program | Child Fatality Review Program</w:t>
    </w:r>
  </w:p>
  <w:p w14:paraId="3D7B38B8" w14:textId="77777777" w:rsidR="00FD59DE" w:rsidRDefault="00FD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672F6"/>
    <w:multiLevelType w:val="hybridMultilevel"/>
    <w:tmpl w:val="473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121D"/>
    <w:multiLevelType w:val="hybridMultilevel"/>
    <w:tmpl w:val="50A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B759D"/>
    <w:multiLevelType w:val="hybridMultilevel"/>
    <w:tmpl w:val="CB28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950B2"/>
    <w:multiLevelType w:val="hybridMultilevel"/>
    <w:tmpl w:val="D640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987"/>
    <w:multiLevelType w:val="hybridMultilevel"/>
    <w:tmpl w:val="A8E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F"/>
    <w:rsid w:val="00031AF6"/>
    <w:rsid w:val="00036DD9"/>
    <w:rsid w:val="00043C30"/>
    <w:rsid w:val="00063D05"/>
    <w:rsid w:val="000811A1"/>
    <w:rsid w:val="000C542F"/>
    <w:rsid w:val="000F3A1A"/>
    <w:rsid w:val="00106FCD"/>
    <w:rsid w:val="0015182B"/>
    <w:rsid w:val="0017099E"/>
    <w:rsid w:val="001970D2"/>
    <w:rsid w:val="001D29EF"/>
    <w:rsid w:val="001F2724"/>
    <w:rsid w:val="0027323D"/>
    <w:rsid w:val="002B329E"/>
    <w:rsid w:val="00364E55"/>
    <w:rsid w:val="00386D15"/>
    <w:rsid w:val="003A6E3F"/>
    <w:rsid w:val="003C106B"/>
    <w:rsid w:val="003D3CC6"/>
    <w:rsid w:val="00444E9E"/>
    <w:rsid w:val="00470AD9"/>
    <w:rsid w:val="00480FFF"/>
    <w:rsid w:val="004A2853"/>
    <w:rsid w:val="004D5698"/>
    <w:rsid w:val="004E3A5F"/>
    <w:rsid w:val="00541639"/>
    <w:rsid w:val="00587C02"/>
    <w:rsid w:val="0059678F"/>
    <w:rsid w:val="005A4CF9"/>
    <w:rsid w:val="005B3690"/>
    <w:rsid w:val="005F3570"/>
    <w:rsid w:val="00624EC3"/>
    <w:rsid w:val="00633BBA"/>
    <w:rsid w:val="00637591"/>
    <w:rsid w:val="0065133E"/>
    <w:rsid w:val="00651D1E"/>
    <w:rsid w:val="00671CC2"/>
    <w:rsid w:val="006B32EA"/>
    <w:rsid w:val="006B35DF"/>
    <w:rsid w:val="006C333C"/>
    <w:rsid w:val="006C3F08"/>
    <w:rsid w:val="007242D6"/>
    <w:rsid w:val="007622D4"/>
    <w:rsid w:val="007C734A"/>
    <w:rsid w:val="007E42E5"/>
    <w:rsid w:val="00844E82"/>
    <w:rsid w:val="0087561C"/>
    <w:rsid w:val="008A4E0E"/>
    <w:rsid w:val="008F1CB5"/>
    <w:rsid w:val="00920055"/>
    <w:rsid w:val="00922C78"/>
    <w:rsid w:val="00966873"/>
    <w:rsid w:val="009A3CAA"/>
    <w:rsid w:val="009F26E1"/>
    <w:rsid w:val="00A41DA6"/>
    <w:rsid w:val="00AF5A19"/>
    <w:rsid w:val="00B40652"/>
    <w:rsid w:val="00B47AA0"/>
    <w:rsid w:val="00BC1CF9"/>
    <w:rsid w:val="00BD5200"/>
    <w:rsid w:val="00BE09E7"/>
    <w:rsid w:val="00C11337"/>
    <w:rsid w:val="00C26BDD"/>
    <w:rsid w:val="00C6591D"/>
    <w:rsid w:val="00C80E75"/>
    <w:rsid w:val="00C84A69"/>
    <w:rsid w:val="00CD281D"/>
    <w:rsid w:val="00D01438"/>
    <w:rsid w:val="00D0237E"/>
    <w:rsid w:val="00D2190A"/>
    <w:rsid w:val="00D414EB"/>
    <w:rsid w:val="00D431B9"/>
    <w:rsid w:val="00D46D45"/>
    <w:rsid w:val="00D526B3"/>
    <w:rsid w:val="00D814E5"/>
    <w:rsid w:val="00D97206"/>
    <w:rsid w:val="00DC7BF7"/>
    <w:rsid w:val="00DE4297"/>
    <w:rsid w:val="00E63F37"/>
    <w:rsid w:val="00EA16D7"/>
    <w:rsid w:val="00EE10DA"/>
    <w:rsid w:val="00F062D1"/>
    <w:rsid w:val="00F113C1"/>
    <w:rsid w:val="00F43D86"/>
    <w:rsid w:val="00F81B60"/>
    <w:rsid w:val="00F83FEE"/>
    <w:rsid w:val="00F90A64"/>
    <w:rsid w:val="00FC560B"/>
    <w:rsid w:val="00FD59DE"/>
    <w:rsid w:val="02BB2693"/>
    <w:rsid w:val="0825F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A5B1"/>
  <w15:chartTrackingRefBased/>
  <w15:docId w15:val="{8857F680-844B-417F-96DD-F8AF0D8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DE"/>
  </w:style>
  <w:style w:type="paragraph" w:styleId="Footer">
    <w:name w:val="footer"/>
    <w:basedOn w:val="Normal"/>
    <w:link w:val="FooterChar"/>
    <w:uiPriority w:val="99"/>
    <w:unhideWhenUsed/>
    <w:rsid w:val="00FD5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DE"/>
  </w:style>
  <w:style w:type="character" w:styleId="CommentReference">
    <w:name w:val="annotation reference"/>
    <w:basedOn w:val="DefaultParagraphFont"/>
    <w:uiPriority w:val="99"/>
    <w:semiHidden/>
    <w:unhideWhenUsed/>
    <w:rsid w:val="0008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1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common.mapc.org/browse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community-reports-from-the-population-health-too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sus.gov/quickfacts/fact/table/MA/PST0452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gov-my.sharepoint.com/personal/oscar_torres_mass_gov/Documents/mdph-isp@mas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mass.gov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iversitydatakids.org/maps/?_ga=2.117278086.1680968579.1651172818-1687932418.164924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9" ma:contentTypeDescription="Create a new document." ma:contentTypeScope="" ma:versionID="07ecc9a1da0264d4d87b50608784e547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b600473c4f09f444b847583a1088389a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Props1.xml><?xml version="1.0" encoding="utf-8"?>
<ds:datastoreItem xmlns:ds="http://schemas.openxmlformats.org/officeDocument/2006/customXml" ds:itemID="{6BC6FC10-DE1A-47DC-BF67-0D9C5754D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ACDF2-4E5C-4ACB-B6FF-45EEAF7D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09C8E-64D7-4313-8711-4C9AF61858D6}">
  <ds:schemaRefs>
    <ds:schemaRef ds:uri="http://schemas.microsoft.com/office/2006/metadata/properties"/>
    <ds:schemaRef ds:uri="http://schemas.microsoft.com/office/infopath/2007/PartnerControls"/>
    <ds:schemaRef ds:uri="822f6cba-8add-409c-a6c4-31e259b2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Oscar (DPH)</dc:creator>
  <cp:keywords/>
  <dc:description/>
  <cp:lastModifiedBy>Matthew</cp:lastModifiedBy>
  <cp:revision>2</cp:revision>
  <dcterms:created xsi:type="dcterms:W3CDTF">2023-05-11T13:04:00Z</dcterms:created>
  <dcterms:modified xsi:type="dcterms:W3CDTF">2023-05-11T13:04:00Z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  <property fmtid="{D5CDD505-2E9C-101B-9397-08002B2CF9AE}" pid="3" name="GrammarlyDocumentId">
    <vt:lpwstr>597eef8be5aa3ab5d877fa5c3f93d81c684f7bc59b29356d2753b1f82b3ef9aa</vt:lpwstr>
  </property>
</Properties>
</file>