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heme="majorEastAsia" w:hAnsiTheme="majorHAnsi" w:cstheme="majorBidi"/>
          <w:sz w:val="76"/>
          <w:szCs w:val="72"/>
          <w:lang w:eastAsia="en-US"/>
        </w:rPr>
        <w:id w:val="911281590"/>
        <w:docPartObj>
          <w:docPartGallery w:val="Cover Pages"/>
          <w:docPartUnique/>
        </w:docPartObj>
      </w:sdtPr>
      <w:sdtEndPr>
        <w:rPr>
          <w:rFonts w:asciiTheme="minorHAnsi" w:eastAsiaTheme="minorHAnsi" w:hAnsiTheme="minorHAnsi" w:cstheme="minorBidi"/>
          <w:b/>
          <w:bCs/>
          <w:noProof/>
          <w:webHidden/>
          <w:sz w:val="22"/>
          <w:szCs w:val="22"/>
        </w:rPr>
      </w:sdtEndPr>
      <w:sdtContent>
        <w:tbl>
          <w:tblPr>
            <w:tblpPr w:leftFromText="187" w:rightFromText="187" w:vertAnchor="page" w:horzAnchor="page" w:tblpXSpec="center" w:tblpYSpec="center"/>
            <w:tblW w:w="5000" w:type="pct"/>
            <w:tblCellMar>
              <w:top w:w="216" w:type="dxa"/>
              <w:left w:w="216" w:type="dxa"/>
              <w:bottom w:w="216" w:type="dxa"/>
              <w:right w:w="216" w:type="dxa"/>
            </w:tblCellMar>
            <w:tblLook w:val="04A0" w:firstRow="1" w:lastRow="0" w:firstColumn="1" w:lastColumn="0" w:noHBand="0" w:noVBand="1"/>
          </w:tblPr>
          <w:tblGrid>
            <w:gridCol w:w="3773"/>
            <w:gridCol w:w="24"/>
            <w:gridCol w:w="5563"/>
          </w:tblGrid>
          <w:tr w:rsidR="004904B2" w14:paraId="291FEF88" w14:textId="77777777">
            <w:tc>
              <w:tcPr>
                <w:tcW w:w="3525" w:type="dxa"/>
                <w:tcBorders>
                  <w:bottom w:val="single" w:sz="18" w:space="0" w:color="808080" w:themeColor="background1" w:themeShade="80"/>
                  <w:right w:val="single" w:sz="18" w:space="0" w:color="808080" w:themeColor="background1" w:themeShade="80"/>
                </w:tcBorders>
                <w:vAlign w:val="center"/>
              </w:tcPr>
              <w:p w14:paraId="42E1474E" w14:textId="062CD3DE" w:rsidR="004904B2" w:rsidRDefault="0059026B" w:rsidP="004904B2">
                <w:pPr>
                  <w:pStyle w:val="NoSpacing"/>
                  <w:rPr>
                    <w:rFonts w:asciiTheme="majorHAnsi" w:eastAsiaTheme="majorEastAsia" w:hAnsiTheme="majorHAnsi" w:cstheme="majorBidi"/>
                    <w:sz w:val="76"/>
                    <w:szCs w:val="72"/>
                  </w:rPr>
                </w:pPr>
                <w:sdt>
                  <w:sdtPr>
                    <w:rPr>
                      <w:rFonts w:eastAsiaTheme="majorEastAsia" w:cstheme="minorHAnsi"/>
                      <w:b/>
                      <w:sz w:val="52"/>
                      <w:szCs w:val="72"/>
                    </w:rPr>
                    <w:alias w:val="Title"/>
                    <w:id w:val="276713177"/>
                    <w:placeholder>
                      <w:docPart w:val="28D3127D63E94512B06A8143138136F9"/>
                    </w:placeholder>
                    <w:dataBinding w:prefixMappings="xmlns:ns0='http://schemas.openxmlformats.org/package/2006/metadata/core-properties' xmlns:ns1='http://purl.org/dc/elements/1.1/'" w:xpath="/ns0:coreProperties[1]/ns1:title[1]" w:storeItemID="{6C3C8BC8-F283-45AE-878A-BAB7291924A1}"/>
                    <w:text/>
                  </w:sdtPr>
                  <w:sdtEndPr/>
                  <w:sdtContent>
                    <w:r w:rsidR="002C5BDC">
                      <w:rPr>
                        <w:rFonts w:eastAsiaTheme="majorEastAsia" w:cstheme="minorHAnsi"/>
                        <w:b/>
                        <w:sz w:val="52"/>
                        <w:szCs w:val="72"/>
                      </w:rPr>
                      <w:t>Special Report to the MA  Unaccompanied Homeless Youth Commission</w:t>
                    </w:r>
                  </w:sdtContent>
                </w:sdt>
              </w:p>
            </w:tc>
            <w:tc>
              <w:tcPr>
                <w:tcW w:w="6267" w:type="dxa"/>
                <w:gridSpan w:val="2"/>
                <w:tcBorders>
                  <w:left w:val="single" w:sz="18" w:space="0" w:color="808080" w:themeColor="background1" w:themeShade="80"/>
                  <w:bottom w:val="single" w:sz="18" w:space="0" w:color="808080" w:themeColor="background1" w:themeShade="80"/>
                </w:tcBorders>
                <w:vAlign w:val="center"/>
              </w:tcPr>
              <w:p w14:paraId="57795027" w14:textId="1E69BBE4" w:rsidR="004904B2" w:rsidRDefault="004904B2">
                <w:pPr>
                  <w:pStyle w:val="NoSpacing"/>
                  <w:rPr>
                    <w:rFonts w:asciiTheme="majorHAnsi" w:eastAsiaTheme="majorEastAsia" w:hAnsiTheme="majorHAnsi" w:cstheme="majorBidi"/>
                    <w:sz w:val="36"/>
                    <w:szCs w:val="36"/>
                  </w:rPr>
                </w:pPr>
              </w:p>
              <w:sdt>
                <w:sdtPr>
                  <w:rPr>
                    <w:color w:val="4F81BD" w:themeColor="accent1"/>
                    <w:sz w:val="200"/>
                    <w:szCs w:val="200"/>
                    <w14:shadow w14:blurRad="50800" w14:dist="38100" w14:dir="2700000" w14:sx="100000" w14:sy="100000" w14:kx="0" w14:ky="0" w14:algn="tl">
                      <w14:srgbClr w14:val="000000">
                        <w14:alpha w14:val="60000"/>
                      </w14:srgbClr>
                    </w14:shadow>
                    <w14:numForm w14:val="oldStyle"/>
                  </w:rPr>
                  <w:alias w:val="Year"/>
                  <w:id w:val="276713170"/>
                  <w:dataBinding w:prefixMappings="xmlns:ns0='http://schemas.microsoft.com/office/2006/coverPageProps'" w:xpath="/ns0:CoverPageProperties[1]/ns0:PublishDate[1]" w:storeItemID="{55AF091B-3C7A-41E3-B477-F2FDAA23CFDA}"/>
                  <w:date w:fullDate="2020-01-01T00:00:00Z">
                    <w:dateFormat w:val="yyyy"/>
                    <w:lid w:val="en-US"/>
                    <w:storeMappedDataAs w:val="dateTime"/>
                    <w:calendar w:val="gregorian"/>
                  </w:date>
                </w:sdtPr>
                <w:sdtEndPr/>
                <w:sdtContent>
                  <w:p w14:paraId="6404D9AF" w14:textId="66EA0754" w:rsidR="004904B2" w:rsidRDefault="004904B2" w:rsidP="004904B2">
                    <w:pPr>
                      <w:pStyle w:val="NoSpacing"/>
                      <w:rPr>
                        <w:color w:val="4F81BD" w:themeColor="accent1"/>
                        <w:sz w:val="200"/>
                        <w:szCs w:val="200"/>
                        <w14:numForm w14:val="oldStyle"/>
                      </w:rPr>
                    </w:pPr>
                    <w:r>
                      <w:rPr>
                        <w:color w:val="4F81BD" w:themeColor="accent1"/>
                        <w:sz w:val="200"/>
                        <w:szCs w:val="200"/>
                        <w14:shadow w14:blurRad="50800" w14:dist="38100" w14:dir="2700000" w14:sx="100000" w14:sy="100000" w14:kx="0" w14:ky="0" w14:algn="tl">
                          <w14:srgbClr w14:val="000000">
                            <w14:alpha w14:val="60000"/>
                          </w14:srgbClr>
                        </w14:shadow>
                        <w14:numForm w14:val="oldStyle"/>
                      </w:rPr>
                      <w:t>2020</w:t>
                    </w:r>
                  </w:p>
                </w:sdtContent>
              </w:sdt>
            </w:tc>
          </w:tr>
          <w:tr w:rsidR="004904B2" w:rsidRPr="004904B2" w14:paraId="520F58EF" w14:textId="77777777">
            <w:sdt>
              <w:sdtPr>
                <w:rPr>
                  <w:rFonts w:ascii="Helvetica" w:eastAsia="Times New Roman" w:hAnsi="Helvetica" w:cs="Helvetica"/>
                  <w:bCs/>
                  <w:color w:val="141414"/>
                  <w:sz w:val="28"/>
                  <w:szCs w:val="32"/>
                </w:rPr>
                <w:alias w:val="Abstract"/>
                <w:id w:val="276713183"/>
                <w:dataBinding w:prefixMappings="xmlns:ns0='http://schemas.microsoft.com/office/2006/coverPageProps'" w:xpath="/ns0:CoverPageProperties[1]/ns0:Abstract[1]" w:storeItemID="{55AF091B-3C7A-41E3-B477-F2FDAA23CFDA}"/>
                <w:text/>
              </w:sdtPr>
              <w:sdtEndPr/>
              <w:sdtContent>
                <w:tc>
                  <w:tcPr>
                    <w:tcW w:w="7054" w:type="dxa"/>
                    <w:gridSpan w:val="2"/>
                    <w:tcBorders>
                      <w:top w:val="single" w:sz="18" w:space="0" w:color="808080" w:themeColor="background1" w:themeShade="80"/>
                    </w:tcBorders>
                    <w:vAlign w:val="center"/>
                  </w:tcPr>
                  <w:p w14:paraId="49350FE5" w14:textId="1BE13865" w:rsidR="004904B2" w:rsidRPr="004904B2" w:rsidRDefault="004904B2" w:rsidP="004904B2">
                    <w:pPr>
                      <w:pStyle w:val="NoSpacing"/>
                      <w:rPr>
                        <w:sz w:val="18"/>
                      </w:rPr>
                    </w:pPr>
                    <w:r w:rsidRPr="004904B2">
                      <w:rPr>
                        <w:rFonts w:ascii="Helvetica" w:eastAsia="Times New Roman" w:hAnsi="Helvetica" w:cs="Helvetica"/>
                        <w:bCs/>
                        <w:color w:val="141414"/>
                        <w:sz w:val="28"/>
                        <w:szCs w:val="32"/>
                      </w:rPr>
                      <w:t xml:space="preserve">The purpose of the Commission is to study and make recommendations regarding services for unaccompanied youth and young adults experiencing homelessness in Massachusetts, to ultimately provide comprehensive and effective responses to the unique needs of this population. </w:t>
                    </w:r>
                  </w:p>
                </w:tc>
              </w:sdtContent>
            </w:sdt>
            <w:tc>
              <w:tcPr>
                <w:tcW w:w="2738" w:type="dxa"/>
                <w:tcBorders>
                  <w:top w:val="single" w:sz="18" w:space="0" w:color="808080" w:themeColor="background1" w:themeShade="80"/>
                </w:tcBorders>
                <w:vAlign w:val="center"/>
              </w:tcPr>
              <w:p w14:paraId="13AF95B7" w14:textId="40371DF7" w:rsidR="004904B2" w:rsidRPr="004904B2" w:rsidRDefault="004904B2" w:rsidP="004904B2">
                <w:pPr>
                  <w:pStyle w:val="NoSpacing"/>
                  <w:rPr>
                    <w:rFonts w:asciiTheme="majorHAnsi" w:eastAsiaTheme="majorEastAsia" w:hAnsiTheme="majorHAnsi" w:cstheme="majorBidi"/>
                    <w:sz w:val="28"/>
                    <w:szCs w:val="36"/>
                  </w:rPr>
                </w:pPr>
                <w:r w:rsidRPr="004904B2">
                  <w:rPr>
                    <w:rFonts w:asciiTheme="majorHAnsi" w:eastAsiaTheme="majorEastAsia" w:hAnsiTheme="majorHAnsi" w:cstheme="majorBidi"/>
                    <w:noProof/>
                    <w:sz w:val="28"/>
                    <w:szCs w:val="36"/>
                    <w:lang w:eastAsia="en-US"/>
                  </w:rPr>
                  <w:drawing>
                    <wp:inline distT="0" distB="0" distL="0" distR="0" wp14:anchorId="1D856B5E" wp14:editId="583AB663">
                      <wp:extent cx="3409950" cy="3352800"/>
                      <wp:effectExtent l="0" t="0" r="0" b="0"/>
                      <wp:docPr id="6" name="Picture 5" descr="https://lh5.googleusercontent.com/YJVp5WDBgE45-yTD9MK5WoiKNdZWhApqmxMG9SJVhOfBnEmYC_pTy1TK1aS06W3a1rJgwLYZWw=w800"/>
                      <wp:cNvGraphicFramePr/>
                      <a:graphic xmlns:a="http://schemas.openxmlformats.org/drawingml/2006/main">
                        <a:graphicData uri="http://schemas.openxmlformats.org/drawingml/2006/picture">
                          <pic:pic xmlns:pic="http://schemas.openxmlformats.org/drawingml/2006/picture">
                            <pic:nvPicPr>
                              <pic:cNvPr id="6" name="Picture 5" descr="https://lh5.googleusercontent.com/YJVp5WDBgE45-yTD9MK5WoiKNdZWhApqmxMG9SJVhOfBnEmYC_pTy1TK1aS06W3a1rJgwLYZWw=w800"/>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9950" cy="3352800"/>
                              </a:xfrm>
                              <a:prstGeom prst="rect">
                                <a:avLst/>
                              </a:prstGeom>
                              <a:noFill/>
                              <a:ln>
                                <a:noFill/>
                              </a:ln>
                            </pic:spPr>
                          </pic:pic>
                        </a:graphicData>
                      </a:graphic>
                    </wp:inline>
                  </w:drawing>
                </w:r>
              </w:p>
            </w:tc>
          </w:tr>
        </w:tbl>
        <w:p w14:paraId="31D39F4B" w14:textId="77777777" w:rsidR="004904B2" w:rsidRPr="004904B2" w:rsidRDefault="004904B2">
          <w:pPr>
            <w:rPr>
              <w:sz w:val="18"/>
            </w:rPr>
          </w:pPr>
        </w:p>
        <w:p w14:paraId="10450519" w14:textId="069FEAF6" w:rsidR="004904B2" w:rsidRDefault="00464DCA">
          <w:pPr>
            <w:spacing w:after="0"/>
            <w:rPr>
              <w:noProof/>
              <w:webHidden/>
            </w:rPr>
          </w:pPr>
          <w:r>
            <w:rPr>
              <w:b/>
              <w:bCs/>
              <w:noProof/>
            </w:rPr>
            <mc:AlternateContent>
              <mc:Choice Requires="wps">
                <w:drawing>
                  <wp:anchor distT="0" distB="0" distL="114300" distR="114300" simplePos="0" relativeHeight="251674624" behindDoc="0" locked="0" layoutInCell="1" allowOverlap="1" wp14:anchorId="4005A0B4" wp14:editId="50A33A59">
                    <wp:simplePos x="0" y="0"/>
                    <wp:positionH relativeFrom="column">
                      <wp:posOffset>-57150</wp:posOffset>
                    </wp:positionH>
                    <wp:positionV relativeFrom="paragraph">
                      <wp:posOffset>7215505</wp:posOffset>
                    </wp:positionV>
                    <wp:extent cx="2724150" cy="95250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2724150" cy="9525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B2FCF54" w14:textId="4E5AF197" w:rsidR="00464DCA" w:rsidRDefault="00464DCA" w:rsidP="00464DCA">
                                <w:pPr>
                                  <w:spacing w:after="0"/>
                                </w:pPr>
                                <w:r>
                                  <w:t>Laurie Ross, Ph.D.</w:t>
                                </w:r>
                              </w:p>
                              <w:p w14:paraId="6AE6891C" w14:textId="7114F66C" w:rsidR="00464DCA" w:rsidRDefault="00464DCA" w:rsidP="00464DCA">
                                <w:pPr>
                                  <w:spacing w:after="0"/>
                                </w:pPr>
                                <w:r>
                                  <w:t xml:space="preserve">MA </w:t>
                                </w:r>
                                <w:proofErr w:type="spellStart"/>
                                <w:r>
                                  <w:t>YOUth</w:t>
                                </w:r>
                                <w:proofErr w:type="spellEnd"/>
                                <w:r>
                                  <w:t xml:space="preserve"> Count Consultant</w:t>
                                </w:r>
                              </w:p>
                              <w:p w14:paraId="1F7AC759" w14:textId="5B691F67" w:rsidR="00464DCA" w:rsidRDefault="00464DCA" w:rsidP="00464DCA">
                                <w:pPr>
                                  <w:spacing w:after="0"/>
                                </w:pPr>
                                <w:r>
                                  <w:t>Clark University</w:t>
                                </w:r>
                              </w:p>
                              <w:p w14:paraId="29E10F97" w14:textId="755BFDEE" w:rsidR="00E858FA" w:rsidRDefault="00E858FA" w:rsidP="00464DCA">
                                <w:pPr>
                                  <w:spacing w:after="0"/>
                                </w:pPr>
                                <w:r>
                                  <w:t>2/18/21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005A0B4" id="_x0000_t202" coordsize="21600,21600" o:spt="202" path="m,l,21600r21600,l21600,xe">
                    <v:stroke joinstyle="miter"/>
                    <v:path gradientshapeok="t" o:connecttype="rect"/>
                  </v:shapetype>
                  <v:shape id="Text Box 3" o:spid="_x0000_s1026" type="#_x0000_t202" style="position:absolute;margin-left:-4.5pt;margin-top:568.15pt;width:214.5pt;height:7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" fillcolor="white [3201]" strokecolor="white [3212]" strokeweight=".5pt">
                    <v:textbox>
                      <w:txbxContent>
                        <w:p w14:paraId="7B2FCF54" w14:textId="4E5AF197" w:rsidR="00464DCA" w:rsidRDefault="00464DCA" w:rsidP="00464DCA">
                          <w:pPr>
                            <w:spacing w:after="0"/>
                          </w:pPr>
                          <w:r>
                            <w:t>Laurie Ross, Ph.D.</w:t>
                          </w:r>
                        </w:p>
                        <w:p w14:paraId="6AE6891C" w14:textId="7114F66C" w:rsidR="00464DCA" w:rsidRDefault="00464DCA" w:rsidP="00464DCA">
                          <w:pPr>
                            <w:spacing w:after="0"/>
                          </w:pPr>
                          <w:r>
                            <w:t xml:space="preserve">MA </w:t>
                          </w:r>
                          <w:proofErr w:type="spellStart"/>
                          <w:r>
                            <w:t>YOUth</w:t>
                          </w:r>
                          <w:proofErr w:type="spellEnd"/>
                          <w:r>
                            <w:t xml:space="preserve"> Count Consultant</w:t>
                          </w:r>
                        </w:p>
                        <w:p w14:paraId="1F7AC759" w14:textId="5B691F67" w:rsidR="00464DCA" w:rsidRDefault="00464DCA" w:rsidP="00464DCA">
                          <w:pPr>
                            <w:spacing w:after="0"/>
                          </w:pPr>
                          <w:r>
                            <w:t>Clark University</w:t>
                          </w:r>
                        </w:p>
                        <w:p w14:paraId="29E10F97" w14:textId="755BFDEE" w:rsidR="00E858FA" w:rsidRDefault="00E858FA" w:rsidP="00464DCA">
                          <w:pPr>
                            <w:spacing w:after="0"/>
                          </w:pPr>
                          <w:r>
                            <w:t>2/18/21</w:t>
                          </w:r>
                        </w:p>
                      </w:txbxContent>
                    </v:textbox>
                  </v:shape>
                </w:pict>
              </mc:Fallback>
            </mc:AlternateContent>
          </w:r>
          <w:r w:rsidR="004904B2">
            <w:rPr>
              <w:b/>
              <w:bCs/>
              <w:noProof/>
              <w:webHidden/>
            </w:rPr>
            <w:br w:type="page"/>
          </w:r>
        </w:p>
      </w:sdtContent>
    </w:sdt>
    <w:sdt>
      <w:sdtPr>
        <w:rPr>
          <w:rFonts w:asciiTheme="minorHAnsi" w:eastAsiaTheme="minorHAnsi" w:hAnsiTheme="minorHAnsi" w:cstheme="minorBidi"/>
          <w:b w:val="0"/>
          <w:bCs w:val="0"/>
          <w:color w:val="auto"/>
          <w:sz w:val="22"/>
          <w:szCs w:val="22"/>
          <w:lang w:eastAsia="en-US"/>
        </w:rPr>
        <w:id w:val="2141685387"/>
        <w:docPartObj>
          <w:docPartGallery w:val="Table of Contents"/>
          <w:docPartUnique/>
        </w:docPartObj>
      </w:sdtPr>
      <w:sdtEndPr>
        <w:rPr>
          <w:noProof/>
        </w:rPr>
      </w:sdtEndPr>
      <w:sdtContent>
        <w:p w14:paraId="393D67F2" w14:textId="771C35B3" w:rsidR="009B551E" w:rsidRDefault="009B551E">
          <w:pPr>
            <w:pStyle w:val="TOCHeading"/>
          </w:pPr>
          <w:r>
            <w:t>Contents</w:t>
          </w:r>
        </w:p>
        <w:p w14:paraId="29B2312B" w14:textId="77777777" w:rsidR="00542B6D" w:rsidRDefault="009B551E">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64523595" w:history="1">
            <w:r w:rsidR="00542B6D" w:rsidRPr="002232E8">
              <w:rPr>
                <w:rStyle w:val="Hyperlink"/>
                <w:iCs/>
                <w:noProof/>
              </w:rPr>
              <w:t>Purpose of this Report</w:t>
            </w:r>
            <w:r w:rsidR="00542B6D">
              <w:rPr>
                <w:noProof/>
                <w:webHidden/>
              </w:rPr>
              <w:tab/>
            </w:r>
            <w:r w:rsidR="00542B6D">
              <w:rPr>
                <w:noProof/>
                <w:webHidden/>
              </w:rPr>
              <w:fldChar w:fldCharType="begin"/>
            </w:r>
            <w:r w:rsidR="00542B6D">
              <w:rPr>
                <w:noProof/>
                <w:webHidden/>
              </w:rPr>
              <w:instrText xml:space="preserve"> PAGEREF _Toc64523595 \h </w:instrText>
            </w:r>
            <w:r w:rsidR="00542B6D">
              <w:rPr>
                <w:noProof/>
                <w:webHidden/>
              </w:rPr>
            </w:r>
            <w:r w:rsidR="00542B6D">
              <w:rPr>
                <w:noProof/>
                <w:webHidden/>
              </w:rPr>
              <w:fldChar w:fldCharType="separate"/>
            </w:r>
            <w:r w:rsidR="00542B6D">
              <w:rPr>
                <w:noProof/>
                <w:webHidden/>
              </w:rPr>
              <w:t>2</w:t>
            </w:r>
            <w:r w:rsidR="00542B6D">
              <w:rPr>
                <w:noProof/>
                <w:webHidden/>
              </w:rPr>
              <w:fldChar w:fldCharType="end"/>
            </w:r>
          </w:hyperlink>
        </w:p>
        <w:p w14:paraId="3415097A" w14:textId="77777777" w:rsidR="00542B6D" w:rsidRDefault="0059026B">
          <w:pPr>
            <w:pStyle w:val="TOC1"/>
            <w:tabs>
              <w:tab w:val="right" w:leader="dot" w:pos="9350"/>
            </w:tabs>
            <w:rPr>
              <w:rFonts w:eastAsiaTheme="minorEastAsia"/>
              <w:noProof/>
            </w:rPr>
          </w:pPr>
          <w:hyperlink w:anchor="_Toc64523596" w:history="1">
            <w:r w:rsidR="00542B6D" w:rsidRPr="002232E8">
              <w:rPr>
                <w:rStyle w:val="Hyperlink"/>
                <w:noProof/>
              </w:rPr>
              <w:t>A Glimpse into the Situation of Youth and Young Adults Facing Homelessness in 2020</w:t>
            </w:r>
            <w:r w:rsidR="00542B6D">
              <w:rPr>
                <w:noProof/>
                <w:webHidden/>
              </w:rPr>
              <w:tab/>
            </w:r>
            <w:r w:rsidR="00542B6D">
              <w:rPr>
                <w:noProof/>
                <w:webHidden/>
              </w:rPr>
              <w:fldChar w:fldCharType="begin"/>
            </w:r>
            <w:r w:rsidR="00542B6D">
              <w:rPr>
                <w:noProof/>
                <w:webHidden/>
              </w:rPr>
              <w:instrText xml:space="preserve"> PAGEREF _Toc64523596 \h </w:instrText>
            </w:r>
            <w:r w:rsidR="00542B6D">
              <w:rPr>
                <w:noProof/>
                <w:webHidden/>
              </w:rPr>
            </w:r>
            <w:r w:rsidR="00542B6D">
              <w:rPr>
                <w:noProof/>
                <w:webHidden/>
              </w:rPr>
              <w:fldChar w:fldCharType="separate"/>
            </w:r>
            <w:r w:rsidR="00542B6D">
              <w:rPr>
                <w:noProof/>
                <w:webHidden/>
              </w:rPr>
              <w:t>3</w:t>
            </w:r>
            <w:r w:rsidR="00542B6D">
              <w:rPr>
                <w:noProof/>
                <w:webHidden/>
              </w:rPr>
              <w:fldChar w:fldCharType="end"/>
            </w:r>
          </w:hyperlink>
        </w:p>
        <w:p w14:paraId="26195268" w14:textId="77777777" w:rsidR="00542B6D" w:rsidRDefault="0059026B">
          <w:pPr>
            <w:pStyle w:val="TOC1"/>
            <w:tabs>
              <w:tab w:val="right" w:leader="dot" w:pos="9350"/>
            </w:tabs>
            <w:rPr>
              <w:rFonts w:eastAsiaTheme="minorEastAsia"/>
              <w:noProof/>
            </w:rPr>
          </w:pPr>
          <w:hyperlink w:anchor="_Toc64523597" w:history="1">
            <w:r w:rsidR="00542B6D" w:rsidRPr="002232E8">
              <w:rPr>
                <w:rStyle w:val="Hyperlink"/>
                <w:noProof/>
              </w:rPr>
              <w:t>Efforts to expand the current spectrum of accountable and evidence-informed models of housing and services: A Focus on Flexible Funding</w:t>
            </w:r>
            <w:r w:rsidR="00542B6D">
              <w:rPr>
                <w:noProof/>
                <w:webHidden/>
              </w:rPr>
              <w:tab/>
            </w:r>
            <w:r w:rsidR="00542B6D">
              <w:rPr>
                <w:noProof/>
                <w:webHidden/>
              </w:rPr>
              <w:fldChar w:fldCharType="begin"/>
            </w:r>
            <w:r w:rsidR="00542B6D">
              <w:rPr>
                <w:noProof/>
                <w:webHidden/>
              </w:rPr>
              <w:instrText xml:space="preserve"> PAGEREF _Toc64523597 \h </w:instrText>
            </w:r>
            <w:r w:rsidR="00542B6D">
              <w:rPr>
                <w:noProof/>
                <w:webHidden/>
              </w:rPr>
            </w:r>
            <w:r w:rsidR="00542B6D">
              <w:rPr>
                <w:noProof/>
                <w:webHidden/>
              </w:rPr>
              <w:fldChar w:fldCharType="separate"/>
            </w:r>
            <w:r w:rsidR="00542B6D">
              <w:rPr>
                <w:noProof/>
                <w:webHidden/>
              </w:rPr>
              <w:t>5</w:t>
            </w:r>
            <w:r w:rsidR="00542B6D">
              <w:rPr>
                <w:noProof/>
                <w:webHidden/>
              </w:rPr>
              <w:fldChar w:fldCharType="end"/>
            </w:r>
          </w:hyperlink>
        </w:p>
        <w:p w14:paraId="347B2564" w14:textId="77777777" w:rsidR="00542B6D" w:rsidRDefault="0059026B">
          <w:pPr>
            <w:pStyle w:val="TOC1"/>
            <w:tabs>
              <w:tab w:val="right" w:leader="dot" w:pos="9350"/>
            </w:tabs>
            <w:rPr>
              <w:rFonts w:eastAsiaTheme="minorEastAsia"/>
              <w:noProof/>
            </w:rPr>
          </w:pPr>
          <w:hyperlink w:anchor="_Toc64523598" w:history="1">
            <w:r w:rsidR="00542B6D" w:rsidRPr="002232E8">
              <w:rPr>
                <w:rStyle w:val="Hyperlink"/>
                <w:noProof/>
              </w:rPr>
              <w:t>Efforts to enhance early identification, connection, and outreach systems to improve young people’s connection to existing resources: A Focus on Referrals and Partnership Development</w:t>
            </w:r>
            <w:r w:rsidR="00542B6D">
              <w:rPr>
                <w:noProof/>
                <w:webHidden/>
              </w:rPr>
              <w:tab/>
            </w:r>
            <w:r w:rsidR="00542B6D">
              <w:rPr>
                <w:noProof/>
                <w:webHidden/>
              </w:rPr>
              <w:fldChar w:fldCharType="begin"/>
            </w:r>
            <w:r w:rsidR="00542B6D">
              <w:rPr>
                <w:noProof/>
                <w:webHidden/>
              </w:rPr>
              <w:instrText xml:space="preserve"> PAGEREF _Toc64523598 \h </w:instrText>
            </w:r>
            <w:r w:rsidR="00542B6D">
              <w:rPr>
                <w:noProof/>
                <w:webHidden/>
              </w:rPr>
            </w:r>
            <w:r w:rsidR="00542B6D">
              <w:rPr>
                <w:noProof/>
                <w:webHidden/>
              </w:rPr>
              <w:fldChar w:fldCharType="separate"/>
            </w:r>
            <w:r w:rsidR="00542B6D">
              <w:rPr>
                <w:noProof/>
                <w:webHidden/>
              </w:rPr>
              <w:t>6</w:t>
            </w:r>
            <w:r w:rsidR="00542B6D">
              <w:rPr>
                <w:noProof/>
                <w:webHidden/>
              </w:rPr>
              <w:fldChar w:fldCharType="end"/>
            </w:r>
          </w:hyperlink>
        </w:p>
        <w:p w14:paraId="73563D59" w14:textId="77777777" w:rsidR="00542B6D" w:rsidRDefault="0059026B">
          <w:pPr>
            <w:pStyle w:val="TOC2"/>
            <w:tabs>
              <w:tab w:val="right" w:leader="dot" w:pos="9350"/>
            </w:tabs>
            <w:rPr>
              <w:rFonts w:eastAsiaTheme="minorEastAsia"/>
              <w:noProof/>
            </w:rPr>
          </w:pPr>
          <w:hyperlink w:anchor="_Toc64523599" w:history="1">
            <w:r w:rsidR="00542B6D" w:rsidRPr="002232E8">
              <w:rPr>
                <w:rStyle w:val="Hyperlink"/>
                <w:rFonts w:eastAsia="Calibri"/>
                <w:noProof/>
              </w:rPr>
              <w:t>Referrals</w:t>
            </w:r>
            <w:r w:rsidR="00542B6D">
              <w:rPr>
                <w:noProof/>
                <w:webHidden/>
              </w:rPr>
              <w:tab/>
            </w:r>
            <w:r w:rsidR="00542B6D">
              <w:rPr>
                <w:noProof/>
                <w:webHidden/>
              </w:rPr>
              <w:fldChar w:fldCharType="begin"/>
            </w:r>
            <w:r w:rsidR="00542B6D">
              <w:rPr>
                <w:noProof/>
                <w:webHidden/>
              </w:rPr>
              <w:instrText xml:space="preserve"> PAGEREF _Toc64523599 \h </w:instrText>
            </w:r>
            <w:r w:rsidR="00542B6D">
              <w:rPr>
                <w:noProof/>
                <w:webHidden/>
              </w:rPr>
            </w:r>
            <w:r w:rsidR="00542B6D">
              <w:rPr>
                <w:noProof/>
                <w:webHidden/>
              </w:rPr>
              <w:fldChar w:fldCharType="separate"/>
            </w:r>
            <w:r w:rsidR="00542B6D">
              <w:rPr>
                <w:noProof/>
                <w:webHidden/>
              </w:rPr>
              <w:t>6</w:t>
            </w:r>
            <w:r w:rsidR="00542B6D">
              <w:rPr>
                <w:noProof/>
                <w:webHidden/>
              </w:rPr>
              <w:fldChar w:fldCharType="end"/>
            </w:r>
          </w:hyperlink>
        </w:p>
        <w:p w14:paraId="4E7C7F3C" w14:textId="77777777" w:rsidR="00542B6D" w:rsidRDefault="0059026B">
          <w:pPr>
            <w:pStyle w:val="TOC2"/>
            <w:tabs>
              <w:tab w:val="right" w:leader="dot" w:pos="9350"/>
            </w:tabs>
            <w:rPr>
              <w:rFonts w:eastAsiaTheme="minorEastAsia"/>
              <w:noProof/>
            </w:rPr>
          </w:pPr>
          <w:hyperlink w:anchor="_Toc64523600" w:history="1">
            <w:r w:rsidR="00542B6D" w:rsidRPr="002232E8">
              <w:rPr>
                <w:rStyle w:val="Hyperlink"/>
                <w:rFonts w:eastAsia="Calibri"/>
                <w:noProof/>
              </w:rPr>
              <w:t>Partnership Development</w:t>
            </w:r>
            <w:r w:rsidR="00542B6D">
              <w:rPr>
                <w:noProof/>
                <w:webHidden/>
              </w:rPr>
              <w:tab/>
            </w:r>
            <w:r w:rsidR="00542B6D">
              <w:rPr>
                <w:noProof/>
                <w:webHidden/>
              </w:rPr>
              <w:fldChar w:fldCharType="begin"/>
            </w:r>
            <w:r w:rsidR="00542B6D">
              <w:rPr>
                <w:noProof/>
                <w:webHidden/>
              </w:rPr>
              <w:instrText xml:space="preserve"> PAGEREF _Toc64523600 \h </w:instrText>
            </w:r>
            <w:r w:rsidR="00542B6D">
              <w:rPr>
                <w:noProof/>
                <w:webHidden/>
              </w:rPr>
            </w:r>
            <w:r w:rsidR="00542B6D">
              <w:rPr>
                <w:noProof/>
                <w:webHidden/>
              </w:rPr>
              <w:fldChar w:fldCharType="separate"/>
            </w:r>
            <w:r w:rsidR="00542B6D">
              <w:rPr>
                <w:noProof/>
                <w:webHidden/>
              </w:rPr>
              <w:t>7</w:t>
            </w:r>
            <w:r w:rsidR="00542B6D">
              <w:rPr>
                <w:noProof/>
                <w:webHidden/>
              </w:rPr>
              <w:fldChar w:fldCharType="end"/>
            </w:r>
          </w:hyperlink>
        </w:p>
        <w:p w14:paraId="1929FD09" w14:textId="77777777" w:rsidR="00542B6D" w:rsidRDefault="0059026B">
          <w:pPr>
            <w:pStyle w:val="TOC1"/>
            <w:tabs>
              <w:tab w:val="right" w:leader="dot" w:pos="9350"/>
            </w:tabs>
            <w:rPr>
              <w:rFonts w:eastAsiaTheme="minorEastAsia"/>
              <w:noProof/>
            </w:rPr>
          </w:pPr>
          <w:hyperlink w:anchor="_Toc64523601" w:history="1">
            <w:r w:rsidR="00542B6D" w:rsidRPr="002232E8">
              <w:rPr>
                <w:rStyle w:val="Hyperlink"/>
                <w:noProof/>
              </w:rPr>
              <w:t>Create a structure to support authentic youth and young adult involvement statewide: A Focus on Youth Action Boards (YABs)</w:t>
            </w:r>
            <w:r w:rsidR="00542B6D">
              <w:rPr>
                <w:noProof/>
                <w:webHidden/>
              </w:rPr>
              <w:tab/>
            </w:r>
            <w:r w:rsidR="00542B6D">
              <w:rPr>
                <w:noProof/>
                <w:webHidden/>
              </w:rPr>
              <w:fldChar w:fldCharType="begin"/>
            </w:r>
            <w:r w:rsidR="00542B6D">
              <w:rPr>
                <w:noProof/>
                <w:webHidden/>
              </w:rPr>
              <w:instrText xml:space="preserve"> PAGEREF _Toc64523601 \h </w:instrText>
            </w:r>
            <w:r w:rsidR="00542B6D">
              <w:rPr>
                <w:noProof/>
                <w:webHidden/>
              </w:rPr>
            </w:r>
            <w:r w:rsidR="00542B6D">
              <w:rPr>
                <w:noProof/>
                <w:webHidden/>
              </w:rPr>
              <w:fldChar w:fldCharType="separate"/>
            </w:r>
            <w:r w:rsidR="00542B6D">
              <w:rPr>
                <w:noProof/>
                <w:webHidden/>
              </w:rPr>
              <w:t>7</w:t>
            </w:r>
            <w:r w:rsidR="00542B6D">
              <w:rPr>
                <w:noProof/>
                <w:webHidden/>
              </w:rPr>
              <w:fldChar w:fldCharType="end"/>
            </w:r>
          </w:hyperlink>
        </w:p>
        <w:p w14:paraId="7ADD0CBF" w14:textId="77777777" w:rsidR="00542B6D" w:rsidRDefault="0059026B">
          <w:pPr>
            <w:pStyle w:val="TOC1"/>
            <w:tabs>
              <w:tab w:val="right" w:leader="dot" w:pos="9350"/>
            </w:tabs>
            <w:rPr>
              <w:rFonts w:eastAsiaTheme="minorEastAsia"/>
              <w:noProof/>
            </w:rPr>
          </w:pPr>
          <w:hyperlink w:anchor="_Toc64523602" w:history="1">
            <w:r w:rsidR="00542B6D" w:rsidRPr="002232E8">
              <w:rPr>
                <w:rStyle w:val="Hyperlink"/>
                <w:rFonts w:eastAsia="Times New Roman"/>
                <w:noProof/>
              </w:rPr>
              <w:t>Setting the Stage for 2021 YOUth Count Survey</w:t>
            </w:r>
            <w:r w:rsidR="00542B6D">
              <w:rPr>
                <w:noProof/>
                <w:webHidden/>
              </w:rPr>
              <w:tab/>
            </w:r>
            <w:r w:rsidR="00542B6D">
              <w:rPr>
                <w:noProof/>
                <w:webHidden/>
              </w:rPr>
              <w:fldChar w:fldCharType="begin"/>
            </w:r>
            <w:r w:rsidR="00542B6D">
              <w:rPr>
                <w:noProof/>
                <w:webHidden/>
              </w:rPr>
              <w:instrText xml:space="preserve"> PAGEREF _Toc64523602 \h </w:instrText>
            </w:r>
            <w:r w:rsidR="00542B6D">
              <w:rPr>
                <w:noProof/>
                <w:webHidden/>
              </w:rPr>
            </w:r>
            <w:r w:rsidR="00542B6D">
              <w:rPr>
                <w:noProof/>
                <w:webHidden/>
              </w:rPr>
              <w:fldChar w:fldCharType="separate"/>
            </w:r>
            <w:r w:rsidR="00542B6D">
              <w:rPr>
                <w:noProof/>
                <w:webHidden/>
              </w:rPr>
              <w:t>8</w:t>
            </w:r>
            <w:r w:rsidR="00542B6D">
              <w:rPr>
                <w:noProof/>
                <w:webHidden/>
              </w:rPr>
              <w:fldChar w:fldCharType="end"/>
            </w:r>
          </w:hyperlink>
        </w:p>
        <w:p w14:paraId="0335FA6B" w14:textId="77777777" w:rsidR="00FC2D11" w:rsidRDefault="009B551E" w:rsidP="00FC2D11">
          <w:pPr>
            <w:rPr>
              <w:noProof/>
            </w:rPr>
          </w:pPr>
          <w:r>
            <w:rPr>
              <w:b/>
              <w:bCs/>
              <w:noProof/>
            </w:rPr>
            <w:fldChar w:fldCharType="end"/>
          </w:r>
        </w:p>
      </w:sdtContent>
    </w:sdt>
    <w:p w14:paraId="3CFFD0F7" w14:textId="3120408F" w:rsidR="00FC2D11" w:rsidRDefault="00FC2D11">
      <w:pPr>
        <w:spacing w:after="0"/>
        <w:rPr>
          <w:rStyle w:val="IntenseEmphasis"/>
          <w:rFonts w:asciiTheme="majorHAnsi" w:eastAsiaTheme="majorEastAsia" w:hAnsiTheme="majorHAnsi" w:cstheme="majorBidi"/>
          <w:b w:val="0"/>
          <w:bCs w:val="0"/>
          <w:i w:val="0"/>
          <w:sz w:val="28"/>
          <w:szCs w:val="28"/>
        </w:rPr>
      </w:pPr>
    </w:p>
    <w:p w14:paraId="153C0C33" w14:textId="3D596D7D" w:rsidR="0017523B" w:rsidRDefault="004B412B">
      <w:pPr>
        <w:spacing w:after="0"/>
        <w:rPr>
          <w:rStyle w:val="IntenseEmphasis"/>
          <w:rFonts w:asciiTheme="majorHAnsi" w:eastAsiaTheme="majorEastAsia" w:hAnsiTheme="majorHAnsi" w:cstheme="majorBidi"/>
          <w:bCs w:val="0"/>
          <w:i w:val="0"/>
          <w:color w:val="auto"/>
          <w:sz w:val="28"/>
          <w:szCs w:val="28"/>
        </w:rPr>
      </w:pPr>
      <w:r w:rsidRPr="004B412B">
        <w:rPr>
          <w:rFonts w:eastAsia="Times New Roman" w:cstheme="minorHAnsi"/>
          <w:noProof/>
        </w:rPr>
        <mc:AlternateContent>
          <mc:Choice Requires="wps">
            <w:drawing>
              <wp:anchor distT="0" distB="0" distL="114300" distR="114300" simplePos="0" relativeHeight="251669504" behindDoc="0" locked="0" layoutInCell="0" allowOverlap="1" wp14:anchorId="1CA8B667" wp14:editId="4512D617">
                <wp:simplePos x="0" y="0"/>
                <wp:positionH relativeFrom="page">
                  <wp:posOffset>1428750</wp:posOffset>
                </wp:positionH>
                <wp:positionV relativeFrom="page">
                  <wp:posOffset>5162550</wp:posOffset>
                </wp:positionV>
                <wp:extent cx="5076825" cy="3698240"/>
                <wp:effectExtent l="38100" t="38100" r="47625" b="33655"/>
                <wp:wrapSquare wrapText="bothSides"/>
                <wp:docPr id="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3698240"/>
                        </a:xfrm>
                        <a:prstGeom prst="rect">
                          <a:avLst/>
                        </a:prstGeom>
                        <a:noFill/>
                        <a:ln w="76200" cmpd="thickThin">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p w14:paraId="3ADC83E1" w14:textId="0CFAF331" w:rsidR="004B412B" w:rsidRPr="005F5E6E" w:rsidRDefault="004B412B" w:rsidP="004B412B">
                            <w:pPr>
                              <w:spacing w:after="0"/>
                              <w:contextualSpacing/>
                              <w:jc w:val="both"/>
                              <w:rPr>
                                <w:rFonts w:eastAsia="Times New Roman"/>
                                <w:highlight w:val="white"/>
                              </w:rPr>
                            </w:pPr>
                            <w:r>
                              <w:rPr>
                                <w:rFonts w:eastAsia="Times New Roman" w:cstheme="minorHAnsi"/>
                              </w:rPr>
                              <w:t xml:space="preserve">The </w:t>
                            </w:r>
                            <w:r w:rsidRPr="00D72C3F">
                              <w:rPr>
                                <w:rFonts w:eastAsia="Times New Roman"/>
                                <w:highlight w:val="white"/>
                              </w:rPr>
                              <w:t>Massachusetts Commission on Unaccompanied Homeless Youth</w:t>
                            </w:r>
                            <w:r>
                              <w:rPr>
                                <w:rFonts w:eastAsia="Times New Roman"/>
                                <w:highlight w:val="white"/>
                              </w:rPr>
                              <w:t xml:space="preserve"> </w:t>
                            </w:r>
                            <w:r w:rsidRPr="004175E7">
                              <w:rPr>
                                <w:rFonts w:eastAsia="Times New Roman"/>
                                <w:highlight w:val="white"/>
                              </w:rPr>
                              <w:t>defines an unaccompanied homeless youth or young adult</w:t>
                            </w:r>
                            <w:r>
                              <w:rPr>
                                <w:rFonts w:eastAsia="Times New Roman"/>
                                <w:highlight w:val="white"/>
                              </w:rPr>
                              <w:t xml:space="preserve"> a</w:t>
                            </w:r>
                            <w:r w:rsidRPr="004175E7">
                              <w:rPr>
                                <w:rFonts w:eastAsia="Times New Roman"/>
                                <w:highlight w:val="white"/>
                              </w:rPr>
                              <w:t xml:space="preserve">s a person who: </w:t>
                            </w:r>
                          </w:p>
                          <w:p w14:paraId="38BC22F5" w14:textId="77777777" w:rsidR="004B412B" w:rsidRPr="004175E7" w:rsidRDefault="004B412B" w:rsidP="004B412B">
                            <w:pPr>
                              <w:pStyle w:val="ListParagraph"/>
                              <w:numPr>
                                <w:ilvl w:val="0"/>
                                <w:numId w:val="18"/>
                              </w:numPr>
                              <w:spacing w:after="0" w:line="276" w:lineRule="auto"/>
                              <w:jc w:val="both"/>
                              <w:rPr>
                                <w:b/>
                              </w:rPr>
                            </w:pPr>
                            <w:r w:rsidRPr="004175E7">
                              <w:rPr>
                                <w:rFonts w:eastAsia="Times New Roman"/>
                                <w:b/>
                                <w:highlight w:val="white"/>
                              </w:rPr>
                              <w:t xml:space="preserve">Is 24 years of age or younger; and </w:t>
                            </w:r>
                          </w:p>
                          <w:p w14:paraId="2495F124" w14:textId="77777777" w:rsidR="004B412B" w:rsidRPr="004175E7" w:rsidRDefault="004B412B" w:rsidP="004B412B">
                            <w:pPr>
                              <w:pStyle w:val="ListParagraph"/>
                              <w:numPr>
                                <w:ilvl w:val="0"/>
                                <w:numId w:val="18"/>
                              </w:numPr>
                              <w:spacing w:after="0" w:line="276" w:lineRule="auto"/>
                              <w:jc w:val="both"/>
                              <w:rPr>
                                <w:b/>
                              </w:rPr>
                            </w:pPr>
                            <w:r w:rsidRPr="004175E7">
                              <w:rPr>
                                <w:rFonts w:eastAsia="Times New Roman"/>
                                <w:b/>
                                <w:highlight w:val="white"/>
                              </w:rPr>
                              <w:t xml:space="preserve">Is not in the physical custody or care of a parent or legal guardian; and </w:t>
                            </w:r>
                          </w:p>
                          <w:p w14:paraId="2750A747" w14:textId="77777777" w:rsidR="004B412B" w:rsidRPr="004175E7" w:rsidRDefault="004B412B" w:rsidP="004B412B">
                            <w:pPr>
                              <w:pStyle w:val="ListParagraph"/>
                              <w:numPr>
                                <w:ilvl w:val="0"/>
                                <w:numId w:val="18"/>
                              </w:numPr>
                              <w:spacing w:after="0" w:line="276" w:lineRule="auto"/>
                              <w:jc w:val="both"/>
                              <w:rPr>
                                <w:rFonts w:eastAsia="Times New Roman"/>
                                <w:b/>
                                <w:highlight w:val="white"/>
                              </w:rPr>
                            </w:pPr>
                            <w:r>
                              <w:rPr>
                                <w:rFonts w:eastAsia="Times New Roman"/>
                                <w:b/>
                                <w:highlight w:val="white"/>
                              </w:rPr>
                              <w:t>L</w:t>
                            </w:r>
                            <w:r w:rsidRPr="004175E7">
                              <w:rPr>
                                <w:rFonts w:eastAsia="Times New Roman"/>
                                <w:b/>
                                <w:highlight w:val="white"/>
                              </w:rPr>
                              <w:t>acks a fixed, regular, and adequate nighttime residence.</w:t>
                            </w:r>
                          </w:p>
                          <w:p w14:paraId="4D53E009" w14:textId="03FC9C0B" w:rsidR="004B412B" w:rsidRDefault="004B412B">
                            <w:pPr>
                              <w:spacing w:after="0" w:line="360" w:lineRule="auto"/>
                              <w:jc w:val="center"/>
                              <w:rPr>
                                <w:rFonts w:asciiTheme="majorHAnsi" w:eastAsiaTheme="majorEastAsia" w:hAnsiTheme="majorHAnsi" w:cstheme="majorBidi"/>
                                <w:i/>
                                <w:iCs/>
                                <w:sz w:val="28"/>
                                <w:szCs w:val="28"/>
                              </w:rPr>
                            </w:pPr>
                          </w:p>
                        </w:txbxContent>
                      </wps:txbx>
                      <wps:bodyPr rot="0" vert="horz" wrap="square" lIns="137160" tIns="91440" rIns="137160" bIns="9144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1CA8B667" id="Text Box 2" o:spid="_x0000_s1027" type="#_x0000_t202" style="position:absolute;margin-left:112.5pt;margin-top:406.5pt;width:399.75pt;height:291.2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" o:allowincell="f" filled="f" strokecolor="#622423" strokeweight="6pt">
                <v:stroke linestyle="thickThin"/>
                <v:textbox style="mso-fit-shape-to-text:t" inset="10.8pt,7.2pt,10.8pt,7.2pt">
                  <w:txbxContent>
                    <w:p w14:paraId="3ADC83E1" w14:textId="0CFAF331" w:rsidR="004B412B" w:rsidRPr="005F5E6E" w:rsidRDefault="004B412B" w:rsidP="004B412B">
                      <w:pPr>
                        <w:spacing w:after="0"/>
                        <w:contextualSpacing/>
                        <w:jc w:val="both"/>
                        <w:rPr>
                          <w:rFonts w:eastAsia="Times New Roman"/>
                          <w:highlight w:val="white"/>
                        </w:rPr>
                      </w:pPr>
                      <w:r>
                        <w:rPr>
                          <w:rFonts w:eastAsia="Times New Roman" w:cstheme="minorHAnsi"/>
                        </w:rPr>
                        <w:t xml:space="preserve">The </w:t>
                      </w:r>
                      <w:r w:rsidRPr="00D72C3F">
                        <w:rPr>
                          <w:rFonts w:eastAsia="Times New Roman"/>
                          <w:highlight w:val="white"/>
                        </w:rPr>
                        <w:t>Massachusetts Commission on Unaccompanied Homeless Youth</w:t>
                      </w:r>
                      <w:r>
                        <w:rPr>
                          <w:rFonts w:eastAsia="Times New Roman"/>
                          <w:highlight w:val="white"/>
                        </w:rPr>
                        <w:t xml:space="preserve"> </w:t>
                      </w:r>
                      <w:r w:rsidRPr="004175E7">
                        <w:rPr>
                          <w:rFonts w:eastAsia="Times New Roman"/>
                          <w:highlight w:val="white"/>
                        </w:rPr>
                        <w:t>defines an unaccompanied homeless youth or young adult</w:t>
                      </w:r>
                      <w:r>
                        <w:rPr>
                          <w:rFonts w:eastAsia="Times New Roman"/>
                          <w:highlight w:val="white"/>
                        </w:rPr>
                        <w:t xml:space="preserve"> a</w:t>
                      </w:r>
                      <w:r w:rsidRPr="004175E7">
                        <w:rPr>
                          <w:rFonts w:eastAsia="Times New Roman"/>
                          <w:highlight w:val="white"/>
                        </w:rPr>
                        <w:t xml:space="preserve">s a person who: </w:t>
                      </w:r>
                    </w:p>
                    <w:p w14:paraId="38BC22F5" w14:textId="77777777" w:rsidR="004B412B" w:rsidRPr="004175E7" w:rsidRDefault="004B412B" w:rsidP="004B412B">
                      <w:pPr>
                        <w:pStyle w:val="ListParagraph"/>
                        <w:numPr>
                          <w:ilvl w:val="0"/>
                          <w:numId w:val="18"/>
                        </w:numPr>
                        <w:spacing w:after="0" w:line="276" w:lineRule="auto"/>
                        <w:jc w:val="both"/>
                        <w:rPr>
                          <w:b/>
                        </w:rPr>
                      </w:pPr>
                      <w:r w:rsidRPr="004175E7">
                        <w:rPr>
                          <w:rFonts w:eastAsia="Times New Roman"/>
                          <w:b/>
                          <w:highlight w:val="white"/>
                        </w:rPr>
                        <w:t xml:space="preserve">Is 24 years of age or younger; and </w:t>
                      </w:r>
                    </w:p>
                    <w:p w14:paraId="2495F124" w14:textId="77777777" w:rsidR="004B412B" w:rsidRPr="004175E7" w:rsidRDefault="004B412B" w:rsidP="004B412B">
                      <w:pPr>
                        <w:pStyle w:val="ListParagraph"/>
                        <w:numPr>
                          <w:ilvl w:val="0"/>
                          <w:numId w:val="18"/>
                        </w:numPr>
                        <w:spacing w:after="0" w:line="276" w:lineRule="auto"/>
                        <w:jc w:val="both"/>
                        <w:rPr>
                          <w:b/>
                        </w:rPr>
                      </w:pPr>
                      <w:r w:rsidRPr="004175E7">
                        <w:rPr>
                          <w:rFonts w:eastAsia="Times New Roman"/>
                          <w:b/>
                          <w:highlight w:val="white"/>
                        </w:rPr>
                        <w:t xml:space="preserve">Is not in the physical custody or care of a parent or legal guardian; and </w:t>
                      </w:r>
                    </w:p>
                    <w:p w14:paraId="2750A747" w14:textId="77777777" w:rsidR="004B412B" w:rsidRPr="004175E7" w:rsidRDefault="004B412B" w:rsidP="004B412B">
                      <w:pPr>
                        <w:pStyle w:val="ListParagraph"/>
                        <w:numPr>
                          <w:ilvl w:val="0"/>
                          <w:numId w:val="18"/>
                        </w:numPr>
                        <w:spacing w:after="0" w:line="276" w:lineRule="auto"/>
                        <w:jc w:val="both"/>
                        <w:rPr>
                          <w:rFonts w:eastAsia="Times New Roman"/>
                          <w:b/>
                          <w:highlight w:val="white"/>
                        </w:rPr>
                      </w:pPr>
                      <w:r>
                        <w:rPr>
                          <w:rFonts w:eastAsia="Times New Roman"/>
                          <w:b/>
                          <w:highlight w:val="white"/>
                        </w:rPr>
                        <w:t>L</w:t>
                      </w:r>
                      <w:r w:rsidRPr="004175E7">
                        <w:rPr>
                          <w:rFonts w:eastAsia="Times New Roman"/>
                          <w:b/>
                          <w:highlight w:val="white"/>
                        </w:rPr>
                        <w:t>acks a fixed, regular, and adequate nighttime residence.</w:t>
                      </w:r>
                    </w:p>
                    <w:p w14:paraId="4D53E009" w14:textId="03FC9C0B" w:rsidR="004B412B" w:rsidRDefault="004B412B">
                      <w:pPr>
                        <w:spacing w:after="0" w:line="360" w:lineRule="auto"/>
                        <w:jc w:val="center"/>
                        <w:rPr>
                          <w:rFonts w:asciiTheme="majorHAnsi" w:eastAsiaTheme="majorEastAsia" w:hAnsiTheme="majorHAnsi" w:cstheme="majorBidi"/>
                          <w:i/>
                          <w:iCs/>
                          <w:sz w:val="28"/>
                          <w:szCs w:val="28"/>
                        </w:rPr>
                      </w:pPr>
                    </w:p>
                  </w:txbxContent>
                </v:textbox>
                <w10:wrap type="square" anchorx="page" anchory="page"/>
              </v:shape>
            </w:pict>
          </mc:Fallback>
        </mc:AlternateContent>
      </w:r>
      <w:r w:rsidR="0017523B">
        <w:rPr>
          <w:rStyle w:val="IntenseEmphasis"/>
          <w:b w:val="0"/>
          <w:i w:val="0"/>
          <w:color w:val="auto"/>
        </w:rPr>
        <w:br w:type="page"/>
      </w:r>
    </w:p>
    <w:p w14:paraId="731AF8D9" w14:textId="0CA446C8" w:rsidR="009B551E" w:rsidRPr="006C79C5" w:rsidRDefault="009B551E" w:rsidP="00FC2D11">
      <w:pPr>
        <w:pStyle w:val="Heading1"/>
        <w:rPr>
          <w:rStyle w:val="IntenseEmphasis"/>
          <w:b/>
          <w:i w:val="0"/>
          <w:iCs w:val="0"/>
          <w:color w:val="auto"/>
        </w:rPr>
      </w:pPr>
      <w:bookmarkStart w:id="0" w:name="_Toc64523595"/>
      <w:r w:rsidRPr="006C79C5">
        <w:rPr>
          <w:rStyle w:val="IntenseEmphasis"/>
          <w:b/>
          <w:i w:val="0"/>
          <w:color w:val="auto"/>
        </w:rPr>
        <w:lastRenderedPageBreak/>
        <w:t>Purpose of this Report</w:t>
      </w:r>
      <w:bookmarkEnd w:id="0"/>
    </w:p>
    <w:p w14:paraId="4199F9F6" w14:textId="5978ABD1" w:rsidR="00642B2E" w:rsidRPr="004B6D1C" w:rsidRDefault="00EE7E77" w:rsidP="004B6D1C">
      <w:pPr>
        <w:pStyle w:val="IntenseQuote"/>
        <w:rPr>
          <w:rStyle w:val="IntenseEmphasis"/>
        </w:rPr>
      </w:pPr>
      <w:r w:rsidRPr="004B6D1C">
        <w:rPr>
          <w:rStyle w:val="IntenseEmphasis"/>
        </w:rPr>
        <w:t>“</w:t>
      </w:r>
      <w:r w:rsidR="00426D31" w:rsidRPr="004B6D1C">
        <w:rPr>
          <w:rStyle w:val="IntenseEmphasis"/>
        </w:rPr>
        <w:t>T</w:t>
      </w:r>
      <w:r w:rsidR="00642B2E" w:rsidRPr="004B6D1C">
        <w:rPr>
          <w:rStyle w:val="IntenseEmphasis"/>
        </w:rPr>
        <w:t>he Commonwealth of Massachusetts envisions a future where we end homelessness among youth and young adults (YYA) by making homelessness rare, brief, and non-recurring, and where every YYA is safe, supported, and able to use their strengths fully. We acknowledge that YYA will continue to face life’s challenges; however, we can create systems that will catch them when they fall. Our goal is to build a system in which every community in the Commonwealth has coordinated, developmentally appropriate, and trauma-informed resources that are effective, regionally accessible, and reliably funded</w:t>
      </w:r>
      <w:r w:rsidRPr="004B6D1C">
        <w:rPr>
          <w:rStyle w:val="IntenseEmphasis"/>
        </w:rPr>
        <w:t>”</w:t>
      </w:r>
      <w:r w:rsidR="004B6D1C">
        <w:rPr>
          <w:rStyle w:val="IntenseEmphasis"/>
        </w:rPr>
        <w:t>—</w:t>
      </w:r>
      <w:r w:rsidR="00090D67" w:rsidRPr="004B6D1C">
        <w:rPr>
          <w:rStyle w:val="IntenseEmphasis"/>
        </w:rPr>
        <w:t>Vision</w:t>
      </w:r>
      <w:r w:rsidR="004B6D1C">
        <w:rPr>
          <w:rStyle w:val="IntenseEmphasis"/>
        </w:rPr>
        <w:t xml:space="preserve"> Statement in the </w:t>
      </w:r>
      <w:r w:rsidR="004B6D1C">
        <w:t>Massachusetts State Plan To End Youth Homelessness</w:t>
      </w:r>
    </w:p>
    <w:p w14:paraId="059CBDF3" w14:textId="1AD33668" w:rsidR="00C613DC" w:rsidRPr="004B6D1C" w:rsidRDefault="00C613DC" w:rsidP="004B6D1C">
      <w:pPr>
        <w:pStyle w:val="IntenseQuote"/>
        <w:rPr>
          <w:rStyle w:val="IntenseEmphasis"/>
        </w:rPr>
      </w:pPr>
      <w:r w:rsidRPr="004B6D1C">
        <w:rPr>
          <w:rStyle w:val="IntenseEmphasis"/>
        </w:rPr>
        <w:t xml:space="preserve">“It needs to be easier to enroll in the program than to stay homeless.” </w:t>
      </w:r>
      <w:r w:rsidR="004904B2">
        <w:rPr>
          <w:rStyle w:val="IntenseEmphasis"/>
        </w:rPr>
        <w:t>(Youth respondent</w:t>
      </w:r>
      <w:r w:rsidRPr="004B6D1C">
        <w:rPr>
          <w:rStyle w:val="IntenseEmphasis"/>
        </w:rPr>
        <w:t>)</w:t>
      </w:r>
    </w:p>
    <w:p w14:paraId="5B1258F3" w14:textId="54EA0495" w:rsidR="00970A06" w:rsidRDefault="00426D31" w:rsidP="00970A06">
      <w:r>
        <w:t>Amidst a global pandemic</w:t>
      </w:r>
      <w:r w:rsidR="00090D67">
        <w:t xml:space="preserve">, </w:t>
      </w:r>
      <w:r w:rsidR="004B6D1C">
        <w:t xml:space="preserve">the Commonwealth of Massachusetts’ </w:t>
      </w:r>
      <w:r w:rsidR="00090D67">
        <w:t xml:space="preserve">systems and safety nets for youth and young adults (YYA) experiencing homelessness and housing instability </w:t>
      </w:r>
      <w:r w:rsidR="009B202C">
        <w:t xml:space="preserve">have been </w:t>
      </w:r>
      <w:r w:rsidR="00090D67">
        <w:t>tested and stretched</w:t>
      </w:r>
      <w:r w:rsidR="004B6D1C">
        <w:t>.</w:t>
      </w:r>
      <w:r w:rsidR="00090D67">
        <w:t xml:space="preserve"> </w:t>
      </w:r>
      <w:r w:rsidR="009B202C">
        <w:t xml:space="preserve">The </w:t>
      </w:r>
      <w:r w:rsidR="004B6D1C">
        <w:t xml:space="preserve">MA Commission on Unaccompanied Homeless Youth </w:t>
      </w:r>
      <w:r w:rsidR="00090D67">
        <w:t xml:space="preserve">could not have anticipated </w:t>
      </w:r>
      <w:r w:rsidR="00735C07">
        <w:t xml:space="preserve">that the </w:t>
      </w:r>
      <w:r w:rsidR="00FE3508">
        <w:t xml:space="preserve">robustness of the </w:t>
      </w:r>
      <w:r w:rsidR="00FE3508" w:rsidRPr="00FE3508">
        <w:rPr>
          <w:u w:val="single"/>
        </w:rPr>
        <w:t>Massachusetts</w:t>
      </w:r>
      <w:r w:rsidR="004B6D1C" w:rsidRPr="00FE3508">
        <w:rPr>
          <w:u w:val="single"/>
        </w:rPr>
        <w:t xml:space="preserve"> Plan</w:t>
      </w:r>
      <w:r w:rsidR="00FE3508" w:rsidRPr="00FE3508">
        <w:rPr>
          <w:u w:val="single"/>
        </w:rPr>
        <w:t xml:space="preserve"> to End Youth Homelessness</w:t>
      </w:r>
      <w:r w:rsidR="004B6D1C">
        <w:t xml:space="preserve"> </w:t>
      </w:r>
      <w:r w:rsidR="00735C07">
        <w:t xml:space="preserve">would </w:t>
      </w:r>
      <w:r w:rsidR="00090D67">
        <w:t xml:space="preserve">be </w:t>
      </w:r>
      <w:r w:rsidR="00FE3508">
        <w:t>challenged</w:t>
      </w:r>
      <w:r w:rsidR="00090D67">
        <w:t xml:space="preserve"> </w:t>
      </w:r>
      <w:r w:rsidR="00C613DC">
        <w:t>by a force such as COVID-19</w:t>
      </w:r>
      <w:r w:rsidR="00735C07">
        <w:t>.</w:t>
      </w:r>
      <w:r w:rsidR="00C613DC">
        <w:t xml:space="preserve"> Yet, </w:t>
      </w:r>
      <w:r w:rsidR="009B202C">
        <w:t xml:space="preserve">in large part due to the inclusive process to develop and implement the Plan, </w:t>
      </w:r>
      <w:r w:rsidR="009A4B19">
        <w:t>regional providers</w:t>
      </w:r>
      <w:r w:rsidR="001C355C">
        <w:t xml:space="preserve"> </w:t>
      </w:r>
      <w:r w:rsidR="00F01337">
        <w:t xml:space="preserve">had already been adopting </w:t>
      </w:r>
      <w:r w:rsidR="001C355C">
        <w:t xml:space="preserve">new </w:t>
      </w:r>
      <w:r w:rsidR="009B202C">
        <w:t xml:space="preserve">ways of thinking and </w:t>
      </w:r>
      <w:r w:rsidR="00F01337">
        <w:t>powerful tools such as F</w:t>
      </w:r>
      <w:r w:rsidR="001C355C">
        <w:t>lex</w:t>
      </w:r>
      <w:r w:rsidR="00F01337">
        <w:t xml:space="preserve"> Funding, the College Pilot, W</w:t>
      </w:r>
      <w:r w:rsidR="001C355C">
        <w:t>inter</w:t>
      </w:r>
      <w:r w:rsidR="00F01337">
        <w:t>/Emergency R</w:t>
      </w:r>
      <w:r w:rsidR="001C355C">
        <w:t>espon</w:t>
      </w:r>
      <w:r w:rsidR="00F01337">
        <w:t>se P</w:t>
      </w:r>
      <w:r w:rsidR="001C355C">
        <w:t>rotocols, and new</w:t>
      </w:r>
      <w:r w:rsidR="00C613DC">
        <w:t>ly activated</w:t>
      </w:r>
      <w:r w:rsidR="001C355C">
        <w:t xml:space="preserve"> </w:t>
      </w:r>
      <w:r w:rsidR="00090D67">
        <w:t>partners</w:t>
      </w:r>
      <w:r w:rsidR="00F01337">
        <w:t>hips</w:t>
      </w:r>
      <w:r w:rsidR="00C613DC">
        <w:t xml:space="preserve">. </w:t>
      </w:r>
      <w:r w:rsidR="00DE5ADD">
        <w:t>As a result, p</w:t>
      </w:r>
      <w:r w:rsidR="009B202C">
        <w:t>roviders were able to respond</w:t>
      </w:r>
      <w:r w:rsidR="00C613DC">
        <w:t xml:space="preserve"> rapidly</w:t>
      </w:r>
      <w:r w:rsidR="00090D67">
        <w:t xml:space="preserve"> as young people’s situations became more precarious. </w:t>
      </w:r>
      <w:r w:rsidR="00507B3D">
        <w:t>Regions</w:t>
      </w:r>
      <w:r w:rsidR="00C613DC">
        <w:t xml:space="preserve"> </w:t>
      </w:r>
      <w:r w:rsidR="00507B3D">
        <w:t xml:space="preserve">were prepared </w:t>
      </w:r>
      <w:r w:rsidR="00C613DC">
        <w:t xml:space="preserve">to </w:t>
      </w:r>
      <w:r w:rsidR="001C355C">
        <w:t xml:space="preserve">rethink service delivery when </w:t>
      </w:r>
      <w:r w:rsidR="00C613DC">
        <w:t>in-person programming and tried and true street outreach methods were temporarily not possible</w:t>
      </w:r>
      <w:r w:rsidR="001C355C">
        <w:t xml:space="preserve">. </w:t>
      </w:r>
      <w:r w:rsidR="009B202C">
        <w:t>T</w:t>
      </w:r>
      <w:r w:rsidR="000077C2">
        <w:t xml:space="preserve">he Plan’s </w:t>
      </w:r>
      <w:r w:rsidR="004B6D1C">
        <w:t>basis in eight evidence-based principles</w:t>
      </w:r>
      <w:r w:rsidR="00507B3D">
        <w:rPr>
          <w:rStyle w:val="FootnoteReference"/>
        </w:rPr>
        <w:footnoteReference w:id="1"/>
      </w:r>
      <w:r w:rsidR="009B202C">
        <w:t xml:space="preserve"> </w:t>
      </w:r>
      <w:r w:rsidR="00FE3508">
        <w:t xml:space="preserve">helped to </w:t>
      </w:r>
      <w:r w:rsidR="009B202C">
        <w:t>ensure that while systems were stretched, they did not break.</w:t>
      </w:r>
    </w:p>
    <w:p w14:paraId="538533AA" w14:textId="169B2357" w:rsidR="009F4808" w:rsidRPr="009F4808" w:rsidRDefault="00970A06" w:rsidP="005F7D03">
      <w:pPr>
        <w:rPr>
          <w:rFonts w:ascii="Calibri" w:eastAsia="Times New Roman" w:hAnsi="Calibri" w:cs="Calibri"/>
          <w:color w:val="000000"/>
          <w:sz w:val="24"/>
          <w:szCs w:val="24"/>
        </w:rPr>
      </w:pPr>
      <w:r>
        <w:t xml:space="preserve">One </w:t>
      </w:r>
      <w:r w:rsidR="00EE7E77">
        <w:t xml:space="preserve">practice that </w:t>
      </w:r>
      <w:r w:rsidR="00507B3D">
        <w:t>was</w:t>
      </w:r>
      <w:r w:rsidR="00EE7E77">
        <w:t xml:space="preserve"> </w:t>
      </w:r>
      <w:r w:rsidR="001C355C">
        <w:t>suspend</w:t>
      </w:r>
      <w:r w:rsidR="00507B3D">
        <w:t>ed</w:t>
      </w:r>
      <w:r w:rsidR="001C355C">
        <w:t xml:space="preserve"> in 2020 w</w:t>
      </w:r>
      <w:r>
        <w:t xml:space="preserve">as the annual </w:t>
      </w:r>
      <w:r w:rsidR="00507B3D">
        <w:t xml:space="preserve">MA </w:t>
      </w:r>
      <w:r>
        <w:t xml:space="preserve">Youth Count. </w:t>
      </w:r>
      <w:r w:rsidR="00507B3D">
        <w:t>It had been scheduled</w:t>
      </w:r>
      <w:r>
        <w:t xml:space="preserve"> for </w:t>
      </w:r>
      <w:r w:rsidR="001C355C">
        <w:t>April and May</w:t>
      </w:r>
      <w:r w:rsidR="00DE5ADD">
        <w:t>; yet, w</w:t>
      </w:r>
      <w:r w:rsidR="00507B3D">
        <w:t>ith shutdowns</w:t>
      </w:r>
      <w:r>
        <w:t xml:space="preserve"> impending and </w:t>
      </w:r>
      <w:r w:rsidR="00507B3D">
        <w:t xml:space="preserve">safety </w:t>
      </w:r>
      <w:r>
        <w:t>concern</w:t>
      </w:r>
      <w:r w:rsidR="00507B3D">
        <w:t>s</w:t>
      </w:r>
      <w:r w:rsidR="005F7D03">
        <w:t>,</w:t>
      </w:r>
      <w:r>
        <w:t xml:space="preserve"> </w:t>
      </w:r>
      <w:r w:rsidR="00507B3D">
        <w:t>it was</w:t>
      </w:r>
      <w:r w:rsidR="00FE3508">
        <w:t xml:space="preserve"> determined to be</w:t>
      </w:r>
      <w:r w:rsidR="00507B3D">
        <w:t xml:space="preserve"> </w:t>
      </w:r>
      <w:r w:rsidR="00EE7E77">
        <w:t>too risky and resource intensive to implement.</w:t>
      </w:r>
      <w:r w:rsidR="00DE5ADD">
        <w:t xml:space="preserve"> </w:t>
      </w:r>
      <w:r w:rsidR="00935C64">
        <w:t>Over the years, t</w:t>
      </w:r>
      <w:r>
        <w:t xml:space="preserve">he Count </w:t>
      </w:r>
      <w:r w:rsidR="00EE7E77">
        <w:t>h</w:t>
      </w:r>
      <w:r>
        <w:t xml:space="preserve">as played </w:t>
      </w:r>
      <w:r w:rsidR="00935C64">
        <w:t xml:space="preserve">an important role </w:t>
      </w:r>
      <w:r w:rsidR="00507B3D">
        <w:t xml:space="preserve">in </w:t>
      </w:r>
      <w:r w:rsidR="006515FD">
        <w:t xml:space="preserve">understanding the situation of </w:t>
      </w:r>
      <w:r w:rsidR="00935C64">
        <w:t xml:space="preserve">a diverse range of </w:t>
      </w:r>
      <w:r w:rsidR="006515FD">
        <w:t xml:space="preserve">young people facing homelessness and housing instability, as well as informing </w:t>
      </w:r>
      <w:r w:rsidR="00507B3D">
        <w:t>resource allocation and strategy development</w:t>
      </w:r>
      <w:r w:rsidR="00935C64">
        <w:t xml:space="preserve">. For this reason, </w:t>
      </w:r>
      <w:r w:rsidR="00507B3D">
        <w:t xml:space="preserve">the MA Commission </w:t>
      </w:r>
      <w:r>
        <w:t>did not want this historic year to go by without a report</w:t>
      </w:r>
      <w:r w:rsidR="005F7D03">
        <w:t xml:space="preserve"> that could signal areas for action and investment</w:t>
      </w:r>
      <w:r>
        <w:t xml:space="preserve">. </w:t>
      </w:r>
      <w:r w:rsidR="00507B3D">
        <w:t xml:space="preserve">By reviewing </w:t>
      </w:r>
      <w:r w:rsidR="00FE3508">
        <w:t xml:space="preserve">quarterly </w:t>
      </w:r>
      <w:r w:rsidR="00507B3D">
        <w:t>provider reports, other surveys</w:t>
      </w:r>
      <w:r w:rsidR="0082636E">
        <w:rPr>
          <w:rStyle w:val="FootnoteReference"/>
        </w:rPr>
        <w:footnoteReference w:id="2"/>
      </w:r>
      <w:r w:rsidR="00507B3D">
        <w:t xml:space="preserve">, and </w:t>
      </w:r>
      <w:r w:rsidR="00FE3508">
        <w:t>relevant</w:t>
      </w:r>
      <w:r w:rsidR="00507B3D">
        <w:t xml:space="preserve"> data</w:t>
      </w:r>
      <w:r w:rsidR="00FE3508">
        <w:t xml:space="preserve"> sources</w:t>
      </w:r>
      <w:r w:rsidR="00507B3D">
        <w:t xml:space="preserve">, </w:t>
      </w:r>
      <w:r w:rsidR="005F7D03">
        <w:t>t</w:t>
      </w:r>
      <w:r>
        <w:t>his brief report f</w:t>
      </w:r>
      <w:r w:rsidR="00EF20AE">
        <w:t>ocuses on progress being made on</w:t>
      </w:r>
      <w:r>
        <w:t xml:space="preserve"> </w:t>
      </w:r>
      <w:r w:rsidR="009A4B19">
        <w:t>three</w:t>
      </w:r>
      <w:r>
        <w:t xml:space="preserve"> recommendation areas </w:t>
      </w:r>
      <w:r w:rsidR="00143CC0">
        <w:t>in</w:t>
      </w:r>
      <w:r>
        <w:t xml:space="preserve"> the </w:t>
      </w:r>
      <w:r w:rsidR="00FE3508" w:rsidRPr="00FE3508">
        <w:rPr>
          <w:u w:val="single"/>
        </w:rPr>
        <w:t xml:space="preserve">MA </w:t>
      </w:r>
      <w:r w:rsidRPr="00FE3508">
        <w:rPr>
          <w:u w:val="single"/>
        </w:rPr>
        <w:t xml:space="preserve">Plan to End </w:t>
      </w:r>
      <w:r w:rsidR="00FE3508" w:rsidRPr="00FE3508">
        <w:rPr>
          <w:u w:val="single"/>
        </w:rPr>
        <w:t xml:space="preserve">Youth </w:t>
      </w:r>
      <w:r w:rsidRPr="00FE3508">
        <w:rPr>
          <w:u w:val="single"/>
        </w:rPr>
        <w:t>Homelessness</w:t>
      </w:r>
      <w:r w:rsidR="00DE5ADD">
        <w:t xml:space="preserve"> as well as areas of unmet need</w:t>
      </w:r>
      <w:r w:rsidR="005F7D03">
        <w:t xml:space="preserve">. </w:t>
      </w:r>
    </w:p>
    <w:p w14:paraId="63000FE4" w14:textId="7B38AAA5" w:rsidR="009F4808" w:rsidRPr="007B5B43" w:rsidRDefault="004E0C7A" w:rsidP="009F4808">
      <w:pPr>
        <w:rPr>
          <w:rFonts w:eastAsia="Times New Roman" w:cstheme="minorHAnsi"/>
        </w:rPr>
      </w:pPr>
      <w:r>
        <w:rPr>
          <w:rFonts w:cstheme="minorHAnsi"/>
        </w:rPr>
        <w:t xml:space="preserve">A theme that emerges from a review of available data is that of </w:t>
      </w:r>
      <w:r w:rsidRPr="004E0C7A">
        <w:rPr>
          <w:rFonts w:cstheme="minorHAnsi"/>
          <w:b/>
          <w:u w:val="single"/>
        </w:rPr>
        <w:t>v</w:t>
      </w:r>
      <w:r w:rsidR="00FE3508" w:rsidRPr="00DE5ADD">
        <w:rPr>
          <w:rFonts w:cstheme="minorHAnsi"/>
          <w:b/>
          <w:u w:val="single"/>
        </w:rPr>
        <w:t>ulnerability</w:t>
      </w:r>
      <w:r>
        <w:rPr>
          <w:rFonts w:cstheme="minorHAnsi"/>
        </w:rPr>
        <w:t xml:space="preserve">. </w:t>
      </w:r>
      <w:r w:rsidR="00667AB1">
        <w:rPr>
          <w:rFonts w:cstheme="minorHAnsi"/>
        </w:rPr>
        <w:t xml:space="preserve">The pandemic has revealed just how deep inequities are </w:t>
      </w:r>
      <w:r w:rsidR="009B551E">
        <w:rPr>
          <w:rFonts w:cstheme="minorHAnsi"/>
        </w:rPr>
        <w:t xml:space="preserve">to </w:t>
      </w:r>
      <w:r w:rsidR="00667AB1">
        <w:rPr>
          <w:rFonts w:cstheme="minorHAnsi"/>
        </w:rPr>
        <w:t>access the social determinants of health (SDOH)</w:t>
      </w:r>
      <w:r w:rsidR="00143CC0">
        <w:rPr>
          <w:rFonts w:cstheme="minorHAnsi"/>
        </w:rPr>
        <w:t xml:space="preserve">, rendering many of </w:t>
      </w:r>
      <w:r w:rsidR="00FE3508">
        <w:rPr>
          <w:rFonts w:cstheme="minorHAnsi"/>
        </w:rPr>
        <w:t xml:space="preserve">the </w:t>
      </w:r>
      <w:r w:rsidR="00143CC0">
        <w:rPr>
          <w:rFonts w:cstheme="minorHAnsi"/>
        </w:rPr>
        <w:t xml:space="preserve">state’s </w:t>
      </w:r>
      <w:r w:rsidR="00143CC0" w:rsidRPr="00143CC0">
        <w:rPr>
          <w:rFonts w:cstheme="minorHAnsi"/>
        </w:rPr>
        <w:t>subpopulations of young people vulnerable to homelessness</w:t>
      </w:r>
      <w:r w:rsidR="00667AB1" w:rsidRPr="00143CC0">
        <w:rPr>
          <w:rFonts w:cstheme="minorHAnsi"/>
        </w:rPr>
        <w:t xml:space="preserve">. </w:t>
      </w:r>
      <w:r w:rsidR="00143CC0" w:rsidRPr="00143CC0">
        <w:rPr>
          <w:rFonts w:cstheme="minorHAnsi"/>
        </w:rPr>
        <w:t>Indeed, p</w:t>
      </w:r>
      <w:r w:rsidR="00667AB1" w:rsidRPr="00143CC0">
        <w:rPr>
          <w:rFonts w:cstheme="minorHAnsi"/>
        </w:rPr>
        <w:t xml:space="preserve">roviders </w:t>
      </w:r>
      <w:r w:rsidR="00143CC0" w:rsidRPr="00143CC0">
        <w:rPr>
          <w:rFonts w:cstheme="minorHAnsi"/>
        </w:rPr>
        <w:t xml:space="preserve">expressed concern that </w:t>
      </w:r>
      <w:r w:rsidR="00E07C64" w:rsidRPr="00143CC0">
        <w:rPr>
          <w:rFonts w:eastAsia="Calibri" w:cstheme="minorHAnsi"/>
        </w:rPr>
        <w:t xml:space="preserve">the pandemic </w:t>
      </w:r>
      <w:r w:rsidR="00FE3508">
        <w:rPr>
          <w:rFonts w:eastAsia="Calibri" w:cstheme="minorHAnsi"/>
        </w:rPr>
        <w:t xml:space="preserve">has </w:t>
      </w:r>
      <w:r w:rsidR="00E07C64" w:rsidRPr="00143CC0">
        <w:rPr>
          <w:rFonts w:eastAsia="Calibri" w:cstheme="minorHAnsi"/>
        </w:rPr>
        <w:t>push</w:t>
      </w:r>
      <w:r w:rsidR="00143CC0">
        <w:rPr>
          <w:rFonts w:eastAsia="Calibri" w:cstheme="minorHAnsi"/>
        </w:rPr>
        <w:t xml:space="preserve">ed </w:t>
      </w:r>
      <w:r w:rsidR="00E07C64" w:rsidRPr="00143CC0">
        <w:rPr>
          <w:rFonts w:eastAsia="Calibri" w:cstheme="minorHAnsi"/>
        </w:rPr>
        <w:t>more YYA into homelessness.</w:t>
      </w:r>
      <w:r w:rsidR="00143CC0">
        <w:rPr>
          <w:rFonts w:eastAsia="Times New Roman" w:cstheme="minorHAnsi"/>
        </w:rPr>
        <w:t xml:space="preserve"> Networks that had once kept young people out of literal homelessness, such as couch surfing and staying with family and friends, </w:t>
      </w:r>
      <w:r w:rsidR="00143CC0">
        <w:rPr>
          <w:rFonts w:eastAsia="Times New Roman" w:cstheme="minorHAnsi"/>
        </w:rPr>
        <w:lastRenderedPageBreak/>
        <w:t xml:space="preserve">became less available due to </w:t>
      </w:r>
      <w:r w:rsidR="00E07C64" w:rsidRPr="00143CC0">
        <w:rPr>
          <w:rFonts w:eastAsia="Times New Roman" w:cstheme="minorHAnsi"/>
        </w:rPr>
        <w:t>safety concerns related to COVID-19</w:t>
      </w:r>
      <w:r w:rsidR="00143CC0">
        <w:rPr>
          <w:rFonts w:eastAsia="Times New Roman" w:cstheme="minorHAnsi"/>
        </w:rPr>
        <w:t xml:space="preserve">. Procedures to de-densify shelters limited young people’s access to emergency resources and </w:t>
      </w:r>
      <w:r w:rsidR="00F408DB">
        <w:rPr>
          <w:rFonts w:eastAsia="Times New Roman" w:cstheme="minorHAnsi"/>
        </w:rPr>
        <w:t xml:space="preserve">in some cases </w:t>
      </w:r>
      <w:r w:rsidR="00143CC0">
        <w:rPr>
          <w:rFonts w:eastAsia="Times New Roman" w:cstheme="minorHAnsi"/>
        </w:rPr>
        <w:t xml:space="preserve">caused longer wait lists to get help. </w:t>
      </w:r>
      <w:r>
        <w:rPr>
          <w:rFonts w:eastAsia="Times New Roman" w:cstheme="minorHAnsi"/>
        </w:rPr>
        <w:t xml:space="preserve">Motel regulations prohibiting housing young people under 21 years old proved to be a barrier to providing rapid shelter. </w:t>
      </w:r>
      <w:r w:rsidR="00FE3508">
        <w:rPr>
          <w:rFonts w:eastAsia="Times New Roman" w:cstheme="minorHAnsi"/>
        </w:rPr>
        <w:t xml:space="preserve">Providers </w:t>
      </w:r>
      <w:r w:rsidR="00F408DB">
        <w:rPr>
          <w:rFonts w:eastAsia="Times New Roman" w:cstheme="minorHAnsi"/>
        </w:rPr>
        <w:t>have seen</w:t>
      </w:r>
      <w:r w:rsidR="00967E7A" w:rsidRPr="00E77AD0">
        <w:rPr>
          <w:rFonts w:cstheme="minorHAnsi"/>
        </w:rPr>
        <w:t xml:space="preserve"> increase</w:t>
      </w:r>
      <w:r w:rsidR="00FE3508">
        <w:rPr>
          <w:rFonts w:cstheme="minorHAnsi"/>
        </w:rPr>
        <w:t>s</w:t>
      </w:r>
      <w:r w:rsidR="00967E7A" w:rsidRPr="00E77AD0">
        <w:rPr>
          <w:rFonts w:cstheme="minorHAnsi"/>
        </w:rPr>
        <w:t xml:space="preserve"> in referrals </w:t>
      </w:r>
      <w:r w:rsidR="00FE3508">
        <w:rPr>
          <w:rFonts w:cstheme="minorHAnsi"/>
        </w:rPr>
        <w:t xml:space="preserve">for services and </w:t>
      </w:r>
      <w:r w:rsidR="00F408DB">
        <w:rPr>
          <w:rFonts w:cstheme="minorHAnsi"/>
        </w:rPr>
        <w:t xml:space="preserve">expressed </w:t>
      </w:r>
      <w:r w:rsidR="00FE3508">
        <w:rPr>
          <w:rFonts w:cstheme="minorHAnsi"/>
        </w:rPr>
        <w:t>worry that demand will continue to increase as the eviction moratorium comes to an end.</w:t>
      </w:r>
      <w:r w:rsidR="007B5B43">
        <w:rPr>
          <w:rFonts w:eastAsia="Times New Roman" w:cstheme="minorHAnsi"/>
        </w:rPr>
        <w:t xml:space="preserve"> </w:t>
      </w:r>
      <w:r w:rsidR="00E07C64" w:rsidRPr="00143CC0">
        <w:rPr>
          <w:rFonts w:cstheme="minorHAnsi"/>
        </w:rPr>
        <w:t xml:space="preserve">The Commission has always been concerned </w:t>
      </w:r>
      <w:r w:rsidR="00F408DB">
        <w:rPr>
          <w:rFonts w:cstheme="minorHAnsi"/>
        </w:rPr>
        <w:t>about the</w:t>
      </w:r>
      <w:r w:rsidR="00E07C64" w:rsidRPr="00143CC0">
        <w:rPr>
          <w:rFonts w:cstheme="minorHAnsi"/>
        </w:rPr>
        <w:t xml:space="preserve"> </w:t>
      </w:r>
      <w:r w:rsidR="00F12058" w:rsidRPr="00143CC0">
        <w:rPr>
          <w:rFonts w:eastAsia="Times New Roman" w:cstheme="minorHAnsi"/>
        </w:rPr>
        <w:t>unconnected and disconnected you</w:t>
      </w:r>
      <w:r w:rsidR="00E07C64" w:rsidRPr="00143CC0">
        <w:rPr>
          <w:rFonts w:eastAsia="Times New Roman" w:cstheme="minorHAnsi"/>
        </w:rPr>
        <w:t xml:space="preserve">ng people </w:t>
      </w:r>
      <w:r w:rsidR="00F408DB">
        <w:rPr>
          <w:rFonts w:eastAsia="Times New Roman" w:cstheme="minorHAnsi"/>
        </w:rPr>
        <w:t xml:space="preserve">in the state </w:t>
      </w:r>
      <w:r w:rsidR="00E07C64" w:rsidRPr="00143CC0">
        <w:rPr>
          <w:rFonts w:eastAsia="Times New Roman" w:cstheme="minorHAnsi"/>
        </w:rPr>
        <w:t xml:space="preserve">who are </w:t>
      </w:r>
      <w:r w:rsidR="00143CC0">
        <w:rPr>
          <w:rFonts w:eastAsia="Times New Roman" w:cstheme="minorHAnsi"/>
        </w:rPr>
        <w:t xml:space="preserve">particularly vulnerable to </w:t>
      </w:r>
      <w:r w:rsidR="00F408DB">
        <w:rPr>
          <w:rFonts w:eastAsia="Times New Roman" w:cstheme="minorHAnsi"/>
        </w:rPr>
        <w:t xml:space="preserve">becoming </w:t>
      </w:r>
      <w:r w:rsidR="00143CC0">
        <w:rPr>
          <w:rFonts w:eastAsia="Times New Roman" w:cstheme="minorHAnsi"/>
        </w:rPr>
        <w:t xml:space="preserve">homeless. </w:t>
      </w:r>
      <w:r w:rsidR="00F408DB">
        <w:rPr>
          <w:rFonts w:eastAsia="Times New Roman" w:cstheme="minorHAnsi"/>
        </w:rPr>
        <w:t>This ongoing concern</w:t>
      </w:r>
      <w:r w:rsidR="00444612">
        <w:rPr>
          <w:rFonts w:eastAsia="Times New Roman" w:cstheme="minorHAnsi"/>
        </w:rPr>
        <w:t>,</w:t>
      </w:r>
      <w:r w:rsidR="00F408DB">
        <w:rPr>
          <w:rFonts w:eastAsia="Times New Roman" w:cstheme="minorHAnsi"/>
        </w:rPr>
        <w:t xml:space="preserve"> coupled with</w:t>
      </w:r>
      <w:r w:rsidR="00E07C64" w:rsidRPr="00143CC0">
        <w:rPr>
          <w:rFonts w:eastAsia="Times New Roman" w:cstheme="minorHAnsi"/>
        </w:rPr>
        <w:t xml:space="preserve"> deepening inequities</w:t>
      </w:r>
      <w:r w:rsidR="00444612">
        <w:rPr>
          <w:rFonts w:eastAsia="Times New Roman" w:cstheme="minorHAnsi"/>
        </w:rPr>
        <w:t>,</w:t>
      </w:r>
      <w:r w:rsidR="00E07C64" w:rsidRPr="00143CC0">
        <w:rPr>
          <w:rFonts w:eastAsia="Times New Roman" w:cstheme="minorHAnsi"/>
        </w:rPr>
        <w:t xml:space="preserve"> make it more important than ever to </w:t>
      </w:r>
      <w:r w:rsidR="00F12058" w:rsidRPr="00143CC0">
        <w:rPr>
          <w:rFonts w:cstheme="minorHAnsi"/>
        </w:rPr>
        <w:t xml:space="preserve">connect with every city and town in the Commonwealth and exercise deep intentionality </w:t>
      </w:r>
      <w:r w:rsidR="00444612">
        <w:rPr>
          <w:rFonts w:cstheme="minorHAnsi"/>
        </w:rPr>
        <w:t>engaging</w:t>
      </w:r>
      <w:r w:rsidR="00F12058" w:rsidRPr="00143CC0">
        <w:rPr>
          <w:rFonts w:cstheme="minorHAnsi"/>
        </w:rPr>
        <w:t xml:space="preserve"> with subpopulations that face </w:t>
      </w:r>
      <w:r w:rsidR="008F447E" w:rsidRPr="00143CC0">
        <w:rPr>
          <w:rFonts w:cstheme="minorHAnsi"/>
        </w:rPr>
        <w:t>barriers</w:t>
      </w:r>
      <w:r w:rsidR="007B5B43">
        <w:rPr>
          <w:rFonts w:cstheme="minorHAnsi"/>
        </w:rPr>
        <w:t xml:space="preserve"> in accessing housing and related services</w:t>
      </w:r>
      <w:r w:rsidR="008F447E" w:rsidRPr="00143CC0">
        <w:rPr>
          <w:rFonts w:cstheme="minorHAnsi"/>
        </w:rPr>
        <w:t>.</w:t>
      </w:r>
      <w:r w:rsidR="009F4808" w:rsidRPr="00143CC0">
        <w:rPr>
          <w:rFonts w:cstheme="minorHAnsi"/>
        </w:rPr>
        <w:t xml:space="preserve"> </w:t>
      </w:r>
    </w:p>
    <w:p w14:paraId="760BA6BE" w14:textId="2E55E80A" w:rsidR="004E0C7A" w:rsidRDefault="004E0C7A" w:rsidP="004E0C7A">
      <w:pPr>
        <w:shd w:val="clear" w:color="auto" w:fill="FFFFFF"/>
        <w:spacing w:before="100" w:beforeAutospacing="1" w:after="100" w:afterAutospacing="1" w:line="276" w:lineRule="auto"/>
      </w:pPr>
      <w:r>
        <w:rPr>
          <w:rFonts w:cstheme="minorHAnsi"/>
          <w:b/>
          <w:u w:val="single"/>
        </w:rPr>
        <w:t>Resilience</w:t>
      </w:r>
      <w:r>
        <w:rPr>
          <w:rFonts w:cstheme="minorHAnsi"/>
        </w:rPr>
        <w:t xml:space="preserve"> can be thought of as t</w:t>
      </w:r>
      <w:r w:rsidRPr="00E77AD0">
        <w:rPr>
          <w:rFonts w:cstheme="minorHAnsi"/>
        </w:rPr>
        <w:t xml:space="preserve">he flip side of </w:t>
      </w:r>
      <w:r>
        <w:rPr>
          <w:rFonts w:cstheme="minorHAnsi"/>
        </w:rPr>
        <w:t>vulnerability</w:t>
      </w:r>
      <w:r w:rsidRPr="00E77AD0">
        <w:rPr>
          <w:rFonts w:cstheme="minorHAnsi"/>
        </w:rPr>
        <w:t xml:space="preserve">. </w:t>
      </w:r>
      <w:r>
        <w:rPr>
          <w:rFonts w:cstheme="minorHAnsi"/>
        </w:rPr>
        <w:t xml:space="preserve">In the context of a global pandemic, the </w:t>
      </w:r>
      <w:r w:rsidRPr="004E0C7A">
        <w:rPr>
          <w:rFonts w:cstheme="minorHAnsi"/>
        </w:rPr>
        <w:t>r</w:t>
      </w:r>
      <w:r w:rsidRPr="004E0C7A">
        <w:t>esilience</w:t>
      </w:r>
      <w:r>
        <w:t xml:space="preserve"> of youth and providers working in the context of an increasingly resilient system clearly emerges from the data. For example, as providers were distributing PPE and flex funding so that young people could be as safe and stable as possible, they were also examining their practices and policies through an anti-racist lens. They expanded the number beds and extended the operations of shelters to meet pandemic-related demand. They demonstrated concerted effort to elevate their visibility to young people and other providers to ensure young people knew w</w:t>
      </w:r>
      <w:r w:rsidR="004904B2">
        <w:t>h</w:t>
      </w:r>
      <w:r>
        <w:t xml:space="preserve">ere to </w:t>
      </w:r>
      <w:r w:rsidR="004904B2">
        <w:t xml:space="preserve">go to </w:t>
      </w:r>
      <w:r>
        <w:t xml:space="preserve">get help. They initiated learning communities to increase communitywide understanding and capacity to be responsive to young people experiencing homelessness. The ability to work at these very different levels—from crisis </w:t>
      </w:r>
      <w:r w:rsidR="004904B2">
        <w:t xml:space="preserve">response </w:t>
      </w:r>
      <w:r>
        <w:t xml:space="preserve">to long-term planning through an anti-racist lens simultaneously is a testament of providers’ commitment and readiness to do the best they can by the young people. </w:t>
      </w:r>
    </w:p>
    <w:p w14:paraId="24E13B10" w14:textId="475F1299" w:rsidR="006D6074" w:rsidRPr="006C79C5" w:rsidRDefault="009B551E" w:rsidP="002D0F7F">
      <w:pPr>
        <w:pStyle w:val="Heading1"/>
        <w:spacing w:before="240"/>
        <w:rPr>
          <w:color w:val="auto"/>
        </w:rPr>
      </w:pPr>
      <w:bookmarkStart w:id="1" w:name="_Toc64523596"/>
      <w:r w:rsidRPr="006C79C5">
        <w:rPr>
          <w:color w:val="auto"/>
        </w:rPr>
        <w:t xml:space="preserve">A Glimpse into the </w:t>
      </w:r>
      <w:r w:rsidR="00115F7C" w:rsidRPr="006C79C5">
        <w:rPr>
          <w:color w:val="auto"/>
        </w:rPr>
        <w:t>Situation</w:t>
      </w:r>
      <w:r w:rsidRPr="006C79C5">
        <w:rPr>
          <w:color w:val="auto"/>
        </w:rPr>
        <w:t xml:space="preserve"> of </w:t>
      </w:r>
      <w:r w:rsidR="004B412B">
        <w:rPr>
          <w:color w:val="auto"/>
        </w:rPr>
        <w:t>Youth and Young Adults Facing Homelessness</w:t>
      </w:r>
      <w:r w:rsidR="004E0C7A">
        <w:rPr>
          <w:color w:val="auto"/>
        </w:rPr>
        <w:t xml:space="preserve"> in 2020</w:t>
      </w:r>
      <w:bookmarkEnd w:id="1"/>
    </w:p>
    <w:p w14:paraId="2B131275" w14:textId="2460FF37" w:rsidR="000C12E2" w:rsidRDefault="000C12E2" w:rsidP="004E0C7A">
      <w:r>
        <w:t>Based on the Regional P</w:t>
      </w:r>
      <w:r w:rsidR="007B5B43">
        <w:t>rovider</w:t>
      </w:r>
      <w:r>
        <w:t>s’</w:t>
      </w:r>
      <w:r w:rsidR="007B5B43">
        <w:t xml:space="preserve"> quarterly reports, i</w:t>
      </w:r>
      <w:r w:rsidR="009F4808">
        <w:t xml:space="preserve">n </w:t>
      </w:r>
      <w:r w:rsidR="00143CC0">
        <w:t xml:space="preserve">FY </w:t>
      </w:r>
      <w:r w:rsidR="009F4808">
        <w:t xml:space="preserve">2020, </w:t>
      </w:r>
      <w:r w:rsidR="007B5B43">
        <w:t>2,470</w:t>
      </w:r>
      <w:r w:rsidR="009F4808">
        <w:t xml:space="preserve"> unduplicated </w:t>
      </w:r>
      <w:r w:rsidR="007B5B43">
        <w:t xml:space="preserve">YYA </w:t>
      </w:r>
      <w:r w:rsidR="009F4808">
        <w:t xml:space="preserve">were served. </w:t>
      </w:r>
      <w:r w:rsidR="007B5B43">
        <w:t xml:space="preserve">This was a 38.9% increase from FY 19 when 1,778 YYA were served. </w:t>
      </w:r>
      <w:r w:rsidR="004904B2">
        <w:t>As a point of comparison, s</w:t>
      </w:r>
      <w:r>
        <w:t>ince 2017, there has been a 3% increase in the number of unaccompanied youth experiencing homelessness being reported by the Department of Elementary and Secondary Education</w:t>
      </w:r>
      <w:r>
        <w:rPr>
          <w:rStyle w:val="FootnoteReference"/>
        </w:rPr>
        <w:footnoteReference w:id="3"/>
      </w:r>
      <w:r>
        <w:t xml:space="preserve">. While the number reported by DESE is limited to a population attending school and the Regions serve youth and young adults up to age 25, the large increase in youth served by Regional Providers compared to the relatively small increase in the number of unaccompanied youth experiencing homelessness in the schools raises interesting questions. Is </w:t>
      </w:r>
      <w:r w:rsidR="004904B2">
        <w:t xml:space="preserve">it </w:t>
      </w:r>
      <w:r>
        <w:t>the case that services for young people have become more visible and accessible</w:t>
      </w:r>
      <w:r w:rsidR="004904B2">
        <w:t xml:space="preserve"> and therefore </w:t>
      </w:r>
      <w:r w:rsidR="00D86E1F">
        <w:t xml:space="preserve">service </w:t>
      </w:r>
      <w:r w:rsidR="004904B2">
        <w:t>usage is increasing even if the incidence of youth homelessness is relatively stable</w:t>
      </w:r>
      <w:r>
        <w:t>? Is the increase a function of the significant prevention work the Regions have been undertaking</w:t>
      </w:r>
      <w:r w:rsidR="00D86E1F">
        <w:t xml:space="preserve"> (i.e. while more youth are being served, they are being served prior to becoming homeless and therefore avoiding the risks associated with homelessness)</w:t>
      </w:r>
      <w:r>
        <w:t>?</w:t>
      </w:r>
      <w:r w:rsidR="004904B2">
        <w:t xml:space="preserve"> </w:t>
      </w:r>
    </w:p>
    <w:p w14:paraId="275DBA08" w14:textId="249F1D19" w:rsidR="004E0C7A" w:rsidRPr="009F4808" w:rsidRDefault="000C12E2" w:rsidP="004E0C7A">
      <w:r>
        <w:t>A look at patterns of case management provision would suggest that while numbers served increased, more youth are being diverted from becoming homeless. Indeed,</w:t>
      </w:r>
      <w:r w:rsidR="007B5B43">
        <w:t xml:space="preserve"> 353 YYA served maintained stable housing for at least 90 days</w:t>
      </w:r>
      <w:r w:rsidR="004E0C7A">
        <w:t xml:space="preserve"> following receiving case management. Of these, 213 received case management to prevent becoming homeless and 140 received case management after being rehoused </w:t>
      </w:r>
      <w:r w:rsidR="004E0C7A">
        <w:lastRenderedPageBreak/>
        <w:t>due to homelessness.</w:t>
      </w:r>
      <w:r w:rsidR="00115F7C">
        <w:t xml:space="preserve"> In Quarter One of </w:t>
      </w:r>
      <w:r w:rsidR="009F4808">
        <w:t xml:space="preserve">FY 21, </w:t>
      </w:r>
      <w:r w:rsidR="007B5B43">
        <w:t>669</w:t>
      </w:r>
      <w:r w:rsidR="009F4808">
        <w:t xml:space="preserve"> have been served.</w:t>
      </w:r>
      <w:r w:rsidR="007B5B43">
        <w:t xml:space="preserve"> If this pace continues over the course of the year, the state is on track to serve </w:t>
      </w:r>
      <w:r w:rsidR="004E0C7A">
        <w:t>at least</w:t>
      </w:r>
      <w:r w:rsidR="007B5B43">
        <w:t xml:space="preserve"> 400 more young people in FY21</w:t>
      </w:r>
      <w:r>
        <w:t>-with very promising indications that a higher number will be diverted from homelessness</w:t>
      </w:r>
      <w:r w:rsidR="002D0F7F">
        <w:rPr>
          <w:rStyle w:val="FootnoteReference"/>
        </w:rPr>
        <w:footnoteReference w:id="4"/>
      </w:r>
      <w:r w:rsidR="007B5B43">
        <w:t>.</w:t>
      </w:r>
      <w:r w:rsidR="009F4808">
        <w:t xml:space="preserve"> </w:t>
      </w:r>
      <w:r w:rsidR="004E0C7A">
        <w:t>Table 1 provides a demographic overview of those served in FY20.</w:t>
      </w:r>
    </w:p>
    <w:tbl>
      <w:tblPr>
        <w:tblStyle w:val="TableGrid"/>
        <w:tblW w:w="0" w:type="auto"/>
        <w:jc w:val="center"/>
        <w:tblLook w:val="04A0" w:firstRow="1" w:lastRow="0" w:firstColumn="1" w:lastColumn="0" w:noHBand="0" w:noVBand="1"/>
      </w:tblPr>
      <w:tblGrid>
        <w:gridCol w:w="4608"/>
        <w:gridCol w:w="1440"/>
      </w:tblGrid>
      <w:tr w:rsidR="004E0C7A" w14:paraId="1E6D1971" w14:textId="77777777" w:rsidTr="00051F50">
        <w:trPr>
          <w:jc w:val="center"/>
        </w:trPr>
        <w:tc>
          <w:tcPr>
            <w:tcW w:w="4608" w:type="dxa"/>
          </w:tcPr>
          <w:p w14:paraId="51B6917B" w14:textId="77777777" w:rsidR="004E0C7A" w:rsidRDefault="004E0C7A" w:rsidP="00051F50">
            <w:pPr>
              <w:spacing w:after="0"/>
            </w:pPr>
            <w:r>
              <w:t>Table 1: Demographic Overview</w:t>
            </w:r>
          </w:p>
        </w:tc>
        <w:tc>
          <w:tcPr>
            <w:tcW w:w="1440" w:type="dxa"/>
          </w:tcPr>
          <w:p w14:paraId="63F80DF3" w14:textId="77777777" w:rsidR="004E0C7A" w:rsidRDefault="004E0C7A" w:rsidP="00051F50">
            <w:pPr>
              <w:spacing w:after="0"/>
            </w:pPr>
            <w:r>
              <w:t>FY20year</w:t>
            </w:r>
          </w:p>
        </w:tc>
      </w:tr>
      <w:tr w:rsidR="004E0C7A" w14:paraId="799194AE" w14:textId="77777777" w:rsidTr="00051F50">
        <w:trPr>
          <w:jc w:val="center"/>
        </w:trPr>
        <w:tc>
          <w:tcPr>
            <w:tcW w:w="4608" w:type="dxa"/>
          </w:tcPr>
          <w:p w14:paraId="5A75D951" w14:textId="77777777" w:rsidR="004E0C7A" w:rsidRDefault="004E0C7A" w:rsidP="00051F50">
            <w:pPr>
              <w:spacing w:after="0"/>
            </w:pPr>
            <w:r>
              <w:t>Total</w:t>
            </w:r>
          </w:p>
        </w:tc>
        <w:tc>
          <w:tcPr>
            <w:tcW w:w="1440" w:type="dxa"/>
          </w:tcPr>
          <w:p w14:paraId="761EED63" w14:textId="77777777" w:rsidR="004E0C7A" w:rsidRDefault="004E0C7A" w:rsidP="00051F50">
            <w:pPr>
              <w:spacing w:after="0"/>
            </w:pPr>
            <w:r>
              <w:t>2470</w:t>
            </w:r>
          </w:p>
        </w:tc>
      </w:tr>
      <w:tr w:rsidR="004E0C7A" w14:paraId="14E55C95" w14:textId="77777777" w:rsidTr="00051F50">
        <w:trPr>
          <w:jc w:val="center"/>
        </w:trPr>
        <w:tc>
          <w:tcPr>
            <w:tcW w:w="4608" w:type="dxa"/>
          </w:tcPr>
          <w:p w14:paraId="6101E054" w14:textId="77777777" w:rsidR="004E0C7A" w:rsidRDefault="004E0C7A" w:rsidP="00051F50">
            <w:pPr>
              <w:spacing w:after="0"/>
            </w:pPr>
            <w:r>
              <w:t>Under 18</w:t>
            </w:r>
          </w:p>
        </w:tc>
        <w:tc>
          <w:tcPr>
            <w:tcW w:w="1440" w:type="dxa"/>
          </w:tcPr>
          <w:p w14:paraId="2007DFF1" w14:textId="77777777" w:rsidR="004E0C7A" w:rsidRDefault="004E0C7A" w:rsidP="00051F50">
            <w:pPr>
              <w:spacing w:after="0"/>
            </w:pPr>
            <w:r>
              <w:t>3%</w:t>
            </w:r>
          </w:p>
        </w:tc>
      </w:tr>
      <w:tr w:rsidR="004E0C7A" w14:paraId="6A037142" w14:textId="77777777" w:rsidTr="00051F50">
        <w:trPr>
          <w:jc w:val="center"/>
        </w:trPr>
        <w:tc>
          <w:tcPr>
            <w:tcW w:w="4608" w:type="dxa"/>
          </w:tcPr>
          <w:p w14:paraId="3E1D8F8E" w14:textId="77777777" w:rsidR="004E0C7A" w:rsidRDefault="004E0C7A" w:rsidP="00051F50">
            <w:pPr>
              <w:spacing w:after="0"/>
            </w:pPr>
            <w:r>
              <w:t>Male</w:t>
            </w:r>
          </w:p>
        </w:tc>
        <w:tc>
          <w:tcPr>
            <w:tcW w:w="1440" w:type="dxa"/>
          </w:tcPr>
          <w:p w14:paraId="0F1902BF" w14:textId="77777777" w:rsidR="004E0C7A" w:rsidRDefault="004E0C7A" w:rsidP="00051F50">
            <w:pPr>
              <w:spacing w:after="0"/>
            </w:pPr>
            <w:r>
              <w:t>44%</w:t>
            </w:r>
          </w:p>
        </w:tc>
      </w:tr>
      <w:tr w:rsidR="004E0C7A" w14:paraId="075E7298" w14:textId="77777777" w:rsidTr="00051F50">
        <w:trPr>
          <w:jc w:val="center"/>
        </w:trPr>
        <w:tc>
          <w:tcPr>
            <w:tcW w:w="4608" w:type="dxa"/>
          </w:tcPr>
          <w:p w14:paraId="211CD9E1" w14:textId="77777777" w:rsidR="004E0C7A" w:rsidRDefault="004E0C7A" w:rsidP="00051F50">
            <w:pPr>
              <w:spacing w:after="0"/>
            </w:pPr>
            <w:r>
              <w:t>Female</w:t>
            </w:r>
          </w:p>
        </w:tc>
        <w:tc>
          <w:tcPr>
            <w:tcW w:w="1440" w:type="dxa"/>
          </w:tcPr>
          <w:p w14:paraId="6ADF4B9A" w14:textId="77777777" w:rsidR="004E0C7A" w:rsidRDefault="004E0C7A" w:rsidP="00051F50">
            <w:pPr>
              <w:spacing w:after="0"/>
            </w:pPr>
            <w:r>
              <w:t>52%</w:t>
            </w:r>
          </w:p>
        </w:tc>
      </w:tr>
      <w:tr w:rsidR="004E0C7A" w14:paraId="51F3C3D5" w14:textId="77777777" w:rsidTr="00051F50">
        <w:trPr>
          <w:jc w:val="center"/>
        </w:trPr>
        <w:tc>
          <w:tcPr>
            <w:tcW w:w="4608" w:type="dxa"/>
          </w:tcPr>
          <w:p w14:paraId="4D5ED33C" w14:textId="77777777" w:rsidR="004E0C7A" w:rsidRDefault="004E0C7A" w:rsidP="00051F50">
            <w:pPr>
              <w:spacing w:after="0"/>
            </w:pPr>
            <w:r>
              <w:t>Other</w:t>
            </w:r>
          </w:p>
        </w:tc>
        <w:tc>
          <w:tcPr>
            <w:tcW w:w="1440" w:type="dxa"/>
          </w:tcPr>
          <w:p w14:paraId="49DA9078" w14:textId="77777777" w:rsidR="004E0C7A" w:rsidRDefault="004E0C7A" w:rsidP="00051F50">
            <w:pPr>
              <w:spacing w:after="0"/>
            </w:pPr>
            <w:r>
              <w:t>3%</w:t>
            </w:r>
          </w:p>
        </w:tc>
      </w:tr>
      <w:tr w:rsidR="004E0C7A" w14:paraId="05077AEE" w14:textId="77777777" w:rsidTr="00051F50">
        <w:trPr>
          <w:jc w:val="center"/>
        </w:trPr>
        <w:tc>
          <w:tcPr>
            <w:tcW w:w="4608" w:type="dxa"/>
          </w:tcPr>
          <w:p w14:paraId="0FAC9D0C" w14:textId="77777777" w:rsidR="004E0C7A" w:rsidRDefault="004E0C7A" w:rsidP="00051F50">
            <w:pPr>
              <w:spacing w:after="0"/>
            </w:pPr>
            <w:r>
              <w:t>White</w:t>
            </w:r>
          </w:p>
        </w:tc>
        <w:tc>
          <w:tcPr>
            <w:tcW w:w="1440" w:type="dxa"/>
          </w:tcPr>
          <w:p w14:paraId="6C118097" w14:textId="77777777" w:rsidR="004E0C7A" w:rsidRDefault="004E0C7A" w:rsidP="00051F50">
            <w:pPr>
              <w:spacing w:after="0"/>
            </w:pPr>
            <w:r>
              <w:t>44%</w:t>
            </w:r>
          </w:p>
        </w:tc>
      </w:tr>
      <w:tr w:rsidR="004E0C7A" w14:paraId="3847045B" w14:textId="77777777" w:rsidTr="00051F50">
        <w:trPr>
          <w:jc w:val="center"/>
        </w:trPr>
        <w:tc>
          <w:tcPr>
            <w:tcW w:w="4608" w:type="dxa"/>
          </w:tcPr>
          <w:p w14:paraId="0B03A18E" w14:textId="77777777" w:rsidR="004E0C7A" w:rsidRDefault="004E0C7A" w:rsidP="00051F50">
            <w:pPr>
              <w:spacing w:after="0"/>
            </w:pPr>
            <w:r>
              <w:t>Black</w:t>
            </w:r>
          </w:p>
        </w:tc>
        <w:tc>
          <w:tcPr>
            <w:tcW w:w="1440" w:type="dxa"/>
          </w:tcPr>
          <w:p w14:paraId="255974B1" w14:textId="77777777" w:rsidR="004E0C7A" w:rsidRDefault="004E0C7A" w:rsidP="00051F50">
            <w:pPr>
              <w:spacing w:after="0"/>
            </w:pPr>
            <w:r>
              <w:t>35%</w:t>
            </w:r>
          </w:p>
        </w:tc>
      </w:tr>
      <w:tr w:rsidR="004E0C7A" w14:paraId="00C6FAF0" w14:textId="77777777" w:rsidTr="00051F50">
        <w:trPr>
          <w:jc w:val="center"/>
        </w:trPr>
        <w:tc>
          <w:tcPr>
            <w:tcW w:w="4608" w:type="dxa"/>
          </w:tcPr>
          <w:p w14:paraId="177EFACA" w14:textId="77777777" w:rsidR="004E0C7A" w:rsidRDefault="004E0C7A" w:rsidP="00051F50">
            <w:pPr>
              <w:spacing w:after="0"/>
            </w:pPr>
            <w:r>
              <w:t>Asian</w:t>
            </w:r>
          </w:p>
        </w:tc>
        <w:tc>
          <w:tcPr>
            <w:tcW w:w="1440" w:type="dxa"/>
          </w:tcPr>
          <w:p w14:paraId="7D67E827" w14:textId="77777777" w:rsidR="004E0C7A" w:rsidRDefault="004E0C7A" w:rsidP="00051F50">
            <w:pPr>
              <w:spacing w:after="0"/>
            </w:pPr>
            <w:r>
              <w:t>1%</w:t>
            </w:r>
          </w:p>
        </w:tc>
      </w:tr>
      <w:tr w:rsidR="004E0C7A" w14:paraId="79247771" w14:textId="77777777" w:rsidTr="00051F50">
        <w:trPr>
          <w:jc w:val="center"/>
        </w:trPr>
        <w:tc>
          <w:tcPr>
            <w:tcW w:w="4608" w:type="dxa"/>
          </w:tcPr>
          <w:p w14:paraId="6C95710C" w14:textId="77777777" w:rsidR="004E0C7A" w:rsidRDefault="004E0C7A" w:rsidP="00051F50">
            <w:pPr>
              <w:spacing w:after="0"/>
            </w:pPr>
            <w:r>
              <w:t>Other</w:t>
            </w:r>
          </w:p>
        </w:tc>
        <w:tc>
          <w:tcPr>
            <w:tcW w:w="1440" w:type="dxa"/>
          </w:tcPr>
          <w:p w14:paraId="3C1ECB7A" w14:textId="77777777" w:rsidR="004E0C7A" w:rsidRDefault="004E0C7A" w:rsidP="00051F50">
            <w:pPr>
              <w:spacing w:after="0"/>
            </w:pPr>
            <w:r>
              <w:t>18%</w:t>
            </w:r>
          </w:p>
        </w:tc>
      </w:tr>
      <w:tr w:rsidR="004E0C7A" w14:paraId="445F16A9" w14:textId="77777777" w:rsidTr="00051F50">
        <w:trPr>
          <w:jc w:val="center"/>
        </w:trPr>
        <w:tc>
          <w:tcPr>
            <w:tcW w:w="4608" w:type="dxa"/>
          </w:tcPr>
          <w:p w14:paraId="07073259" w14:textId="77777777" w:rsidR="004E0C7A" w:rsidRDefault="004E0C7A" w:rsidP="00051F50">
            <w:pPr>
              <w:spacing w:after="0"/>
            </w:pPr>
            <w:r>
              <w:t>Hispanic</w:t>
            </w:r>
          </w:p>
        </w:tc>
        <w:tc>
          <w:tcPr>
            <w:tcW w:w="1440" w:type="dxa"/>
          </w:tcPr>
          <w:p w14:paraId="3A234365" w14:textId="77777777" w:rsidR="004E0C7A" w:rsidRDefault="004E0C7A" w:rsidP="00051F50">
            <w:pPr>
              <w:spacing w:after="0"/>
            </w:pPr>
            <w:r>
              <w:t>31%</w:t>
            </w:r>
          </w:p>
        </w:tc>
      </w:tr>
      <w:tr w:rsidR="004E0C7A" w14:paraId="560EB7DD" w14:textId="77777777" w:rsidTr="00051F50">
        <w:trPr>
          <w:jc w:val="center"/>
        </w:trPr>
        <w:tc>
          <w:tcPr>
            <w:tcW w:w="4608" w:type="dxa"/>
          </w:tcPr>
          <w:p w14:paraId="0EF520E6" w14:textId="77777777" w:rsidR="004E0C7A" w:rsidRDefault="004E0C7A" w:rsidP="00051F50">
            <w:pPr>
              <w:spacing w:after="0"/>
            </w:pPr>
            <w:r>
              <w:t>Pregnant/Parenting</w:t>
            </w:r>
          </w:p>
        </w:tc>
        <w:tc>
          <w:tcPr>
            <w:tcW w:w="1440" w:type="dxa"/>
          </w:tcPr>
          <w:p w14:paraId="6CFBC050" w14:textId="77777777" w:rsidR="004E0C7A" w:rsidRDefault="004E0C7A" w:rsidP="00051F50">
            <w:pPr>
              <w:spacing w:after="0"/>
            </w:pPr>
            <w:r>
              <w:t>12%</w:t>
            </w:r>
          </w:p>
        </w:tc>
      </w:tr>
      <w:tr w:rsidR="004E0C7A" w14:paraId="0691DD50" w14:textId="77777777" w:rsidTr="00051F50">
        <w:trPr>
          <w:jc w:val="center"/>
        </w:trPr>
        <w:tc>
          <w:tcPr>
            <w:tcW w:w="4608" w:type="dxa"/>
          </w:tcPr>
          <w:p w14:paraId="0DB085A3" w14:textId="77777777" w:rsidR="004E0C7A" w:rsidRDefault="004E0C7A" w:rsidP="00051F50">
            <w:pPr>
              <w:spacing w:after="0"/>
            </w:pPr>
            <w:r>
              <w:t>LGBTQ</w:t>
            </w:r>
          </w:p>
        </w:tc>
        <w:tc>
          <w:tcPr>
            <w:tcW w:w="1440" w:type="dxa"/>
          </w:tcPr>
          <w:p w14:paraId="4803645A" w14:textId="77777777" w:rsidR="004E0C7A" w:rsidRDefault="004E0C7A" w:rsidP="00051F50">
            <w:pPr>
              <w:spacing w:after="0"/>
            </w:pPr>
            <w:r>
              <w:t>12%</w:t>
            </w:r>
          </w:p>
        </w:tc>
      </w:tr>
      <w:tr w:rsidR="004E0C7A" w14:paraId="0910570B" w14:textId="77777777" w:rsidTr="00051F50">
        <w:trPr>
          <w:jc w:val="center"/>
        </w:trPr>
        <w:tc>
          <w:tcPr>
            <w:tcW w:w="4608" w:type="dxa"/>
          </w:tcPr>
          <w:p w14:paraId="24E3F7F7" w14:textId="77777777" w:rsidR="004E0C7A" w:rsidRDefault="004E0C7A" w:rsidP="00051F50">
            <w:pPr>
              <w:spacing w:after="0"/>
            </w:pPr>
            <w:r>
              <w:t>Complete HS</w:t>
            </w:r>
          </w:p>
        </w:tc>
        <w:tc>
          <w:tcPr>
            <w:tcW w:w="1440" w:type="dxa"/>
          </w:tcPr>
          <w:p w14:paraId="58AC9785" w14:textId="77777777" w:rsidR="004E0C7A" w:rsidRDefault="004E0C7A" w:rsidP="00051F50">
            <w:pPr>
              <w:spacing w:after="0"/>
            </w:pPr>
            <w:r>
              <w:t>33%</w:t>
            </w:r>
          </w:p>
        </w:tc>
      </w:tr>
      <w:tr w:rsidR="004E0C7A" w14:paraId="74A85C8A" w14:textId="77777777" w:rsidTr="00051F50">
        <w:trPr>
          <w:jc w:val="center"/>
        </w:trPr>
        <w:tc>
          <w:tcPr>
            <w:tcW w:w="4608" w:type="dxa"/>
          </w:tcPr>
          <w:p w14:paraId="52E7E3B0" w14:textId="77777777" w:rsidR="004E0C7A" w:rsidRDefault="004E0C7A" w:rsidP="00051F50">
            <w:pPr>
              <w:spacing w:after="0"/>
            </w:pPr>
            <w:r>
              <w:t>State Agency involvement</w:t>
            </w:r>
          </w:p>
        </w:tc>
        <w:tc>
          <w:tcPr>
            <w:tcW w:w="1440" w:type="dxa"/>
          </w:tcPr>
          <w:p w14:paraId="2516B49A" w14:textId="77777777" w:rsidR="004E0C7A" w:rsidRDefault="004E0C7A" w:rsidP="00051F50">
            <w:pPr>
              <w:spacing w:after="0"/>
            </w:pPr>
            <w:r>
              <w:t>23%</w:t>
            </w:r>
          </w:p>
        </w:tc>
      </w:tr>
      <w:tr w:rsidR="004E0C7A" w14:paraId="197A8D65" w14:textId="77777777" w:rsidTr="00051F50">
        <w:trPr>
          <w:jc w:val="center"/>
        </w:trPr>
        <w:tc>
          <w:tcPr>
            <w:tcW w:w="4608" w:type="dxa"/>
          </w:tcPr>
          <w:p w14:paraId="79F321D3" w14:textId="77777777" w:rsidR="004E0C7A" w:rsidRDefault="004E0C7A" w:rsidP="00051F50">
            <w:pPr>
              <w:spacing w:after="0"/>
            </w:pPr>
            <w:r>
              <w:t>Has insurance</w:t>
            </w:r>
          </w:p>
        </w:tc>
        <w:tc>
          <w:tcPr>
            <w:tcW w:w="1440" w:type="dxa"/>
          </w:tcPr>
          <w:p w14:paraId="7F659A0E" w14:textId="77777777" w:rsidR="004E0C7A" w:rsidRDefault="004E0C7A" w:rsidP="00051F50">
            <w:pPr>
              <w:spacing w:after="0"/>
            </w:pPr>
            <w:r>
              <w:t>56%</w:t>
            </w:r>
          </w:p>
        </w:tc>
      </w:tr>
    </w:tbl>
    <w:p w14:paraId="5AE98A49" w14:textId="77777777" w:rsidR="004E0C7A" w:rsidRPr="004E0C7A" w:rsidRDefault="004E0C7A" w:rsidP="009B551E">
      <w:pPr>
        <w:rPr>
          <w:sz w:val="4"/>
        </w:rPr>
      </w:pPr>
    </w:p>
    <w:p w14:paraId="05028FCB" w14:textId="3D4D2F66" w:rsidR="001501C1" w:rsidRDefault="009B551E" w:rsidP="009B551E">
      <w:r>
        <w:t>A brief survey was administered</w:t>
      </w:r>
      <w:r w:rsidR="001501C1">
        <w:t xml:space="preserve"> in April and May 2020 to get a snapshot of how young people were faring</w:t>
      </w:r>
      <w:r w:rsidR="000C12E2">
        <w:t xml:space="preserve"> at the outset of the pandemic</w:t>
      </w:r>
      <w:r w:rsidR="001501C1">
        <w:t xml:space="preserve">. </w:t>
      </w:r>
      <w:r w:rsidR="00115F7C">
        <w:t>Encouragingly, m</w:t>
      </w:r>
      <w:r w:rsidR="001501C1">
        <w:t>ost of the YYA reported that they were socially distancing (78%)</w:t>
      </w:r>
      <w:r w:rsidR="00115F7C">
        <w:t xml:space="preserve"> at that time</w:t>
      </w:r>
      <w:r w:rsidR="001501C1">
        <w:t>. Several important insights can be gleaned from this survey of roughly 90 young people:</w:t>
      </w:r>
    </w:p>
    <w:p w14:paraId="1F18C0C8" w14:textId="37AED5B7" w:rsidR="001501C1" w:rsidRDefault="001501C1" w:rsidP="001501C1">
      <w:pPr>
        <w:pStyle w:val="ListParagraph"/>
        <w:numPr>
          <w:ilvl w:val="0"/>
          <w:numId w:val="12"/>
        </w:numPr>
      </w:pPr>
      <w:r>
        <w:t>87% were experiencing homelessness and 23 who were not homeless were worried about their ability to pay rent</w:t>
      </w:r>
      <w:r w:rsidR="0017523B">
        <w:t>.</w:t>
      </w:r>
    </w:p>
    <w:p w14:paraId="76EE36C1" w14:textId="494995F0" w:rsidR="001501C1" w:rsidRDefault="001501C1" w:rsidP="001501C1">
      <w:pPr>
        <w:pStyle w:val="ListParagraph"/>
        <w:numPr>
          <w:ilvl w:val="0"/>
          <w:numId w:val="12"/>
        </w:numPr>
      </w:pPr>
      <w:r>
        <w:t>50% had no income source and were struggling to find employment</w:t>
      </w:r>
      <w:r w:rsidR="0017523B">
        <w:t>.</w:t>
      </w:r>
    </w:p>
    <w:p w14:paraId="2F9B8775" w14:textId="2709E477" w:rsidR="001501C1" w:rsidRDefault="00B653CA" w:rsidP="001501C1">
      <w:pPr>
        <w:pStyle w:val="ListParagraph"/>
        <w:numPr>
          <w:ilvl w:val="0"/>
          <w:numId w:val="12"/>
        </w:numPr>
      </w:pPr>
      <w:r>
        <w:t>Supports most desired but least able to access included: rental assistance, public benefits, unemployment benefits, utility assistance, phone assistance, food assistance, laundry, free online classes, and transportation</w:t>
      </w:r>
      <w:r w:rsidR="0017523B">
        <w:t>.</w:t>
      </w:r>
    </w:p>
    <w:p w14:paraId="50224F2F" w14:textId="67CA5003" w:rsidR="00B653CA" w:rsidRDefault="00B653CA" w:rsidP="004E0C7A">
      <w:pPr>
        <w:pStyle w:val="ListParagraph"/>
        <w:numPr>
          <w:ilvl w:val="1"/>
          <w:numId w:val="12"/>
        </w:numPr>
      </w:pPr>
      <w:r>
        <w:t>The biggest barrier</w:t>
      </w:r>
      <w:r w:rsidR="0017523B">
        <w:t xml:space="preserve">s the respondents reported were: </w:t>
      </w:r>
      <w:r>
        <w:t>not knowing who to ask, no in-person meetings, transportation, staff not being available, and limited program hours</w:t>
      </w:r>
      <w:r w:rsidR="0017523B">
        <w:t>.</w:t>
      </w:r>
    </w:p>
    <w:p w14:paraId="613D9F22" w14:textId="27C27EC9" w:rsidR="004E0C7A" w:rsidRPr="004E0C7A" w:rsidRDefault="001501C1" w:rsidP="004E0C7A">
      <w:pPr>
        <w:pStyle w:val="ListParagraph"/>
        <w:numPr>
          <w:ilvl w:val="0"/>
          <w:numId w:val="12"/>
        </w:numPr>
        <w:spacing w:after="0"/>
        <w:rPr>
          <w:rStyle w:val="Heading1Char"/>
          <w:color w:val="auto"/>
        </w:rPr>
      </w:pPr>
      <w:r>
        <w:t>Their top reported concerns during COVID-19 were getting sick, employment, their ability to cope mentally, the health of family and friends,</w:t>
      </w:r>
      <w:r w:rsidR="004904B2">
        <w:t xml:space="preserve"> and</w:t>
      </w:r>
      <w:r>
        <w:t xml:space="preserve"> food access</w:t>
      </w:r>
      <w:r w:rsidR="00C071AE">
        <w:t>.</w:t>
      </w:r>
      <w:r w:rsidR="004E0C7A" w:rsidRPr="004E0C7A">
        <w:rPr>
          <w:rStyle w:val="Heading1Char"/>
          <w:color w:val="auto"/>
        </w:rPr>
        <w:br w:type="page"/>
      </w:r>
    </w:p>
    <w:p w14:paraId="5440952F" w14:textId="74034B49" w:rsidR="003319B8" w:rsidRPr="002B7BFD" w:rsidRDefault="009B551E" w:rsidP="002B7BFD">
      <w:pPr>
        <w:spacing w:line="276" w:lineRule="auto"/>
        <w:rPr>
          <w:rFonts w:asciiTheme="majorHAnsi" w:eastAsiaTheme="majorEastAsia" w:hAnsiTheme="majorHAnsi" w:cstheme="majorBidi"/>
          <w:b/>
          <w:bCs/>
          <w:sz w:val="28"/>
          <w:szCs w:val="28"/>
        </w:rPr>
      </w:pPr>
      <w:bookmarkStart w:id="2" w:name="_Toc64523597"/>
      <w:r w:rsidRPr="006C79C5">
        <w:rPr>
          <w:rStyle w:val="Heading1Char"/>
          <w:color w:val="auto"/>
        </w:rPr>
        <w:lastRenderedPageBreak/>
        <w:t>Efforts to e</w:t>
      </w:r>
      <w:r w:rsidR="00512545" w:rsidRPr="006C79C5">
        <w:rPr>
          <w:rStyle w:val="Heading1Char"/>
          <w:color w:val="auto"/>
        </w:rPr>
        <w:t xml:space="preserve">xpand the current spectrum of accountable and evidence-informed </w:t>
      </w:r>
      <w:r w:rsidR="004F544B" w:rsidRPr="006C79C5">
        <w:rPr>
          <w:rStyle w:val="Heading1Char"/>
          <w:color w:val="auto"/>
        </w:rPr>
        <w:t>models of housing and services</w:t>
      </w:r>
      <w:r w:rsidR="00115F7C" w:rsidRPr="006C79C5">
        <w:rPr>
          <w:rStyle w:val="Heading1Char"/>
          <w:color w:val="auto"/>
        </w:rPr>
        <w:t xml:space="preserve">: </w:t>
      </w:r>
      <w:r w:rsidR="00115F7C" w:rsidRPr="006C79C5">
        <w:rPr>
          <w:rStyle w:val="Heading1Char"/>
          <w:color w:val="auto"/>
          <w:u w:val="single"/>
        </w:rPr>
        <w:t>A Focus on Flexible Funding</w:t>
      </w:r>
      <w:bookmarkEnd w:id="2"/>
      <w:r w:rsidR="003319B8">
        <w:rPr>
          <w:rStyle w:val="Heading1Char"/>
          <w:color w:val="auto"/>
          <w:u w:val="single"/>
        </w:rPr>
        <w:t xml:space="preserve"> </w:t>
      </w:r>
    </w:p>
    <w:tbl>
      <w:tblPr>
        <w:tblpPr w:leftFromText="144" w:rightFromText="144" w:vertAnchor="text" w:horzAnchor="margin" w:tblpXSpec="right" w:tblpY="335"/>
        <w:tblW w:w="4518" w:type="dxa"/>
        <w:tblLook w:val="04A0" w:firstRow="1" w:lastRow="0" w:firstColumn="1" w:lastColumn="0" w:noHBand="0" w:noVBand="1"/>
      </w:tblPr>
      <w:tblGrid>
        <w:gridCol w:w="3528"/>
        <w:gridCol w:w="990"/>
      </w:tblGrid>
      <w:tr w:rsidR="004E0C7A" w:rsidRPr="00CF5A5F" w14:paraId="6633FFC5" w14:textId="77777777" w:rsidTr="002B7BFD">
        <w:trPr>
          <w:trHeight w:val="555"/>
        </w:trPr>
        <w:tc>
          <w:tcPr>
            <w:tcW w:w="3528" w:type="dxa"/>
            <w:tcBorders>
              <w:top w:val="single" w:sz="8" w:space="0" w:color="000000"/>
              <w:left w:val="single" w:sz="4" w:space="0" w:color="000000"/>
              <w:bottom w:val="single" w:sz="4" w:space="0" w:color="000000"/>
              <w:right w:val="nil"/>
            </w:tcBorders>
            <w:shd w:val="clear" w:color="auto" w:fill="auto"/>
          </w:tcPr>
          <w:p w14:paraId="15AD5377" w14:textId="4F1CB60F" w:rsidR="004E0C7A" w:rsidRPr="00CF5A5F" w:rsidRDefault="004E0C7A" w:rsidP="004E0C7A">
            <w:pPr>
              <w:spacing w:after="0" w:line="240" w:lineRule="auto"/>
              <w:rPr>
                <w:rFonts w:ascii="Calibri" w:eastAsia="Times New Roman" w:hAnsi="Calibri" w:cs="Calibri"/>
                <w:b/>
                <w:color w:val="000000"/>
              </w:rPr>
            </w:pPr>
            <w:r>
              <w:rPr>
                <w:rFonts w:ascii="Calibri" w:eastAsia="Times New Roman" w:hAnsi="Calibri" w:cs="Calibri"/>
                <w:b/>
                <w:color w:val="000000"/>
              </w:rPr>
              <w:t>Table 2:  Flex Fund Usage</w:t>
            </w:r>
            <w:r w:rsidR="00F9530A">
              <w:rPr>
                <w:rFonts w:ascii="Calibri" w:eastAsia="Times New Roman" w:hAnsi="Calibri" w:cs="Calibri"/>
                <w:b/>
                <w:color w:val="000000"/>
              </w:rPr>
              <w:t xml:space="preserve"> (numbers indicate % of YYA served)</w:t>
            </w:r>
          </w:p>
        </w:tc>
        <w:tc>
          <w:tcPr>
            <w:tcW w:w="990" w:type="dxa"/>
            <w:tcBorders>
              <w:top w:val="single" w:sz="8" w:space="0" w:color="000000"/>
              <w:left w:val="nil"/>
              <w:bottom w:val="single" w:sz="4" w:space="0" w:color="000000"/>
              <w:right w:val="single" w:sz="8" w:space="0" w:color="000000"/>
            </w:tcBorders>
            <w:shd w:val="clear" w:color="C9DAF8" w:fill="C9DAF8"/>
          </w:tcPr>
          <w:p w14:paraId="3567B268" w14:textId="77777777" w:rsidR="004E0C7A" w:rsidRPr="00CF5A5F" w:rsidRDefault="004E0C7A" w:rsidP="004E0C7A">
            <w:pPr>
              <w:spacing w:after="0" w:line="240" w:lineRule="auto"/>
              <w:jc w:val="right"/>
              <w:rPr>
                <w:rFonts w:ascii="Calibri" w:eastAsia="Times New Roman" w:hAnsi="Calibri" w:cs="Calibri"/>
                <w:b/>
                <w:color w:val="000000"/>
              </w:rPr>
            </w:pPr>
            <w:r>
              <w:rPr>
                <w:rFonts w:ascii="Calibri" w:eastAsia="Times New Roman" w:hAnsi="Calibri" w:cs="Calibri"/>
                <w:b/>
                <w:color w:val="000000"/>
              </w:rPr>
              <w:t xml:space="preserve">FY </w:t>
            </w:r>
            <w:r w:rsidRPr="00CF5A5F">
              <w:rPr>
                <w:rFonts w:ascii="Calibri" w:eastAsia="Times New Roman" w:hAnsi="Calibri" w:cs="Calibri"/>
                <w:b/>
                <w:color w:val="000000"/>
              </w:rPr>
              <w:t>2020</w:t>
            </w:r>
          </w:p>
        </w:tc>
      </w:tr>
      <w:tr w:rsidR="004E0C7A" w:rsidRPr="00CF5A5F" w14:paraId="296ADDC1" w14:textId="77777777" w:rsidTr="002B7BFD">
        <w:trPr>
          <w:trHeight w:val="295"/>
        </w:trPr>
        <w:tc>
          <w:tcPr>
            <w:tcW w:w="3528" w:type="dxa"/>
            <w:tcBorders>
              <w:top w:val="single" w:sz="8" w:space="0" w:color="000000"/>
              <w:left w:val="single" w:sz="4" w:space="0" w:color="000000"/>
              <w:bottom w:val="single" w:sz="4" w:space="0" w:color="000000"/>
              <w:right w:val="nil"/>
            </w:tcBorders>
            <w:shd w:val="clear" w:color="auto" w:fill="auto"/>
            <w:hideMark/>
          </w:tcPr>
          <w:p w14:paraId="73E8070C" w14:textId="60EC76C8" w:rsidR="004E0C7A" w:rsidRPr="00CF5A5F" w:rsidRDefault="004E0C7A" w:rsidP="004E0C7A">
            <w:pPr>
              <w:spacing w:after="0" w:line="240" w:lineRule="auto"/>
              <w:rPr>
                <w:rFonts w:ascii="Calibri" w:eastAsia="Times New Roman" w:hAnsi="Calibri" w:cs="Calibri"/>
                <w:b/>
                <w:color w:val="000000"/>
              </w:rPr>
            </w:pPr>
            <w:r w:rsidRPr="00CF5A5F">
              <w:rPr>
                <w:rFonts w:ascii="Calibri" w:eastAsia="Times New Roman" w:hAnsi="Calibri" w:cs="Calibri"/>
                <w:b/>
                <w:color w:val="000000"/>
              </w:rPr>
              <w:t xml:space="preserve">Total </w:t>
            </w:r>
            <w:r>
              <w:rPr>
                <w:rFonts w:ascii="Calibri" w:eastAsia="Times New Roman" w:hAnsi="Calibri" w:cs="Calibri"/>
                <w:b/>
                <w:color w:val="000000"/>
              </w:rPr>
              <w:t xml:space="preserve">YYA </w:t>
            </w:r>
            <w:r w:rsidRPr="00CF5A5F">
              <w:rPr>
                <w:rFonts w:ascii="Calibri" w:eastAsia="Times New Roman" w:hAnsi="Calibri" w:cs="Calibri"/>
                <w:b/>
                <w:color w:val="000000"/>
              </w:rPr>
              <w:t>receiving flex funds</w:t>
            </w:r>
          </w:p>
        </w:tc>
        <w:tc>
          <w:tcPr>
            <w:tcW w:w="990" w:type="dxa"/>
            <w:tcBorders>
              <w:top w:val="single" w:sz="8" w:space="0" w:color="000000"/>
              <w:left w:val="nil"/>
              <w:bottom w:val="single" w:sz="4" w:space="0" w:color="000000"/>
              <w:right w:val="single" w:sz="8" w:space="0" w:color="000000"/>
            </w:tcBorders>
            <w:shd w:val="clear" w:color="C9DAF8" w:fill="C9DAF8"/>
          </w:tcPr>
          <w:p w14:paraId="27635970" w14:textId="7DD069FD" w:rsidR="004E0C7A" w:rsidRPr="00CF5A5F" w:rsidRDefault="004E0C7A" w:rsidP="004E0C7A">
            <w:pPr>
              <w:spacing w:after="0" w:line="240" w:lineRule="auto"/>
              <w:jc w:val="right"/>
              <w:rPr>
                <w:rFonts w:ascii="Calibri" w:eastAsia="Times New Roman" w:hAnsi="Calibri" w:cs="Calibri"/>
                <w:b/>
                <w:color w:val="000000"/>
              </w:rPr>
            </w:pPr>
            <w:r>
              <w:rPr>
                <w:rFonts w:ascii="Calibri" w:hAnsi="Calibri" w:cs="Calibri"/>
                <w:b/>
                <w:color w:val="000000"/>
              </w:rPr>
              <w:t>741</w:t>
            </w:r>
            <w:r w:rsidRPr="00CF5A5F">
              <w:rPr>
                <w:rFonts w:ascii="Calibri" w:hAnsi="Calibri" w:cs="Calibri"/>
                <w:b/>
                <w:color w:val="000000"/>
              </w:rPr>
              <w:t xml:space="preserve"> </w:t>
            </w:r>
          </w:p>
        </w:tc>
      </w:tr>
      <w:tr w:rsidR="004E0C7A" w:rsidRPr="00CF5A5F" w14:paraId="205EC37D" w14:textId="77777777" w:rsidTr="002B7BFD">
        <w:trPr>
          <w:trHeight w:val="270"/>
        </w:trPr>
        <w:tc>
          <w:tcPr>
            <w:tcW w:w="3528" w:type="dxa"/>
            <w:tcBorders>
              <w:top w:val="nil"/>
              <w:left w:val="single" w:sz="4" w:space="0" w:color="000000"/>
              <w:bottom w:val="single" w:sz="4" w:space="0" w:color="000000"/>
              <w:right w:val="nil"/>
            </w:tcBorders>
            <w:shd w:val="clear" w:color="auto" w:fill="auto"/>
            <w:hideMark/>
          </w:tcPr>
          <w:p w14:paraId="03C9F435" w14:textId="77777777" w:rsidR="004E0C7A" w:rsidRPr="00CF5A5F" w:rsidRDefault="004E0C7A" w:rsidP="004E0C7A">
            <w:pPr>
              <w:spacing w:after="0" w:line="240" w:lineRule="auto"/>
              <w:rPr>
                <w:rFonts w:ascii="Calibri" w:eastAsia="Times New Roman" w:hAnsi="Calibri" w:cs="Calibri"/>
                <w:b/>
                <w:color w:val="000000"/>
              </w:rPr>
            </w:pPr>
            <w:r w:rsidRPr="00CF5A5F">
              <w:rPr>
                <w:rFonts w:ascii="Calibri" w:eastAsia="Times New Roman" w:hAnsi="Calibri" w:cs="Calibri"/>
                <w:b/>
                <w:bCs/>
                <w:color w:val="000000"/>
              </w:rPr>
              <w:t>Transportation</w:t>
            </w:r>
          </w:p>
        </w:tc>
        <w:tc>
          <w:tcPr>
            <w:tcW w:w="990" w:type="dxa"/>
            <w:tcBorders>
              <w:top w:val="single" w:sz="8" w:space="0" w:color="000000"/>
              <w:left w:val="nil"/>
              <w:bottom w:val="single" w:sz="4" w:space="0" w:color="000000"/>
              <w:right w:val="single" w:sz="8" w:space="0" w:color="000000"/>
            </w:tcBorders>
            <w:shd w:val="clear" w:color="C9DAF8" w:fill="C9DAF8"/>
            <w:vAlign w:val="bottom"/>
          </w:tcPr>
          <w:p w14:paraId="75AA467B" w14:textId="77777777" w:rsidR="004E0C7A" w:rsidRPr="00CF5A5F" w:rsidRDefault="004E0C7A" w:rsidP="004E0C7A">
            <w:pPr>
              <w:spacing w:after="0" w:line="240" w:lineRule="auto"/>
              <w:jc w:val="right"/>
              <w:rPr>
                <w:rFonts w:ascii="Calibri" w:eastAsia="Times New Roman" w:hAnsi="Calibri" w:cs="Calibri"/>
                <w:b/>
                <w:color w:val="000000"/>
              </w:rPr>
            </w:pPr>
            <w:r w:rsidRPr="00CF5A5F">
              <w:rPr>
                <w:rFonts w:ascii="Calibri" w:hAnsi="Calibri" w:cs="Calibri"/>
                <w:b/>
                <w:color w:val="000000"/>
              </w:rPr>
              <w:t>54%</w:t>
            </w:r>
          </w:p>
        </w:tc>
      </w:tr>
      <w:tr w:rsidR="004E0C7A" w:rsidRPr="00CF5A5F" w14:paraId="69A3AF72" w14:textId="77777777" w:rsidTr="002B7BFD">
        <w:trPr>
          <w:trHeight w:val="145"/>
        </w:trPr>
        <w:tc>
          <w:tcPr>
            <w:tcW w:w="3528" w:type="dxa"/>
            <w:tcBorders>
              <w:top w:val="nil"/>
              <w:left w:val="single" w:sz="4" w:space="0" w:color="000000"/>
              <w:bottom w:val="single" w:sz="4" w:space="0" w:color="000000"/>
              <w:right w:val="nil"/>
            </w:tcBorders>
            <w:shd w:val="clear" w:color="auto" w:fill="auto"/>
            <w:hideMark/>
          </w:tcPr>
          <w:p w14:paraId="6E7E4DFA" w14:textId="77777777" w:rsidR="004E0C7A" w:rsidRPr="00CF5A5F" w:rsidRDefault="004E0C7A" w:rsidP="004E0C7A">
            <w:pPr>
              <w:spacing w:after="0" w:line="240" w:lineRule="auto"/>
              <w:rPr>
                <w:rFonts w:ascii="Calibri" w:eastAsia="Times New Roman" w:hAnsi="Calibri" w:cs="Calibri"/>
                <w:b/>
                <w:color w:val="000000"/>
              </w:rPr>
            </w:pPr>
            <w:r w:rsidRPr="00CF5A5F">
              <w:rPr>
                <w:rFonts w:ascii="Calibri" w:eastAsia="Times New Roman" w:hAnsi="Calibri" w:cs="Calibri"/>
                <w:b/>
                <w:bCs/>
                <w:color w:val="000000"/>
              </w:rPr>
              <w:t>Food/groceries</w:t>
            </w:r>
          </w:p>
        </w:tc>
        <w:tc>
          <w:tcPr>
            <w:tcW w:w="990" w:type="dxa"/>
            <w:tcBorders>
              <w:top w:val="single" w:sz="8" w:space="0" w:color="000000"/>
              <w:left w:val="nil"/>
              <w:bottom w:val="single" w:sz="4" w:space="0" w:color="000000"/>
              <w:right w:val="single" w:sz="8" w:space="0" w:color="000000"/>
            </w:tcBorders>
            <w:shd w:val="clear" w:color="C9DAF8" w:fill="C9DAF8"/>
            <w:vAlign w:val="bottom"/>
          </w:tcPr>
          <w:p w14:paraId="7E82592A" w14:textId="77777777" w:rsidR="004E0C7A" w:rsidRPr="00CF5A5F" w:rsidRDefault="004E0C7A" w:rsidP="004E0C7A">
            <w:pPr>
              <w:spacing w:after="0" w:line="240" w:lineRule="auto"/>
              <w:jc w:val="right"/>
              <w:rPr>
                <w:rFonts w:ascii="Calibri" w:eastAsia="Times New Roman" w:hAnsi="Calibri" w:cs="Calibri"/>
                <w:b/>
                <w:color w:val="000000"/>
              </w:rPr>
            </w:pPr>
            <w:r w:rsidRPr="00CF5A5F">
              <w:rPr>
                <w:rFonts w:ascii="Calibri" w:hAnsi="Calibri" w:cs="Calibri"/>
                <w:b/>
                <w:color w:val="000000"/>
              </w:rPr>
              <w:t>45%</w:t>
            </w:r>
          </w:p>
        </w:tc>
      </w:tr>
      <w:tr w:rsidR="004E0C7A" w:rsidRPr="00CF5A5F" w14:paraId="06E2A05A" w14:textId="77777777" w:rsidTr="002B7BFD">
        <w:trPr>
          <w:trHeight w:val="270"/>
        </w:trPr>
        <w:tc>
          <w:tcPr>
            <w:tcW w:w="3528" w:type="dxa"/>
            <w:tcBorders>
              <w:top w:val="nil"/>
              <w:left w:val="single" w:sz="4" w:space="0" w:color="000000"/>
              <w:bottom w:val="single" w:sz="4" w:space="0" w:color="000000"/>
              <w:right w:val="nil"/>
            </w:tcBorders>
            <w:shd w:val="clear" w:color="auto" w:fill="auto"/>
            <w:hideMark/>
          </w:tcPr>
          <w:p w14:paraId="478E86C0" w14:textId="77777777" w:rsidR="004E0C7A" w:rsidRPr="00CF5A5F" w:rsidRDefault="004E0C7A" w:rsidP="004E0C7A">
            <w:pPr>
              <w:spacing w:after="0" w:line="240" w:lineRule="auto"/>
              <w:rPr>
                <w:rFonts w:ascii="Calibri" w:eastAsia="Times New Roman" w:hAnsi="Calibri" w:cs="Calibri"/>
                <w:b/>
                <w:color w:val="000000"/>
              </w:rPr>
            </w:pPr>
            <w:r w:rsidRPr="00CF5A5F">
              <w:rPr>
                <w:rFonts w:ascii="Calibri" w:eastAsia="Times New Roman" w:hAnsi="Calibri" w:cs="Calibri"/>
                <w:b/>
                <w:bCs/>
                <w:color w:val="000000"/>
              </w:rPr>
              <w:t xml:space="preserve">Move-in </w:t>
            </w:r>
            <w:r w:rsidRPr="00CF5A5F">
              <w:rPr>
                <w:rFonts w:ascii="Calibri" w:eastAsia="Times New Roman" w:hAnsi="Calibri" w:cs="Calibri"/>
                <w:b/>
                <w:color w:val="000000"/>
              </w:rPr>
              <w:t>costs</w:t>
            </w:r>
          </w:p>
        </w:tc>
        <w:tc>
          <w:tcPr>
            <w:tcW w:w="990" w:type="dxa"/>
            <w:tcBorders>
              <w:top w:val="single" w:sz="8" w:space="0" w:color="000000"/>
              <w:left w:val="nil"/>
              <w:bottom w:val="single" w:sz="4" w:space="0" w:color="000000"/>
              <w:right w:val="single" w:sz="8" w:space="0" w:color="000000"/>
            </w:tcBorders>
            <w:shd w:val="clear" w:color="C9DAF8" w:fill="C9DAF8"/>
            <w:vAlign w:val="bottom"/>
          </w:tcPr>
          <w:p w14:paraId="41D44187" w14:textId="77777777" w:rsidR="004E0C7A" w:rsidRPr="00CF5A5F" w:rsidRDefault="004E0C7A" w:rsidP="004E0C7A">
            <w:pPr>
              <w:spacing w:after="0" w:line="240" w:lineRule="auto"/>
              <w:jc w:val="right"/>
              <w:rPr>
                <w:rFonts w:ascii="Calibri" w:eastAsia="Times New Roman" w:hAnsi="Calibri" w:cs="Calibri"/>
                <w:b/>
                <w:color w:val="000000"/>
              </w:rPr>
            </w:pPr>
            <w:r w:rsidRPr="00CF5A5F">
              <w:rPr>
                <w:rFonts w:ascii="Calibri" w:hAnsi="Calibri" w:cs="Calibri"/>
                <w:b/>
                <w:color w:val="000000"/>
              </w:rPr>
              <w:t>28%</w:t>
            </w:r>
          </w:p>
        </w:tc>
      </w:tr>
      <w:tr w:rsidR="004E0C7A" w:rsidRPr="00CF5A5F" w14:paraId="4517F591" w14:textId="77777777" w:rsidTr="002B7BFD">
        <w:trPr>
          <w:trHeight w:val="270"/>
        </w:trPr>
        <w:tc>
          <w:tcPr>
            <w:tcW w:w="3528" w:type="dxa"/>
            <w:tcBorders>
              <w:top w:val="nil"/>
              <w:left w:val="single" w:sz="4" w:space="0" w:color="000000"/>
              <w:bottom w:val="single" w:sz="8" w:space="0" w:color="000000"/>
              <w:right w:val="nil"/>
            </w:tcBorders>
            <w:shd w:val="clear" w:color="auto" w:fill="auto"/>
            <w:hideMark/>
          </w:tcPr>
          <w:p w14:paraId="3F2E5B09" w14:textId="77777777" w:rsidR="004E0C7A" w:rsidRPr="00CF5A5F" w:rsidRDefault="004E0C7A" w:rsidP="004E0C7A">
            <w:pPr>
              <w:spacing w:after="0" w:line="240" w:lineRule="auto"/>
              <w:rPr>
                <w:rFonts w:ascii="Calibri" w:eastAsia="Times New Roman" w:hAnsi="Calibri" w:cs="Calibri"/>
                <w:b/>
                <w:color w:val="000000"/>
              </w:rPr>
            </w:pPr>
            <w:r w:rsidRPr="00CF5A5F">
              <w:rPr>
                <w:rFonts w:ascii="Calibri" w:eastAsia="Times New Roman" w:hAnsi="Calibri" w:cs="Calibri"/>
                <w:b/>
                <w:bCs/>
                <w:color w:val="000000"/>
              </w:rPr>
              <w:t>Other</w:t>
            </w:r>
            <w:r w:rsidRPr="00CF5A5F">
              <w:rPr>
                <w:rFonts w:ascii="Calibri" w:eastAsia="Times New Roman" w:hAnsi="Calibri" w:cs="Calibri"/>
                <w:b/>
                <w:color w:val="000000"/>
              </w:rPr>
              <w:t xml:space="preserve"> </w:t>
            </w:r>
          </w:p>
        </w:tc>
        <w:tc>
          <w:tcPr>
            <w:tcW w:w="990" w:type="dxa"/>
            <w:tcBorders>
              <w:top w:val="single" w:sz="8" w:space="0" w:color="000000"/>
              <w:left w:val="nil"/>
              <w:bottom w:val="single" w:sz="4" w:space="0" w:color="000000"/>
              <w:right w:val="single" w:sz="8" w:space="0" w:color="000000"/>
            </w:tcBorders>
            <w:shd w:val="clear" w:color="C9DAF8" w:fill="C9DAF8"/>
            <w:vAlign w:val="bottom"/>
          </w:tcPr>
          <w:p w14:paraId="706746E7" w14:textId="77777777" w:rsidR="004E0C7A" w:rsidRPr="00CF5A5F" w:rsidRDefault="004E0C7A" w:rsidP="004E0C7A">
            <w:pPr>
              <w:spacing w:after="0" w:line="240" w:lineRule="auto"/>
              <w:jc w:val="right"/>
              <w:rPr>
                <w:rFonts w:ascii="Calibri" w:eastAsia="Times New Roman" w:hAnsi="Calibri" w:cs="Calibri"/>
                <w:b/>
                <w:color w:val="000000"/>
              </w:rPr>
            </w:pPr>
            <w:r w:rsidRPr="00CF5A5F">
              <w:rPr>
                <w:rFonts w:ascii="Calibri" w:hAnsi="Calibri" w:cs="Calibri"/>
                <w:b/>
                <w:color w:val="000000"/>
              </w:rPr>
              <w:t>23%</w:t>
            </w:r>
          </w:p>
        </w:tc>
      </w:tr>
      <w:tr w:rsidR="004E0C7A" w:rsidRPr="00CF5A5F" w14:paraId="667D36F4" w14:textId="77777777" w:rsidTr="002B7BFD">
        <w:trPr>
          <w:trHeight w:val="270"/>
        </w:trPr>
        <w:tc>
          <w:tcPr>
            <w:tcW w:w="3528" w:type="dxa"/>
            <w:tcBorders>
              <w:top w:val="nil"/>
              <w:left w:val="single" w:sz="4" w:space="0" w:color="000000"/>
              <w:bottom w:val="single" w:sz="4" w:space="0" w:color="000000"/>
              <w:right w:val="nil"/>
            </w:tcBorders>
            <w:shd w:val="clear" w:color="auto" w:fill="auto"/>
            <w:hideMark/>
          </w:tcPr>
          <w:p w14:paraId="43349A03" w14:textId="77777777" w:rsidR="004E0C7A" w:rsidRPr="00CF5A5F" w:rsidRDefault="004E0C7A" w:rsidP="004E0C7A">
            <w:pPr>
              <w:spacing w:after="0" w:line="240" w:lineRule="auto"/>
              <w:rPr>
                <w:rFonts w:ascii="Calibri" w:eastAsia="Times New Roman" w:hAnsi="Calibri" w:cs="Calibri"/>
                <w:b/>
                <w:color w:val="000000"/>
              </w:rPr>
            </w:pPr>
            <w:r w:rsidRPr="00CF5A5F">
              <w:rPr>
                <w:rFonts w:ascii="Calibri" w:eastAsia="Times New Roman" w:hAnsi="Calibri" w:cs="Calibri"/>
                <w:b/>
                <w:bCs/>
                <w:color w:val="000000"/>
              </w:rPr>
              <w:t>Rent</w:t>
            </w:r>
          </w:p>
        </w:tc>
        <w:tc>
          <w:tcPr>
            <w:tcW w:w="990" w:type="dxa"/>
            <w:tcBorders>
              <w:top w:val="single" w:sz="8" w:space="0" w:color="000000"/>
              <w:left w:val="nil"/>
              <w:bottom w:val="single" w:sz="4" w:space="0" w:color="000000"/>
              <w:right w:val="single" w:sz="8" w:space="0" w:color="000000"/>
            </w:tcBorders>
            <w:shd w:val="clear" w:color="C9DAF8" w:fill="C9DAF8"/>
            <w:vAlign w:val="bottom"/>
          </w:tcPr>
          <w:p w14:paraId="540532DD" w14:textId="77777777" w:rsidR="004E0C7A" w:rsidRPr="00CF5A5F" w:rsidRDefault="004E0C7A" w:rsidP="004E0C7A">
            <w:pPr>
              <w:spacing w:after="0" w:line="240" w:lineRule="auto"/>
              <w:jc w:val="right"/>
              <w:rPr>
                <w:rFonts w:ascii="Calibri" w:eastAsia="Times New Roman" w:hAnsi="Calibri" w:cs="Calibri"/>
                <w:b/>
                <w:color w:val="000000"/>
              </w:rPr>
            </w:pPr>
            <w:r w:rsidRPr="00CF5A5F">
              <w:rPr>
                <w:rFonts w:ascii="Calibri" w:hAnsi="Calibri" w:cs="Calibri"/>
                <w:b/>
                <w:color w:val="000000"/>
              </w:rPr>
              <w:t>17%</w:t>
            </w:r>
          </w:p>
        </w:tc>
      </w:tr>
      <w:tr w:rsidR="004E0C7A" w:rsidRPr="00CF5A5F" w14:paraId="4E86FEAB" w14:textId="77777777" w:rsidTr="002B7BFD">
        <w:trPr>
          <w:trHeight w:val="270"/>
        </w:trPr>
        <w:tc>
          <w:tcPr>
            <w:tcW w:w="3528" w:type="dxa"/>
            <w:tcBorders>
              <w:top w:val="nil"/>
              <w:left w:val="single" w:sz="4" w:space="0" w:color="000000"/>
              <w:bottom w:val="single" w:sz="4" w:space="0" w:color="000000"/>
              <w:right w:val="nil"/>
            </w:tcBorders>
            <w:shd w:val="clear" w:color="auto" w:fill="auto"/>
            <w:hideMark/>
          </w:tcPr>
          <w:p w14:paraId="6CB21358" w14:textId="77777777" w:rsidR="004E0C7A" w:rsidRPr="00CF5A5F" w:rsidRDefault="004E0C7A" w:rsidP="004E0C7A">
            <w:pPr>
              <w:spacing w:after="0" w:line="240" w:lineRule="auto"/>
              <w:rPr>
                <w:rFonts w:ascii="Calibri" w:eastAsia="Times New Roman" w:hAnsi="Calibri" w:cs="Calibri"/>
                <w:b/>
                <w:color w:val="000000"/>
              </w:rPr>
            </w:pPr>
            <w:r w:rsidRPr="00CF5A5F">
              <w:rPr>
                <w:rFonts w:ascii="Calibri" w:eastAsia="Times New Roman" w:hAnsi="Calibri" w:cs="Calibri"/>
                <w:b/>
                <w:bCs/>
                <w:color w:val="000000"/>
              </w:rPr>
              <w:t>Work</w:t>
            </w:r>
            <w:r w:rsidRPr="00CF5A5F">
              <w:rPr>
                <w:rFonts w:ascii="Calibri" w:eastAsia="Times New Roman" w:hAnsi="Calibri" w:cs="Calibri"/>
                <w:b/>
                <w:color w:val="000000"/>
              </w:rPr>
              <w:t>-related costs</w:t>
            </w:r>
          </w:p>
        </w:tc>
        <w:tc>
          <w:tcPr>
            <w:tcW w:w="990" w:type="dxa"/>
            <w:tcBorders>
              <w:top w:val="single" w:sz="8" w:space="0" w:color="000000"/>
              <w:left w:val="nil"/>
              <w:bottom w:val="single" w:sz="4" w:space="0" w:color="000000"/>
              <w:right w:val="single" w:sz="8" w:space="0" w:color="000000"/>
            </w:tcBorders>
            <w:shd w:val="clear" w:color="C9DAF8" w:fill="C9DAF8"/>
            <w:vAlign w:val="bottom"/>
          </w:tcPr>
          <w:p w14:paraId="069CF59B" w14:textId="77777777" w:rsidR="004E0C7A" w:rsidRPr="00CF5A5F" w:rsidRDefault="004E0C7A" w:rsidP="004E0C7A">
            <w:pPr>
              <w:spacing w:after="0" w:line="240" w:lineRule="auto"/>
              <w:jc w:val="right"/>
              <w:rPr>
                <w:rFonts w:ascii="Calibri" w:eastAsia="Times New Roman" w:hAnsi="Calibri" w:cs="Calibri"/>
                <w:b/>
                <w:color w:val="000000"/>
              </w:rPr>
            </w:pPr>
            <w:r w:rsidRPr="00CF5A5F">
              <w:rPr>
                <w:rFonts w:ascii="Calibri" w:hAnsi="Calibri" w:cs="Calibri"/>
                <w:b/>
                <w:color w:val="000000"/>
              </w:rPr>
              <w:t>11%</w:t>
            </w:r>
          </w:p>
        </w:tc>
      </w:tr>
      <w:tr w:rsidR="004E0C7A" w:rsidRPr="00CF5A5F" w14:paraId="403A5883" w14:textId="77777777" w:rsidTr="002B7BFD">
        <w:trPr>
          <w:trHeight w:val="270"/>
        </w:trPr>
        <w:tc>
          <w:tcPr>
            <w:tcW w:w="3528" w:type="dxa"/>
            <w:tcBorders>
              <w:top w:val="nil"/>
              <w:left w:val="single" w:sz="4" w:space="0" w:color="000000"/>
              <w:bottom w:val="single" w:sz="4" w:space="0" w:color="000000"/>
              <w:right w:val="nil"/>
            </w:tcBorders>
            <w:shd w:val="clear" w:color="auto" w:fill="auto"/>
            <w:hideMark/>
          </w:tcPr>
          <w:p w14:paraId="2BE4CB47" w14:textId="77777777" w:rsidR="004E0C7A" w:rsidRPr="00CF5A5F" w:rsidRDefault="004E0C7A" w:rsidP="004E0C7A">
            <w:pPr>
              <w:spacing w:after="0" w:line="240" w:lineRule="auto"/>
              <w:rPr>
                <w:rFonts w:ascii="Calibri" w:eastAsia="Times New Roman" w:hAnsi="Calibri" w:cs="Calibri"/>
                <w:b/>
                <w:color w:val="000000"/>
              </w:rPr>
            </w:pPr>
            <w:r w:rsidRPr="00CF5A5F">
              <w:rPr>
                <w:rFonts w:ascii="Calibri" w:eastAsia="Times New Roman" w:hAnsi="Calibri" w:cs="Calibri"/>
                <w:b/>
                <w:bCs/>
                <w:color w:val="000000"/>
              </w:rPr>
              <w:t>Education</w:t>
            </w:r>
            <w:r w:rsidRPr="00CF5A5F">
              <w:rPr>
                <w:rFonts w:ascii="Calibri" w:eastAsia="Times New Roman" w:hAnsi="Calibri" w:cs="Calibri"/>
                <w:b/>
                <w:color w:val="000000"/>
              </w:rPr>
              <w:t>-related costs</w:t>
            </w:r>
          </w:p>
        </w:tc>
        <w:tc>
          <w:tcPr>
            <w:tcW w:w="990" w:type="dxa"/>
            <w:tcBorders>
              <w:top w:val="single" w:sz="8" w:space="0" w:color="000000"/>
              <w:left w:val="nil"/>
              <w:bottom w:val="single" w:sz="4" w:space="0" w:color="000000"/>
              <w:right w:val="single" w:sz="8" w:space="0" w:color="000000"/>
            </w:tcBorders>
            <w:shd w:val="clear" w:color="C9DAF8" w:fill="C9DAF8"/>
            <w:vAlign w:val="bottom"/>
          </w:tcPr>
          <w:p w14:paraId="03571E84" w14:textId="77777777" w:rsidR="004E0C7A" w:rsidRPr="00CF5A5F" w:rsidRDefault="004E0C7A" w:rsidP="004E0C7A">
            <w:pPr>
              <w:spacing w:after="0" w:line="240" w:lineRule="auto"/>
              <w:jc w:val="right"/>
              <w:rPr>
                <w:rFonts w:ascii="Calibri" w:eastAsia="Times New Roman" w:hAnsi="Calibri" w:cs="Calibri"/>
                <w:b/>
                <w:color w:val="000000"/>
              </w:rPr>
            </w:pPr>
            <w:r w:rsidRPr="00CF5A5F">
              <w:rPr>
                <w:rFonts w:ascii="Calibri" w:hAnsi="Calibri" w:cs="Calibri"/>
                <w:b/>
                <w:color w:val="000000"/>
              </w:rPr>
              <w:t>9%</w:t>
            </w:r>
          </w:p>
        </w:tc>
      </w:tr>
      <w:tr w:rsidR="004E0C7A" w:rsidRPr="00CF5A5F" w14:paraId="209FCA9F" w14:textId="77777777" w:rsidTr="002B7BFD">
        <w:trPr>
          <w:trHeight w:val="270"/>
        </w:trPr>
        <w:tc>
          <w:tcPr>
            <w:tcW w:w="3528" w:type="dxa"/>
            <w:tcBorders>
              <w:top w:val="nil"/>
              <w:left w:val="single" w:sz="4" w:space="0" w:color="000000"/>
              <w:bottom w:val="single" w:sz="4" w:space="0" w:color="000000"/>
              <w:right w:val="nil"/>
            </w:tcBorders>
            <w:shd w:val="clear" w:color="auto" w:fill="auto"/>
            <w:hideMark/>
          </w:tcPr>
          <w:p w14:paraId="19627A06" w14:textId="77777777" w:rsidR="004E0C7A" w:rsidRPr="00CF5A5F" w:rsidRDefault="004E0C7A" w:rsidP="004E0C7A">
            <w:pPr>
              <w:spacing w:after="0" w:line="240" w:lineRule="auto"/>
              <w:rPr>
                <w:rFonts w:ascii="Calibri" w:eastAsia="Times New Roman" w:hAnsi="Calibri" w:cs="Calibri"/>
                <w:b/>
                <w:color w:val="000000"/>
              </w:rPr>
            </w:pPr>
            <w:r w:rsidRPr="00CF5A5F">
              <w:rPr>
                <w:rFonts w:ascii="Calibri" w:eastAsia="Times New Roman" w:hAnsi="Calibri" w:cs="Calibri"/>
                <w:b/>
                <w:bCs/>
                <w:color w:val="000000"/>
              </w:rPr>
              <w:t>Rent arrears</w:t>
            </w:r>
          </w:p>
        </w:tc>
        <w:tc>
          <w:tcPr>
            <w:tcW w:w="990" w:type="dxa"/>
            <w:tcBorders>
              <w:top w:val="single" w:sz="8" w:space="0" w:color="000000"/>
              <w:left w:val="nil"/>
              <w:bottom w:val="single" w:sz="4" w:space="0" w:color="000000"/>
              <w:right w:val="single" w:sz="8" w:space="0" w:color="000000"/>
            </w:tcBorders>
            <w:shd w:val="clear" w:color="C9DAF8" w:fill="C9DAF8"/>
            <w:vAlign w:val="bottom"/>
          </w:tcPr>
          <w:p w14:paraId="71F00940" w14:textId="77777777" w:rsidR="004E0C7A" w:rsidRPr="00CF5A5F" w:rsidRDefault="004E0C7A" w:rsidP="004E0C7A">
            <w:pPr>
              <w:spacing w:after="0" w:line="240" w:lineRule="auto"/>
              <w:jc w:val="right"/>
              <w:rPr>
                <w:rFonts w:ascii="Calibri" w:eastAsia="Times New Roman" w:hAnsi="Calibri" w:cs="Calibri"/>
                <w:b/>
                <w:color w:val="000000"/>
              </w:rPr>
            </w:pPr>
            <w:r w:rsidRPr="00CF5A5F">
              <w:rPr>
                <w:rFonts w:ascii="Calibri" w:hAnsi="Calibri" w:cs="Calibri"/>
                <w:b/>
                <w:color w:val="000000"/>
              </w:rPr>
              <w:t>9%</w:t>
            </w:r>
          </w:p>
        </w:tc>
      </w:tr>
      <w:tr w:rsidR="004E0C7A" w:rsidRPr="00CF5A5F" w14:paraId="5E77037F" w14:textId="77777777" w:rsidTr="002B7BFD">
        <w:trPr>
          <w:trHeight w:val="270"/>
        </w:trPr>
        <w:tc>
          <w:tcPr>
            <w:tcW w:w="3528" w:type="dxa"/>
            <w:tcBorders>
              <w:top w:val="nil"/>
              <w:left w:val="single" w:sz="4" w:space="0" w:color="000000"/>
              <w:bottom w:val="single" w:sz="4" w:space="0" w:color="000000"/>
              <w:right w:val="nil"/>
            </w:tcBorders>
            <w:shd w:val="clear" w:color="auto" w:fill="auto"/>
            <w:hideMark/>
          </w:tcPr>
          <w:p w14:paraId="2D2CFEAB" w14:textId="77777777" w:rsidR="004E0C7A" w:rsidRPr="00CF5A5F" w:rsidRDefault="004E0C7A" w:rsidP="004E0C7A">
            <w:pPr>
              <w:spacing w:after="0" w:line="240" w:lineRule="auto"/>
              <w:rPr>
                <w:rFonts w:ascii="Calibri" w:eastAsia="Times New Roman" w:hAnsi="Calibri" w:cs="Calibri"/>
                <w:b/>
                <w:color w:val="000000"/>
              </w:rPr>
            </w:pPr>
            <w:r w:rsidRPr="00CF5A5F">
              <w:rPr>
                <w:rFonts w:ascii="Calibri" w:eastAsia="Times New Roman" w:hAnsi="Calibri" w:cs="Calibri"/>
                <w:b/>
                <w:bCs/>
                <w:color w:val="000000"/>
              </w:rPr>
              <w:t>Cell phone</w:t>
            </w:r>
            <w:r w:rsidRPr="00CF5A5F">
              <w:rPr>
                <w:rFonts w:ascii="Calibri" w:eastAsia="Times New Roman" w:hAnsi="Calibri" w:cs="Calibri"/>
                <w:b/>
                <w:color w:val="000000"/>
              </w:rPr>
              <w:t xml:space="preserve"> </w:t>
            </w:r>
          </w:p>
        </w:tc>
        <w:tc>
          <w:tcPr>
            <w:tcW w:w="990" w:type="dxa"/>
            <w:tcBorders>
              <w:top w:val="single" w:sz="8" w:space="0" w:color="000000"/>
              <w:left w:val="nil"/>
              <w:bottom w:val="single" w:sz="4" w:space="0" w:color="000000"/>
              <w:right w:val="single" w:sz="8" w:space="0" w:color="000000"/>
            </w:tcBorders>
            <w:shd w:val="clear" w:color="C9DAF8" w:fill="C9DAF8"/>
            <w:vAlign w:val="bottom"/>
          </w:tcPr>
          <w:p w14:paraId="3232B5D9" w14:textId="77777777" w:rsidR="004E0C7A" w:rsidRPr="00CF5A5F" w:rsidRDefault="004E0C7A" w:rsidP="004E0C7A">
            <w:pPr>
              <w:spacing w:after="0" w:line="240" w:lineRule="auto"/>
              <w:jc w:val="right"/>
              <w:rPr>
                <w:rFonts w:ascii="Calibri" w:eastAsia="Times New Roman" w:hAnsi="Calibri" w:cs="Calibri"/>
                <w:b/>
                <w:color w:val="000000"/>
              </w:rPr>
            </w:pPr>
            <w:r w:rsidRPr="00CF5A5F">
              <w:rPr>
                <w:rFonts w:ascii="Calibri" w:hAnsi="Calibri" w:cs="Calibri"/>
                <w:b/>
                <w:color w:val="000000"/>
              </w:rPr>
              <w:t>8%</w:t>
            </w:r>
          </w:p>
        </w:tc>
      </w:tr>
      <w:tr w:rsidR="004E0C7A" w:rsidRPr="00CF5A5F" w14:paraId="11ED6DB9" w14:textId="77777777" w:rsidTr="002B7BFD">
        <w:trPr>
          <w:trHeight w:val="270"/>
        </w:trPr>
        <w:tc>
          <w:tcPr>
            <w:tcW w:w="3528" w:type="dxa"/>
            <w:tcBorders>
              <w:top w:val="nil"/>
              <w:left w:val="single" w:sz="4" w:space="0" w:color="000000"/>
              <w:bottom w:val="single" w:sz="4" w:space="0" w:color="000000"/>
              <w:right w:val="nil"/>
            </w:tcBorders>
            <w:shd w:val="clear" w:color="auto" w:fill="auto"/>
            <w:hideMark/>
          </w:tcPr>
          <w:p w14:paraId="16CE0BC9" w14:textId="77777777" w:rsidR="004E0C7A" w:rsidRPr="00CF5A5F" w:rsidRDefault="004E0C7A" w:rsidP="004E0C7A">
            <w:pPr>
              <w:spacing w:after="0" w:line="240" w:lineRule="auto"/>
              <w:rPr>
                <w:rFonts w:ascii="Calibri" w:eastAsia="Times New Roman" w:hAnsi="Calibri" w:cs="Calibri"/>
                <w:b/>
                <w:color w:val="000000"/>
              </w:rPr>
            </w:pPr>
            <w:r w:rsidRPr="00CF5A5F">
              <w:rPr>
                <w:rFonts w:ascii="Calibri" w:eastAsia="Times New Roman" w:hAnsi="Calibri" w:cs="Calibri"/>
                <w:b/>
                <w:bCs/>
                <w:color w:val="000000"/>
              </w:rPr>
              <w:t>Utilities</w:t>
            </w:r>
          </w:p>
        </w:tc>
        <w:tc>
          <w:tcPr>
            <w:tcW w:w="990" w:type="dxa"/>
            <w:tcBorders>
              <w:top w:val="single" w:sz="8" w:space="0" w:color="000000"/>
              <w:left w:val="nil"/>
              <w:bottom w:val="single" w:sz="4" w:space="0" w:color="000000"/>
              <w:right w:val="single" w:sz="8" w:space="0" w:color="000000"/>
            </w:tcBorders>
            <w:shd w:val="clear" w:color="C9DAF8" w:fill="C9DAF8"/>
            <w:vAlign w:val="bottom"/>
          </w:tcPr>
          <w:p w14:paraId="79A6E007" w14:textId="77777777" w:rsidR="004E0C7A" w:rsidRPr="00CF5A5F" w:rsidRDefault="004E0C7A" w:rsidP="004E0C7A">
            <w:pPr>
              <w:spacing w:after="0" w:line="240" w:lineRule="auto"/>
              <w:jc w:val="right"/>
              <w:rPr>
                <w:rFonts w:ascii="Calibri" w:eastAsia="Times New Roman" w:hAnsi="Calibri" w:cs="Calibri"/>
                <w:b/>
                <w:color w:val="000000"/>
              </w:rPr>
            </w:pPr>
            <w:r w:rsidRPr="00CF5A5F">
              <w:rPr>
                <w:rFonts w:ascii="Calibri" w:hAnsi="Calibri" w:cs="Calibri"/>
                <w:b/>
                <w:color w:val="000000"/>
              </w:rPr>
              <w:t>5%</w:t>
            </w:r>
          </w:p>
        </w:tc>
      </w:tr>
      <w:tr w:rsidR="004E0C7A" w:rsidRPr="00CF5A5F" w14:paraId="6D12A5F7" w14:textId="77777777" w:rsidTr="002B7BFD">
        <w:trPr>
          <w:trHeight w:val="270"/>
        </w:trPr>
        <w:tc>
          <w:tcPr>
            <w:tcW w:w="3528" w:type="dxa"/>
            <w:tcBorders>
              <w:top w:val="nil"/>
              <w:left w:val="single" w:sz="4" w:space="0" w:color="000000"/>
              <w:bottom w:val="single" w:sz="4" w:space="0" w:color="000000"/>
              <w:right w:val="nil"/>
            </w:tcBorders>
            <w:shd w:val="clear" w:color="auto" w:fill="auto"/>
            <w:hideMark/>
          </w:tcPr>
          <w:p w14:paraId="5C970B60" w14:textId="77777777" w:rsidR="004E0C7A" w:rsidRPr="00CF5A5F" w:rsidRDefault="004E0C7A" w:rsidP="004E0C7A">
            <w:pPr>
              <w:spacing w:after="0" w:line="240" w:lineRule="auto"/>
              <w:rPr>
                <w:rFonts w:ascii="Calibri" w:eastAsia="Times New Roman" w:hAnsi="Calibri" w:cs="Calibri"/>
                <w:b/>
                <w:color w:val="000000"/>
              </w:rPr>
            </w:pPr>
            <w:r w:rsidRPr="00CF5A5F">
              <w:rPr>
                <w:rFonts w:ascii="Calibri" w:eastAsia="Times New Roman" w:hAnsi="Calibri" w:cs="Calibri"/>
                <w:b/>
                <w:bCs/>
                <w:color w:val="000000"/>
              </w:rPr>
              <w:t>Medical</w:t>
            </w:r>
          </w:p>
        </w:tc>
        <w:tc>
          <w:tcPr>
            <w:tcW w:w="990" w:type="dxa"/>
            <w:tcBorders>
              <w:top w:val="single" w:sz="8" w:space="0" w:color="000000"/>
              <w:left w:val="nil"/>
              <w:bottom w:val="single" w:sz="4" w:space="0" w:color="000000"/>
              <w:right w:val="single" w:sz="8" w:space="0" w:color="000000"/>
            </w:tcBorders>
            <w:shd w:val="clear" w:color="C9DAF8" w:fill="C9DAF8"/>
            <w:vAlign w:val="bottom"/>
          </w:tcPr>
          <w:p w14:paraId="299C526B" w14:textId="77777777" w:rsidR="004E0C7A" w:rsidRPr="00CF5A5F" w:rsidRDefault="004E0C7A" w:rsidP="004E0C7A">
            <w:pPr>
              <w:spacing w:after="0" w:line="240" w:lineRule="auto"/>
              <w:jc w:val="right"/>
              <w:rPr>
                <w:rFonts w:ascii="Calibri" w:eastAsia="Times New Roman" w:hAnsi="Calibri" w:cs="Calibri"/>
                <w:b/>
                <w:color w:val="000000"/>
              </w:rPr>
            </w:pPr>
            <w:r w:rsidRPr="00CF5A5F">
              <w:rPr>
                <w:rFonts w:ascii="Calibri" w:hAnsi="Calibri" w:cs="Calibri"/>
                <w:b/>
                <w:color w:val="000000"/>
              </w:rPr>
              <w:t>4%</w:t>
            </w:r>
          </w:p>
        </w:tc>
      </w:tr>
      <w:tr w:rsidR="004E0C7A" w:rsidRPr="00CF5A5F" w14:paraId="47A698FB" w14:textId="77777777" w:rsidTr="002B7BFD">
        <w:trPr>
          <w:trHeight w:val="270"/>
        </w:trPr>
        <w:tc>
          <w:tcPr>
            <w:tcW w:w="3528" w:type="dxa"/>
            <w:tcBorders>
              <w:top w:val="nil"/>
              <w:left w:val="single" w:sz="4" w:space="0" w:color="000000"/>
              <w:bottom w:val="single" w:sz="4" w:space="0" w:color="000000"/>
              <w:right w:val="nil"/>
            </w:tcBorders>
            <w:shd w:val="clear" w:color="auto" w:fill="auto"/>
            <w:hideMark/>
          </w:tcPr>
          <w:p w14:paraId="7F75DF6D" w14:textId="77777777" w:rsidR="004E0C7A" w:rsidRPr="00CF5A5F" w:rsidRDefault="004E0C7A" w:rsidP="004E0C7A">
            <w:pPr>
              <w:spacing w:after="0" w:line="240" w:lineRule="auto"/>
              <w:rPr>
                <w:rFonts w:ascii="Calibri" w:eastAsia="Times New Roman" w:hAnsi="Calibri" w:cs="Calibri"/>
                <w:b/>
                <w:color w:val="000000"/>
              </w:rPr>
            </w:pPr>
            <w:r w:rsidRPr="00CF5A5F">
              <w:rPr>
                <w:rFonts w:ascii="Calibri" w:eastAsia="Times New Roman" w:hAnsi="Calibri" w:cs="Calibri"/>
                <w:b/>
                <w:bCs/>
                <w:color w:val="000000"/>
              </w:rPr>
              <w:t>Legal</w:t>
            </w:r>
          </w:p>
        </w:tc>
        <w:tc>
          <w:tcPr>
            <w:tcW w:w="990" w:type="dxa"/>
            <w:tcBorders>
              <w:top w:val="single" w:sz="8" w:space="0" w:color="000000"/>
              <w:left w:val="nil"/>
              <w:bottom w:val="single" w:sz="4" w:space="0" w:color="000000"/>
              <w:right w:val="single" w:sz="8" w:space="0" w:color="000000"/>
            </w:tcBorders>
            <w:shd w:val="clear" w:color="C9DAF8" w:fill="C9DAF8"/>
            <w:vAlign w:val="bottom"/>
          </w:tcPr>
          <w:p w14:paraId="68094B9C" w14:textId="77777777" w:rsidR="004E0C7A" w:rsidRPr="00CF5A5F" w:rsidRDefault="004E0C7A" w:rsidP="004E0C7A">
            <w:pPr>
              <w:spacing w:after="0" w:line="240" w:lineRule="auto"/>
              <w:jc w:val="right"/>
              <w:rPr>
                <w:rFonts w:ascii="Calibri" w:eastAsia="Times New Roman" w:hAnsi="Calibri" w:cs="Calibri"/>
                <w:b/>
                <w:color w:val="000000"/>
              </w:rPr>
            </w:pPr>
            <w:r w:rsidRPr="00CF5A5F">
              <w:rPr>
                <w:rFonts w:ascii="Calibri" w:hAnsi="Calibri" w:cs="Calibri"/>
                <w:b/>
                <w:color w:val="000000"/>
              </w:rPr>
              <w:t>2%</w:t>
            </w:r>
          </w:p>
        </w:tc>
      </w:tr>
      <w:tr w:rsidR="004E0C7A" w:rsidRPr="00CF5A5F" w14:paraId="7F888851" w14:textId="77777777" w:rsidTr="002B7BFD">
        <w:trPr>
          <w:trHeight w:val="103"/>
        </w:trPr>
        <w:tc>
          <w:tcPr>
            <w:tcW w:w="3528" w:type="dxa"/>
            <w:tcBorders>
              <w:top w:val="nil"/>
              <w:left w:val="single" w:sz="4" w:space="0" w:color="000000"/>
              <w:bottom w:val="single" w:sz="4" w:space="0" w:color="000000"/>
              <w:right w:val="nil"/>
            </w:tcBorders>
            <w:shd w:val="clear" w:color="auto" w:fill="auto"/>
            <w:hideMark/>
          </w:tcPr>
          <w:p w14:paraId="5D47B1F1" w14:textId="77777777" w:rsidR="004E0C7A" w:rsidRPr="00CF5A5F" w:rsidRDefault="004E0C7A" w:rsidP="004E0C7A">
            <w:pPr>
              <w:spacing w:after="0" w:line="240" w:lineRule="auto"/>
              <w:rPr>
                <w:rFonts w:ascii="Calibri" w:eastAsia="Times New Roman" w:hAnsi="Calibri" w:cs="Calibri"/>
                <w:b/>
                <w:color w:val="000000"/>
              </w:rPr>
            </w:pPr>
            <w:r w:rsidRPr="00CF5A5F">
              <w:rPr>
                <w:rFonts w:ascii="Calibri" w:eastAsia="Times New Roman" w:hAnsi="Calibri" w:cs="Calibri"/>
                <w:b/>
                <w:bCs/>
                <w:color w:val="000000"/>
              </w:rPr>
              <w:t>Child care</w:t>
            </w:r>
          </w:p>
        </w:tc>
        <w:tc>
          <w:tcPr>
            <w:tcW w:w="990" w:type="dxa"/>
            <w:tcBorders>
              <w:top w:val="single" w:sz="8" w:space="0" w:color="000000"/>
              <w:left w:val="nil"/>
              <w:bottom w:val="single" w:sz="4" w:space="0" w:color="000000"/>
              <w:right w:val="single" w:sz="8" w:space="0" w:color="000000"/>
            </w:tcBorders>
            <w:shd w:val="clear" w:color="C9DAF8" w:fill="C9DAF8"/>
            <w:vAlign w:val="bottom"/>
          </w:tcPr>
          <w:p w14:paraId="228265CF" w14:textId="77777777" w:rsidR="004E0C7A" w:rsidRPr="00CF5A5F" w:rsidRDefault="004E0C7A" w:rsidP="004E0C7A">
            <w:pPr>
              <w:spacing w:after="0" w:line="240" w:lineRule="auto"/>
              <w:jc w:val="right"/>
              <w:rPr>
                <w:rFonts w:ascii="Calibri" w:eastAsia="Times New Roman" w:hAnsi="Calibri" w:cs="Calibri"/>
                <w:b/>
                <w:color w:val="000000"/>
              </w:rPr>
            </w:pPr>
            <w:r w:rsidRPr="00CF5A5F">
              <w:rPr>
                <w:rFonts w:ascii="Calibri" w:hAnsi="Calibri" w:cs="Calibri"/>
                <w:b/>
                <w:color w:val="000000"/>
              </w:rPr>
              <w:t>0%</w:t>
            </w:r>
          </w:p>
        </w:tc>
      </w:tr>
    </w:tbl>
    <w:p w14:paraId="20C82DF5" w14:textId="541EAD75" w:rsidR="008943B2" w:rsidRPr="008943B2" w:rsidRDefault="008943B2" w:rsidP="008943B2">
      <w:pPr>
        <w:spacing w:line="276" w:lineRule="auto"/>
        <w:rPr>
          <w:rFonts w:cstheme="minorHAnsi"/>
        </w:rPr>
      </w:pPr>
      <w:r w:rsidRPr="008943B2">
        <w:rPr>
          <w:rFonts w:cstheme="minorHAnsi"/>
        </w:rPr>
        <w:t xml:space="preserve">Acknowledging that young people often do not need large sums of money to increase their </w:t>
      </w:r>
      <w:r w:rsidR="004E0C7A">
        <w:rPr>
          <w:rFonts w:cstheme="minorHAnsi"/>
        </w:rPr>
        <w:t xml:space="preserve">housing </w:t>
      </w:r>
      <w:r w:rsidRPr="008943B2">
        <w:rPr>
          <w:rFonts w:cstheme="minorHAnsi"/>
        </w:rPr>
        <w:t>stability, the MA Plan developed a mechanism to provide flexible funding to youth (Flex Funds).</w:t>
      </w:r>
      <w:r w:rsidRPr="008943B2">
        <w:rPr>
          <w:rFonts w:eastAsia="Calibri" w:cstheme="minorHAnsi"/>
        </w:rPr>
        <w:t xml:space="preserve"> </w:t>
      </w:r>
      <w:r w:rsidRPr="008943B2">
        <w:rPr>
          <w:rFonts w:cstheme="minorHAnsi"/>
        </w:rPr>
        <w:t>As COVID-19 hit during the last</w:t>
      </w:r>
      <w:r w:rsidR="00115F7C">
        <w:rPr>
          <w:rFonts w:cstheme="minorHAnsi"/>
        </w:rPr>
        <w:t xml:space="preserve"> quarter of 2020 (April-June), Flex F</w:t>
      </w:r>
      <w:r w:rsidRPr="008943B2">
        <w:rPr>
          <w:rFonts w:cstheme="minorHAnsi"/>
        </w:rPr>
        <w:t xml:space="preserve">unds were critical in helping YYA facing homelessness and housing instability with basic needs, staying connected, and achieving a semblance of stability. </w:t>
      </w:r>
      <w:r w:rsidR="00115F7C">
        <w:rPr>
          <w:rFonts w:eastAsia="Calibri" w:cstheme="minorHAnsi"/>
        </w:rPr>
        <w:t>Flex F</w:t>
      </w:r>
      <w:r w:rsidRPr="008943B2">
        <w:rPr>
          <w:rFonts w:eastAsia="Calibri" w:cstheme="minorHAnsi"/>
        </w:rPr>
        <w:t xml:space="preserve">unds played an important role fostering </w:t>
      </w:r>
      <w:r w:rsidR="00444612">
        <w:rPr>
          <w:rFonts w:eastAsia="Calibri" w:cstheme="minorHAnsi"/>
        </w:rPr>
        <w:t xml:space="preserve">the </w:t>
      </w:r>
      <w:r w:rsidRPr="008943B2">
        <w:rPr>
          <w:rFonts w:eastAsia="Calibri" w:cstheme="minorHAnsi"/>
        </w:rPr>
        <w:t>stability of vulnerable sub-populations</w:t>
      </w:r>
      <w:r w:rsidR="00444612">
        <w:rPr>
          <w:rFonts w:eastAsia="Calibri" w:cstheme="minorHAnsi"/>
        </w:rPr>
        <w:t xml:space="preserve"> such as pregnant and </w:t>
      </w:r>
      <w:proofErr w:type="gramStart"/>
      <w:r w:rsidR="00444612">
        <w:rPr>
          <w:rFonts w:eastAsia="Calibri" w:cstheme="minorHAnsi"/>
        </w:rPr>
        <w:t xml:space="preserve">parenting </w:t>
      </w:r>
      <w:r w:rsidR="00D86E1F">
        <w:rPr>
          <w:rFonts w:eastAsia="Calibri" w:cstheme="minorHAnsi"/>
        </w:rPr>
        <w:t xml:space="preserve"> young</w:t>
      </w:r>
      <w:proofErr w:type="gramEnd"/>
      <w:r w:rsidR="00D86E1F">
        <w:rPr>
          <w:rFonts w:eastAsia="Calibri" w:cstheme="minorHAnsi"/>
        </w:rPr>
        <w:t xml:space="preserve"> adults</w:t>
      </w:r>
      <w:r w:rsidR="00444612">
        <w:rPr>
          <w:rFonts w:eastAsia="Calibri" w:cstheme="minorHAnsi"/>
        </w:rPr>
        <w:t xml:space="preserve"> as well as young people involved in the foster care system</w:t>
      </w:r>
      <w:r w:rsidRPr="008943B2">
        <w:rPr>
          <w:rFonts w:eastAsia="Calibri" w:cstheme="minorHAnsi"/>
        </w:rPr>
        <w:t xml:space="preserve">. </w:t>
      </w:r>
      <w:r w:rsidR="00115F7C">
        <w:rPr>
          <w:rFonts w:eastAsia="Calibri" w:cstheme="minorHAnsi"/>
        </w:rPr>
        <w:t>In the face of COVID-19, Flex F</w:t>
      </w:r>
      <w:r w:rsidR="00284F68" w:rsidRPr="008943B2">
        <w:rPr>
          <w:rFonts w:eastAsia="Calibri" w:cstheme="minorHAnsi"/>
        </w:rPr>
        <w:t>unds became critical for young people who were laid off or otherwise lost employment income to cover housing and basic needs as well as transportation and education costs.</w:t>
      </w:r>
      <w:r w:rsidR="00284F68">
        <w:rPr>
          <w:rFonts w:eastAsia="Calibri" w:cstheme="minorHAnsi"/>
        </w:rPr>
        <w:t xml:space="preserve"> </w:t>
      </w:r>
      <w:r w:rsidR="0017523B">
        <w:rPr>
          <w:rFonts w:cstheme="minorHAnsi"/>
        </w:rPr>
        <w:t>Table 2</w:t>
      </w:r>
      <w:r w:rsidRPr="008943B2">
        <w:rPr>
          <w:rFonts w:cstheme="minorHAnsi"/>
        </w:rPr>
        <w:t xml:space="preserve"> shows</w:t>
      </w:r>
      <w:r w:rsidR="004904B2">
        <w:rPr>
          <w:rFonts w:cstheme="minorHAnsi"/>
        </w:rPr>
        <w:t xml:space="preserve"> the use of Flex Funds in FY 20.</w:t>
      </w:r>
    </w:p>
    <w:p w14:paraId="4BBB3BFE" w14:textId="3BA612B7" w:rsidR="004E0C7A" w:rsidRPr="008943B2" w:rsidRDefault="008943B2" w:rsidP="00C071AE">
      <w:pPr>
        <w:spacing w:line="276" w:lineRule="auto"/>
        <w:rPr>
          <w:rFonts w:cstheme="minorHAnsi"/>
        </w:rPr>
      </w:pPr>
      <w:r w:rsidRPr="002D0F7F">
        <w:rPr>
          <w:rFonts w:cstheme="minorHAnsi"/>
        </w:rPr>
        <w:t>Cumulat</w:t>
      </w:r>
      <w:r w:rsidR="00E66D34" w:rsidRPr="002D0F7F">
        <w:rPr>
          <w:rFonts w:cstheme="minorHAnsi"/>
        </w:rPr>
        <w:t>ively, in 2020 the top uses of Flex F</w:t>
      </w:r>
      <w:r w:rsidRPr="002D0F7F">
        <w:rPr>
          <w:rFonts w:cstheme="minorHAnsi"/>
        </w:rPr>
        <w:t>unds</w:t>
      </w:r>
      <w:r w:rsidR="00F9530A">
        <w:rPr>
          <w:rFonts w:cstheme="minorHAnsi"/>
        </w:rPr>
        <w:t xml:space="preserve"> as measured by the number of YYA needing Flex Funds,</w:t>
      </w:r>
      <w:r w:rsidRPr="002D0F7F">
        <w:rPr>
          <w:rFonts w:cstheme="minorHAnsi"/>
        </w:rPr>
        <w:t xml:space="preserve"> were for transportation, food/groceries,</w:t>
      </w:r>
      <w:r w:rsidR="00E66D34" w:rsidRPr="002D0F7F">
        <w:rPr>
          <w:rFonts w:cstheme="minorHAnsi"/>
        </w:rPr>
        <w:t xml:space="preserve"> move-in costs, and rent. </w:t>
      </w:r>
      <w:r w:rsidR="004904B2">
        <w:rPr>
          <w:rFonts w:cstheme="minorHAnsi"/>
        </w:rPr>
        <w:t xml:space="preserve">Preliminary analysis of </w:t>
      </w:r>
      <w:r w:rsidR="004E0C7A">
        <w:rPr>
          <w:rFonts w:cstheme="minorHAnsi"/>
        </w:rPr>
        <w:t xml:space="preserve">FY21 </w:t>
      </w:r>
      <w:r w:rsidR="004904B2">
        <w:rPr>
          <w:rFonts w:cstheme="minorHAnsi"/>
        </w:rPr>
        <w:t xml:space="preserve">data </w:t>
      </w:r>
      <w:r w:rsidR="004E0C7A">
        <w:rPr>
          <w:rFonts w:cstheme="minorHAnsi"/>
        </w:rPr>
        <w:t>indicate</w:t>
      </w:r>
      <w:r w:rsidR="00D86E1F">
        <w:rPr>
          <w:rFonts w:cstheme="minorHAnsi"/>
        </w:rPr>
        <w:t>s</w:t>
      </w:r>
      <w:r w:rsidR="004E0C7A">
        <w:rPr>
          <w:rFonts w:cstheme="minorHAnsi"/>
        </w:rPr>
        <w:t xml:space="preserve"> that in addition to the four top uses in 2020, use of Flex Funds for cell phones increased. As the pandemic persisted, youth and providers increasingly recognized the importance of having a working phone as a primary way to stay connected </w:t>
      </w:r>
      <w:r w:rsidRPr="002D0F7F">
        <w:rPr>
          <w:rFonts w:cstheme="minorHAnsi"/>
        </w:rPr>
        <w:t xml:space="preserve">to case managers, other community supports, and potential </w:t>
      </w:r>
      <w:r w:rsidR="004E0C7A">
        <w:rPr>
          <w:rFonts w:cstheme="minorHAnsi"/>
        </w:rPr>
        <w:t xml:space="preserve">employers and landlords. </w:t>
      </w:r>
      <w:r w:rsidRPr="002D0F7F">
        <w:rPr>
          <w:rFonts w:eastAsia="Calibri" w:cstheme="minorHAnsi"/>
          <w:bCs/>
        </w:rPr>
        <w:t xml:space="preserve">The bulleted list below summarizes </w:t>
      </w:r>
      <w:r w:rsidR="004E0C7A">
        <w:rPr>
          <w:rFonts w:eastAsia="Calibri" w:cstheme="minorHAnsi"/>
          <w:bCs/>
        </w:rPr>
        <w:t>Region’s use</w:t>
      </w:r>
      <w:r w:rsidRPr="002D0F7F">
        <w:rPr>
          <w:rFonts w:eastAsia="Calibri" w:cstheme="minorHAnsi"/>
          <w:bCs/>
        </w:rPr>
        <w:t xml:space="preserve"> of flex funds.</w:t>
      </w:r>
      <w:r w:rsidRPr="008943B2">
        <w:rPr>
          <w:rFonts w:eastAsia="Calibri" w:cstheme="minorHAnsi"/>
          <w:bCs/>
        </w:rPr>
        <w:t xml:space="preserve"> </w:t>
      </w:r>
    </w:p>
    <w:p w14:paraId="3A622053" w14:textId="5D8B4268" w:rsidR="008943B2" w:rsidRPr="008943B2" w:rsidRDefault="008943B2" w:rsidP="008943B2">
      <w:pPr>
        <w:pStyle w:val="ListParagraph"/>
        <w:numPr>
          <w:ilvl w:val="0"/>
          <w:numId w:val="9"/>
        </w:numPr>
        <w:spacing w:after="0" w:line="276" w:lineRule="auto"/>
        <w:rPr>
          <w:rFonts w:eastAsia="Calibri" w:cstheme="minorHAnsi"/>
          <w:bCs/>
        </w:rPr>
      </w:pPr>
      <w:r w:rsidRPr="008943B2">
        <w:rPr>
          <w:rFonts w:eastAsia="Calibri" w:cstheme="minorHAnsi"/>
        </w:rPr>
        <w:t xml:space="preserve">Flex funds covered young people’s </w:t>
      </w:r>
      <w:r w:rsidRPr="008943B2">
        <w:rPr>
          <w:rFonts w:eastAsia="Calibri" w:cstheme="minorHAnsi"/>
          <w:b/>
          <w:u w:val="single"/>
        </w:rPr>
        <w:t>basic needs</w:t>
      </w:r>
      <w:r w:rsidRPr="008943B2">
        <w:rPr>
          <w:rFonts w:eastAsia="Calibri" w:cstheme="minorHAnsi"/>
        </w:rPr>
        <w:t xml:space="preserve"> including maternity clothes for pregnant YYA, food, hygiene products</w:t>
      </w:r>
      <w:r w:rsidR="002B7BFD">
        <w:rPr>
          <w:rFonts w:eastAsia="Calibri" w:cstheme="minorHAnsi"/>
        </w:rPr>
        <w:t>/</w:t>
      </w:r>
      <w:r w:rsidRPr="008943B2">
        <w:rPr>
          <w:rFonts w:eastAsia="Calibri" w:cstheme="minorHAnsi"/>
        </w:rPr>
        <w:t xml:space="preserve">PPE, </w:t>
      </w:r>
      <w:r w:rsidR="002B7BFD">
        <w:rPr>
          <w:rFonts w:eastAsia="Calibri" w:cstheme="minorHAnsi"/>
        </w:rPr>
        <w:t>and laundry</w:t>
      </w:r>
      <w:r w:rsidRPr="008943B2">
        <w:rPr>
          <w:rFonts w:eastAsia="Calibri" w:cstheme="minorHAnsi"/>
        </w:rPr>
        <w:t xml:space="preserve">. Some providers used flex funds to provide </w:t>
      </w:r>
      <w:r w:rsidRPr="008943B2">
        <w:rPr>
          <w:rFonts w:eastAsia="Calibri" w:cstheme="minorHAnsi"/>
          <w:bCs/>
        </w:rPr>
        <w:t xml:space="preserve">gift cards for </w:t>
      </w:r>
      <w:r w:rsidR="002B7BFD">
        <w:rPr>
          <w:rFonts w:eastAsia="Calibri" w:cstheme="minorHAnsi"/>
          <w:bCs/>
        </w:rPr>
        <w:t>Y</w:t>
      </w:r>
      <w:r w:rsidRPr="008943B2">
        <w:rPr>
          <w:rFonts w:eastAsia="Calibri" w:cstheme="minorHAnsi"/>
          <w:bCs/>
        </w:rPr>
        <w:t>YA who were couch surfing for groceries and other necessities to diver</w:t>
      </w:r>
      <w:r w:rsidR="00444612">
        <w:rPr>
          <w:rFonts w:eastAsia="Calibri" w:cstheme="minorHAnsi"/>
          <w:bCs/>
        </w:rPr>
        <w:t>t</w:t>
      </w:r>
      <w:r w:rsidRPr="008943B2">
        <w:rPr>
          <w:rFonts w:eastAsia="Calibri" w:cstheme="minorHAnsi"/>
          <w:bCs/>
        </w:rPr>
        <w:t xml:space="preserve"> </w:t>
      </w:r>
      <w:r w:rsidR="002B7BFD">
        <w:rPr>
          <w:rFonts w:eastAsia="Calibri" w:cstheme="minorHAnsi"/>
          <w:bCs/>
        </w:rPr>
        <w:t>them</w:t>
      </w:r>
      <w:r w:rsidRPr="008943B2">
        <w:rPr>
          <w:rFonts w:eastAsia="Calibri" w:cstheme="minorHAnsi"/>
          <w:bCs/>
        </w:rPr>
        <w:t xml:space="preserve"> from shelter</w:t>
      </w:r>
      <w:r w:rsidR="00444612">
        <w:rPr>
          <w:rFonts w:eastAsia="Calibri" w:cstheme="minorHAnsi"/>
          <w:bCs/>
        </w:rPr>
        <w:t>.</w:t>
      </w:r>
    </w:p>
    <w:p w14:paraId="617ED71C" w14:textId="77777777" w:rsidR="008943B2" w:rsidRPr="008943B2" w:rsidRDefault="008943B2" w:rsidP="008943B2">
      <w:pPr>
        <w:pStyle w:val="ListParagraph"/>
        <w:numPr>
          <w:ilvl w:val="0"/>
          <w:numId w:val="9"/>
        </w:numPr>
        <w:spacing w:after="0" w:line="276" w:lineRule="auto"/>
        <w:rPr>
          <w:rFonts w:eastAsia="Calibri" w:cstheme="minorHAnsi"/>
          <w:bCs/>
        </w:rPr>
      </w:pPr>
      <w:r w:rsidRPr="008943B2">
        <w:rPr>
          <w:rFonts w:cstheme="minorHAnsi"/>
        </w:rPr>
        <w:t xml:space="preserve">Use of </w:t>
      </w:r>
      <w:r w:rsidRPr="008943B2">
        <w:rPr>
          <w:rFonts w:eastAsia="Calibri" w:cstheme="minorHAnsi"/>
        </w:rPr>
        <w:t xml:space="preserve">flex funds for </w:t>
      </w:r>
      <w:r w:rsidRPr="008943B2">
        <w:rPr>
          <w:rFonts w:eastAsia="Calibri" w:cstheme="minorHAnsi"/>
          <w:b/>
          <w:u w:val="single"/>
        </w:rPr>
        <w:t>cell phone activation and paying back phone bills</w:t>
      </w:r>
      <w:r w:rsidRPr="008943B2">
        <w:rPr>
          <w:rFonts w:eastAsia="Calibri" w:cstheme="minorHAnsi"/>
        </w:rPr>
        <w:t xml:space="preserve"> helped to ensure connection with case management and other services. </w:t>
      </w:r>
    </w:p>
    <w:p w14:paraId="5A0F2789" w14:textId="59CA6AD0" w:rsidR="008943B2" w:rsidRPr="008943B2" w:rsidRDefault="008943B2" w:rsidP="008943B2">
      <w:pPr>
        <w:pStyle w:val="ListParagraph"/>
        <w:numPr>
          <w:ilvl w:val="0"/>
          <w:numId w:val="9"/>
        </w:numPr>
        <w:spacing w:after="0" w:line="276" w:lineRule="auto"/>
        <w:rPr>
          <w:rFonts w:eastAsia="Calibri" w:cstheme="minorHAnsi"/>
          <w:bCs/>
        </w:rPr>
      </w:pPr>
      <w:r w:rsidRPr="008943B2">
        <w:rPr>
          <w:rFonts w:eastAsia="Calibri" w:cstheme="minorHAnsi"/>
        </w:rPr>
        <w:t xml:space="preserve">Flex funds enhanced housing stability by covering </w:t>
      </w:r>
      <w:r w:rsidRPr="008943B2">
        <w:rPr>
          <w:rFonts w:eastAsia="Calibri" w:cstheme="minorHAnsi"/>
          <w:b/>
          <w:u w:val="single"/>
        </w:rPr>
        <w:t>r</w:t>
      </w:r>
      <w:r w:rsidRPr="008943B2">
        <w:rPr>
          <w:rFonts w:eastAsia="Calibri" w:cstheme="minorHAnsi"/>
          <w:b/>
          <w:bCs/>
          <w:u w:val="single"/>
        </w:rPr>
        <w:t xml:space="preserve">ent, rent arrears, move-in costs, and important household items </w:t>
      </w:r>
      <w:r w:rsidRPr="008943B2">
        <w:rPr>
          <w:rFonts w:eastAsia="Calibri" w:cstheme="minorHAnsi"/>
          <w:bCs/>
        </w:rPr>
        <w:t xml:space="preserve">needed for leasing new apartments, such as beds and refrigerators. Providers reported working with discount furniture stores to help young adults furnish their apartments. </w:t>
      </w:r>
      <w:r w:rsidR="004E0C7A">
        <w:rPr>
          <w:rFonts w:eastAsia="Calibri" w:cstheme="minorHAnsi"/>
          <w:bCs/>
        </w:rPr>
        <w:t xml:space="preserve">Flex Funds accelerated </w:t>
      </w:r>
      <w:r w:rsidR="004904B2">
        <w:rPr>
          <w:rFonts w:eastAsia="Calibri" w:cstheme="minorHAnsi"/>
          <w:bCs/>
        </w:rPr>
        <w:t>providers’</w:t>
      </w:r>
      <w:r w:rsidR="004E0C7A">
        <w:rPr>
          <w:rFonts w:eastAsia="Calibri" w:cstheme="minorHAnsi"/>
          <w:bCs/>
        </w:rPr>
        <w:t xml:space="preserve"> ability to house youth because having immediate access to these funds was appealing to landlords.</w:t>
      </w:r>
    </w:p>
    <w:p w14:paraId="126C8EDC" w14:textId="77777777" w:rsidR="008943B2" w:rsidRPr="008943B2" w:rsidRDefault="008943B2" w:rsidP="008943B2">
      <w:pPr>
        <w:pStyle w:val="ListParagraph"/>
        <w:numPr>
          <w:ilvl w:val="0"/>
          <w:numId w:val="9"/>
        </w:numPr>
        <w:spacing w:after="0" w:line="276" w:lineRule="auto"/>
        <w:rPr>
          <w:rFonts w:eastAsia="Calibri" w:cstheme="minorHAnsi"/>
          <w:bCs/>
        </w:rPr>
      </w:pPr>
      <w:r w:rsidRPr="008943B2">
        <w:rPr>
          <w:rFonts w:eastAsia="Calibri" w:cstheme="minorHAnsi"/>
        </w:rPr>
        <w:t xml:space="preserve">To reduce the amount of time YYA are unsheltered, flex funds allowed providers to work directly with local hotels to </w:t>
      </w:r>
      <w:r w:rsidRPr="008943B2">
        <w:rPr>
          <w:rFonts w:eastAsia="Calibri" w:cstheme="minorHAnsi"/>
          <w:b/>
          <w:u w:val="single"/>
        </w:rPr>
        <w:t>bolster emergency shelter</w:t>
      </w:r>
      <w:r w:rsidRPr="008943B2">
        <w:rPr>
          <w:rFonts w:eastAsia="Calibri" w:cstheme="minorHAnsi"/>
        </w:rPr>
        <w:t xml:space="preserve"> options for YYA during the pandemic.  </w:t>
      </w:r>
    </w:p>
    <w:p w14:paraId="69B14A76" w14:textId="4B9F9EBA" w:rsidR="008943B2" w:rsidRPr="008943B2" w:rsidRDefault="008943B2" w:rsidP="008943B2">
      <w:pPr>
        <w:pStyle w:val="ListParagraph"/>
        <w:numPr>
          <w:ilvl w:val="0"/>
          <w:numId w:val="9"/>
        </w:numPr>
        <w:spacing w:after="0" w:line="276" w:lineRule="auto"/>
        <w:rPr>
          <w:rFonts w:eastAsia="Calibri" w:cstheme="minorHAnsi"/>
          <w:bCs/>
        </w:rPr>
      </w:pPr>
      <w:r w:rsidRPr="008943B2">
        <w:rPr>
          <w:rFonts w:eastAsia="Calibri" w:cstheme="minorHAnsi"/>
          <w:bCs/>
        </w:rPr>
        <w:t xml:space="preserve">Flex funds allowed for creativity in support </w:t>
      </w:r>
      <w:r w:rsidRPr="008943B2">
        <w:rPr>
          <w:rFonts w:eastAsia="Calibri" w:cstheme="minorHAnsi"/>
          <w:b/>
          <w:bCs/>
          <w:u w:val="single"/>
        </w:rPr>
        <w:t>transportation</w:t>
      </w:r>
      <w:r w:rsidRPr="008943B2">
        <w:rPr>
          <w:rFonts w:eastAsia="Calibri" w:cstheme="minorHAnsi"/>
          <w:bCs/>
        </w:rPr>
        <w:t xml:space="preserve">. For example, YYA purchased bicycles, bought new tires for a car, and fixed a scooter to facilitate access to employment. Providers used flex funds to purchase bus passes, train passes, and uber cards. </w:t>
      </w:r>
    </w:p>
    <w:p w14:paraId="06FA4B63" w14:textId="4D70A2A2" w:rsidR="00EE6B87" w:rsidRDefault="002B7BFD">
      <w:pPr>
        <w:spacing w:after="0"/>
        <w:rPr>
          <w:b/>
          <w:highlight w:val="yellow"/>
        </w:rPr>
      </w:pPr>
      <w:r w:rsidRPr="008943B2">
        <w:rPr>
          <w:rFonts w:cstheme="minorHAnsi"/>
          <w:noProof/>
        </w:rPr>
        <w:lastRenderedPageBreak/>
        <mc:AlternateContent>
          <mc:Choice Requires="wps">
            <w:drawing>
              <wp:anchor distT="0" distB="0" distL="114300" distR="114300" simplePos="0" relativeHeight="251662336" behindDoc="0" locked="0" layoutInCell="1" allowOverlap="1" wp14:anchorId="088A1CA6" wp14:editId="49D46CC0">
                <wp:simplePos x="0" y="0"/>
                <wp:positionH relativeFrom="column">
                  <wp:posOffset>333375</wp:posOffset>
                </wp:positionH>
                <wp:positionV relativeFrom="paragraph">
                  <wp:posOffset>80645</wp:posOffset>
                </wp:positionV>
                <wp:extent cx="5133975" cy="126682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5133975" cy="1266825"/>
                        </a:xfrm>
                        <a:prstGeom prst="rect">
                          <a:avLst/>
                        </a:prstGeom>
                        <a:noFill/>
                        <a:ln w="19050">
                          <a:solidFill>
                            <a:prstClr val="black"/>
                          </a:solidFill>
                        </a:ln>
                        <a:effectLst/>
                      </wps:spPr>
                      <wps:txbx>
                        <w:txbxContent>
                          <w:p w14:paraId="55BED519" w14:textId="6D171C56" w:rsidR="00AF7313" w:rsidRPr="00444612" w:rsidRDefault="00AF7313" w:rsidP="00444612">
                            <w:pPr>
                              <w:pBdr>
                                <w:top w:val="nil"/>
                                <w:left w:val="nil"/>
                                <w:bottom w:val="nil"/>
                                <w:right w:val="nil"/>
                                <w:between w:val="nil"/>
                              </w:pBdr>
                              <w:rPr>
                                <w:rFonts w:ascii="Bahnschrift SemiBold" w:eastAsia="Calibri" w:hAnsi="Bahnschrift SemiBold" w:cs="Calibri"/>
                                <w:sz w:val="20"/>
                              </w:rPr>
                            </w:pPr>
                            <w:r w:rsidRPr="00444612">
                              <w:rPr>
                                <w:rFonts w:ascii="Bahnschrift SemiBold" w:eastAsia="Calibri" w:hAnsi="Bahnschrift SemiBold" w:cs="Calibri"/>
                                <w:sz w:val="20"/>
                              </w:rPr>
                              <w:t xml:space="preserve">One creative way we were able to use flex funding this quarter was to help a young adult get new tires for </w:t>
                            </w:r>
                            <w:r>
                              <w:rPr>
                                <w:rFonts w:ascii="Bahnschrift SemiBold" w:eastAsia="Calibri" w:hAnsi="Bahnschrift SemiBold" w:cs="Calibri"/>
                                <w:sz w:val="20"/>
                              </w:rPr>
                              <w:t>their</w:t>
                            </w:r>
                            <w:r w:rsidRPr="00444612">
                              <w:rPr>
                                <w:rFonts w:ascii="Bahnschrift SemiBold" w:eastAsia="Calibri" w:hAnsi="Bahnschrift SemiBold" w:cs="Calibri"/>
                                <w:sz w:val="20"/>
                              </w:rPr>
                              <w:t xml:space="preserve"> car. They had lost their job due to the COVID crisis and wanted to start driving for rideshare of food delivery services. Unfortunately, their car was due for an annual inspection and the tires were bald. We were able to use flex funds to help this young adult purchase new tires. They have been driving for a food delivery service ever since full time and making enough to support themselves and pay all their bills.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8A1CA6" id="Text Box 1" o:spid="_x0000_s1028" type="#_x0000_t202" style="position:absolute;margin-left:26.25pt;margin-top:6.35pt;width:404.25pt;height:9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" filled="f" strokeweight="1.5pt">
                <v:textbox>
                  <w:txbxContent>
                    <w:p w14:paraId="55BED519" w14:textId="6D171C56" w:rsidR="00AF7313" w:rsidRPr="00444612" w:rsidRDefault="00AF7313" w:rsidP="00444612">
                      <w:pPr>
                        <w:pBdr>
                          <w:top w:val="nil"/>
                          <w:left w:val="nil"/>
                          <w:bottom w:val="nil"/>
                          <w:right w:val="nil"/>
                          <w:between w:val="nil"/>
                        </w:pBdr>
                        <w:rPr>
                          <w:rFonts w:ascii="Bahnschrift SemiBold" w:eastAsia="Calibri" w:hAnsi="Bahnschrift SemiBold" w:cs="Calibri"/>
                          <w:sz w:val="20"/>
                        </w:rPr>
                      </w:pPr>
                      <w:r w:rsidRPr="00444612">
                        <w:rPr>
                          <w:rFonts w:ascii="Bahnschrift SemiBold" w:eastAsia="Calibri" w:hAnsi="Bahnschrift SemiBold" w:cs="Calibri"/>
                          <w:sz w:val="20"/>
                        </w:rPr>
                        <w:t xml:space="preserve">One creative way we were able to use flex funding this quarter was to help a young adult get new tires for </w:t>
                      </w:r>
                      <w:r>
                        <w:rPr>
                          <w:rFonts w:ascii="Bahnschrift SemiBold" w:eastAsia="Calibri" w:hAnsi="Bahnschrift SemiBold" w:cs="Calibri"/>
                          <w:sz w:val="20"/>
                        </w:rPr>
                        <w:t>their</w:t>
                      </w:r>
                      <w:r w:rsidRPr="00444612">
                        <w:rPr>
                          <w:rFonts w:ascii="Bahnschrift SemiBold" w:eastAsia="Calibri" w:hAnsi="Bahnschrift SemiBold" w:cs="Calibri"/>
                          <w:sz w:val="20"/>
                        </w:rPr>
                        <w:t xml:space="preserve"> car. They had lost their job due to the COVID crisis and wanted to start driving for rideshare of food delivery services. Unfortunately, their car was due for an annual inspection and the tires were bald. We were able to use flex funds to help this young adult purchase new tires. They have been driving for a food delivery service ever since full time and making enough to support themselves and pay all their bills.</w:t>
                      </w:r>
                    </w:p>
                  </w:txbxContent>
                </v:textbox>
                <w10:wrap type="square"/>
              </v:shape>
            </w:pict>
          </mc:Fallback>
        </mc:AlternateContent>
      </w:r>
    </w:p>
    <w:p w14:paraId="402BB935" w14:textId="6C993AC6" w:rsidR="00B653CA" w:rsidRDefault="00B653CA">
      <w:pPr>
        <w:spacing w:after="0"/>
        <w:rPr>
          <w:b/>
          <w:highlight w:val="yellow"/>
        </w:rPr>
      </w:pPr>
    </w:p>
    <w:p w14:paraId="0CDB6999" w14:textId="77777777" w:rsidR="00FC2D11" w:rsidRDefault="00FC2D11">
      <w:pPr>
        <w:spacing w:after="0"/>
        <w:rPr>
          <w:b/>
          <w:highlight w:val="yellow"/>
        </w:rPr>
      </w:pPr>
    </w:p>
    <w:p w14:paraId="586EC468" w14:textId="77777777" w:rsidR="00FC2D11" w:rsidRDefault="00FC2D11">
      <w:pPr>
        <w:spacing w:after="0"/>
        <w:rPr>
          <w:b/>
          <w:highlight w:val="yellow"/>
        </w:rPr>
      </w:pPr>
    </w:p>
    <w:p w14:paraId="2C71C1F8" w14:textId="77777777" w:rsidR="00FC2D11" w:rsidRDefault="00FC2D11">
      <w:pPr>
        <w:spacing w:after="0"/>
        <w:rPr>
          <w:b/>
          <w:highlight w:val="yellow"/>
        </w:rPr>
      </w:pPr>
    </w:p>
    <w:p w14:paraId="232B080F" w14:textId="77777777" w:rsidR="00FC2D11" w:rsidRDefault="00FC2D11">
      <w:pPr>
        <w:spacing w:after="0"/>
        <w:rPr>
          <w:b/>
          <w:highlight w:val="yellow"/>
        </w:rPr>
      </w:pPr>
    </w:p>
    <w:p w14:paraId="44E0ED6F" w14:textId="77777777" w:rsidR="00FC2D11" w:rsidRDefault="00FC2D11">
      <w:pPr>
        <w:spacing w:after="0"/>
        <w:rPr>
          <w:b/>
          <w:highlight w:val="yellow"/>
        </w:rPr>
      </w:pPr>
    </w:p>
    <w:p w14:paraId="040187D4" w14:textId="77777777" w:rsidR="00FC2D11" w:rsidRDefault="00FC2D11">
      <w:pPr>
        <w:spacing w:after="0"/>
        <w:rPr>
          <w:b/>
          <w:highlight w:val="yellow"/>
        </w:rPr>
      </w:pPr>
    </w:p>
    <w:p w14:paraId="49C494F3" w14:textId="77777777" w:rsidR="00FC2D11" w:rsidRDefault="00FC2D11">
      <w:pPr>
        <w:spacing w:after="0"/>
        <w:rPr>
          <w:b/>
          <w:highlight w:val="yellow"/>
        </w:rPr>
      </w:pPr>
    </w:p>
    <w:p w14:paraId="3CC2BA8C" w14:textId="126E87A5" w:rsidR="00B653CA" w:rsidRPr="006C79C5" w:rsidRDefault="00B653CA" w:rsidP="002D2624">
      <w:pPr>
        <w:pStyle w:val="ListParagraph"/>
        <w:ind w:left="0"/>
        <w:rPr>
          <w:rStyle w:val="Heading1Char"/>
          <w:color w:val="auto"/>
          <w:u w:val="single"/>
        </w:rPr>
      </w:pPr>
      <w:bookmarkStart w:id="3" w:name="_Toc64523598"/>
      <w:bookmarkStart w:id="4" w:name="_Hlk59273912"/>
      <w:r w:rsidRPr="006C79C5">
        <w:rPr>
          <w:rStyle w:val="Heading1Char"/>
          <w:color w:val="auto"/>
        </w:rPr>
        <w:t>Efforts to e</w:t>
      </w:r>
      <w:r w:rsidR="00512545" w:rsidRPr="006C79C5">
        <w:rPr>
          <w:rStyle w:val="Heading1Char"/>
          <w:color w:val="auto"/>
        </w:rPr>
        <w:t>nhance early identification, connection, and outreach systems to improve young people’s connection to existing resources</w:t>
      </w:r>
      <w:r w:rsidR="00E66D34" w:rsidRPr="006C79C5">
        <w:rPr>
          <w:rStyle w:val="Heading1Char"/>
          <w:color w:val="auto"/>
        </w:rPr>
        <w:t xml:space="preserve">: </w:t>
      </w:r>
      <w:r w:rsidR="00E66D34" w:rsidRPr="006C79C5">
        <w:rPr>
          <w:rStyle w:val="Heading1Char"/>
          <w:color w:val="auto"/>
          <w:u w:val="single"/>
        </w:rPr>
        <w:t>A Focus on Referrals and Partnership Development</w:t>
      </w:r>
      <w:bookmarkEnd w:id="3"/>
    </w:p>
    <w:bookmarkEnd w:id="4"/>
    <w:p w14:paraId="4628953E" w14:textId="05656D87" w:rsidR="00760ACB" w:rsidRDefault="00760ACB" w:rsidP="00760ACB">
      <w:pPr>
        <w:pStyle w:val="Body"/>
        <w:spacing w:line="276" w:lineRule="auto"/>
        <w:rPr>
          <w:rFonts w:asciiTheme="minorHAnsi" w:eastAsia="Calibri" w:hAnsiTheme="minorHAnsi" w:cstheme="minorHAnsi"/>
          <w:sz w:val="22"/>
          <w:szCs w:val="22"/>
        </w:rPr>
      </w:pPr>
      <w:r w:rsidRPr="004760DD">
        <w:rPr>
          <w:rFonts w:asciiTheme="minorHAnsi" w:hAnsiTheme="minorHAnsi" w:cstheme="minorHAnsi"/>
          <w:sz w:val="22"/>
          <w:szCs w:val="22"/>
        </w:rPr>
        <w:t xml:space="preserve">One of the recommendations in the </w:t>
      </w:r>
      <w:r w:rsidRPr="00375D10">
        <w:rPr>
          <w:rFonts w:asciiTheme="minorHAnsi" w:hAnsiTheme="minorHAnsi" w:cstheme="minorHAnsi"/>
          <w:sz w:val="22"/>
          <w:szCs w:val="22"/>
          <w:u w:val="single"/>
        </w:rPr>
        <w:t>Plan</w:t>
      </w:r>
      <w:r w:rsidRPr="004760DD">
        <w:rPr>
          <w:rFonts w:asciiTheme="minorHAnsi" w:hAnsiTheme="minorHAnsi" w:cstheme="minorHAnsi"/>
          <w:sz w:val="22"/>
          <w:szCs w:val="22"/>
        </w:rPr>
        <w:t xml:space="preserve"> was to enhance early identification, connection, and outreach systems to improve young people’s connection to existing resources. This section examines </w:t>
      </w:r>
      <w:r>
        <w:rPr>
          <w:rFonts w:asciiTheme="minorHAnsi" w:hAnsiTheme="minorHAnsi" w:cstheme="minorHAnsi"/>
          <w:sz w:val="22"/>
          <w:szCs w:val="22"/>
        </w:rPr>
        <w:t xml:space="preserve">patterns in </w:t>
      </w:r>
      <w:r w:rsidRPr="004760DD">
        <w:rPr>
          <w:rFonts w:asciiTheme="minorHAnsi" w:hAnsiTheme="minorHAnsi" w:cstheme="minorHAnsi"/>
          <w:sz w:val="22"/>
          <w:szCs w:val="22"/>
        </w:rPr>
        <w:t xml:space="preserve">referrals </w:t>
      </w:r>
      <w:r>
        <w:rPr>
          <w:rFonts w:asciiTheme="minorHAnsi" w:hAnsiTheme="minorHAnsi" w:cstheme="minorHAnsi"/>
          <w:sz w:val="22"/>
          <w:szCs w:val="22"/>
        </w:rPr>
        <w:t xml:space="preserve">as evidence of ‘connection to existing resources’. This section also examines Region’s work forging partnership as </w:t>
      </w:r>
      <w:r w:rsidRPr="004760DD">
        <w:rPr>
          <w:rFonts w:asciiTheme="minorHAnsi" w:hAnsiTheme="minorHAnsi" w:cstheme="minorHAnsi"/>
          <w:sz w:val="22"/>
          <w:szCs w:val="22"/>
        </w:rPr>
        <w:t>evidence of regional system development.</w:t>
      </w:r>
      <w:r w:rsidRPr="004760DD">
        <w:rPr>
          <w:rFonts w:asciiTheme="minorHAnsi" w:eastAsia="Calibri" w:hAnsiTheme="minorHAnsi" w:cstheme="minorHAnsi"/>
          <w:sz w:val="22"/>
          <w:szCs w:val="22"/>
        </w:rPr>
        <w:t xml:space="preserve"> </w:t>
      </w:r>
    </w:p>
    <w:p w14:paraId="71940B68" w14:textId="479F4E8F" w:rsidR="00760ACB" w:rsidRDefault="00760ACB" w:rsidP="00760ACB">
      <w:pPr>
        <w:pStyle w:val="Heading2"/>
        <w:rPr>
          <w:rFonts w:eastAsia="Calibri"/>
        </w:rPr>
      </w:pPr>
      <w:bookmarkStart w:id="5" w:name="_Toc64523599"/>
      <w:r>
        <w:rPr>
          <w:rFonts w:eastAsia="Calibri"/>
        </w:rPr>
        <w:t>Referrals</w:t>
      </w:r>
      <w:bookmarkEnd w:id="5"/>
    </w:p>
    <w:p w14:paraId="10D99A40" w14:textId="7F63C368" w:rsidR="00760ACB" w:rsidRPr="005667C1" w:rsidRDefault="00760ACB" w:rsidP="00760ACB">
      <w:pPr>
        <w:pStyle w:val="Body"/>
        <w:spacing w:line="276" w:lineRule="auto"/>
        <w:rPr>
          <w:rFonts w:asciiTheme="minorHAnsi" w:eastAsia="Calibri" w:hAnsiTheme="minorHAnsi" w:cstheme="minorHAnsi"/>
          <w:sz w:val="22"/>
          <w:szCs w:val="22"/>
        </w:rPr>
      </w:pPr>
      <w:r>
        <w:rPr>
          <w:rFonts w:asciiTheme="minorHAnsi" w:eastAsia="Calibri" w:hAnsiTheme="minorHAnsi" w:cstheme="minorHAnsi"/>
          <w:sz w:val="22"/>
          <w:szCs w:val="22"/>
        </w:rPr>
        <w:t xml:space="preserve">In FY 20, providers received 934 referrals for YYA experiencing homelessness and 744 YYA at-risk of homelessness. </w:t>
      </w:r>
      <w:r>
        <w:rPr>
          <w:rFonts w:asciiTheme="minorHAnsi" w:hAnsiTheme="minorHAnsi"/>
          <w:color w:val="auto"/>
          <w:sz w:val="22"/>
          <w:szCs w:val="22"/>
        </w:rPr>
        <w:t xml:space="preserve">In FY 20, providers made 983 referrals to other providers—this represents 39.7% of YYA served. </w:t>
      </w:r>
      <w:r w:rsidRPr="005667C1">
        <w:rPr>
          <w:rFonts w:asciiTheme="minorHAnsi" w:eastAsia="Calibri" w:hAnsiTheme="minorHAnsi" w:cstheme="minorHAnsi"/>
          <w:sz w:val="22"/>
          <w:szCs w:val="22"/>
        </w:rPr>
        <w:t xml:space="preserve">Table </w:t>
      </w:r>
      <w:r w:rsidR="0017523B">
        <w:rPr>
          <w:rFonts w:asciiTheme="minorHAnsi" w:eastAsia="Calibri" w:hAnsiTheme="minorHAnsi" w:cstheme="minorHAnsi"/>
          <w:sz w:val="22"/>
          <w:szCs w:val="22"/>
        </w:rPr>
        <w:t>3</w:t>
      </w:r>
      <w:r w:rsidRPr="005667C1">
        <w:rPr>
          <w:rFonts w:asciiTheme="minorHAnsi" w:eastAsia="Calibri" w:hAnsiTheme="minorHAnsi" w:cstheme="minorHAnsi"/>
          <w:sz w:val="22"/>
          <w:szCs w:val="22"/>
        </w:rPr>
        <w:t xml:space="preserve"> presents data on referrals made out in FY 20</w:t>
      </w:r>
      <w:r w:rsidR="004E0C7A">
        <w:rPr>
          <w:rFonts w:asciiTheme="minorHAnsi" w:eastAsia="Calibri" w:hAnsiTheme="minorHAnsi" w:cstheme="minorHAnsi"/>
          <w:sz w:val="22"/>
          <w:szCs w:val="22"/>
        </w:rPr>
        <w:t>.</w:t>
      </w:r>
    </w:p>
    <w:tbl>
      <w:tblPr>
        <w:tblW w:w="8385" w:type="dxa"/>
        <w:jc w:val="center"/>
        <w:tblLook w:val="04A0" w:firstRow="1" w:lastRow="0" w:firstColumn="1" w:lastColumn="0" w:noHBand="0" w:noVBand="1"/>
      </w:tblPr>
      <w:tblGrid>
        <w:gridCol w:w="7665"/>
        <w:gridCol w:w="720"/>
      </w:tblGrid>
      <w:tr w:rsidR="004E0C7A" w:rsidRPr="006C79C5" w14:paraId="53E9E568" w14:textId="77777777" w:rsidTr="004E0C7A">
        <w:trPr>
          <w:trHeight w:val="340"/>
          <w:jc w:val="center"/>
        </w:trPr>
        <w:tc>
          <w:tcPr>
            <w:tcW w:w="7665" w:type="dxa"/>
            <w:tcBorders>
              <w:top w:val="single" w:sz="8" w:space="0" w:color="000000"/>
              <w:left w:val="single" w:sz="4" w:space="0" w:color="000000"/>
              <w:bottom w:val="single" w:sz="4" w:space="0" w:color="000000"/>
              <w:right w:val="nil"/>
            </w:tcBorders>
            <w:shd w:val="clear" w:color="auto" w:fill="auto"/>
          </w:tcPr>
          <w:p w14:paraId="06FF4C51" w14:textId="23980CA5" w:rsidR="004E0C7A" w:rsidRPr="006C79C5" w:rsidRDefault="004E0C7A" w:rsidP="00AF7313">
            <w:pPr>
              <w:spacing w:after="0" w:line="276" w:lineRule="auto"/>
              <w:rPr>
                <w:rFonts w:eastAsia="Times New Roman" w:cstheme="minorHAnsi"/>
                <w:b/>
                <w:color w:val="000000"/>
              </w:rPr>
            </w:pPr>
            <w:r>
              <w:rPr>
                <w:rFonts w:eastAsia="Times New Roman" w:cstheme="minorHAnsi"/>
                <w:b/>
                <w:color w:val="000000"/>
              </w:rPr>
              <w:t>Table 3:  Referrals Out</w:t>
            </w:r>
          </w:p>
        </w:tc>
        <w:tc>
          <w:tcPr>
            <w:tcW w:w="720" w:type="dxa"/>
            <w:tcBorders>
              <w:top w:val="single" w:sz="8" w:space="0" w:color="000000"/>
              <w:left w:val="single" w:sz="8" w:space="0" w:color="000000"/>
              <w:bottom w:val="single" w:sz="4" w:space="0" w:color="000000"/>
              <w:right w:val="single" w:sz="8" w:space="0" w:color="000000"/>
            </w:tcBorders>
            <w:shd w:val="clear" w:color="auto" w:fill="auto"/>
          </w:tcPr>
          <w:p w14:paraId="0B1F6259" w14:textId="77777777" w:rsidR="004E0C7A" w:rsidRPr="006C79C5" w:rsidRDefault="004E0C7A" w:rsidP="00AF7313">
            <w:pPr>
              <w:spacing w:after="0" w:line="276" w:lineRule="auto"/>
              <w:jc w:val="right"/>
              <w:rPr>
                <w:rFonts w:cstheme="minorHAnsi"/>
                <w:b/>
                <w:color w:val="000000"/>
              </w:rPr>
            </w:pPr>
            <w:r w:rsidRPr="006C79C5">
              <w:rPr>
                <w:rFonts w:cstheme="minorHAnsi"/>
                <w:b/>
                <w:color w:val="000000"/>
              </w:rPr>
              <w:t>FY 20</w:t>
            </w:r>
          </w:p>
        </w:tc>
      </w:tr>
      <w:tr w:rsidR="004E0C7A" w:rsidRPr="002F0AF5" w14:paraId="545A0EAB" w14:textId="77777777" w:rsidTr="004E0C7A">
        <w:trPr>
          <w:trHeight w:val="340"/>
          <w:jc w:val="center"/>
        </w:trPr>
        <w:tc>
          <w:tcPr>
            <w:tcW w:w="7665" w:type="dxa"/>
            <w:tcBorders>
              <w:top w:val="single" w:sz="8" w:space="0" w:color="000000"/>
              <w:left w:val="single" w:sz="4" w:space="0" w:color="000000"/>
              <w:bottom w:val="single" w:sz="4" w:space="0" w:color="000000"/>
              <w:right w:val="nil"/>
            </w:tcBorders>
            <w:shd w:val="clear" w:color="auto" w:fill="auto"/>
            <w:hideMark/>
          </w:tcPr>
          <w:p w14:paraId="4F12B54D" w14:textId="77777777" w:rsidR="004E0C7A" w:rsidRPr="005667C1" w:rsidRDefault="004E0C7A" w:rsidP="00AF7313">
            <w:pPr>
              <w:spacing w:after="0" w:line="276" w:lineRule="auto"/>
              <w:rPr>
                <w:rFonts w:eastAsia="Times New Roman" w:cstheme="minorHAnsi"/>
                <w:color w:val="000000"/>
              </w:rPr>
            </w:pPr>
            <w:r w:rsidRPr="005667C1">
              <w:rPr>
                <w:rFonts w:eastAsia="Times New Roman" w:cstheme="minorHAnsi"/>
                <w:color w:val="000000"/>
              </w:rPr>
              <w:t>Total number of YYA who received referrals to other providers</w:t>
            </w:r>
          </w:p>
        </w:tc>
        <w:tc>
          <w:tcPr>
            <w:tcW w:w="720" w:type="dxa"/>
            <w:tcBorders>
              <w:top w:val="single" w:sz="8" w:space="0" w:color="000000"/>
              <w:left w:val="single" w:sz="8" w:space="0" w:color="000000"/>
              <w:bottom w:val="single" w:sz="4" w:space="0" w:color="000000"/>
              <w:right w:val="single" w:sz="8" w:space="0" w:color="000000"/>
            </w:tcBorders>
            <w:shd w:val="clear" w:color="auto" w:fill="auto"/>
          </w:tcPr>
          <w:p w14:paraId="1BC221BE" w14:textId="77777777" w:rsidR="004E0C7A" w:rsidRPr="002F0AF5" w:rsidRDefault="004E0C7A" w:rsidP="00AF7313">
            <w:pPr>
              <w:spacing w:after="0" w:line="276" w:lineRule="auto"/>
              <w:jc w:val="right"/>
              <w:rPr>
                <w:rFonts w:cstheme="minorHAnsi"/>
                <w:color w:val="000000"/>
              </w:rPr>
            </w:pPr>
            <w:r w:rsidRPr="002F0AF5">
              <w:rPr>
                <w:rFonts w:cstheme="minorHAnsi"/>
                <w:color w:val="000000"/>
              </w:rPr>
              <w:t xml:space="preserve">983 </w:t>
            </w:r>
          </w:p>
        </w:tc>
      </w:tr>
      <w:tr w:rsidR="004E0C7A" w:rsidRPr="002F0AF5" w14:paraId="3184237F" w14:textId="77777777" w:rsidTr="004E0C7A">
        <w:trPr>
          <w:trHeight w:val="350"/>
          <w:jc w:val="center"/>
        </w:trPr>
        <w:tc>
          <w:tcPr>
            <w:tcW w:w="7665" w:type="dxa"/>
            <w:tcBorders>
              <w:top w:val="nil"/>
              <w:left w:val="single" w:sz="4" w:space="0" w:color="000000"/>
              <w:bottom w:val="single" w:sz="4" w:space="0" w:color="000000"/>
              <w:right w:val="nil"/>
            </w:tcBorders>
            <w:shd w:val="clear" w:color="auto" w:fill="auto"/>
            <w:hideMark/>
          </w:tcPr>
          <w:p w14:paraId="1DF19B5A" w14:textId="77777777" w:rsidR="004E0C7A" w:rsidRPr="005667C1" w:rsidRDefault="004E0C7A" w:rsidP="00AF7313">
            <w:pPr>
              <w:spacing w:after="0" w:line="276" w:lineRule="auto"/>
              <w:rPr>
                <w:rFonts w:eastAsia="Times New Roman" w:cstheme="minorHAnsi"/>
                <w:color w:val="000000"/>
              </w:rPr>
            </w:pPr>
            <w:r w:rsidRPr="005667C1">
              <w:rPr>
                <w:rFonts w:eastAsia="Times New Roman" w:cstheme="minorHAnsi"/>
                <w:bCs/>
                <w:color w:val="000000"/>
              </w:rPr>
              <w:t>Housing supports</w:t>
            </w:r>
          </w:p>
        </w:tc>
        <w:tc>
          <w:tcPr>
            <w:tcW w:w="720" w:type="dxa"/>
            <w:tcBorders>
              <w:top w:val="nil"/>
              <w:left w:val="single" w:sz="8" w:space="0" w:color="000000"/>
              <w:bottom w:val="single" w:sz="4" w:space="0" w:color="000000"/>
              <w:right w:val="single" w:sz="8" w:space="0" w:color="000000"/>
            </w:tcBorders>
            <w:shd w:val="clear" w:color="auto" w:fill="auto"/>
            <w:vAlign w:val="bottom"/>
          </w:tcPr>
          <w:p w14:paraId="58E199D8" w14:textId="77777777" w:rsidR="004E0C7A" w:rsidRPr="002F0AF5" w:rsidRDefault="004E0C7A" w:rsidP="00AF7313">
            <w:pPr>
              <w:spacing w:after="0" w:line="276" w:lineRule="auto"/>
              <w:jc w:val="right"/>
              <w:rPr>
                <w:rFonts w:cstheme="minorHAnsi"/>
                <w:color w:val="000000"/>
              </w:rPr>
            </w:pPr>
            <w:r w:rsidRPr="002F0AF5">
              <w:rPr>
                <w:rFonts w:cstheme="minorHAnsi"/>
                <w:color w:val="000000"/>
              </w:rPr>
              <w:t>41%</w:t>
            </w:r>
          </w:p>
        </w:tc>
      </w:tr>
      <w:tr w:rsidR="004E0C7A" w:rsidRPr="002F0AF5" w14:paraId="5BE36A87" w14:textId="77777777" w:rsidTr="004E0C7A">
        <w:trPr>
          <w:trHeight w:val="270"/>
          <w:jc w:val="center"/>
        </w:trPr>
        <w:tc>
          <w:tcPr>
            <w:tcW w:w="7665" w:type="dxa"/>
            <w:tcBorders>
              <w:top w:val="nil"/>
              <w:left w:val="single" w:sz="4" w:space="0" w:color="000000"/>
              <w:bottom w:val="single" w:sz="4" w:space="0" w:color="000000"/>
              <w:right w:val="nil"/>
            </w:tcBorders>
            <w:shd w:val="clear" w:color="auto" w:fill="auto"/>
            <w:hideMark/>
          </w:tcPr>
          <w:p w14:paraId="35529FA5" w14:textId="77777777" w:rsidR="004E0C7A" w:rsidRPr="005667C1" w:rsidRDefault="004E0C7A" w:rsidP="00AF7313">
            <w:pPr>
              <w:spacing w:after="0" w:line="276" w:lineRule="auto"/>
              <w:rPr>
                <w:rFonts w:eastAsia="Times New Roman" w:cstheme="minorHAnsi"/>
                <w:color w:val="000000"/>
              </w:rPr>
            </w:pPr>
            <w:r w:rsidRPr="005667C1">
              <w:rPr>
                <w:rFonts w:eastAsia="Times New Roman" w:cstheme="minorHAnsi"/>
                <w:bCs/>
                <w:color w:val="000000"/>
              </w:rPr>
              <w:t xml:space="preserve">Employment &amp; job training </w:t>
            </w:r>
            <w:r w:rsidRPr="005667C1">
              <w:rPr>
                <w:rFonts w:eastAsia="Times New Roman" w:cstheme="minorHAnsi"/>
                <w:color w:val="000000"/>
              </w:rPr>
              <w:t>services</w:t>
            </w:r>
          </w:p>
        </w:tc>
        <w:tc>
          <w:tcPr>
            <w:tcW w:w="720" w:type="dxa"/>
            <w:tcBorders>
              <w:top w:val="nil"/>
              <w:left w:val="single" w:sz="8" w:space="0" w:color="000000"/>
              <w:bottom w:val="single" w:sz="4" w:space="0" w:color="000000"/>
              <w:right w:val="single" w:sz="8" w:space="0" w:color="000000"/>
            </w:tcBorders>
            <w:shd w:val="clear" w:color="auto" w:fill="auto"/>
            <w:vAlign w:val="bottom"/>
          </w:tcPr>
          <w:p w14:paraId="3DC354FC" w14:textId="77777777" w:rsidR="004E0C7A" w:rsidRPr="002F0AF5" w:rsidRDefault="004E0C7A" w:rsidP="00AF7313">
            <w:pPr>
              <w:spacing w:after="0" w:line="276" w:lineRule="auto"/>
              <w:jc w:val="right"/>
              <w:rPr>
                <w:rFonts w:cstheme="minorHAnsi"/>
                <w:color w:val="000000"/>
              </w:rPr>
            </w:pPr>
            <w:r w:rsidRPr="002F0AF5">
              <w:rPr>
                <w:rFonts w:cstheme="minorHAnsi"/>
                <w:color w:val="000000"/>
              </w:rPr>
              <w:t>34%</w:t>
            </w:r>
          </w:p>
        </w:tc>
      </w:tr>
      <w:tr w:rsidR="004E0C7A" w:rsidRPr="002F0AF5" w14:paraId="565EFE12" w14:textId="77777777" w:rsidTr="004E0C7A">
        <w:trPr>
          <w:trHeight w:val="270"/>
          <w:jc w:val="center"/>
        </w:trPr>
        <w:tc>
          <w:tcPr>
            <w:tcW w:w="7665" w:type="dxa"/>
            <w:tcBorders>
              <w:top w:val="nil"/>
              <w:left w:val="single" w:sz="4" w:space="0" w:color="000000"/>
              <w:bottom w:val="single" w:sz="4" w:space="0" w:color="000000"/>
              <w:right w:val="nil"/>
            </w:tcBorders>
            <w:shd w:val="clear" w:color="auto" w:fill="auto"/>
            <w:hideMark/>
          </w:tcPr>
          <w:p w14:paraId="3E7AA8A4" w14:textId="77777777" w:rsidR="004E0C7A" w:rsidRPr="005667C1" w:rsidRDefault="004E0C7A" w:rsidP="00AF7313">
            <w:pPr>
              <w:spacing w:after="0" w:line="276" w:lineRule="auto"/>
              <w:rPr>
                <w:rFonts w:eastAsia="Times New Roman" w:cstheme="minorHAnsi"/>
                <w:color w:val="000000"/>
              </w:rPr>
            </w:pPr>
            <w:r w:rsidRPr="005667C1">
              <w:rPr>
                <w:rFonts w:eastAsia="Times New Roman" w:cstheme="minorHAnsi"/>
                <w:bCs/>
                <w:color w:val="000000"/>
              </w:rPr>
              <w:t>Mental health</w:t>
            </w:r>
            <w:r w:rsidRPr="005667C1">
              <w:rPr>
                <w:rFonts w:eastAsia="Times New Roman" w:cstheme="minorHAnsi"/>
                <w:color w:val="000000"/>
              </w:rPr>
              <w:t xml:space="preserve"> services</w:t>
            </w:r>
          </w:p>
        </w:tc>
        <w:tc>
          <w:tcPr>
            <w:tcW w:w="720" w:type="dxa"/>
            <w:tcBorders>
              <w:top w:val="nil"/>
              <w:left w:val="single" w:sz="8" w:space="0" w:color="000000"/>
              <w:bottom w:val="single" w:sz="4" w:space="0" w:color="000000"/>
              <w:right w:val="single" w:sz="8" w:space="0" w:color="000000"/>
            </w:tcBorders>
            <w:shd w:val="clear" w:color="auto" w:fill="auto"/>
            <w:vAlign w:val="bottom"/>
          </w:tcPr>
          <w:p w14:paraId="02A46F21" w14:textId="77777777" w:rsidR="004E0C7A" w:rsidRPr="002F0AF5" w:rsidRDefault="004E0C7A" w:rsidP="00AF7313">
            <w:pPr>
              <w:spacing w:after="0" w:line="276" w:lineRule="auto"/>
              <w:jc w:val="right"/>
              <w:rPr>
                <w:rFonts w:cstheme="minorHAnsi"/>
                <w:color w:val="000000"/>
              </w:rPr>
            </w:pPr>
            <w:r w:rsidRPr="002F0AF5">
              <w:rPr>
                <w:rFonts w:cstheme="minorHAnsi"/>
                <w:color w:val="000000"/>
              </w:rPr>
              <w:t>23%</w:t>
            </w:r>
          </w:p>
        </w:tc>
      </w:tr>
      <w:tr w:rsidR="004E0C7A" w:rsidRPr="002F0AF5" w14:paraId="639590F8" w14:textId="77777777" w:rsidTr="004E0C7A">
        <w:trPr>
          <w:trHeight w:val="152"/>
          <w:jc w:val="center"/>
        </w:trPr>
        <w:tc>
          <w:tcPr>
            <w:tcW w:w="7665" w:type="dxa"/>
            <w:tcBorders>
              <w:top w:val="single" w:sz="4" w:space="0" w:color="auto"/>
              <w:left w:val="single" w:sz="4" w:space="0" w:color="000000"/>
              <w:bottom w:val="single" w:sz="4" w:space="0" w:color="000000"/>
              <w:right w:val="nil"/>
            </w:tcBorders>
            <w:shd w:val="clear" w:color="auto" w:fill="auto"/>
          </w:tcPr>
          <w:p w14:paraId="1545E4AA" w14:textId="77777777" w:rsidR="004E0C7A" w:rsidRPr="005667C1" w:rsidRDefault="004E0C7A" w:rsidP="00AF7313">
            <w:pPr>
              <w:spacing w:after="0" w:line="276" w:lineRule="auto"/>
              <w:rPr>
                <w:rFonts w:cstheme="minorHAnsi"/>
                <w:color w:val="000000"/>
              </w:rPr>
            </w:pPr>
            <w:r w:rsidRPr="005667C1">
              <w:rPr>
                <w:rFonts w:cstheme="minorHAnsi"/>
                <w:bCs/>
                <w:color w:val="000000"/>
              </w:rPr>
              <w:t>Other</w:t>
            </w:r>
            <w:r w:rsidRPr="005667C1">
              <w:rPr>
                <w:rFonts w:cstheme="minorHAnsi"/>
                <w:color w:val="000000"/>
              </w:rPr>
              <w:t xml:space="preserve"> services or activities</w:t>
            </w:r>
          </w:p>
        </w:tc>
        <w:tc>
          <w:tcPr>
            <w:tcW w:w="720" w:type="dxa"/>
            <w:tcBorders>
              <w:top w:val="single" w:sz="4" w:space="0" w:color="auto"/>
              <w:left w:val="single" w:sz="8" w:space="0" w:color="000000"/>
              <w:bottom w:val="single" w:sz="4" w:space="0" w:color="000000"/>
              <w:right w:val="single" w:sz="8" w:space="0" w:color="000000"/>
            </w:tcBorders>
            <w:shd w:val="clear" w:color="auto" w:fill="auto"/>
            <w:vAlign w:val="bottom"/>
          </w:tcPr>
          <w:p w14:paraId="3562055B" w14:textId="77777777" w:rsidR="004E0C7A" w:rsidRPr="002F0AF5" w:rsidRDefault="004E0C7A" w:rsidP="00AF7313">
            <w:pPr>
              <w:spacing w:after="0" w:line="276" w:lineRule="auto"/>
              <w:jc w:val="right"/>
              <w:rPr>
                <w:rFonts w:cstheme="minorHAnsi"/>
                <w:color w:val="000000"/>
              </w:rPr>
            </w:pPr>
            <w:r w:rsidRPr="002F0AF5">
              <w:rPr>
                <w:rFonts w:cstheme="minorHAnsi"/>
                <w:color w:val="000000"/>
              </w:rPr>
              <w:t>22%</w:t>
            </w:r>
          </w:p>
        </w:tc>
      </w:tr>
      <w:tr w:rsidR="004E0C7A" w:rsidRPr="002F0AF5" w14:paraId="690CEF6A" w14:textId="77777777" w:rsidTr="004E0C7A">
        <w:trPr>
          <w:trHeight w:val="323"/>
          <w:jc w:val="center"/>
        </w:trPr>
        <w:tc>
          <w:tcPr>
            <w:tcW w:w="7665" w:type="dxa"/>
            <w:tcBorders>
              <w:top w:val="nil"/>
              <w:left w:val="single" w:sz="4" w:space="0" w:color="000000"/>
              <w:bottom w:val="single" w:sz="4" w:space="0" w:color="000000"/>
              <w:right w:val="nil"/>
            </w:tcBorders>
            <w:shd w:val="clear" w:color="auto" w:fill="auto"/>
            <w:hideMark/>
          </w:tcPr>
          <w:p w14:paraId="7BE75CEC" w14:textId="77777777" w:rsidR="004E0C7A" w:rsidRPr="005667C1" w:rsidRDefault="004E0C7A" w:rsidP="00AF7313">
            <w:pPr>
              <w:spacing w:after="0" w:line="276" w:lineRule="auto"/>
              <w:rPr>
                <w:rFonts w:eastAsia="Times New Roman" w:cstheme="minorHAnsi"/>
                <w:color w:val="000000"/>
              </w:rPr>
            </w:pPr>
            <w:r w:rsidRPr="005667C1">
              <w:rPr>
                <w:rFonts w:eastAsia="Times New Roman" w:cstheme="minorHAnsi"/>
                <w:bCs/>
                <w:color w:val="000000"/>
              </w:rPr>
              <w:t>Health</w:t>
            </w:r>
            <w:r w:rsidRPr="005667C1">
              <w:rPr>
                <w:rFonts w:eastAsia="Times New Roman" w:cstheme="minorHAnsi"/>
                <w:color w:val="000000"/>
              </w:rPr>
              <w:t xml:space="preserve"> services (excluding mental health)</w:t>
            </w:r>
          </w:p>
        </w:tc>
        <w:tc>
          <w:tcPr>
            <w:tcW w:w="720" w:type="dxa"/>
            <w:tcBorders>
              <w:top w:val="nil"/>
              <w:left w:val="single" w:sz="8" w:space="0" w:color="000000"/>
              <w:bottom w:val="single" w:sz="4" w:space="0" w:color="000000"/>
              <w:right w:val="single" w:sz="8" w:space="0" w:color="000000"/>
            </w:tcBorders>
            <w:shd w:val="clear" w:color="auto" w:fill="auto"/>
            <w:vAlign w:val="bottom"/>
          </w:tcPr>
          <w:p w14:paraId="75E4B9F9" w14:textId="77777777" w:rsidR="004E0C7A" w:rsidRPr="002F0AF5" w:rsidRDefault="004E0C7A" w:rsidP="00AF7313">
            <w:pPr>
              <w:spacing w:after="0" w:line="276" w:lineRule="auto"/>
              <w:jc w:val="right"/>
              <w:rPr>
                <w:rFonts w:cstheme="minorHAnsi"/>
                <w:color w:val="000000"/>
              </w:rPr>
            </w:pPr>
            <w:r w:rsidRPr="002F0AF5">
              <w:rPr>
                <w:rFonts w:cstheme="minorHAnsi"/>
                <w:color w:val="000000"/>
              </w:rPr>
              <w:t>19%</w:t>
            </w:r>
          </w:p>
        </w:tc>
      </w:tr>
      <w:tr w:rsidR="004E0C7A" w:rsidRPr="002F0AF5" w14:paraId="6C173CF7" w14:textId="77777777" w:rsidTr="004E0C7A">
        <w:trPr>
          <w:trHeight w:val="270"/>
          <w:jc w:val="center"/>
        </w:trPr>
        <w:tc>
          <w:tcPr>
            <w:tcW w:w="7665" w:type="dxa"/>
            <w:tcBorders>
              <w:top w:val="nil"/>
              <w:left w:val="single" w:sz="4" w:space="0" w:color="000000"/>
              <w:bottom w:val="single" w:sz="4" w:space="0" w:color="000000"/>
              <w:right w:val="nil"/>
            </w:tcBorders>
            <w:shd w:val="clear" w:color="auto" w:fill="auto"/>
            <w:hideMark/>
          </w:tcPr>
          <w:p w14:paraId="3049A5C0" w14:textId="77777777" w:rsidR="004E0C7A" w:rsidRPr="005667C1" w:rsidRDefault="004E0C7A" w:rsidP="00AF7313">
            <w:pPr>
              <w:spacing w:after="0" w:line="276" w:lineRule="auto"/>
              <w:rPr>
                <w:rFonts w:eastAsia="Times New Roman" w:cstheme="minorHAnsi"/>
                <w:color w:val="000000"/>
              </w:rPr>
            </w:pPr>
            <w:r w:rsidRPr="005667C1">
              <w:rPr>
                <w:rFonts w:eastAsia="Times New Roman" w:cstheme="minorHAnsi"/>
                <w:bCs/>
                <w:color w:val="000000"/>
              </w:rPr>
              <w:t>Life skills/ financial literacy</w:t>
            </w:r>
            <w:r w:rsidRPr="005667C1">
              <w:rPr>
                <w:rFonts w:eastAsia="Times New Roman" w:cstheme="minorHAnsi"/>
                <w:color w:val="000000"/>
              </w:rPr>
              <w:t xml:space="preserve"> services</w:t>
            </w:r>
          </w:p>
        </w:tc>
        <w:tc>
          <w:tcPr>
            <w:tcW w:w="720" w:type="dxa"/>
            <w:tcBorders>
              <w:top w:val="nil"/>
              <w:left w:val="single" w:sz="8" w:space="0" w:color="000000"/>
              <w:bottom w:val="single" w:sz="4" w:space="0" w:color="000000"/>
              <w:right w:val="single" w:sz="8" w:space="0" w:color="000000"/>
            </w:tcBorders>
            <w:shd w:val="clear" w:color="auto" w:fill="auto"/>
            <w:vAlign w:val="bottom"/>
          </w:tcPr>
          <w:p w14:paraId="14689457" w14:textId="77777777" w:rsidR="004E0C7A" w:rsidRPr="002F0AF5" w:rsidRDefault="004E0C7A" w:rsidP="00AF7313">
            <w:pPr>
              <w:spacing w:after="0" w:line="276" w:lineRule="auto"/>
              <w:jc w:val="right"/>
              <w:rPr>
                <w:rFonts w:cstheme="minorHAnsi"/>
                <w:color w:val="000000"/>
              </w:rPr>
            </w:pPr>
            <w:r w:rsidRPr="002F0AF5">
              <w:rPr>
                <w:rFonts w:cstheme="minorHAnsi"/>
                <w:color w:val="000000"/>
              </w:rPr>
              <w:t>19%</w:t>
            </w:r>
          </w:p>
        </w:tc>
      </w:tr>
      <w:tr w:rsidR="004E0C7A" w:rsidRPr="002F0AF5" w14:paraId="7891327E" w14:textId="77777777" w:rsidTr="004E0C7A">
        <w:trPr>
          <w:trHeight w:val="270"/>
          <w:jc w:val="center"/>
        </w:trPr>
        <w:tc>
          <w:tcPr>
            <w:tcW w:w="7665" w:type="dxa"/>
            <w:tcBorders>
              <w:top w:val="nil"/>
              <w:left w:val="single" w:sz="4" w:space="0" w:color="000000"/>
              <w:bottom w:val="single" w:sz="4" w:space="0" w:color="000000"/>
              <w:right w:val="nil"/>
            </w:tcBorders>
            <w:shd w:val="clear" w:color="auto" w:fill="auto"/>
            <w:hideMark/>
          </w:tcPr>
          <w:p w14:paraId="528AB0B0" w14:textId="77777777" w:rsidR="004E0C7A" w:rsidRPr="005667C1" w:rsidRDefault="004E0C7A" w:rsidP="00AF7313">
            <w:pPr>
              <w:spacing w:after="0" w:line="276" w:lineRule="auto"/>
              <w:rPr>
                <w:rFonts w:eastAsia="Times New Roman" w:cstheme="minorHAnsi"/>
                <w:color w:val="000000"/>
              </w:rPr>
            </w:pPr>
            <w:r w:rsidRPr="005667C1">
              <w:rPr>
                <w:rFonts w:eastAsia="Times New Roman" w:cstheme="minorHAnsi"/>
                <w:bCs/>
                <w:color w:val="000000"/>
              </w:rPr>
              <w:t>Benefits</w:t>
            </w:r>
            <w:r w:rsidRPr="005667C1">
              <w:rPr>
                <w:rFonts w:eastAsia="Times New Roman" w:cstheme="minorHAnsi"/>
                <w:color w:val="000000"/>
              </w:rPr>
              <w:t xml:space="preserve"> (excluding health insurance) </w:t>
            </w:r>
          </w:p>
        </w:tc>
        <w:tc>
          <w:tcPr>
            <w:tcW w:w="720" w:type="dxa"/>
            <w:tcBorders>
              <w:top w:val="nil"/>
              <w:left w:val="single" w:sz="8" w:space="0" w:color="000000"/>
              <w:bottom w:val="single" w:sz="4" w:space="0" w:color="000000"/>
              <w:right w:val="single" w:sz="8" w:space="0" w:color="000000"/>
            </w:tcBorders>
            <w:shd w:val="clear" w:color="auto" w:fill="auto"/>
            <w:vAlign w:val="bottom"/>
          </w:tcPr>
          <w:p w14:paraId="2DA92B94" w14:textId="77777777" w:rsidR="004E0C7A" w:rsidRPr="002F0AF5" w:rsidRDefault="004E0C7A" w:rsidP="00AF7313">
            <w:pPr>
              <w:spacing w:after="0" w:line="276" w:lineRule="auto"/>
              <w:jc w:val="right"/>
              <w:rPr>
                <w:rFonts w:cstheme="minorHAnsi"/>
                <w:color w:val="000000"/>
              </w:rPr>
            </w:pPr>
            <w:r w:rsidRPr="002F0AF5">
              <w:rPr>
                <w:rFonts w:cstheme="minorHAnsi"/>
                <w:color w:val="000000"/>
              </w:rPr>
              <w:t>18%</w:t>
            </w:r>
          </w:p>
        </w:tc>
      </w:tr>
      <w:tr w:rsidR="004E0C7A" w:rsidRPr="002F0AF5" w14:paraId="65A1B041" w14:textId="77777777" w:rsidTr="004E0C7A">
        <w:trPr>
          <w:trHeight w:val="270"/>
          <w:jc w:val="center"/>
        </w:trPr>
        <w:tc>
          <w:tcPr>
            <w:tcW w:w="7665" w:type="dxa"/>
            <w:tcBorders>
              <w:top w:val="nil"/>
              <w:left w:val="single" w:sz="4" w:space="0" w:color="000000"/>
              <w:bottom w:val="single" w:sz="4" w:space="0" w:color="000000"/>
              <w:right w:val="nil"/>
            </w:tcBorders>
            <w:shd w:val="clear" w:color="auto" w:fill="auto"/>
            <w:hideMark/>
          </w:tcPr>
          <w:p w14:paraId="754B095A" w14:textId="77777777" w:rsidR="004E0C7A" w:rsidRPr="005667C1" w:rsidRDefault="004E0C7A" w:rsidP="00AF7313">
            <w:pPr>
              <w:spacing w:after="0" w:line="276" w:lineRule="auto"/>
              <w:rPr>
                <w:rFonts w:eastAsia="Times New Roman" w:cstheme="minorHAnsi"/>
                <w:color w:val="000000"/>
              </w:rPr>
            </w:pPr>
            <w:r w:rsidRPr="005667C1">
              <w:rPr>
                <w:rFonts w:eastAsia="Times New Roman" w:cstheme="minorHAnsi"/>
                <w:bCs/>
                <w:color w:val="000000"/>
              </w:rPr>
              <w:t>Education</w:t>
            </w:r>
            <w:r w:rsidRPr="005667C1">
              <w:rPr>
                <w:rFonts w:eastAsia="Times New Roman" w:cstheme="minorHAnsi"/>
                <w:color w:val="000000"/>
              </w:rPr>
              <w:t xml:space="preserve"> services</w:t>
            </w:r>
          </w:p>
        </w:tc>
        <w:tc>
          <w:tcPr>
            <w:tcW w:w="720" w:type="dxa"/>
            <w:tcBorders>
              <w:top w:val="nil"/>
              <w:left w:val="single" w:sz="8" w:space="0" w:color="000000"/>
              <w:bottom w:val="single" w:sz="4" w:space="0" w:color="000000"/>
              <w:right w:val="single" w:sz="8" w:space="0" w:color="000000"/>
            </w:tcBorders>
            <w:shd w:val="clear" w:color="auto" w:fill="auto"/>
            <w:vAlign w:val="bottom"/>
          </w:tcPr>
          <w:p w14:paraId="5AB2AC04" w14:textId="77777777" w:rsidR="004E0C7A" w:rsidRPr="002F0AF5" w:rsidRDefault="004E0C7A" w:rsidP="00AF7313">
            <w:pPr>
              <w:spacing w:after="0" w:line="276" w:lineRule="auto"/>
              <w:jc w:val="right"/>
              <w:rPr>
                <w:rFonts w:cstheme="minorHAnsi"/>
                <w:color w:val="000000"/>
              </w:rPr>
            </w:pPr>
            <w:r w:rsidRPr="002F0AF5">
              <w:rPr>
                <w:rFonts w:cstheme="minorHAnsi"/>
                <w:color w:val="000000"/>
              </w:rPr>
              <w:t>15%</w:t>
            </w:r>
          </w:p>
        </w:tc>
      </w:tr>
      <w:tr w:rsidR="004E0C7A" w:rsidRPr="002F0AF5" w14:paraId="2E0BED83" w14:textId="77777777" w:rsidTr="004E0C7A">
        <w:trPr>
          <w:trHeight w:val="270"/>
          <w:jc w:val="center"/>
        </w:trPr>
        <w:tc>
          <w:tcPr>
            <w:tcW w:w="7665" w:type="dxa"/>
            <w:tcBorders>
              <w:top w:val="nil"/>
              <w:left w:val="single" w:sz="4" w:space="0" w:color="000000"/>
              <w:bottom w:val="single" w:sz="4" w:space="0" w:color="000000"/>
              <w:right w:val="nil"/>
            </w:tcBorders>
            <w:shd w:val="clear" w:color="auto" w:fill="auto"/>
            <w:hideMark/>
          </w:tcPr>
          <w:p w14:paraId="06F3A3C7" w14:textId="77777777" w:rsidR="004E0C7A" w:rsidRPr="005667C1" w:rsidRDefault="004E0C7A" w:rsidP="00AF7313">
            <w:pPr>
              <w:spacing w:after="0" w:line="276" w:lineRule="auto"/>
              <w:rPr>
                <w:rFonts w:eastAsia="Times New Roman" w:cstheme="minorHAnsi"/>
                <w:color w:val="000000"/>
              </w:rPr>
            </w:pPr>
            <w:r>
              <w:rPr>
                <w:rFonts w:eastAsia="Times New Roman" w:cstheme="minorHAnsi"/>
                <w:bCs/>
                <w:color w:val="000000"/>
              </w:rPr>
              <w:t>S</w:t>
            </w:r>
            <w:r w:rsidRPr="005667C1">
              <w:rPr>
                <w:rFonts w:eastAsia="Times New Roman" w:cstheme="minorHAnsi"/>
                <w:bCs/>
                <w:color w:val="000000"/>
              </w:rPr>
              <w:t>tate agencies</w:t>
            </w:r>
          </w:p>
        </w:tc>
        <w:tc>
          <w:tcPr>
            <w:tcW w:w="720" w:type="dxa"/>
            <w:tcBorders>
              <w:top w:val="nil"/>
              <w:left w:val="single" w:sz="8" w:space="0" w:color="000000"/>
              <w:bottom w:val="single" w:sz="4" w:space="0" w:color="000000"/>
              <w:right w:val="single" w:sz="8" w:space="0" w:color="000000"/>
            </w:tcBorders>
            <w:shd w:val="clear" w:color="auto" w:fill="auto"/>
            <w:vAlign w:val="bottom"/>
          </w:tcPr>
          <w:p w14:paraId="4BDECDED" w14:textId="77777777" w:rsidR="004E0C7A" w:rsidRPr="002F0AF5" w:rsidRDefault="004E0C7A" w:rsidP="00AF7313">
            <w:pPr>
              <w:spacing w:after="0" w:line="276" w:lineRule="auto"/>
              <w:jc w:val="right"/>
              <w:rPr>
                <w:rFonts w:cstheme="minorHAnsi"/>
                <w:color w:val="000000"/>
              </w:rPr>
            </w:pPr>
            <w:r w:rsidRPr="002F0AF5">
              <w:rPr>
                <w:rFonts w:cstheme="minorHAnsi"/>
                <w:color w:val="000000"/>
              </w:rPr>
              <w:t>12%</w:t>
            </w:r>
          </w:p>
        </w:tc>
      </w:tr>
      <w:tr w:rsidR="004E0C7A" w:rsidRPr="002F0AF5" w14:paraId="35DC6ADB" w14:textId="77777777" w:rsidTr="004E0C7A">
        <w:trPr>
          <w:trHeight w:val="270"/>
          <w:jc w:val="center"/>
        </w:trPr>
        <w:tc>
          <w:tcPr>
            <w:tcW w:w="7665" w:type="dxa"/>
            <w:tcBorders>
              <w:top w:val="nil"/>
              <w:left w:val="single" w:sz="4" w:space="0" w:color="000000"/>
              <w:bottom w:val="single" w:sz="4" w:space="0" w:color="000000"/>
              <w:right w:val="nil"/>
            </w:tcBorders>
            <w:shd w:val="clear" w:color="auto" w:fill="auto"/>
            <w:hideMark/>
          </w:tcPr>
          <w:p w14:paraId="1AA391E2" w14:textId="77777777" w:rsidR="004E0C7A" w:rsidRPr="005667C1" w:rsidRDefault="004E0C7A" w:rsidP="00AF7313">
            <w:pPr>
              <w:spacing w:after="0" w:line="276" w:lineRule="auto"/>
              <w:rPr>
                <w:rFonts w:eastAsia="Times New Roman" w:cstheme="minorHAnsi"/>
                <w:color w:val="000000"/>
              </w:rPr>
            </w:pPr>
            <w:r>
              <w:rPr>
                <w:rFonts w:eastAsia="Times New Roman" w:cstheme="minorHAnsi"/>
                <w:bCs/>
                <w:color w:val="000000"/>
              </w:rPr>
              <w:t>S</w:t>
            </w:r>
            <w:r w:rsidRPr="005667C1">
              <w:rPr>
                <w:rFonts w:eastAsia="Times New Roman" w:cstheme="minorHAnsi"/>
                <w:bCs/>
                <w:color w:val="000000"/>
              </w:rPr>
              <w:t>ubstance use</w:t>
            </w:r>
            <w:r w:rsidRPr="005667C1">
              <w:rPr>
                <w:rFonts w:eastAsia="Times New Roman" w:cstheme="minorHAnsi"/>
                <w:color w:val="000000"/>
              </w:rPr>
              <w:t xml:space="preserve"> services</w:t>
            </w:r>
          </w:p>
        </w:tc>
        <w:tc>
          <w:tcPr>
            <w:tcW w:w="720" w:type="dxa"/>
            <w:tcBorders>
              <w:top w:val="nil"/>
              <w:left w:val="single" w:sz="8" w:space="0" w:color="000000"/>
              <w:bottom w:val="single" w:sz="4" w:space="0" w:color="000000"/>
              <w:right w:val="single" w:sz="8" w:space="0" w:color="000000"/>
            </w:tcBorders>
            <w:shd w:val="clear" w:color="auto" w:fill="auto"/>
            <w:vAlign w:val="bottom"/>
          </w:tcPr>
          <w:p w14:paraId="10205608" w14:textId="77777777" w:rsidR="004E0C7A" w:rsidRPr="002F0AF5" w:rsidRDefault="004E0C7A" w:rsidP="00AF7313">
            <w:pPr>
              <w:spacing w:after="0" w:line="276" w:lineRule="auto"/>
              <w:jc w:val="right"/>
              <w:rPr>
                <w:rFonts w:cstheme="minorHAnsi"/>
                <w:color w:val="000000"/>
              </w:rPr>
            </w:pPr>
            <w:r w:rsidRPr="002F0AF5">
              <w:rPr>
                <w:rFonts w:cstheme="minorHAnsi"/>
                <w:color w:val="000000"/>
              </w:rPr>
              <w:t>7%</w:t>
            </w:r>
          </w:p>
        </w:tc>
      </w:tr>
      <w:tr w:rsidR="004E0C7A" w:rsidRPr="002F0AF5" w14:paraId="6114550B" w14:textId="77777777" w:rsidTr="004E0C7A">
        <w:trPr>
          <w:trHeight w:val="270"/>
          <w:jc w:val="center"/>
        </w:trPr>
        <w:tc>
          <w:tcPr>
            <w:tcW w:w="7665" w:type="dxa"/>
            <w:tcBorders>
              <w:top w:val="nil"/>
              <w:left w:val="single" w:sz="4" w:space="0" w:color="000000"/>
              <w:bottom w:val="single" w:sz="4" w:space="0" w:color="000000"/>
              <w:right w:val="nil"/>
            </w:tcBorders>
            <w:shd w:val="clear" w:color="auto" w:fill="auto"/>
            <w:hideMark/>
          </w:tcPr>
          <w:p w14:paraId="63FC23F4" w14:textId="77777777" w:rsidR="004E0C7A" w:rsidRPr="005667C1" w:rsidRDefault="004E0C7A" w:rsidP="00AF7313">
            <w:pPr>
              <w:spacing w:after="0" w:line="276" w:lineRule="auto"/>
              <w:rPr>
                <w:rFonts w:eastAsia="Times New Roman" w:cstheme="minorHAnsi"/>
                <w:color w:val="000000"/>
              </w:rPr>
            </w:pPr>
            <w:r w:rsidRPr="005667C1">
              <w:rPr>
                <w:rFonts w:eastAsia="Times New Roman" w:cstheme="minorHAnsi"/>
                <w:bCs/>
                <w:color w:val="000000"/>
              </w:rPr>
              <w:t xml:space="preserve">Parenting </w:t>
            </w:r>
            <w:r w:rsidRPr="005667C1">
              <w:rPr>
                <w:rFonts w:eastAsia="Times New Roman" w:cstheme="minorHAnsi"/>
                <w:color w:val="000000"/>
              </w:rPr>
              <w:t>resources</w:t>
            </w:r>
          </w:p>
        </w:tc>
        <w:tc>
          <w:tcPr>
            <w:tcW w:w="720" w:type="dxa"/>
            <w:tcBorders>
              <w:top w:val="nil"/>
              <w:left w:val="single" w:sz="8" w:space="0" w:color="000000"/>
              <w:bottom w:val="single" w:sz="4" w:space="0" w:color="000000"/>
              <w:right w:val="single" w:sz="8" w:space="0" w:color="000000"/>
            </w:tcBorders>
            <w:shd w:val="clear" w:color="auto" w:fill="auto"/>
            <w:vAlign w:val="bottom"/>
          </w:tcPr>
          <w:p w14:paraId="5AFC4405" w14:textId="77777777" w:rsidR="004E0C7A" w:rsidRPr="002F0AF5" w:rsidRDefault="004E0C7A" w:rsidP="00AF7313">
            <w:pPr>
              <w:spacing w:after="0" w:line="276" w:lineRule="auto"/>
              <w:jc w:val="right"/>
              <w:rPr>
                <w:rFonts w:cstheme="minorHAnsi"/>
                <w:color w:val="000000"/>
              </w:rPr>
            </w:pPr>
            <w:r w:rsidRPr="002F0AF5">
              <w:rPr>
                <w:rFonts w:cstheme="minorHAnsi"/>
                <w:color w:val="000000"/>
              </w:rPr>
              <w:t>7%</w:t>
            </w:r>
          </w:p>
        </w:tc>
      </w:tr>
      <w:tr w:rsidR="004E0C7A" w:rsidRPr="002F0AF5" w14:paraId="76EB4475" w14:textId="77777777" w:rsidTr="004E0C7A">
        <w:trPr>
          <w:trHeight w:val="270"/>
          <w:jc w:val="center"/>
        </w:trPr>
        <w:tc>
          <w:tcPr>
            <w:tcW w:w="7665" w:type="dxa"/>
            <w:tcBorders>
              <w:top w:val="nil"/>
              <w:left w:val="single" w:sz="4" w:space="0" w:color="000000"/>
              <w:bottom w:val="single" w:sz="4" w:space="0" w:color="000000"/>
              <w:right w:val="nil"/>
            </w:tcBorders>
            <w:shd w:val="clear" w:color="auto" w:fill="auto"/>
            <w:hideMark/>
          </w:tcPr>
          <w:p w14:paraId="640F687A" w14:textId="77777777" w:rsidR="004E0C7A" w:rsidRPr="005667C1" w:rsidRDefault="004E0C7A" w:rsidP="00AF7313">
            <w:pPr>
              <w:spacing w:after="0" w:line="276" w:lineRule="auto"/>
              <w:rPr>
                <w:rFonts w:eastAsia="Times New Roman" w:cstheme="minorHAnsi"/>
                <w:color w:val="000000"/>
              </w:rPr>
            </w:pPr>
            <w:r>
              <w:rPr>
                <w:rFonts w:eastAsia="Times New Roman" w:cstheme="minorHAnsi"/>
                <w:bCs/>
                <w:color w:val="000000"/>
              </w:rPr>
              <w:t>H</w:t>
            </w:r>
            <w:r w:rsidRPr="005667C1">
              <w:rPr>
                <w:rFonts w:eastAsia="Times New Roman" w:cstheme="minorHAnsi"/>
                <w:bCs/>
                <w:color w:val="000000"/>
              </w:rPr>
              <w:t>ealth insurance</w:t>
            </w:r>
            <w:r w:rsidRPr="005667C1">
              <w:rPr>
                <w:rFonts w:eastAsia="Times New Roman" w:cstheme="minorHAnsi"/>
                <w:color w:val="000000"/>
              </w:rPr>
              <w:t xml:space="preserve"> providers</w:t>
            </w:r>
          </w:p>
        </w:tc>
        <w:tc>
          <w:tcPr>
            <w:tcW w:w="720" w:type="dxa"/>
            <w:tcBorders>
              <w:top w:val="nil"/>
              <w:left w:val="single" w:sz="8" w:space="0" w:color="000000"/>
              <w:bottom w:val="single" w:sz="4" w:space="0" w:color="000000"/>
              <w:right w:val="single" w:sz="8" w:space="0" w:color="000000"/>
            </w:tcBorders>
            <w:shd w:val="clear" w:color="auto" w:fill="auto"/>
            <w:vAlign w:val="bottom"/>
          </w:tcPr>
          <w:p w14:paraId="3E27F639" w14:textId="77777777" w:rsidR="004E0C7A" w:rsidRPr="002F0AF5" w:rsidRDefault="004E0C7A" w:rsidP="00AF7313">
            <w:pPr>
              <w:spacing w:after="0" w:line="276" w:lineRule="auto"/>
              <w:jc w:val="right"/>
              <w:rPr>
                <w:rFonts w:cstheme="minorHAnsi"/>
                <w:color w:val="000000"/>
              </w:rPr>
            </w:pPr>
            <w:r w:rsidRPr="002F0AF5">
              <w:rPr>
                <w:rFonts w:cstheme="minorHAnsi"/>
                <w:color w:val="000000"/>
              </w:rPr>
              <w:t>7%</w:t>
            </w:r>
          </w:p>
        </w:tc>
      </w:tr>
      <w:tr w:rsidR="004E0C7A" w:rsidRPr="002F0AF5" w14:paraId="559A7902" w14:textId="77777777" w:rsidTr="004E0C7A">
        <w:trPr>
          <w:trHeight w:val="270"/>
          <w:jc w:val="center"/>
        </w:trPr>
        <w:tc>
          <w:tcPr>
            <w:tcW w:w="7665" w:type="dxa"/>
            <w:tcBorders>
              <w:top w:val="nil"/>
              <w:left w:val="single" w:sz="4" w:space="0" w:color="000000"/>
              <w:bottom w:val="single" w:sz="4" w:space="0" w:color="000000"/>
              <w:right w:val="nil"/>
            </w:tcBorders>
            <w:shd w:val="clear" w:color="auto" w:fill="auto"/>
            <w:hideMark/>
          </w:tcPr>
          <w:p w14:paraId="3AAE470C" w14:textId="77777777" w:rsidR="004E0C7A" w:rsidRPr="005667C1" w:rsidRDefault="004E0C7A" w:rsidP="00AF7313">
            <w:pPr>
              <w:spacing w:after="0" w:line="276" w:lineRule="auto"/>
              <w:rPr>
                <w:rFonts w:eastAsia="Times New Roman" w:cstheme="minorHAnsi"/>
                <w:color w:val="000000"/>
              </w:rPr>
            </w:pPr>
            <w:r w:rsidRPr="005667C1">
              <w:rPr>
                <w:rFonts w:eastAsia="Times New Roman" w:cstheme="minorHAnsi"/>
                <w:bCs/>
                <w:color w:val="000000"/>
              </w:rPr>
              <w:t>Language</w:t>
            </w:r>
            <w:r w:rsidRPr="005667C1">
              <w:rPr>
                <w:rFonts w:eastAsia="Times New Roman" w:cstheme="minorHAnsi"/>
                <w:color w:val="000000"/>
              </w:rPr>
              <w:t>-related resources</w:t>
            </w:r>
          </w:p>
        </w:tc>
        <w:tc>
          <w:tcPr>
            <w:tcW w:w="720" w:type="dxa"/>
            <w:tcBorders>
              <w:top w:val="nil"/>
              <w:left w:val="single" w:sz="8" w:space="0" w:color="000000"/>
              <w:bottom w:val="single" w:sz="4" w:space="0" w:color="000000"/>
              <w:right w:val="single" w:sz="8" w:space="0" w:color="000000"/>
            </w:tcBorders>
            <w:shd w:val="clear" w:color="auto" w:fill="auto"/>
            <w:vAlign w:val="bottom"/>
          </w:tcPr>
          <w:p w14:paraId="4AE86BA7" w14:textId="77777777" w:rsidR="004E0C7A" w:rsidRPr="002F0AF5" w:rsidRDefault="004E0C7A" w:rsidP="00AF7313">
            <w:pPr>
              <w:spacing w:after="0" w:line="276" w:lineRule="auto"/>
              <w:jc w:val="right"/>
              <w:rPr>
                <w:rFonts w:cstheme="minorHAnsi"/>
                <w:color w:val="000000"/>
              </w:rPr>
            </w:pPr>
            <w:r w:rsidRPr="002F0AF5">
              <w:rPr>
                <w:rFonts w:cstheme="minorHAnsi"/>
                <w:color w:val="000000"/>
              </w:rPr>
              <w:t>6%</w:t>
            </w:r>
          </w:p>
        </w:tc>
      </w:tr>
      <w:tr w:rsidR="004E0C7A" w:rsidRPr="002F0AF5" w14:paraId="37FEFACC" w14:textId="77777777" w:rsidTr="004E0C7A">
        <w:trPr>
          <w:trHeight w:val="260"/>
          <w:jc w:val="center"/>
        </w:trPr>
        <w:tc>
          <w:tcPr>
            <w:tcW w:w="7665" w:type="dxa"/>
            <w:tcBorders>
              <w:top w:val="single" w:sz="4" w:space="0" w:color="000000"/>
              <w:left w:val="single" w:sz="4" w:space="0" w:color="000000"/>
              <w:bottom w:val="single" w:sz="4" w:space="0" w:color="auto"/>
              <w:right w:val="nil"/>
            </w:tcBorders>
            <w:shd w:val="clear" w:color="auto" w:fill="auto"/>
            <w:hideMark/>
          </w:tcPr>
          <w:p w14:paraId="22211A98" w14:textId="77777777" w:rsidR="004E0C7A" w:rsidRPr="005667C1" w:rsidRDefault="004E0C7A" w:rsidP="00AF7313">
            <w:pPr>
              <w:spacing w:after="0" w:line="276" w:lineRule="auto"/>
              <w:rPr>
                <w:rFonts w:eastAsia="Times New Roman" w:cstheme="minorHAnsi"/>
                <w:color w:val="000000"/>
              </w:rPr>
            </w:pPr>
            <w:r w:rsidRPr="005667C1">
              <w:rPr>
                <w:rFonts w:eastAsia="Times New Roman" w:cstheme="minorHAnsi"/>
                <w:bCs/>
                <w:color w:val="000000"/>
              </w:rPr>
              <w:t xml:space="preserve">Cultural/ recreation </w:t>
            </w:r>
            <w:r w:rsidRPr="005667C1">
              <w:rPr>
                <w:rFonts w:eastAsia="Times New Roman" w:cstheme="minorHAnsi"/>
                <w:color w:val="000000"/>
              </w:rPr>
              <w:t>activities</w:t>
            </w:r>
          </w:p>
        </w:tc>
        <w:tc>
          <w:tcPr>
            <w:tcW w:w="720" w:type="dxa"/>
            <w:tcBorders>
              <w:top w:val="single" w:sz="4" w:space="0" w:color="000000"/>
              <w:left w:val="single" w:sz="8" w:space="0" w:color="000000"/>
              <w:bottom w:val="single" w:sz="4" w:space="0" w:color="auto"/>
              <w:right w:val="single" w:sz="8" w:space="0" w:color="000000"/>
            </w:tcBorders>
            <w:shd w:val="clear" w:color="auto" w:fill="auto"/>
            <w:vAlign w:val="bottom"/>
          </w:tcPr>
          <w:p w14:paraId="6B05FD07" w14:textId="77777777" w:rsidR="004E0C7A" w:rsidRPr="002F0AF5" w:rsidRDefault="004E0C7A" w:rsidP="00AF7313">
            <w:pPr>
              <w:spacing w:after="0" w:line="276" w:lineRule="auto"/>
              <w:jc w:val="right"/>
              <w:rPr>
                <w:rFonts w:cstheme="minorHAnsi"/>
                <w:color w:val="000000"/>
              </w:rPr>
            </w:pPr>
            <w:r w:rsidRPr="002F0AF5">
              <w:rPr>
                <w:rFonts w:cstheme="minorHAnsi"/>
                <w:color w:val="000000"/>
              </w:rPr>
              <w:t>6%</w:t>
            </w:r>
          </w:p>
        </w:tc>
      </w:tr>
      <w:tr w:rsidR="004E0C7A" w:rsidRPr="002F0AF5" w14:paraId="0FDD674E" w14:textId="77777777" w:rsidTr="004E0C7A">
        <w:trPr>
          <w:trHeight w:val="270"/>
          <w:jc w:val="center"/>
        </w:trPr>
        <w:tc>
          <w:tcPr>
            <w:tcW w:w="7665" w:type="dxa"/>
            <w:tcBorders>
              <w:top w:val="nil"/>
              <w:left w:val="single" w:sz="4" w:space="0" w:color="000000"/>
              <w:bottom w:val="single" w:sz="4" w:space="0" w:color="000000"/>
              <w:right w:val="nil"/>
            </w:tcBorders>
            <w:shd w:val="clear" w:color="auto" w:fill="auto"/>
            <w:hideMark/>
          </w:tcPr>
          <w:p w14:paraId="4BE83748" w14:textId="77777777" w:rsidR="004E0C7A" w:rsidRPr="005667C1" w:rsidRDefault="004E0C7A" w:rsidP="00AF7313">
            <w:pPr>
              <w:spacing w:after="0" w:line="276" w:lineRule="auto"/>
              <w:rPr>
                <w:rFonts w:eastAsia="Times New Roman" w:cstheme="minorHAnsi"/>
                <w:color w:val="000000"/>
              </w:rPr>
            </w:pPr>
            <w:r w:rsidRPr="005667C1">
              <w:rPr>
                <w:rFonts w:eastAsia="Times New Roman" w:cstheme="minorHAnsi"/>
                <w:bCs/>
                <w:color w:val="000000"/>
              </w:rPr>
              <w:t>Domestic violence</w:t>
            </w:r>
            <w:r w:rsidRPr="005667C1">
              <w:rPr>
                <w:rFonts w:eastAsia="Times New Roman" w:cstheme="minorHAnsi"/>
                <w:color w:val="000000"/>
              </w:rPr>
              <w:t>-related services</w:t>
            </w:r>
          </w:p>
        </w:tc>
        <w:tc>
          <w:tcPr>
            <w:tcW w:w="720" w:type="dxa"/>
            <w:tcBorders>
              <w:top w:val="nil"/>
              <w:left w:val="single" w:sz="8" w:space="0" w:color="000000"/>
              <w:bottom w:val="single" w:sz="4" w:space="0" w:color="000000"/>
              <w:right w:val="single" w:sz="8" w:space="0" w:color="000000"/>
            </w:tcBorders>
            <w:shd w:val="clear" w:color="auto" w:fill="auto"/>
            <w:vAlign w:val="bottom"/>
          </w:tcPr>
          <w:p w14:paraId="269D9076" w14:textId="77777777" w:rsidR="004E0C7A" w:rsidRPr="002F0AF5" w:rsidRDefault="004E0C7A" w:rsidP="00AF7313">
            <w:pPr>
              <w:spacing w:after="0" w:line="276" w:lineRule="auto"/>
              <w:jc w:val="right"/>
              <w:rPr>
                <w:rFonts w:cstheme="minorHAnsi"/>
                <w:color w:val="000000"/>
              </w:rPr>
            </w:pPr>
            <w:r w:rsidRPr="002F0AF5">
              <w:rPr>
                <w:rFonts w:cstheme="minorHAnsi"/>
                <w:color w:val="000000"/>
              </w:rPr>
              <w:t>5%</w:t>
            </w:r>
          </w:p>
        </w:tc>
      </w:tr>
      <w:tr w:rsidR="004E0C7A" w:rsidRPr="002F0AF5" w14:paraId="0B282130" w14:textId="77777777" w:rsidTr="004E0C7A">
        <w:trPr>
          <w:trHeight w:val="270"/>
          <w:jc w:val="center"/>
        </w:trPr>
        <w:tc>
          <w:tcPr>
            <w:tcW w:w="7665" w:type="dxa"/>
            <w:tcBorders>
              <w:top w:val="nil"/>
              <w:left w:val="single" w:sz="4" w:space="0" w:color="000000"/>
              <w:bottom w:val="single" w:sz="4" w:space="0" w:color="000000"/>
              <w:right w:val="nil"/>
            </w:tcBorders>
            <w:shd w:val="clear" w:color="auto" w:fill="auto"/>
            <w:hideMark/>
          </w:tcPr>
          <w:p w14:paraId="3BD0C73F" w14:textId="77777777" w:rsidR="004E0C7A" w:rsidRPr="005667C1" w:rsidRDefault="004E0C7A" w:rsidP="00AF7313">
            <w:pPr>
              <w:spacing w:after="0" w:line="276" w:lineRule="auto"/>
              <w:rPr>
                <w:rFonts w:eastAsia="Times New Roman" w:cstheme="minorHAnsi"/>
                <w:color w:val="000000"/>
              </w:rPr>
            </w:pPr>
            <w:r w:rsidRPr="005667C1">
              <w:rPr>
                <w:rFonts w:eastAsia="Times New Roman" w:cstheme="minorHAnsi"/>
                <w:bCs/>
                <w:color w:val="000000"/>
              </w:rPr>
              <w:t>Legal</w:t>
            </w:r>
            <w:r w:rsidRPr="005667C1">
              <w:rPr>
                <w:rFonts w:eastAsia="Times New Roman" w:cstheme="minorHAnsi"/>
                <w:color w:val="000000"/>
              </w:rPr>
              <w:t xml:space="preserve"> services</w:t>
            </w:r>
          </w:p>
        </w:tc>
        <w:tc>
          <w:tcPr>
            <w:tcW w:w="720" w:type="dxa"/>
            <w:tcBorders>
              <w:top w:val="nil"/>
              <w:left w:val="single" w:sz="8" w:space="0" w:color="000000"/>
              <w:bottom w:val="single" w:sz="4" w:space="0" w:color="000000"/>
              <w:right w:val="single" w:sz="8" w:space="0" w:color="000000"/>
            </w:tcBorders>
            <w:shd w:val="clear" w:color="auto" w:fill="auto"/>
            <w:vAlign w:val="bottom"/>
          </w:tcPr>
          <w:p w14:paraId="5378804C" w14:textId="77777777" w:rsidR="004E0C7A" w:rsidRPr="002F0AF5" w:rsidRDefault="004E0C7A" w:rsidP="00AF7313">
            <w:pPr>
              <w:spacing w:after="0" w:line="276" w:lineRule="auto"/>
              <w:jc w:val="right"/>
              <w:rPr>
                <w:rFonts w:cstheme="minorHAnsi"/>
                <w:color w:val="000000"/>
              </w:rPr>
            </w:pPr>
            <w:r w:rsidRPr="002F0AF5">
              <w:rPr>
                <w:rFonts w:cstheme="minorHAnsi"/>
                <w:color w:val="000000"/>
              </w:rPr>
              <w:t>4%</w:t>
            </w:r>
          </w:p>
        </w:tc>
      </w:tr>
    </w:tbl>
    <w:p w14:paraId="1D8DDE3F" w14:textId="77777777" w:rsidR="00760ACB" w:rsidRDefault="00760ACB" w:rsidP="00771702">
      <w:pPr>
        <w:pStyle w:val="ListParagraph"/>
        <w:spacing w:after="0" w:line="240" w:lineRule="auto"/>
        <w:ind w:left="0"/>
        <w:rPr>
          <w:b/>
        </w:rPr>
      </w:pPr>
    </w:p>
    <w:p w14:paraId="6693C604" w14:textId="38124C3E" w:rsidR="00760ACB" w:rsidRPr="004760DD" w:rsidRDefault="00760ACB" w:rsidP="00760ACB">
      <w:pPr>
        <w:pStyle w:val="Body"/>
        <w:spacing w:line="276" w:lineRule="auto"/>
        <w:rPr>
          <w:rFonts w:asciiTheme="minorHAnsi" w:hAnsiTheme="minorHAnsi"/>
          <w:color w:val="auto"/>
          <w:sz w:val="22"/>
          <w:szCs w:val="22"/>
        </w:rPr>
      </w:pPr>
      <w:r>
        <w:rPr>
          <w:rFonts w:asciiTheme="minorHAnsi" w:hAnsiTheme="minorHAnsi"/>
          <w:color w:val="auto"/>
          <w:sz w:val="22"/>
          <w:szCs w:val="22"/>
        </w:rPr>
        <w:lastRenderedPageBreak/>
        <w:t>While the first quarter</w:t>
      </w:r>
      <w:r w:rsidR="000C12E2">
        <w:rPr>
          <w:rFonts w:asciiTheme="minorHAnsi" w:hAnsiTheme="minorHAnsi"/>
          <w:color w:val="auto"/>
          <w:sz w:val="22"/>
          <w:szCs w:val="22"/>
        </w:rPr>
        <w:t xml:space="preserve"> of FY 2</w:t>
      </w:r>
      <w:r w:rsidR="004904B2">
        <w:rPr>
          <w:rFonts w:asciiTheme="minorHAnsi" w:hAnsiTheme="minorHAnsi"/>
          <w:color w:val="auto"/>
          <w:sz w:val="22"/>
          <w:szCs w:val="22"/>
        </w:rPr>
        <w:t>1</w:t>
      </w:r>
      <w:r>
        <w:rPr>
          <w:rFonts w:asciiTheme="minorHAnsi" w:hAnsiTheme="minorHAnsi"/>
          <w:color w:val="auto"/>
          <w:sz w:val="22"/>
          <w:szCs w:val="22"/>
        </w:rPr>
        <w:t xml:space="preserve"> shows a slight decrease in the </w:t>
      </w:r>
      <w:r w:rsidR="0017523B">
        <w:rPr>
          <w:rFonts w:asciiTheme="minorHAnsi" w:hAnsiTheme="minorHAnsi"/>
          <w:color w:val="auto"/>
          <w:sz w:val="22"/>
          <w:szCs w:val="22"/>
        </w:rPr>
        <w:t>percent</w:t>
      </w:r>
      <w:r>
        <w:rPr>
          <w:rFonts w:asciiTheme="minorHAnsi" w:hAnsiTheme="minorHAnsi"/>
          <w:color w:val="auto"/>
          <w:sz w:val="22"/>
          <w:szCs w:val="22"/>
        </w:rPr>
        <w:t xml:space="preserve"> of youth served receiving referrals out, there are some interesting trends—some encouraging and some concerning. Two areas that showed an increase were referrals for housing supports and for mental health services. Of concern </w:t>
      </w:r>
      <w:r w:rsidR="000C12E2">
        <w:rPr>
          <w:rFonts w:asciiTheme="minorHAnsi" w:hAnsiTheme="minorHAnsi"/>
          <w:color w:val="auto"/>
          <w:sz w:val="22"/>
          <w:szCs w:val="22"/>
        </w:rPr>
        <w:t>was</w:t>
      </w:r>
      <w:r>
        <w:rPr>
          <w:rFonts w:asciiTheme="minorHAnsi" w:hAnsiTheme="minorHAnsi"/>
          <w:color w:val="auto"/>
          <w:sz w:val="22"/>
          <w:szCs w:val="22"/>
        </w:rPr>
        <w:t xml:space="preserve"> a large decrease in referrals for health services.</w:t>
      </w:r>
    </w:p>
    <w:p w14:paraId="4E206AF5" w14:textId="77777777" w:rsidR="00760ACB" w:rsidRDefault="00760ACB" w:rsidP="00760ACB">
      <w:pPr>
        <w:pStyle w:val="ListParagraph"/>
        <w:ind w:left="0"/>
      </w:pPr>
      <w:r>
        <w:t xml:space="preserve"> </w:t>
      </w:r>
    </w:p>
    <w:p w14:paraId="4CB41B3C" w14:textId="23807B39" w:rsidR="00760ACB" w:rsidRDefault="00760ACB" w:rsidP="00760ACB">
      <w:pPr>
        <w:pStyle w:val="Heading2"/>
        <w:rPr>
          <w:rFonts w:eastAsia="Calibri"/>
        </w:rPr>
      </w:pPr>
      <w:bookmarkStart w:id="6" w:name="_Toc64523600"/>
      <w:r>
        <w:rPr>
          <w:rFonts w:eastAsia="Calibri"/>
        </w:rPr>
        <w:t>Partnership Development</w:t>
      </w:r>
      <w:bookmarkEnd w:id="6"/>
    </w:p>
    <w:p w14:paraId="3485ABA8" w14:textId="747008C9" w:rsidR="00760ACB" w:rsidRPr="00F57ED6" w:rsidRDefault="00760ACB" w:rsidP="00760ACB">
      <w:pPr>
        <w:spacing w:line="276" w:lineRule="auto"/>
        <w:rPr>
          <w:rFonts w:eastAsia="Calibri" w:cstheme="minorHAnsi"/>
        </w:rPr>
      </w:pPr>
      <w:r w:rsidRPr="004C0FE7">
        <w:rPr>
          <w:rFonts w:eastAsia="Calibri" w:cstheme="minorHAnsi"/>
        </w:rPr>
        <w:t xml:space="preserve">Many providers reported that the partnerships they had cultivated prior to COVID-19 </w:t>
      </w:r>
      <w:r>
        <w:rPr>
          <w:rFonts w:eastAsia="Calibri" w:cstheme="minorHAnsi"/>
        </w:rPr>
        <w:t xml:space="preserve">as part of the </w:t>
      </w:r>
      <w:r w:rsidRPr="00261462">
        <w:rPr>
          <w:rFonts w:eastAsia="Calibri" w:cstheme="minorHAnsi"/>
          <w:u w:val="single"/>
        </w:rPr>
        <w:t xml:space="preserve">Plan to End YYA </w:t>
      </w:r>
      <w:r w:rsidR="0017523B" w:rsidRPr="00261462">
        <w:rPr>
          <w:rFonts w:eastAsia="Calibri" w:cstheme="minorHAnsi"/>
          <w:u w:val="single"/>
        </w:rPr>
        <w:t xml:space="preserve">Homelessness </w:t>
      </w:r>
      <w:r w:rsidR="0017523B">
        <w:rPr>
          <w:rFonts w:eastAsia="Calibri" w:cstheme="minorHAnsi"/>
        </w:rPr>
        <w:t>enhanced</w:t>
      </w:r>
      <w:r>
        <w:rPr>
          <w:rFonts w:eastAsia="Calibri" w:cstheme="minorHAnsi"/>
        </w:rPr>
        <w:t xml:space="preserve"> their preparedness </w:t>
      </w:r>
      <w:r w:rsidRPr="004C0FE7">
        <w:rPr>
          <w:rFonts w:eastAsia="Calibri" w:cstheme="minorHAnsi"/>
        </w:rPr>
        <w:t xml:space="preserve">to respond quickly to youth need. </w:t>
      </w:r>
      <w:r>
        <w:rPr>
          <w:rFonts w:eastAsia="Calibri" w:cstheme="minorHAnsi"/>
        </w:rPr>
        <w:t xml:space="preserve">Several providers highlighted improved coordination and responsiveness with DCF, DMH, and DYS. </w:t>
      </w:r>
      <w:r w:rsidRPr="004C0FE7">
        <w:rPr>
          <w:rFonts w:eastAsia="Calibri" w:cstheme="minorHAnsi"/>
        </w:rPr>
        <w:t>Yet, as the pandemic continued over the summer</w:t>
      </w:r>
      <w:r>
        <w:rPr>
          <w:rFonts w:eastAsia="Calibri" w:cstheme="minorHAnsi"/>
        </w:rPr>
        <w:t xml:space="preserve"> and into the fall</w:t>
      </w:r>
      <w:r w:rsidRPr="004C0FE7">
        <w:rPr>
          <w:rFonts w:eastAsia="Calibri" w:cstheme="minorHAnsi"/>
        </w:rPr>
        <w:t xml:space="preserve">, some regions </w:t>
      </w:r>
      <w:r>
        <w:rPr>
          <w:rFonts w:eastAsia="Calibri" w:cstheme="minorHAnsi"/>
        </w:rPr>
        <w:t>were finding</w:t>
      </w:r>
      <w:r w:rsidRPr="004C0FE7">
        <w:rPr>
          <w:rFonts w:eastAsia="Calibri" w:cstheme="minorHAnsi"/>
        </w:rPr>
        <w:t xml:space="preserve"> it difficult to foster </w:t>
      </w:r>
      <w:r>
        <w:rPr>
          <w:rFonts w:eastAsia="Calibri" w:cstheme="minorHAnsi"/>
        </w:rPr>
        <w:t xml:space="preserve">or maintain </w:t>
      </w:r>
      <w:r w:rsidRPr="004C0FE7">
        <w:rPr>
          <w:rFonts w:eastAsia="Calibri" w:cstheme="minorHAnsi"/>
        </w:rPr>
        <w:t>community partnerships</w:t>
      </w:r>
      <w:r>
        <w:rPr>
          <w:rFonts w:eastAsia="Calibri" w:cstheme="minorHAnsi"/>
        </w:rPr>
        <w:t xml:space="preserve">. The challenges were in part due to changes in operations that </w:t>
      </w:r>
      <w:r w:rsidRPr="004C0FE7">
        <w:rPr>
          <w:rFonts w:eastAsia="Calibri" w:cstheme="minorHAnsi"/>
        </w:rPr>
        <w:t xml:space="preserve">decreased </w:t>
      </w:r>
      <w:r>
        <w:rPr>
          <w:rFonts w:eastAsia="Calibri" w:cstheme="minorHAnsi"/>
        </w:rPr>
        <w:t>organizational</w:t>
      </w:r>
      <w:r w:rsidRPr="004C0FE7">
        <w:rPr>
          <w:rFonts w:eastAsia="Calibri" w:cstheme="minorHAnsi"/>
        </w:rPr>
        <w:t xml:space="preserve"> accessibility. </w:t>
      </w:r>
      <w:r>
        <w:rPr>
          <w:rFonts w:eastAsia="Calibri" w:cs="Calibri"/>
        </w:rPr>
        <w:t xml:space="preserve">Regions also reported needing to enhance their capacity to do outreach to particular communities, including LGBTQ YYA, indigenous communities, </w:t>
      </w:r>
      <w:r w:rsidR="0017523B">
        <w:rPr>
          <w:rFonts w:eastAsia="Calibri" w:cs="Calibri"/>
        </w:rPr>
        <w:t xml:space="preserve">and </w:t>
      </w:r>
      <w:r>
        <w:rPr>
          <w:rFonts w:eastAsia="Calibri" w:cs="Calibri"/>
        </w:rPr>
        <w:t xml:space="preserve">YYA with limited English proficiency. </w:t>
      </w:r>
      <w:r w:rsidRPr="004C0FE7">
        <w:rPr>
          <w:rFonts w:eastAsia="Calibri" w:cstheme="minorHAnsi"/>
        </w:rPr>
        <w:t xml:space="preserve">Regional providers discussed attempts to reengage community supports and get an up- to-date understanding of their program capacity. </w:t>
      </w:r>
      <w:r>
        <w:rPr>
          <w:rFonts w:eastAsia="Calibri" w:cstheme="minorHAnsi"/>
        </w:rPr>
        <w:t>In spite of the challenges, there is ample evidence that partnerships were critical in keeping young people housed and resourced. Providers continued to work on coordinated entry and shared data tracking systems.</w:t>
      </w:r>
      <w:r w:rsidR="0017523B">
        <w:rPr>
          <w:rFonts w:eastAsia="Calibri" w:cstheme="minorHAnsi"/>
        </w:rPr>
        <w:t xml:space="preserve"> </w:t>
      </w:r>
      <w:r>
        <w:rPr>
          <w:rFonts w:eastAsia="Calibri" w:cstheme="minorHAnsi"/>
        </w:rPr>
        <w:t xml:space="preserve">The bulleted list below </w:t>
      </w:r>
      <w:r w:rsidR="00F9530A">
        <w:rPr>
          <w:rFonts w:eastAsia="Calibri" w:cstheme="minorHAnsi"/>
        </w:rPr>
        <w:t>highlights some of the</w:t>
      </w:r>
      <w:r>
        <w:rPr>
          <w:rFonts w:eastAsia="Calibri" w:cstheme="minorHAnsi"/>
        </w:rPr>
        <w:t xml:space="preserve"> partnership development work</w:t>
      </w:r>
      <w:r w:rsidR="006012AB">
        <w:rPr>
          <w:rFonts w:eastAsia="Calibri" w:cstheme="minorHAnsi"/>
        </w:rPr>
        <w:t xml:space="preserve"> reported by Regional Providers</w:t>
      </w:r>
      <w:r>
        <w:rPr>
          <w:rFonts w:eastAsia="Calibri" w:cstheme="minorHAnsi"/>
        </w:rPr>
        <w:t>.</w:t>
      </w:r>
    </w:p>
    <w:p w14:paraId="0717243A" w14:textId="0C4B08FE" w:rsidR="00760ACB" w:rsidRPr="00B82377" w:rsidRDefault="00760ACB" w:rsidP="00760ACB">
      <w:pPr>
        <w:rPr>
          <w:rFonts w:eastAsia="Calibri" w:cstheme="majorHAnsi"/>
          <w:b/>
        </w:rPr>
      </w:pPr>
      <w:r w:rsidRPr="00B82377">
        <w:rPr>
          <w:rFonts w:eastAsia="Calibri" w:cstheme="majorHAnsi"/>
          <w:b/>
        </w:rPr>
        <w:t>Housing</w:t>
      </w:r>
      <w:r>
        <w:rPr>
          <w:rFonts w:eastAsia="Calibri" w:cstheme="majorHAnsi"/>
          <w:b/>
        </w:rPr>
        <w:t xml:space="preserve">: </w:t>
      </w:r>
      <w:r w:rsidR="00F9530A">
        <w:rPr>
          <w:rFonts w:eastAsia="Calibri" w:cstheme="majorHAnsi"/>
        </w:rPr>
        <w:t xml:space="preserve">Providers </w:t>
      </w:r>
      <w:r w:rsidRPr="00B82377">
        <w:rPr>
          <w:rFonts w:eastAsia="Calibri" w:cstheme="majorHAnsi"/>
        </w:rPr>
        <w:t xml:space="preserve">developed </w:t>
      </w:r>
      <w:r w:rsidR="00F9530A">
        <w:rPr>
          <w:rFonts w:eastAsia="Calibri" w:cstheme="majorHAnsi"/>
        </w:rPr>
        <w:t xml:space="preserve">partnerships </w:t>
      </w:r>
      <w:r w:rsidRPr="00B82377">
        <w:rPr>
          <w:rFonts w:eastAsia="Calibri" w:cstheme="majorHAnsi"/>
        </w:rPr>
        <w:t xml:space="preserve">with hotels to meet the immediate housing needs of YYA with no safe place to stay. </w:t>
      </w:r>
    </w:p>
    <w:p w14:paraId="204AD25F" w14:textId="3A8159F5" w:rsidR="00760ACB" w:rsidRDefault="00760ACB" w:rsidP="00760ACB">
      <w:pPr>
        <w:pStyle w:val="Body"/>
        <w:rPr>
          <w:rFonts w:asciiTheme="minorHAnsi" w:hAnsiTheme="minorHAnsi"/>
          <w:color w:val="auto"/>
          <w:sz w:val="22"/>
          <w:szCs w:val="22"/>
        </w:rPr>
      </w:pPr>
      <w:r w:rsidRPr="00F57ED6">
        <w:rPr>
          <w:rFonts w:asciiTheme="minorHAnsi" w:eastAsia="Calibri" w:hAnsiTheme="minorHAnsi" w:cstheme="minorHAnsi"/>
          <w:b/>
          <w:sz w:val="22"/>
          <w:szCs w:val="22"/>
        </w:rPr>
        <w:t>COVID-19 coordination</w:t>
      </w:r>
      <w:r>
        <w:rPr>
          <w:rFonts w:eastAsia="Calibri" w:cstheme="majorHAnsi"/>
          <w:b/>
        </w:rPr>
        <w:t>:</w:t>
      </w:r>
      <w:r w:rsidRPr="00F57ED6">
        <w:rPr>
          <w:rFonts w:asciiTheme="minorHAnsi" w:hAnsiTheme="minorHAnsi"/>
          <w:color w:val="auto"/>
          <w:sz w:val="22"/>
          <w:szCs w:val="22"/>
        </w:rPr>
        <w:t xml:space="preserve"> </w:t>
      </w:r>
      <w:r w:rsidR="00F9530A">
        <w:rPr>
          <w:rFonts w:asciiTheme="minorHAnsi" w:hAnsiTheme="minorHAnsi"/>
          <w:color w:val="auto"/>
          <w:sz w:val="22"/>
          <w:szCs w:val="22"/>
        </w:rPr>
        <w:t xml:space="preserve">Regions </w:t>
      </w:r>
      <w:r w:rsidRPr="00E579C2">
        <w:rPr>
          <w:rFonts w:asciiTheme="minorHAnsi" w:hAnsiTheme="minorHAnsi"/>
          <w:color w:val="auto"/>
          <w:sz w:val="22"/>
          <w:szCs w:val="22"/>
        </w:rPr>
        <w:t xml:space="preserve">partnered with </w:t>
      </w:r>
      <w:r w:rsidR="00F9530A">
        <w:rPr>
          <w:rFonts w:asciiTheme="minorHAnsi" w:hAnsiTheme="minorHAnsi"/>
          <w:color w:val="auto"/>
          <w:sz w:val="22"/>
          <w:szCs w:val="22"/>
        </w:rPr>
        <w:t xml:space="preserve">public health departments to </w:t>
      </w:r>
      <w:r w:rsidRPr="00E579C2">
        <w:rPr>
          <w:rFonts w:asciiTheme="minorHAnsi" w:hAnsiTheme="minorHAnsi"/>
          <w:color w:val="auto"/>
          <w:sz w:val="22"/>
          <w:szCs w:val="22"/>
        </w:rPr>
        <w:t>coordinate COVID screenings in shelters</w:t>
      </w:r>
      <w:r w:rsidR="00F9530A">
        <w:rPr>
          <w:rFonts w:asciiTheme="minorHAnsi" w:hAnsiTheme="minorHAnsi"/>
          <w:color w:val="auto"/>
          <w:sz w:val="22"/>
          <w:szCs w:val="22"/>
        </w:rPr>
        <w:t xml:space="preserve"> and develop plans to ensure YYA had a safe place to stay while quarantining or waiting results of COVID testing.  </w:t>
      </w:r>
      <w:r w:rsidRPr="00E579C2">
        <w:rPr>
          <w:rFonts w:asciiTheme="minorHAnsi" w:hAnsiTheme="minorHAnsi"/>
          <w:color w:val="auto"/>
          <w:sz w:val="22"/>
          <w:szCs w:val="22"/>
        </w:rPr>
        <w:t xml:space="preserve"> </w:t>
      </w:r>
    </w:p>
    <w:p w14:paraId="71754C7E" w14:textId="77777777" w:rsidR="00760ACB" w:rsidRDefault="00760ACB" w:rsidP="00760ACB">
      <w:pPr>
        <w:pStyle w:val="Body"/>
        <w:rPr>
          <w:rFonts w:eastAsia="Calibri" w:cstheme="majorHAnsi"/>
          <w:b/>
        </w:rPr>
      </w:pPr>
    </w:p>
    <w:p w14:paraId="3C0470A4" w14:textId="4CE8EF01" w:rsidR="00760ACB" w:rsidRPr="00B82377" w:rsidRDefault="00760ACB" w:rsidP="00760ACB">
      <w:pPr>
        <w:rPr>
          <w:rFonts w:eastAsia="Calibri" w:cstheme="majorHAnsi"/>
          <w:b/>
        </w:rPr>
      </w:pPr>
      <w:r w:rsidRPr="00B82377">
        <w:rPr>
          <w:rFonts w:eastAsia="Calibri" w:cstheme="majorHAnsi"/>
          <w:b/>
        </w:rPr>
        <w:t>Partnerships aimed at increasing young people’s ability to access education and employment</w:t>
      </w:r>
      <w:r>
        <w:rPr>
          <w:rFonts w:eastAsia="Calibri" w:cstheme="majorHAnsi"/>
          <w:b/>
        </w:rPr>
        <w:t xml:space="preserve">: </w:t>
      </w:r>
      <w:r w:rsidR="00F9530A">
        <w:rPr>
          <w:rFonts w:eastAsia="Calibri" w:cstheme="majorHAnsi"/>
        </w:rPr>
        <w:t>One innovative example included partnering with an area driving school to increase YYA access to driver education.</w:t>
      </w:r>
      <w:r w:rsidRPr="00B82377">
        <w:rPr>
          <w:rFonts w:eastAsia="Calibri" w:cstheme="majorHAnsi"/>
        </w:rPr>
        <w:t xml:space="preserve"> </w:t>
      </w:r>
    </w:p>
    <w:p w14:paraId="78F0477E" w14:textId="362178CE" w:rsidR="00760ACB" w:rsidRPr="000C12E2" w:rsidRDefault="00760ACB" w:rsidP="000C12E2">
      <w:pPr>
        <w:spacing w:after="0"/>
        <w:rPr>
          <w:rFonts w:eastAsia="Calibri" w:cstheme="majorHAnsi"/>
          <w:b/>
        </w:rPr>
      </w:pPr>
      <w:r>
        <w:rPr>
          <w:rFonts w:eastAsia="Calibri" w:cstheme="majorHAnsi"/>
          <w:b/>
        </w:rPr>
        <w:t xml:space="preserve">Partnerships with DCF and other systems: </w:t>
      </w:r>
      <w:r w:rsidR="00F9530A">
        <w:rPr>
          <w:rFonts w:eastAsia="Calibri" w:cstheme="majorHAnsi"/>
        </w:rPr>
        <w:t xml:space="preserve">Some regions reported </w:t>
      </w:r>
      <w:r w:rsidR="00542B6D" w:rsidRPr="00B82377">
        <w:rPr>
          <w:rFonts w:eastAsia="Calibri" w:cstheme="majorHAnsi"/>
        </w:rPr>
        <w:t xml:space="preserve">deepened </w:t>
      </w:r>
      <w:r w:rsidR="00542B6D">
        <w:rPr>
          <w:rFonts w:eastAsia="Calibri" w:cstheme="majorHAnsi"/>
        </w:rPr>
        <w:t>partnership</w:t>
      </w:r>
      <w:r w:rsidRPr="00B82377">
        <w:rPr>
          <w:rFonts w:eastAsia="Calibri" w:cstheme="majorHAnsi"/>
        </w:rPr>
        <w:t xml:space="preserve"> with</w:t>
      </w:r>
      <w:r w:rsidR="00F9530A">
        <w:rPr>
          <w:rFonts w:eastAsia="Calibri" w:cstheme="majorHAnsi"/>
        </w:rPr>
        <w:t xml:space="preserve"> DCF to provide more protection to young people at risk for commercial sexual exploitation</w:t>
      </w:r>
      <w:r w:rsidRPr="00B82377">
        <w:rPr>
          <w:rFonts w:eastAsia="Calibri" w:cstheme="majorHAnsi"/>
        </w:rPr>
        <w:t>.</w:t>
      </w:r>
    </w:p>
    <w:p w14:paraId="34F3A748" w14:textId="77777777" w:rsidR="00760ACB" w:rsidRPr="00E579C2" w:rsidRDefault="00760ACB" w:rsidP="006012AB">
      <w:pPr>
        <w:spacing w:after="0"/>
        <w:ind w:left="360"/>
        <w:rPr>
          <w:rFonts w:eastAsia="Calibri" w:cstheme="majorHAnsi"/>
        </w:rPr>
      </w:pPr>
    </w:p>
    <w:p w14:paraId="02654E66" w14:textId="52AAA5D5" w:rsidR="00760ACB" w:rsidRPr="00F57ED6" w:rsidRDefault="00760ACB" w:rsidP="00771702">
      <w:pPr>
        <w:spacing w:after="0"/>
        <w:rPr>
          <w:rFonts w:eastAsia="Calibri" w:cstheme="majorHAnsi"/>
          <w:b/>
        </w:rPr>
      </w:pPr>
      <w:r w:rsidRPr="00F57ED6">
        <w:rPr>
          <w:rFonts w:eastAsia="Calibri" w:cstheme="majorHAnsi"/>
          <w:b/>
        </w:rPr>
        <w:t>Partnerships in towns and rural areas</w:t>
      </w:r>
      <w:r>
        <w:rPr>
          <w:rFonts w:eastAsia="Calibri" w:cstheme="majorHAnsi"/>
          <w:b/>
        </w:rPr>
        <w:t xml:space="preserve">: </w:t>
      </w:r>
      <w:r w:rsidR="00F9530A">
        <w:rPr>
          <w:rFonts w:eastAsia="Calibri" w:cstheme="majorHAnsi"/>
        </w:rPr>
        <w:t xml:space="preserve">Regional providers </w:t>
      </w:r>
      <w:r w:rsidR="00542B6D">
        <w:rPr>
          <w:rFonts w:eastAsia="Calibri" w:cstheme="majorHAnsi"/>
        </w:rPr>
        <w:t xml:space="preserve">reported </w:t>
      </w:r>
      <w:r w:rsidR="00F9530A">
        <w:rPr>
          <w:rFonts w:eastAsia="Calibri" w:cstheme="majorHAnsi"/>
        </w:rPr>
        <w:t>develop</w:t>
      </w:r>
      <w:r w:rsidR="00542B6D">
        <w:rPr>
          <w:rFonts w:eastAsia="Calibri" w:cstheme="majorHAnsi"/>
        </w:rPr>
        <w:t>ing</w:t>
      </w:r>
      <w:r w:rsidR="00F9530A">
        <w:rPr>
          <w:rFonts w:eastAsia="Calibri" w:cstheme="majorHAnsi"/>
        </w:rPr>
        <w:t xml:space="preserve"> relationships with services in </w:t>
      </w:r>
      <w:r w:rsidRPr="00E579C2">
        <w:rPr>
          <w:rFonts w:eastAsia="Calibri" w:cstheme="majorHAnsi"/>
        </w:rPr>
        <w:t xml:space="preserve">smaller, rural parts of </w:t>
      </w:r>
      <w:r w:rsidR="00F9530A">
        <w:rPr>
          <w:rFonts w:eastAsia="Calibri" w:cstheme="majorHAnsi"/>
        </w:rPr>
        <w:t xml:space="preserve">their </w:t>
      </w:r>
      <w:r w:rsidRPr="00E579C2">
        <w:rPr>
          <w:rFonts w:eastAsia="Calibri" w:cstheme="majorHAnsi"/>
        </w:rPr>
        <w:t>catchment</w:t>
      </w:r>
      <w:r w:rsidR="003319B8">
        <w:rPr>
          <w:rFonts w:eastAsia="Calibri" w:cstheme="majorHAnsi"/>
        </w:rPr>
        <w:t xml:space="preserve"> areas</w:t>
      </w:r>
      <w:r w:rsidRPr="00E579C2">
        <w:rPr>
          <w:rFonts w:eastAsia="Calibri" w:cstheme="majorHAnsi"/>
        </w:rPr>
        <w:t xml:space="preserve">. </w:t>
      </w:r>
      <w:r w:rsidR="00F9530A">
        <w:rPr>
          <w:rFonts w:eastAsia="Calibri" w:cstheme="majorHAnsi"/>
        </w:rPr>
        <w:t xml:space="preserve"> </w:t>
      </w:r>
    </w:p>
    <w:p w14:paraId="7BBF86F6" w14:textId="70C46045" w:rsidR="00760ACB" w:rsidRPr="000C12E2" w:rsidRDefault="00760ACB" w:rsidP="000C12E2">
      <w:pPr>
        <w:spacing w:after="0" w:line="240" w:lineRule="auto"/>
        <w:rPr>
          <w:rFonts w:eastAsia="Calibri" w:cs="Calibri"/>
        </w:rPr>
      </w:pPr>
    </w:p>
    <w:p w14:paraId="7D617B80" w14:textId="77777777" w:rsidR="002B7BFD" w:rsidRDefault="002B7BFD" w:rsidP="002D2624">
      <w:pPr>
        <w:pStyle w:val="ListParagraph"/>
        <w:ind w:left="0"/>
        <w:rPr>
          <w:rStyle w:val="Heading1Char"/>
          <w:color w:val="auto"/>
        </w:rPr>
      </w:pPr>
    </w:p>
    <w:p w14:paraId="1FFCC115" w14:textId="4681B49C" w:rsidR="002F24BA" w:rsidRPr="006C79C5" w:rsidRDefault="000C12E2" w:rsidP="002D2624">
      <w:pPr>
        <w:pStyle w:val="ListParagraph"/>
        <w:ind w:left="0"/>
        <w:rPr>
          <w:b/>
          <w:u w:val="single"/>
        </w:rPr>
      </w:pPr>
      <w:bookmarkStart w:id="7" w:name="_Toc64523601"/>
      <w:r>
        <w:rPr>
          <w:rStyle w:val="Heading1Char"/>
          <w:color w:val="auto"/>
        </w:rPr>
        <w:t>C</w:t>
      </w:r>
      <w:r w:rsidR="00512545" w:rsidRPr="006C79C5">
        <w:rPr>
          <w:rStyle w:val="Heading1Char"/>
          <w:color w:val="auto"/>
        </w:rPr>
        <w:t>reate a structure to support authentic youth and you</w:t>
      </w:r>
      <w:r w:rsidR="002D2624" w:rsidRPr="006C79C5">
        <w:rPr>
          <w:rStyle w:val="Heading1Char"/>
          <w:color w:val="auto"/>
        </w:rPr>
        <w:t xml:space="preserve">ng adult involvement statewide: </w:t>
      </w:r>
      <w:r w:rsidR="00E66D34" w:rsidRPr="006C79C5">
        <w:rPr>
          <w:rStyle w:val="Heading1Char"/>
          <w:color w:val="auto"/>
          <w:u w:val="single"/>
        </w:rPr>
        <w:t xml:space="preserve">A Focus on </w:t>
      </w:r>
      <w:r w:rsidR="002D2624" w:rsidRPr="006C79C5">
        <w:rPr>
          <w:rStyle w:val="Heading1Char"/>
          <w:color w:val="auto"/>
          <w:u w:val="single"/>
        </w:rPr>
        <w:t>Youth Action Boards (YABs)</w:t>
      </w:r>
      <w:bookmarkEnd w:id="7"/>
    </w:p>
    <w:p w14:paraId="0B055F33" w14:textId="60FCD886" w:rsidR="002F24BA" w:rsidRDefault="002D2624" w:rsidP="002F24BA">
      <w:r>
        <w:t xml:space="preserve">Of the 10 regions, YABs were active in </w:t>
      </w:r>
      <w:r w:rsidR="00771702">
        <w:t>five</w:t>
      </w:r>
      <w:r>
        <w:t xml:space="preserve"> of them</w:t>
      </w:r>
      <w:r w:rsidR="000C12E2">
        <w:t xml:space="preserve"> in FY 20</w:t>
      </w:r>
      <w:r>
        <w:t xml:space="preserve">. </w:t>
      </w:r>
      <w:r w:rsidR="000C12E2">
        <w:t xml:space="preserve">Many regions placed meetings on hold at the outset of the pandemic. Regions that continued their YABs reported some challenges due to disruptions caused by not being able to meet in person and college shutdowns. Many regions shifted to virtual meetings and used zoom functions to maximize participation. Several YABs instituted safety </w:t>
      </w:r>
      <w:r w:rsidR="000C12E2">
        <w:lastRenderedPageBreak/>
        <w:t xml:space="preserve">practices that allowed in person meetings to resume. Now, in FY 21, there are active YABs in eight of the </w:t>
      </w:r>
      <w:r w:rsidR="00D86E1F">
        <w:t xml:space="preserve">ten </w:t>
      </w:r>
      <w:r w:rsidR="000C12E2">
        <w:t>regions</w:t>
      </w:r>
      <w:r w:rsidR="00E74A22">
        <w:t xml:space="preserve">. </w:t>
      </w:r>
      <w:r w:rsidR="001A4E89">
        <w:t xml:space="preserve">Many regions used the pause in meetings to rework aspects of the </w:t>
      </w:r>
      <w:r w:rsidR="006012AB">
        <w:t>YABs</w:t>
      </w:r>
      <w:r w:rsidR="002F24BA">
        <w:t xml:space="preserve"> that </w:t>
      </w:r>
      <w:r w:rsidR="001A4E89">
        <w:t>were not</w:t>
      </w:r>
      <w:r w:rsidR="002F24BA">
        <w:t xml:space="preserve"> effective and </w:t>
      </w:r>
      <w:r w:rsidR="006012AB">
        <w:t xml:space="preserve">to </w:t>
      </w:r>
      <w:r w:rsidR="002F24BA">
        <w:t>institute new practices</w:t>
      </w:r>
      <w:r w:rsidR="001A4E89">
        <w:t xml:space="preserve"> and renewed energy. </w:t>
      </w:r>
    </w:p>
    <w:p w14:paraId="5E9E4ED8" w14:textId="77777777" w:rsidR="002F24BA" w:rsidRDefault="002F24BA" w:rsidP="002F24BA">
      <w:pPr>
        <w:spacing w:after="0" w:line="240" w:lineRule="auto"/>
      </w:pPr>
    </w:p>
    <w:p w14:paraId="51BC9CE6" w14:textId="02262D8B" w:rsidR="001A4E89" w:rsidRDefault="001A4E89" w:rsidP="00EF4D71">
      <w:pPr>
        <w:spacing w:after="0" w:line="276" w:lineRule="auto"/>
      </w:pPr>
      <w:r>
        <w:t xml:space="preserve">Below is a bulleted list of the types of work YABs took on during the last quarter of 2020 and </w:t>
      </w:r>
      <w:r w:rsidR="000C12E2">
        <w:t xml:space="preserve">into </w:t>
      </w:r>
      <w:r>
        <w:t>2021:</w:t>
      </w:r>
    </w:p>
    <w:p w14:paraId="3C46CC18" w14:textId="77777777" w:rsidR="006115E8" w:rsidRPr="006115E8" w:rsidRDefault="006115E8" w:rsidP="001A4E89">
      <w:pPr>
        <w:pStyle w:val="ListParagraph"/>
        <w:numPr>
          <w:ilvl w:val="0"/>
          <w:numId w:val="13"/>
        </w:numPr>
        <w:spacing w:after="0" w:line="240" w:lineRule="auto"/>
        <w:rPr>
          <w:rFonts w:ascii="Calibri" w:eastAsia="Calibri" w:hAnsi="Calibri" w:cs="Calibri"/>
          <w:i/>
        </w:rPr>
      </w:pPr>
      <w:r>
        <w:t xml:space="preserve">Fortified the identity of the group by creating a YAB logo </w:t>
      </w:r>
    </w:p>
    <w:p w14:paraId="32ECB69C" w14:textId="51B2DFF6" w:rsidR="006115E8" w:rsidRPr="006115E8" w:rsidRDefault="006115E8" w:rsidP="001A4E89">
      <w:pPr>
        <w:pStyle w:val="ListParagraph"/>
        <w:numPr>
          <w:ilvl w:val="0"/>
          <w:numId w:val="13"/>
        </w:numPr>
        <w:spacing w:after="0" w:line="240" w:lineRule="auto"/>
        <w:rPr>
          <w:rFonts w:ascii="Calibri" w:eastAsia="Calibri" w:hAnsi="Calibri" w:cs="Calibri"/>
          <w:i/>
        </w:rPr>
      </w:pPr>
      <w:r>
        <w:t>Planned events and programs in conjunction with regional planning work, including input into Homeless YYA Race Equity Plans; website design; pre</w:t>
      </w:r>
      <w:r w:rsidR="006012AB">
        <w:t>sentations to local legislators, educators,</w:t>
      </w:r>
      <w:r>
        <w:t xml:space="preserve"> and homeless service providers; forums with landlords, providers and other young adults to discuss stigma and other renting challenges; participation in NIS Racial Equity focus groups</w:t>
      </w:r>
    </w:p>
    <w:p w14:paraId="277C298D" w14:textId="6CFF5573" w:rsidR="002D2624" w:rsidRPr="006115E8" w:rsidRDefault="006115E8" w:rsidP="002D2624">
      <w:pPr>
        <w:pStyle w:val="ListParagraph"/>
        <w:numPr>
          <w:ilvl w:val="0"/>
          <w:numId w:val="8"/>
        </w:numPr>
        <w:spacing w:after="0" w:line="240" w:lineRule="auto"/>
      </w:pPr>
      <w:r>
        <w:t xml:space="preserve">Conducted focus groups with other young people to </w:t>
      </w:r>
      <w:r w:rsidR="002D2624" w:rsidRPr="006115E8">
        <w:t>get feedback on service quality</w:t>
      </w:r>
    </w:p>
    <w:p w14:paraId="43E237FC" w14:textId="5C6F9400" w:rsidR="002D2624" w:rsidRDefault="006115E8" w:rsidP="002D2624">
      <w:pPr>
        <w:pStyle w:val="ListParagraph"/>
        <w:numPr>
          <w:ilvl w:val="0"/>
          <w:numId w:val="8"/>
        </w:numPr>
        <w:spacing w:after="0" w:line="240" w:lineRule="auto"/>
      </w:pPr>
      <w:r>
        <w:t>Held regional meetings with other YABs</w:t>
      </w:r>
    </w:p>
    <w:p w14:paraId="3F8DA4A8" w14:textId="228700E3" w:rsidR="006115E8" w:rsidRPr="006115E8" w:rsidRDefault="006115E8" w:rsidP="002D2624">
      <w:pPr>
        <w:pStyle w:val="ListParagraph"/>
        <w:numPr>
          <w:ilvl w:val="0"/>
          <w:numId w:val="8"/>
        </w:numPr>
        <w:spacing w:after="0" w:line="240" w:lineRule="auto"/>
      </w:pPr>
      <w:r>
        <w:t>Engaged in community service, including food distribution, COVID-19 care package/PPE distribution</w:t>
      </w:r>
    </w:p>
    <w:p w14:paraId="32499F1A" w14:textId="6DC99D07" w:rsidR="006115E8" w:rsidRDefault="00FC2D11" w:rsidP="006115E8">
      <w:pPr>
        <w:spacing w:after="0" w:line="240" w:lineRule="auto"/>
      </w:pPr>
      <w:r>
        <w:rPr>
          <w:noProof/>
        </w:rPr>
        <mc:AlternateContent>
          <mc:Choice Requires="wps">
            <w:drawing>
              <wp:anchor distT="0" distB="0" distL="114300" distR="114300" simplePos="0" relativeHeight="251667456" behindDoc="1" locked="0" layoutInCell="1" allowOverlap="1" wp14:anchorId="1CECF659" wp14:editId="68D96EAD">
                <wp:simplePos x="0" y="0"/>
                <wp:positionH relativeFrom="column">
                  <wp:posOffset>523875</wp:posOffset>
                </wp:positionH>
                <wp:positionV relativeFrom="paragraph">
                  <wp:posOffset>124460</wp:posOffset>
                </wp:positionV>
                <wp:extent cx="4943475" cy="1562100"/>
                <wp:effectExtent l="0" t="0" r="28575" b="19050"/>
                <wp:wrapTight wrapText="bothSides">
                  <wp:wrapPolygon edited="0">
                    <wp:start x="0" y="0"/>
                    <wp:lineTo x="0" y="21600"/>
                    <wp:lineTo x="21642" y="21600"/>
                    <wp:lineTo x="21642" y="0"/>
                    <wp:lineTo x="0" y="0"/>
                  </wp:wrapPolygon>
                </wp:wrapTight>
                <wp:docPr id="5" name="Text Box 5"/>
                <wp:cNvGraphicFramePr/>
                <a:graphic xmlns:a="http://schemas.openxmlformats.org/drawingml/2006/main">
                  <a:graphicData uri="http://schemas.microsoft.com/office/word/2010/wordprocessingShape">
                    <wps:wsp>
                      <wps:cNvSpPr txBox="1"/>
                      <wps:spPr>
                        <a:xfrm>
                          <a:off x="0" y="0"/>
                          <a:ext cx="4943475" cy="1562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5FD6172" w14:textId="71DDD21B" w:rsidR="00AF7313" w:rsidRPr="00D449E9" w:rsidRDefault="00D05871" w:rsidP="00EF4D71">
                            <w:pPr>
                              <w:rPr>
                                <w:rFonts w:ascii="Bahnschrift SemiBold" w:hAnsi="Bahnschrift SemiBold"/>
                                <w:sz w:val="20"/>
                              </w:rPr>
                            </w:pPr>
                            <w:r w:rsidRPr="00D449E9">
                              <w:rPr>
                                <w:rFonts w:ascii="Bahnschrift SemiBold" w:hAnsi="Bahnschrift SemiBold"/>
                                <w:sz w:val="20"/>
                              </w:rPr>
                              <w:t xml:space="preserve">YAB Members rose to answer the calls for volunteers continued in our food pantry as the number daily visitor numbers went from 50 in the second quarter to over a hundred and fifty in the third, to over 388 in the fourth quarter. Our YAB members wanted to do more and requested donations from School </w:t>
                            </w:r>
                            <w:proofErr w:type="gramStart"/>
                            <w:r w:rsidRPr="00D449E9">
                              <w:rPr>
                                <w:rFonts w:ascii="Bahnschrift SemiBold" w:hAnsi="Bahnschrift SemiBold"/>
                                <w:sz w:val="20"/>
                              </w:rPr>
                              <w:t>On</w:t>
                            </w:r>
                            <w:proofErr w:type="gramEnd"/>
                            <w:r w:rsidRPr="00D449E9">
                              <w:rPr>
                                <w:rFonts w:ascii="Bahnschrift SemiBold" w:hAnsi="Bahnschrift SemiBold"/>
                                <w:sz w:val="20"/>
                              </w:rPr>
                              <w:t xml:space="preserve"> Wheels to put together COVID Care Packages filled with toiletries including hand sanitizer, soap, towels, gloves and masks. Marketing materials were designed by the YAB members and approved, and received and are ready to be disseminated with more COVID Care Packages throughout all three Coc’s at more food pop up locations.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ECF659" id="Text Box 5" o:spid="_x0000_s1029" type="#_x0000_t202" style="position:absolute;margin-left:41.25pt;margin-top:9.8pt;width:389.25pt;height:123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" fillcolor="white [3201]" strokeweight=".5pt">
                <v:textbox>
                  <w:txbxContent>
                    <w:p w14:paraId="55FD6172" w14:textId="71DDD21B" w:rsidR="00AF7313" w:rsidRPr="00D449E9" w:rsidRDefault="00D05871" w:rsidP="00EF4D71">
                      <w:pPr>
                        <w:rPr>
                          <w:rFonts w:ascii="Bahnschrift SemiBold" w:hAnsi="Bahnschrift SemiBold"/>
                          <w:sz w:val="20"/>
                        </w:rPr>
                      </w:pPr>
                      <w:r w:rsidRPr="00D449E9">
                        <w:rPr>
                          <w:rFonts w:ascii="Bahnschrift SemiBold" w:hAnsi="Bahnschrift SemiBold"/>
                          <w:sz w:val="20"/>
                        </w:rPr>
                        <w:t xml:space="preserve">YAB Members rose to answer the calls for volunteers continued in our food pantry as the number daily visitor numbers went from 50 in the second quarter to over a hundred and fifty in the third, to over 388 in the fourth quarter. Our YAB members wanted to do more and requested donations from School </w:t>
                      </w:r>
                      <w:proofErr w:type="gramStart"/>
                      <w:r w:rsidRPr="00D449E9">
                        <w:rPr>
                          <w:rFonts w:ascii="Bahnschrift SemiBold" w:hAnsi="Bahnschrift SemiBold"/>
                          <w:sz w:val="20"/>
                        </w:rPr>
                        <w:t>On</w:t>
                      </w:r>
                      <w:proofErr w:type="gramEnd"/>
                      <w:r w:rsidRPr="00D449E9">
                        <w:rPr>
                          <w:rFonts w:ascii="Bahnschrift SemiBold" w:hAnsi="Bahnschrift SemiBold"/>
                          <w:sz w:val="20"/>
                        </w:rPr>
                        <w:t xml:space="preserve"> Wheels to put together COVID Care Packages filled with toiletries including hand sanitizer, soap, towels, gloves and masks. Marketing materials were designed by the YAB members and approved, and received and are ready to be disseminated with more COVID Care Packages throughout all three Coc’s at more food pop up locations.</w:t>
                      </w:r>
                    </w:p>
                  </w:txbxContent>
                </v:textbox>
                <w10:wrap type="tight"/>
              </v:shape>
            </w:pict>
          </mc:Fallback>
        </mc:AlternateContent>
      </w:r>
    </w:p>
    <w:p w14:paraId="4846898F" w14:textId="6B2FCDB8" w:rsidR="006115E8" w:rsidRDefault="006115E8" w:rsidP="006115E8">
      <w:pPr>
        <w:spacing w:after="0" w:line="240" w:lineRule="auto"/>
      </w:pPr>
    </w:p>
    <w:p w14:paraId="1675F5A5" w14:textId="0397B363" w:rsidR="006115E8" w:rsidRDefault="006115E8" w:rsidP="006115E8">
      <w:pPr>
        <w:spacing w:after="0" w:line="240" w:lineRule="auto"/>
      </w:pPr>
    </w:p>
    <w:p w14:paraId="3837931B" w14:textId="77777777" w:rsidR="004E0C7A" w:rsidRDefault="004E0C7A" w:rsidP="006115E8">
      <w:pPr>
        <w:spacing w:after="0" w:line="240" w:lineRule="auto"/>
      </w:pPr>
    </w:p>
    <w:p w14:paraId="471344B5" w14:textId="77777777" w:rsidR="004E0C7A" w:rsidRDefault="004E0C7A" w:rsidP="006115E8">
      <w:pPr>
        <w:spacing w:after="0" w:line="240" w:lineRule="auto"/>
      </w:pPr>
    </w:p>
    <w:p w14:paraId="493F9BAF" w14:textId="77777777" w:rsidR="004E0C7A" w:rsidRDefault="004E0C7A" w:rsidP="006115E8">
      <w:pPr>
        <w:spacing w:after="0" w:line="240" w:lineRule="auto"/>
      </w:pPr>
    </w:p>
    <w:p w14:paraId="284470CD" w14:textId="77777777" w:rsidR="004E0C7A" w:rsidRDefault="004E0C7A" w:rsidP="006115E8">
      <w:pPr>
        <w:spacing w:after="0" w:line="240" w:lineRule="auto"/>
      </w:pPr>
    </w:p>
    <w:p w14:paraId="64A83559" w14:textId="77777777" w:rsidR="004E0C7A" w:rsidRDefault="004E0C7A" w:rsidP="006115E8">
      <w:pPr>
        <w:spacing w:after="0" w:line="240" w:lineRule="auto"/>
      </w:pPr>
    </w:p>
    <w:p w14:paraId="24137F1C" w14:textId="77777777" w:rsidR="004E0C7A" w:rsidRDefault="004E0C7A" w:rsidP="006115E8">
      <w:pPr>
        <w:spacing w:after="0" w:line="240" w:lineRule="auto"/>
      </w:pPr>
    </w:p>
    <w:p w14:paraId="1B001E9B" w14:textId="77777777" w:rsidR="004E0C7A" w:rsidRDefault="004E0C7A" w:rsidP="006115E8">
      <w:pPr>
        <w:spacing w:after="0" w:line="240" w:lineRule="auto"/>
      </w:pPr>
    </w:p>
    <w:p w14:paraId="6EA2D415" w14:textId="77777777" w:rsidR="004E0C7A" w:rsidRDefault="004E0C7A" w:rsidP="006115E8">
      <w:pPr>
        <w:spacing w:after="0" w:line="240" w:lineRule="auto"/>
      </w:pPr>
    </w:p>
    <w:p w14:paraId="1524215A" w14:textId="3579AB0D" w:rsidR="009B551E" w:rsidRPr="006C79C5" w:rsidRDefault="000C12E2" w:rsidP="009B551E">
      <w:pPr>
        <w:pStyle w:val="Heading1"/>
        <w:rPr>
          <w:rFonts w:eastAsia="Times New Roman"/>
          <w:color w:val="auto"/>
        </w:rPr>
      </w:pPr>
      <w:bookmarkStart w:id="8" w:name="_Toc64523602"/>
      <w:r>
        <w:rPr>
          <w:rFonts w:eastAsia="Times New Roman"/>
          <w:color w:val="auto"/>
        </w:rPr>
        <w:t xml:space="preserve">Setting the Stage for 2021 </w:t>
      </w:r>
      <w:proofErr w:type="spellStart"/>
      <w:r>
        <w:rPr>
          <w:rFonts w:eastAsia="Times New Roman"/>
          <w:color w:val="auto"/>
        </w:rPr>
        <w:t>YOU</w:t>
      </w:r>
      <w:r w:rsidR="00D47C8B" w:rsidRPr="006C79C5">
        <w:rPr>
          <w:rFonts w:eastAsia="Times New Roman"/>
          <w:color w:val="auto"/>
        </w:rPr>
        <w:t>th</w:t>
      </w:r>
      <w:proofErr w:type="spellEnd"/>
      <w:r w:rsidR="00D47C8B" w:rsidRPr="006C79C5">
        <w:rPr>
          <w:rFonts w:eastAsia="Times New Roman"/>
          <w:color w:val="auto"/>
        </w:rPr>
        <w:t xml:space="preserve"> Count Survey</w:t>
      </w:r>
      <w:bookmarkEnd w:id="8"/>
    </w:p>
    <w:p w14:paraId="5CBF1A77" w14:textId="5F0B8264" w:rsidR="00030265" w:rsidRDefault="00672AD3" w:rsidP="00EF3EDC">
      <w:r>
        <w:t xml:space="preserve">The resilience and vulnerabilities of young people, providers and systems have been on full view this year. Providers have </w:t>
      </w:r>
      <w:r w:rsidR="00EF3EDC">
        <w:t>develop</w:t>
      </w:r>
      <w:r>
        <w:t xml:space="preserve">ed new partnerships and models. Flex funds have made it </w:t>
      </w:r>
      <w:r w:rsidR="00EF3EDC">
        <w:t xml:space="preserve">possible </w:t>
      </w:r>
      <w:r>
        <w:t xml:space="preserve">to address </w:t>
      </w:r>
      <w:r w:rsidR="00EF3EDC">
        <w:t>emergent needs</w:t>
      </w:r>
      <w:r>
        <w:t xml:space="preserve"> in the context of a pandemic</w:t>
      </w:r>
      <w:r w:rsidR="00EF3EDC">
        <w:t xml:space="preserve">. Yet, at same time, </w:t>
      </w:r>
      <w:r>
        <w:t xml:space="preserve">the </w:t>
      </w:r>
      <w:r w:rsidR="00EF3EDC">
        <w:t>inequities in SDOH</w:t>
      </w:r>
      <w:r>
        <w:t xml:space="preserve"> have proven formidable</w:t>
      </w:r>
      <w:r w:rsidR="00EF3EDC">
        <w:t xml:space="preserve">. </w:t>
      </w:r>
      <w:r>
        <w:t xml:space="preserve">Providers are reporting that while it is possible get </w:t>
      </w:r>
      <w:r w:rsidR="00EF3EDC">
        <w:t>youth housed</w:t>
      </w:r>
      <w:r w:rsidR="00D86E1F">
        <w:t>,</w:t>
      </w:r>
      <w:r>
        <w:t xml:space="preserve"> it is </w:t>
      </w:r>
      <w:r w:rsidR="00EF3EDC">
        <w:t>challenging to maintain housing given limitations in employment and public</w:t>
      </w:r>
      <w:r>
        <w:t xml:space="preserve"> transportation. Rents are high and</w:t>
      </w:r>
      <w:r w:rsidR="00EF3EDC">
        <w:t xml:space="preserve"> landlords are hesitant</w:t>
      </w:r>
      <w:r>
        <w:t xml:space="preserve"> to rent to young people, who </w:t>
      </w:r>
      <w:r w:rsidR="00030265">
        <w:t>may lack</w:t>
      </w:r>
      <w:r>
        <w:t xml:space="preserve"> </w:t>
      </w:r>
      <w:r w:rsidR="00EF3EDC">
        <w:t xml:space="preserve">life skills </w:t>
      </w:r>
      <w:r w:rsidR="00030265">
        <w:t>needed to maintain housing and support services for mental health and substance use</w:t>
      </w:r>
      <w:r w:rsidR="00EF3EDC">
        <w:t>.</w:t>
      </w:r>
    </w:p>
    <w:p w14:paraId="79ABED29" w14:textId="5D5D0043" w:rsidR="000C12E2" w:rsidRDefault="00186BF4" w:rsidP="00186BF4">
      <w:pPr>
        <w:rPr>
          <w:rFonts w:cs="Calibri"/>
        </w:rPr>
      </w:pPr>
      <w:r>
        <w:t>It is now more important</w:t>
      </w:r>
      <w:r w:rsidR="007B4AD7">
        <w:t xml:space="preserve"> than ever</w:t>
      </w:r>
      <w:r>
        <w:t xml:space="preserve"> to be sure that young people are not falling through the cracks</w:t>
      </w:r>
      <w:r w:rsidR="000C12E2">
        <w:t xml:space="preserve"> and that we have the right resources to support them</w:t>
      </w:r>
      <w:r>
        <w:t xml:space="preserve">. </w:t>
      </w:r>
      <w:r w:rsidR="000C12E2">
        <w:rPr>
          <w:rFonts w:eastAsia="Times New Roman" w:cstheme="minorHAnsi"/>
        </w:rPr>
        <w:t xml:space="preserve">The Massachusetts </w:t>
      </w:r>
      <w:proofErr w:type="spellStart"/>
      <w:r w:rsidR="000C12E2">
        <w:rPr>
          <w:rFonts w:eastAsia="Times New Roman" w:cstheme="minorHAnsi"/>
        </w:rPr>
        <w:t>YOU</w:t>
      </w:r>
      <w:r w:rsidR="00672AD3" w:rsidRPr="004175E7">
        <w:rPr>
          <w:rFonts w:eastAsia="Times New Roman" w:cstheme="minorHAnsi"/>
        </w:rPr>
        <w:t>th</w:t>
      </w:r>
      <w:proofErr w:type="spellEnd"/>
      <w:r w:rsidR="00672AD3" w:rsidRPr="004175E7">
        <w:rPr>
          <w:rFonts w:eastAsia="Times New Roman" w:cstheme="minorHAnsi"/>
        </w:rPr>
        <w:t xml:space="preserve"> Count </w:t>
      </w:r>
      <w:r>
        <w:rPr>
          <w:rFonts w:eastAsia="Times New Roman" w:cstheme="minorHAnsi"/>
        </w:rPr>
        <w:t xml:space="preserve">is an important tool to </w:t>
      </w:r>
      <w:r w:rsidR="00672AD3">
        <w:rPr>
          <w:rFonts w:eastAsia="Times New Roman" w:cstheme="minorHAnsi"/>
        </w:rPr>
        <w:t xml:space="preserve">reveal the </w:t>
      </w:r>
      <w:r w:rsidR="00672AD3" w:rsidRPr="004175E7">
        <w:rPr>
          <w:rFonts w:eastAsia="Times New Roman" w:cstheme="minorHAnsi"/>
        </w:rPr>
        <w:t xml:space="preserve">scope and needs of youth and young adults </w:t>
      </w:r>
      <w:r w:rsidR="00672AD3">
        <w:rPr>
          <w:rFonts w:eastAsia="Times New Roman" w:cstheme="minorHAnsi"/>
        </w:rPr>
        <w:t xml:space="preserve">under the age of 25 </w:t>
      </w:r>
      <w:r w:rsidR="00672AD3" w:rsidRPr="004175E7">
        <w:rPr>
          <w:rFonts w:eastAsia="Times New Roman" w:cstheme="minorHAnsi"/>
        </w:rPr>
        <w:t>who are unstably housed or experiencin</w:t>
      </w:r>
      <w:r w:rsidR="00672AD3">
        <w:rPr>
          <w:rFonts w:eastAsia="Times New Roman" w:cstheme="minorHAnsi"/>
        </w:rPr>
        <w:t>g homelessness.</w:t>
      </w:r>
      <w:r w:rsidR="00672AD3" w:rsidRPr="004175E7">
        <w:rPr>
          <w:rFonts w:eastAsia="Times New Roman" w:cstheme="minorHAnsi"/>
        </w:rPr>
        <w:t xml:space="preserve"> </w:t>
      </w:r>
      <w:r w:rsidR="000C12E2">
        <w:rPr>
          <w:rFonts w:eastAsia="Times New Roman" w:cstheme="minorHAnsi"/>
        </w:rPr>
        <w:t xml:space="preserve">We intentionally emphasize the </w:t>
      </w:r>
      <w:r w:rsidR="00D86E1F">
        <w:rPr>
          <w:rFonts w:eastAsia="Times New Roman" w:cstheme="minorHAnsi"/>
        </w:rPr>
        <w:t>“</w:t>
      </w:r>
      <w:r w:rsidR="000C12E2">
        <w:rPr>
          <w:rFonts w:eastAsia="Times New Roman" w:cstheme="minorHAnsi"/>
        </w:rPr>
        <w:t>YOU</w:t>
      </w:r>
      <w:r w:rsidR="00D86E1F">
        <w:rPr>
          <w:rFonts w:eastAsia="Times New Roman" w:cstheme="minorHAnsi"/>
        </w:rPr>
        <w:t>”</w:t>
      </w:r>
      <w:r w:rsidR="000C12E2">
        <w:rPr>
          <w:rFonts w:eastAsia="Times New Roman" w:cstheme="minorHAnsi"/>
        </w:rPr>
        <w:t xml:space="preserve"> in </w:t>
      </w:r>
      <w:r w:rsidR="00D86E1F">
        <w:rPr>
          <w:rFonts w:eastAsia="Times New Roman" w:cstheme="minorHAnsi"/>
        </w:rPr>
        <w:t>“</w:t>
      </w:r>
      <w:r w:rsidR="000C12E2">
        <w:rPr>
          <w:rFonts w:eastAsia="Times New Roman" w:cstheme="minorHAnsi"/>
        </w:rPr>
        <w:t>youth</w:t>
      </w:r>
      <w:r w:rsidR="00D86E1F">
        <w:rPr>
          <w:rFonts w:eastAsia="Times New Roman" w:cstheme="minorHAnsi"/>
        </w:rPr>
        <w:t>”</w:t>
      </w:r>
      <w:r w:rsidR="000C12E2">
        <w:rPr>
          <w:rFonts w:eastAsia="Times New Roman" w:cstheme="minorHAnsi"/>
        </w:rPr>
        <w:t xml:space="preserve"> because we want to make it clear that the </w:t>
      </w:r>
      <w:proofErr w:type="spellStart"/>
      <w:r w:rsidR="000C12E2">
        <w:rPr>
          <w:rFonts w:eastAsia="Times New Roman" w:cstheme="minorHAnsi"/>
        </w:rPr>
        <w:t>YOUth</w:t>
      </w:r>
      <w:proofErr w:type="spellEnd"/>
      <w:r w:rsidR="000C12E2">
        <w:rPr>
          <w:rFonts w:eastAsia="Times New Roman" w:cstheme="minorHAnsi"/>
        </w:rPr>
        <w:t xml:space="preserve"> Count is not just about the data. It is an opportunity</w:t>
      </w:r>
      <w:r w:rsidR="00672AD3">
        <w:rPr>
          <w:rFonts w:eastAsia="Times New Roman" w:cstheme="minorHAnsi"/>
        </w:rPr>
        <w:t xml:space="preserve"> </w:t>
      </w:r>
      <w:r w:rsidR="000C12E2">
        <w:rPr>
          <w:rFonts w:eastAsia="Times New Roman" w:cstheme="minorHAnsi"/>
        </w:rPr>
        <w:t xml:space="preserve">to connect </w:t>
      </w:r>
      <w:r w:rsidR="00672AD3" w:rsidRPr="0025133B">
        <w:rPr>
          <w:rFonts w:eastAsia="Times New Roman" w:cstheme="minorHAnsi"/>
        </w:rPr>
        <w:t xml:space="preserve">with vulnerable youth to share resources </w:t>
      </w:r>
      <w:r w:rsidR="00672AD3">
        <w:rPr>
          <w:rFonts w:eastAsia="Times New Roman" w:cstheme="minorHAnsi"/>
        </w:rPr>
        <w:t xml:space="preserve">with them </w:t>
      </w:r>
      <w:r w:rsidR="00672AD3" w:rsidRPr="0025133B">
        <w:rPr>
          <w:rFonts w:eastAsia="Times New Roman" w:cstheme="minorHAnsi"/>
        </w:rPr>
        <w:t>and hear their voices</w:t>
      </w:r>
      <w:r w:rsidR="00672AD3">
        <w:rPr>
          <w:rFonts w:eastAsia="Times New Roman" w:cstheme="minorHAnsi"/>
        </w:rPr>
        <w:t>.</w:t>
      </w:r>
      <w:r w:rsidR="00672AD3" w:rsidRPr="00672AD3">
        <w:rPr>
          <w:rFonts w:cs="Calibri"/>
        </w:rPr>
        <w:t xml:space="preserve"> </w:t>
      </w:r>
    </w:p>
    <w:p w14:paraId="4F09CA41" w14:textId="333450A2" w:rsidR="00672AD3" w:rsidRDefault="000C12E2" w:rsidP="00186BF4">
      <w:pPr>
        <w:rPr>
          <w:rFonts w:cs="Calibri"/>
        </w:rPr>
      </w:pPr>
      <w:r>
        <w:rPr>
          <w:rFonts w:cs="Calibri"/>
        </w:rPr>
        <w:t>For 2021, t</w:t>
      </w:r>
      <w:r w:rsidR="00186BF4">
        <w:rPr>
          <w:rFonts w:cs="Calibri"/>
        </w:rPr>
        <w:t xml:space="preserve">he groundwork has been laid to </w:t>
      </w:r>
      <w:r w:rsidR="00672AD3">
        <w:rPr>
          <w:rFonts w:cs="Calibri"/>
        </w:rPr>
        <w:t>focus on areas that have been challenging in prior years of the Count</w:t>
      </w:r>
      <w:r w:rsidR="00186BF4">
        <w:rPr>
          <w:rFonts w:cs="Calibri"/>
        </w:rPr>
        <w:t xml:space="preserve">, including </w:t>
      </w:r>
      <w:r w:rsidR="00672AD3">
        <w:rPr>
          <w:rFonts w:cs="Calibri"/>
        </w:rPr>
        <w:t>e</w:t>
      </w:r>
      <w:r w:rsidR="00672AD3" w:rsidRPr="00835255">
        <w:rPr>
          <w:rFonts w:cs="Calibri"/>
        </w:rPr>
        <w:t xml:space="preserve">xpanding </w:t>
      </w:r>
      <w:r w:rsidR="00672AD3">
        <w:rPr>
          <w:rFonts w:cs="Calibri"/>
        </w:rPr>
        <w:t xml:space="preserve">the </w:t>
      </w:r>
      <w:r w:rsidR="00672AD3" w:rsidRPr="00835255">
        <w:rPr>
          <w:rFonts w:cs="Calibri"/>
        </w:rPr>
        <w:t xml:space="preserve">geographical coverage and surveying a sample that includes more young people experiencing housing instability, particularly youth who are under 18, LGBTQ+, and </w:t>
      </w:r>
      <w:r w:rsidR="00672AD3" w:rsidRPr="00835255">
        <w:rPr>
          <w:rFonts w:cs="Calibri"/>
        </w:rPr>
        <w:lastRenderedPageBreak/>
        <w:t>disconnected/unconnected</w:t>
      </w:r>
      <w:r w:rsidR="00672AD3">
        <w:rPr>
          <w:rFonts w:cs="Calibri"/>
        </w:rPr>
        <w:t xml:space="preserve"> from services and supports</w:t>
      </w:r>
      <w:r w:rsidR="00672AD3" w:rsidRPr="00835255">
        <w:rPr>
          <w:rFonts w:cs="Calibri"/>
        </w:rPr>
        <w:t>.</w:t>
      </w:r>
      <w:r w:rsidR="00672AD3" w:rsidRPr="007A2A1B">
        <w:rPr>
          <w:noProof/>
        </w:rPr>
        <w:t xml:space="preserve"> </w:t>
      </w:r>
      <w:r w:rsidR="00672AD3">
        <w:rPr>
          <w:rFonts w:cs="Calibri"/>
        </w:rPr>
        <w:t xml:space="preserve"> </w:t>
      </w:r>
      <w:r w:rsidR="004904B2">
        <w:rPr>
          <w:rFonts w:cs="Calibri"/>
        </w:rPr>
        <w:t>The Count</w:t>
      </w:r>
      <w:r>
        <w:rPr>
          <w:rFonts w:cs="Calibri"/>
        </w:rPr>
        <w:t xml:space="preserve"> will be including questions about how young people are managing after a year of a pandemic. Regional Providers and members of the Identification and Connecting Subcommittee of the Commission have expressed excitement in bringing back the Count. Here are some reasons expressed at recent Count planning meetings:</w:t>
      </w:r>
    </w:p>
    <w:p w14:paraId="632530C9" w14:textId="470D1E53" w:rsidR="00FC2D11" w:rsidRDefault="000C12E2" w:rsidP="000C12E2">
      <w:r w:rsidRPr="000C12E2">
        <w:rPr>
          <w:noProof/>
        </w:rPr>
        <w:drawing>
          <wp:inline distT="0" distB="0" distL="0" distR="0" wp14:anchorId="5D513DC7" wp14:editId="50CC04A2">
            <wp:extent cx="6230907" cy="4448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237441" cy="4452840"/>
                    </a:xfrm>
                    <a:prstGeom prst="rect">
                      <a:avLst/>
                    </a:prstGeom>
                  </pic:spPr>
                </pic:pic>
              </a:graphicData>
            </a:graphic>
          </wp:inline>
        </w:drawing>
      </w:r>
    </w:p>
    <w:p w14:paraId="0EC5902F" w14:textId="77777777" w:rsidR="000C12E2" w:rsidRDefault="000C12E2" w:rsidP="000C12E2"/>
    <w:p w14:paraId="4C390ED9" w14:textId="6D9CD71D" w:rsidR="000C12E2" w:rsidRPr="000C12E2" w:rsidRDefault="000C12E2" w:rsidP="000C12E2">
      <w:r>
        <w:t xml:space="preserve">This year’s count may look a little different than in the past. Yet, the capacity built in the context of the </w:t>
      </w:r>
      <w:r w:rsidRPr="00FE3508">
        <w:rPr>
          <w:u w:val="single"/>
        </w:rPr>
        <w:t>Massachusetts Plan to End Youth Homelessness</w:t>
      </w:r>
      <w:r>
        <w:t xml:space="preserve"> and in response to COVID-19 will ensure that the information collected is actionable and that the connections forged are authentic bringing us steps closer to ending youth homelessness in Massachusetts. </w:t>
      </w:r>
    </w:p>
    <w:sectPr w:rsidR="000C12E2" w:rsidRPr="000C12E2" w:rsidSect="004904B2">
      <w:footerReference w:type="default" r:id="rId1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25463" w14:textId="77777777" w:rsidR="0059026B" w:rsidRDefault="0059026B" w:rsidP="004F544B">
      <w:pPr>
        <w:spacing w:after="0" w:line="240" w:lineRule="auto"/>
      </w:pPr>
      <w:r>
        <w:separator/>
      </w:r>
    </w:p>
  </w:endnote>
  <w:endnote w:type="continuationSeparator" w:id="0">
    <w:p w14:paraId="36A3FD92" w14:textId="77777777" w:rsidR="0059026B" w:rsidRDefault="0059026B" w:rsidP="004F5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Bahnschrift SemiBol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4442313"/>
      <w:docPartObj>
        <w:docPartGallery w:val="Page Numbers (Bottom of Page)"/>
        <w:docPartUnique/>
      </w:docPartObj>
    </w:sdtPr>
    <w:sdtEndPr>
      <w:rPr>
        <w:noProof/>
      </w:rPr>
    </w:sdtEndPr>
    <w:sdtContent>
      <w:p w14:paraId="65959C7F" w14:textId="77777777" w:rsidR="00AF7313" w:rsidRDefault="00AF7313">
        <w:pPr>
          <w:pStyle w:val="Footer"/>
          <w:jc w:val="center"/>
        </w:pPr>
        <w:r>
          <w:fldChar w:fldCharType="begin"/>
        </w:r>
        <w:r>
          <w:instrText xml:space="preserve"> PAGE   \* MERGEFORMAT </w:instrText>
        </w:r>
        <w:r>
          <w:fldChar w:fldCharType="separate"/>
        </w:r>
        <w:r w:rsidR="00E858FA">
          <w:rPr>
            <w:noProof/>
          </w:rPr>
          <w:t>1</w:t>
        </w:r>
        <w:r>
          <w:rPr>
            <w:noProof/>
          </w:rPr>
          <w:fldChar w:fldCharType="end"/>
        </w:r>
      </w:p>
    </w:sdtContent>
  </w:sdt>
  <w:p w14:paraId="37A1A488" w14:textId="77777777" w:rsidR="00AF7313" w:rsidRDefault="00AF73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5FF62" w14:textId="77777777" w:rsidR="0059026B" w:rsidRDefault="0059026B" w:rsidP="004F544B">
      <w:pPr>
        <w:spacing w:after="0" w:line="240" w:lineRule="auto"/>
      </w:pPr>
      <w:r>
        <w:separator/>
      </w:r>
    </w:p>
  </w:footnote>
  <w:footnote w:type="continuationSeparator" w:id="0">
    <w:p w14:paraId="0C88B8F6" w14:textId="77777777" w:rsidR="0059026B" w:rsidRDefault="0059026B" w:rsidP="004F544B">
      <w:pPr>
        <w:spacing w:after="0" w:line="240" w:lineRule="auto"/>
      </w:pPr>
      <w:r>
        <w:continuationSeparator/>
      </w:r>
    </w:p>
  </w:footnote>
  <w:footnote w:id="1">
    <w:p w14:paraId="4FD4E985" w14:textId="1C82B0D8" w:rsidR="00AF7313" w:rsidRDefault="00AF7313">
      <w:pPr>
        <w:pStyle w:val="FootnoteText"/>
      </w:pPr>
      <w:r>
        <w:rPr>
          <w:rStyle w:val="FootnoteReference"/>
        </w:rPr>
        <w:footnoteRef/>
      </w:r>
      <w:r>
        <w:t xml:space="preserve"> Trauma-informed Care, Positive Youth Development, Housing First, Culturally Responsive Services, Racial Equity, Authentic Youth and Young Adult Engagement, and Multi-system Approaches</w:t>
      </w:r>
    </w:p>
  </w:footnote>
  <w:footnote w:id="2">
    <w:p w14:paraId="00C03C07" w14:textId="3F3E966B" w:rsidR="00AF7313" w:rsidRDefault="00AF7313">
      <w:pPr>
        <w:pStyle w:val="FootnoteText"/>
      </w:pPr>
      <w:r>
        <w:rPr>
          <w:rStyle w:val="FootnoteReference"/>
        </w:rPr>
        <w:footnoteRef/>
      </w:r>
      <w:r>
        <w:t xml:space="preserve"> </w:t>
      </w:r>
      <w:r w:rsidR="002D0F7F">
        <w:t xml:space="preserve">COPING-19 Survey with </w:t>
      </w:r>
      <w:r>
        <w:t>87 respondents from 9 of the regions</w:t>
      </w:r>
      <w:r w:rsidR="002D0F7F">
        <w:t xml:space="preserve"> administered in April 2020.</w:t>
      </w:r>
    </w:p>
  </w:footnote>
  <w:footnote w:id="3">
    <w:p w14:paraId="6F4EE398" w14:textId="382CFF53" w:rsidR="000C12E2" w:rsidRDefault="000C12E2">
      <w:pPr>
        <w:pStyle w:val="FootnoteText"/>
      </w:pPr>
      <w:r>
        <w:rPr>
          <w:rStyle w:val="FootnoteReference"/>
        </w:rPr>
        <w:footnoteRef/>
      </w:r>
      <w:r>
        <w:t xml:space="preserve"> 860 of unaccompanied youth experiencing homelessness were over 18 years old.</w:t>
      </w:r>
    </w:p>
  </w:footnote>
  <w:footnote w:id="4">
    <w:p w14:paraId="41B9F63D" w14:textId="66AA210B" w:rsidR="002D0F7F" w:rsidRDefault="002D0F7F">
      <w:pPr>
        <w:pStyle w:val="FootnoteText"/>
      </w:pPr>
      <w:r>
        <w:rPr>
          <w:rStyle w:val="FootnoteReference"/>
        </w:rPr>
        <w:footnoteRef/>
      </w:r>
      <w:r>
        <w:t xml:space="preserve"> De-duplication of total number of youth served in FY21 is not complete. For this reason, when discussing total numbers of youth served, this report only includes quarter one data. </w:t>
      </w:r>
      <w:r w:rsidR="004904B2">
        <w:t>Program n</w:t>
      </w:r>
      <w:r>
        <w:t>arratives from FY21 Quarter</w:t>
      </w:r>
      <w:r w:rsidR="004E0C7A">
        <w:t>s One and</w:t>
      </w:r>
      <w:r>
        <w:t xml:space="preserve"> Two are used to </w:t>
      </w:r>
      <w:r w:rsidR="004904B2">
        <w:t>describe</w:t>
      </w:r>
      <w:r>
        <w:t xml:space="preserve"> service utilization.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90501"/>
    <w:multiLevelType w:val="hybridMultilevel"/>
    <w:tmpl w:val="44EEC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CF3CBE"/>
    <w:multiLevelType w:val="hybridMultilevel"/>
    <w:tmpl w:val="270AF5E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A8407F"/>
    <w:multiLevelType w:val="hybridMultilevel"/>
    <w:tmpl w:val="F3F0D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290EBC"/>
    <w:multiLevelType w:val="hybridMultilevel"/>
    <w:tmpl w:val="D69007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607033"/>
    <w:multiLevelType w:val="hybridMultilevel"/>
    <w:tmpl w:val="F7C01BEE"/>
    <w:lvl w:ilvl="0" w:tplc="72549FD6">
      <w:start w:val="1"/>
      <w:numFmt w:val="decimal"/>
      <w:lvlText w:val="%1."/>
      <w:lvlJc w:val="left"/>
      <w:pPr>
        <w:ind w:left="360" w:hanging="360"/>
      </w:pPr>
      <w:rPr>
        <w:rFonts w:hint="default"/>
      </w:rPr>
    </w:lvl>
    <w:lvl w:ilvl="1" w:tplc="26340C18">
      <w:start w:val="1"/>
      <w:numFmt w:val="decimal"/>
      <w:lvlText w:val="%2."/>
      <w:lvlJc w:val="left"/>
      <w:pPr>
        <w:ind w:left="1080" w:hanging="360"/>
      </w:pPr>
      <w:rPr>
        <w:rFonts w:asciiTheme="minorHAnsi" w:eastAsiaTheme="minorHAnsi" w:hAnsiTheme="minorHAnsi" w:cstheme="minorBidi"/>
      </w:rPr>
    </w:lvl>
    <w:lvl w:ilvl="2" w:tplc="BB949916">
      <w:start w:val="1"/>
      <w:numFmt w:val="decimal"/>
      <w:lvlText w:val="%3."/>
      <w:lvlJc w:val="right"/>
      <w:pPr>
        <w:ind w:left="1800" w:hanging="180"/>
      </w:pPr>
      <w:rPr>
        <w:rFonts w:asciiTheme="minorHAnsi" w:eastAsiaTheme="minorHAnsi" w:hAnsiTheme="minorHAnsi" w:cstheme="minorBidi"/>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CB469F"/>
    <w:multiLevelType w:val="hybridMultilevel"/>
    <w:tmpl w:val="C66A7B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36F1BBE"/>
    <w:multiLevelType w:val="multilevel"/>
    <w:tmpl w:val="2062B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3A434B"/>
    <w:multiLevelType w:val="multilevel"/>
    <w:tmpl w:val="AB2E6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296377"/>
    <w:multiLevelType w:val="hybridMultilevel"/>
    <w:tmpl w:val="4E5A2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23708E"/>
    <w:multiLevelType w:val="hybridMultilevel"/>
    <w:tmpl w:val="464AD394"/>
    <w:lvl w:ilvl="0" w:tplc="72549FD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552527"/>
    <w:multiLevelType w:val="hybridMultilevel"/>
    <w:tmpl w:val="F6441366"/>
    <w:lvl w:ilvl="0" w:tplc="A216CF52">
      <w:start w:val="1"/>
      <w:numFmt w:val="bullet"/>
      <w:lvlText w:val="•"/>
      <w:lvlJc w:val="left"/>
      <w:pPr>
        <w:tabs>
          <w:tab w:val="num" w:pos="720"/>
        </w:tabs>
        <w:ind w:left="720" w:hanging="360"/>
      </w:pPr>
      <w:rPr>
        <w:rFonts w:ascii="Arial" w:hAnsi="Arial" w:hint="default"/>
      </w:rPr>
    </w:lvl>
    <w:lvl w:ilvl="1" w:tplc="0BEE1B64" w:tentative="1">
      <w:start w:val="1"/>
      <w:numFmt w:val="bullet"/>
      <w:lvlText w:val="•"/>
      <w:lvlJc w:val="left"/>
      <w:pPr>
        <w:tabs>
          <w:tab w:val="num" w:pos="1440"/>
        </w:tabs>
        <w:ind w:left="1440" w:hanging="360"/>
      </w:pPr>
      <w:rPr>
        <w:rFonts w:ascii="Arial" w:hAnsi="Arial" w:hint="default"/>
      </w:rPr>
    </w:lvl>
    <w:lvl w:ilvl="2" w:tplc="55B0AA74" w:tentative="1">
      <w:start w:val="1"/>
      <w:numFmt w:val="bullet"/>
      <w:lvlText w:val="•"/>
      <w:lvlJc w:val="left"/>
      <w:pPr>
        <w:tabs>
          <w:tab w:val="num" w:pos="2160"/>
        </w:tabs>
        <w:ind w:left="2160" w:hanging="360"/>
      </w:pPr>
      <w:rPr>
        <w:rFonts w:ascii="Arial" w:hAnsi="Arial" w:hint="default"/>
      </w:rPr>
    </w:lvl>
    <w:lvl w:ilvl="3" w:tplc="C18EDEDA" w:tentative="1">
      <w:start w:val="1"/>
      <w:numFmt w:val="bullet"/>
      <w:lvlText w:val="•"/>
      <w:lvlJc w:val="left"/>
      <w:pPr>
        <w:tabs>
          <w:tab w:val="num" w:pos="2880"/>
        </w:tabs>
        <w:ind w:left="2880" w:hanging="360"/>
      </w:pPr>
      <w:rPr>
        <w:rFonts w:ascii="Arial" w:hAnsi="Arial" w:hint="default"/>
      </w:rPr>
    </w:lvl>
    <w:lvl w:ilvl="4" w:tplc="D556FAB2" w:tentative="1">
      <w:start w:val="1"/>
      <w:numFmt w:val="bullet"/>
      <w:lvlText w:val="•"/>
      <w:lvlJc w:val="left"/>
      <w:pPr>
        <w:tabs>
          <w:tab w:val="num" w:pos="3600"/>
        </w:tabs>
        <w:ind w:left="3600" w:hanging="360"/>
      </w:pPr>
      <w:rPr>
        <w:rFonts w:ascii="Arial" w:hAnsi="Arial" w:hint="default"/>
      </w:rPr>
    </w:lvl>
    <w:lvl w:ilvl="5" w:tplc="022467FC" w:tentative="1">
      <w:start w:val="1"/>
      <w:numFmt w:val="bullet"/>
      <w:lvlText w:val="•"/>
      <w:lvlJc w:val="left"/>
      <w:pPr>
        <w:tabs>
          <w:tab w:val="num" w:pos="4320"/>
        </w:tabs>
        <w:ind w:left="4320" w:hanging="360"/>
      </w:pPr>
      <w:rPr>
        <w:rFonts w:ascii="Arial" w:hAnsi="Arial" w:hint="default"/>
      </w:rPr>
    </w:lvl>
    <w:lvl w:ilvl="6" w:tplc="C8ECA630" w:tentative="1">
      <w:start w:val="1"/>
      <w:numFmt w:val="bullet"/>
      <w:lvlText w:val="•"/>
      <w:lvlJc w:val="left"/>
      <w:pPr>
        <w:tabs>
          <w:tab w:val="num" w:pos="5040"/>
        </w:tabs>
        <w:ind w:left="5040" w:hanging="360"/>
      </w:pPr>
      <w:rPr>
        <w:rFonts w:ascii="Arial" w:hAnsi="Arial" w:hint="default"/>
      </w:rPr>
    </w:lvl>
    <w:lvl w:ilvl="7" w:tplc="14B27822" w:tentative="1">
      <w:start w:val="1"/>
      <w:numFmt w:val="bullet"/>
      <w:lvlText w:val="•"/>
      <w:lvlJc w:val="left"/>
      <w:pPr>
        <w:tabs>
          <w:tab w:val="num" w:pos="5760"/>
        </w:tabs>
        <w:ind w:left="5760" w:hanging="360"/>
      </w:pPr>
      <w:rPr>
        <w:rFonts w:ascii="Arial" w:hAnsi="Arial" w:hint="default"/>
      </w:rPr>
    </w:lvl>
    <w:lvl w:ilvl="8" w:tplc="0F74541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95113D4"/>
    <w:multiLevelType w:val="hybridMultilevel"/>
    <w:tmpl w:val="CE006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141B27"/>
    <w:multiLevelType w:val="hybridMultilevel"/>
    <w:tmpl w:val="CCFECA16"/>
    <w:lvl w:ilvl="0" w:tplc="04090011">
      <w:start w:val="1"/>
      <w:numFmt w:val="decimal"/>
      <w:lvlText w:val="%1)"/>
      <w:lvlJc w:val="left"/>
      <w:pPr>
        <w:ind w:left="720" w:hanging="360"/>
      </w:pPr>
    </w:lvl>
    <w:lvl w:ilvl="1" w:tplc="57DAD62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840C5D"/>
    <w:multiLevelType w:val="hybridMultilevel"/>
    <w:tmpl w:val="1D7A3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89227B"/>
    <w:multiLevelType w:val="multilevel"/>
    <w:tmpl w:val="0750FD00"/>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4BDB50DF"/>
    <w:multiLevelType w:val="hybridMultilevel"/>
    <w:tmpl w:val="6750E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C378FF"/>
    <w:multiLevelType w:val="multilevel"/>
    <w:tmpl w:val="3E3A8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3891913"/>
    <w:multiLevelType w:val="multilevel"/>
    <w:tmpl w:val="F19EE048"/>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758948B0"/>
    <w:multiLevelType w:val="hybridMultilevel"/>
    <w:tmpl w:val="EC4261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864C47"/>
    <w:multiLevelType w:val="hybridMultilevel"/>
    <w:tmpl w:val="BC465F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67176C"/>
    <w:multiLevelType w:val="multilevel"/>
    <w:tmpl w:val="8F9843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18"/>
  </w:num>
  <w:num w:numId="4">
    <w:abstractNumId w:val="20"/>
  </w:num>
  <w:num w:numId="5">
    <w:abstractNumId w:val="20"/>
    <w:lvlOverride w:ilvl="0">
      <w:lvl w:ilvl="0">
        <w:numFmt w:val="decimal"/>
        <w:lvlText w:val=""/>
        <w:lvlJc w:val="left"/>
      </w:lvl>
    </w:lvlOverride>
    <w:lvlOverride w:ilvl="1">
      <w:lvl w:ilvl="1">
        <w:numFmt w:val="decimal"/>
        <w:lvlText w:val="%2."/>
        <w:lvlJc w:val="left"/>
      </w:lvl>
    </w:lvlOverride>
  </w:num>
  <w:num w:numId="6">
    <w:abstractNumId w:val="14"/>
  </w:num>
  <w:num w:numId="7">
    <w:abstractNumId w:val="9"/>
  </w:num>
  <w:num w:numId="8">
    <w:abstractNumId w:val="11"/>
  </w:num>
  <w:num w:numId="9">
    <w:abstractNumId w:val="5"/>
  </w:num>
  <w:num w:numId="10">
    <w:abstractNumId w:val="17"/>
  </w:num>
  <w:num w:numId="11">
    <w:abstractNumId w:val="19"/>
  </w:num>
  <w:num w:numId="12">
    <w:abstractNumId w:val="2"/>
  </w:num>
  <w:num w:numId="13">
    <w:abstractNumId w:val="15"/>
  </w:num>
  <w:num w:numId="14">
    <w:abstractNumId w:val="1"/>
  </w:num>
  <w:num w:numId="15">
    <w:abstractNumId w:val="10"/>
  </w:num>
  <w:num w:numId="16">
    <w:abstractNumId w:val="13"/>
  </w:num>
  <w:num w:numId="17">
    <w:abstractNumId w:val="6"/>
  </w:num>
  <w:num w:numId="18">
    <w:abstractNumId w:val="12"/>
  </w:num>
  <w:num w:numId="19">
    <w:abstractNumId w:val="0"/>
  </w:num>
  <w:num w:numId="20">
    <w:abstractNumId w:val="8"/>
  </w:num>
  <w:num w:numId="21">
    <w:abstractNumId w:val="7"/>
  </w:num>
  <w:num w:numId="22">
    <w:abstractNumId w:val="16"/>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7C5"/>
    <w:rsid w:val="000077C2"/>
    <w:rsid w:val="00013A35"/>
    <w:rsid w:val="00030265"/>
    <w:rsid w:val="00033E92"/>
    <w:rsid w:val="00090D67"/>
    <w:rsid w:val="00091324"/>
    <w:rsid w:val="00091C03"/>
    <w:rsid w:val="00093DA6"/>
    <w:rsid w:val="0009585C"/>
    <w:rsid w:val="000C12E2"/>
    <w:rsid w:val="000D13C9"/>
    <w:rsid w:val="00115F7C"/>
    <w:rsid w:val="00143CC0"/>
    <w:rsid w:val="001501C1"/>
    <w:rsid w:val="0017523B"/>
    <w:rsid w:val="00175A89"/>
    <w:rsid w:val="00186BF4"/>
    <w:rsid w:val="001A4E89"/>
    <w:rsid w:val="001C355C"/>
    <w:rsid w:val="00284F68"/>
    <w:rsid w:val="002B5E81"/>
    <w:rsid w:val="002B7BFD"/>
    <w:rsid w:val="002C5BDC"/>
    <w:rsid w:val="002D0F7F"/>
    <w:rsid w:val="002D2624"/>
    <w:rsid w:val="002F24BA"/>
    <w:rsid w:val="003319B8"/>
    <w:rsid w:val="003E67C5"/>
    <w:rsid w:val="00426D31"/>
    <w:rsid w:val="00444612"/>
    <w:rsid w:val="00464DCA"/>
    <w:rsid w:val="00475153"/>
    <w:rsid w:val="004904B2"/>
    <w:rsid w:val="004B412B"/>
    <w:rsid w:val="004B6D1C"/>
    <w:rsid w:val="004E0C7A"/>
    <w:rsid w:val="004F29DA"/>
    <w:rsid w:val="004F544B"/>
    <w:rsid w:val="00507B3D"/>
    <w:rsid w:val="00512545"/>
    <w:rsid w:val="005212F5"/>
    <w:rsid w:val="00526417"/>
    <w:rsid w:val="00542B6D"/>
    <w:rsid w:val="00553478"/>
    <w:rsid w:val="0059026B"/>
    <w:rsid w:val="005C73BF"/>
    <w:rsid w:val="005E1009"/>
    <w:rsid w:val="005F7D03"/>
    <w:rsid w:val="006012AB"/>
    <w:rsid w:val="006115E8"/>
    <w:rsid w:val="00642B2E"/>
    <w:rsid w:val="00642CF8"/>
    <w:rsid w:val="00646268"/>
    <w:rsid w:val="006515FD"/>
    <w:rsid w:val="00656398"/>
    <w:rsid w:val="00667AB1"/>
    <w:rsid w:val="00672AD3"/>
    <w:rsid w:val="006C79C5"/>
    <w:rsid w:val="006D6074"/>
    <w:rsid w:val="00735C07"/>
    <w:rsid w:val="007501E9"/>
    <w:rsid w:val="00754582"/>
    <w:rsid w:val="00760ACB"/>
    <w:rsid w:val="00771702"/>
    <w:rsid w:val="007B4AD7"/>
    <w:rsid w:val="007B5B43"/>
    <w:rsid w:val="0082636E"/>
    <w:rsid w:val="00833CE3"/>
    <w:rsid w:val="00837DA2"/>
    <w:rsid w:val="008943B2"/>
    <w:rsid w:val="008B7650"/>
    <w:rsid w:val="008C6CAC"/>
    <w:rsid w:val="008F447E"/>
    <w:rsid w:val="0090095F"/>
    <w:rsid w:val="00935C64"/>
    <w:rsid w:val="00962EC1"/>
    <w:rsid w:val="00967E7A"/>
    <w:rsid w:val="00970A06"/>
    <w:rsid w:val="00982A45"/>
    <w:rsid w:val="00995D11"/>
    <w:rsid w:val="009A4B19"/>
    <w:rsid w:val="009B202C"/>
    <w:rsid w:val="009B551E"/>
    <w:rsid w:val="009F4808"/>
    <w:rsid w:val="00A814A7"/>
    <w:rsid w:val="00AB50E2"/>
    <w:rsid w:val="00AD524B"/>
    <w:rsid w:val="00AE7BA2"/>
    <w:rsid w:val="00AF7313"/>
    <w:rsid w:val="00B2271E"/>
    <w:rsid w:val="00B653CA"/>
    <w:rsid w:val="00B7201A"/>
    <w:rsid w:val="00BE377D"/>
    <w:rsid w:val="00C071AE"/>
    <w:rsid w:val="00C613DC"/>
    <w:rsid w:val="00C87600"/>
    <w:rsid w:val="00CF681A"/>
    <w:rsid w:val="00D05871"/>
    <w:rsid w:val="00D25C3E"/>
    <w:rsid w:val="00D449E9"/>
    <w:rsid w:val="00D4562E"/>
    <w:rsid w:val="00D47C8B"/>
    <w:rsid w:val="00D86E1F"/>
    <w:rsid w:val="00DC5353"/>
    <w:rsid w:val="00DE5ADD"/>
    <w:rsid w:val="00E07C64"/>
    <w:rsid w:val="00E36E64"/>
    <w:rsid w:val="00E61727"/>
    <w:rsid w:val="00E66D34"/>
    <w:rsid w:val="00E74A22"/>
    <w:rsid w:val="00E77AD0"/>
    <w:rsid w:val="00E858FA"/>
    <w:rsid w:val="00EB60D2"/>
    <w:rsid w:val="00EE6B87"/>
    <w:rsid w:val="00EE7E77"/>
    <w:rsid w:val="00EF20AE"/>
    <w:rsid w:val="00EF3EDC"/>
    <w:rsid w:val="00EF4D71"/>
    <w:rsid w:val="00F01337"/>
    <w:rsid w:val="00F01910"/>
    <w:rsid w:val="00F12058"/>
    <w:rsid w:val="00F1392A"/>
    <w:rsid w:val="00F408DB"/>
    <w:rsid w:val="00F504C7"/>
    <w:rsid w:val="00F9530A"/>
    <w:rsid w:val="00FB0BB6"/>
    <w:rsid w:val="00FC2D11"/>
    <w:rsid w:val="00FE3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CF428"/>
  <w15:docId w15:val="{7D449C12-DD75-47CF-94AE-6FD35769C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pPr>
  </w:style>
  <w:style w:type="paragraph" w:styleId="Heading1">
    <w:name w:val="heading 1"/>
    <w:basedOn w:val="Normal"/>
    <w:next w:val="Normal"/>
    <w:link w:val="Heading1Char"/>
    <w:uiPriority w:val="9"/>
    <w:qFormat/>
    <w:rsid w:val="009B55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B551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67C5"/>
    <w:pPr>
      <w:ind w:left="720"/>
      <w:contextualSpacing/>
    </w:pPr>
  </w:style>
  <w:style w:type="table" w:styleId="TableGrid">
    <w:name w:val="Table Grid"/>
    <w:basedOn w:val="TableNormal"/>
    <w:uiPriority w:val="59"/>
    <w:unhideWhenUsed/>
    <w:rsid w:val="006D607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F54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544B"/>
    <w:rPr>
      <w:sz w:val="20"/>
      <w:szCs w:val="20"/>
    </w:rPr>
  </w:style>
  <w:style w:type="character" w:styleId="FootnoteReference">
    <w:name w:val="footnote reference"/>
    <w:basedOn w:val="DefaultParagraphFont"/>
    <w:uiPriority w:val="99"/>
    <w:semiHidden/>
    <w:unhideWhenUsed/>
    <w:rsid w:val="004F544B"/>
    <w:rPr>
      <w:vertAlign w:val="superscript"/>
    </w:rPr>
  </w:style>
  <w:style w:type="paragraph" w:styleId="Header">
    <w:name w:val="header"/>
    <w:basedOn w:val="Normal"/>
    <w:link w:val="HeaderChar"/>
    <w:uiPriority w:val="99"/>
    <w:unhideWhenUsed/>
    <w:rsid w:val="004F54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544B"/>
  </w:style>
  <w:style w:type="paragraph" w:styleId="Footer">
    <w:name w:val="footer"/>
    <w:basedOn w:val="Normal"/>
    <w:link w:val="FooterChar"/>
    <w:uiPriority w:val="99"/>
    <w:unhideWhenUsed/>
    <w:rsid w:val="004F54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544B"/>
  </w:style>
  <w:style w:type="character" w:styleId="Strong">
    <w:name w:val="Strong"/>
    <w:basedOn w:val="DefaultParagraphFont"/>
    <w:uiPriority w:val="22"/>
    <w:qFormat/>
    <w:rsid w:val="004B6D1C"/>
    <w:rPr>
      <w:b/>
      <w:bCs/>
    </w:rPr>
  </w:style>
  <w:style w:type="character" w:styleId="IntenseEmphasis">
    <w:name w:val="Intense Emphasis"/>
    <w:basedOn w:val="DefaultParagraphFont"/>
    <w:uiPriority w:val="21"/>
    <w:qFormat/>
    <w:rsid w:val="004B6D1C"/>
    <w:rPr>
      <w:b/>
      <w:bCs/>
      <w:i/>
      <w:iCs/>
      <w:color w:val="4F81BD" w:themeColor="accent1"/>
    </w:rPr>
  </w:style>
  <w:style w:type="paragraph" w:styleId="IntenseQuote">
    <w:name w:val="Intense Quote"/>
    <w:basedOn w:val="Normal"/>
    <w:next w:val="Normal"/>
    <w:link w:val="IntenseQuoteChar"/>
    <w:uiPriority w:val="30"/>
    <w:qFormat/>
    <w:rsid w:val="004B6D1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B6D1C"/>
    <w:rPr>
      <w:b/>
      <w:bCs/>
      <w:i/>
      <w:iCs/>
      <w:color w:val="4F81BD" w:themeColor="accent1"/>
    </w:rPr>
  </w:style>
  <w:style w:type="character" w:customStyle="1" w:styleId="Heading1Char">
    <w:name w:val="Heading 1 Char"/>
    <w:basedOn w:val="DefaultParagraphFont"/>
    <w:link w:val="Heading1"/>
    <w:uiPriority w:val="9"/>
    <w:rsid w:val="009B551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9B551E"/>
    <w:pPr>
      <w:spacing w:line="276" w:lineRule="auto"/>
      <w:outlineLvl w:val="9"/>
    </w:pPr>
    <w:rPr>
      <w:lang w:eastAsia="ja-JP"/>
    </w:rPr>
  </w:style>
  <w:style w:type="paragraph" w:styleId="TOC1">
    <w:name w:val="toc 1"/>
    <w:basedOn w:val="Normal"/>
    <w:next w:val="Normal"/>
    <w:autoRedefine/>
    <w:uiPriority w:val="39"/>
    <w:unhideWhenUsed/>
    <w:rsid w:val="009B551E"/>
    <w:pPr>
      <w:spacing w:after="100"/>
    </w:pPr>
  </w:style>
  <w:style w:type="character" w:styleId="Hyperlink">
    <w:name w:val="Hyperlink"/>
    <w:basedOn w:val="DefaultParagraphFont"/>
    <w:uiPriority w:val="99"/>
    <w:unhideWhenUsed/>
    <w:rsid w:val="009B551E"/>
    <w:rPr>
      <w:color w:val="0000FF" w:themeColor="hyperlink"/>
      <w:u w:val="single"/>
    </w:rPr>
  </w:style>
  <w:style w:type="paragraph" w:styleId="BalloonText">
    <w:name w:val="Balloon Text"/>
    <w:basedOn w:val="Normal"/>
    <w:link w:val="BalloonTextChar"/>
    <w:uiPriority w:val="99"/>
    <w:semiHidden/>
    <w:unhideWhenUsed/>
    <w:rsid w:val="009B55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551E"/>
    <w:rPr>
      <w:rFonts w:ascii="Tahoma" w:hAnsi="Tahoma" w:cs="Tahoma"/>
      <w:sz w:val="16"/>
      <w:szCs w:val="16"/>
    </w:rPr>
  </w:style>
  <w:style w:type="character" w:customStyle="1" w:styleId="Heading2Char">
    <w:name w:val="Heading 2 Char"/>
    <w:basedOn w:val="DefaultParagraphFont"/>
    <w:link w:val="Heading2"/>
    <w:uiPriority w:val="9"/>
    <w:rsid w:val="009B551E"/>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9B551E"/>
    <w:pPr>
      <w:spacing w:after="100"/>
      <w:ind w:left="220"/>
    </w:pPr>
  </w:style>
  <w:style w:type="paragraph" w:customStyle="1" w:styleId="Body">
    <w:name w:val="Body"/>
    <w:rsid w:val="00760ACB"/>
    <w:pPr>
      <w:pBdr>
        <w:top w:val="nil"/>
        <w:left w:val="nil"/>
        <w:bottom w:val="nil"/>
        <w:right w:val="nil"/>
        <w:between w:val="nil"/>
        <w:bar w:val="nil"/>
      </w:pBdr>
      <w:spacing w:line="240" w:lineRule="auto"/>
    </w:pPr>
    <w:rPr>
      <w:rFonts w:ascii="Cambria" w:eastAsia="Arial Unicode MS" w:hAnsi="Cambria" w:cs="Arial Unicode MS"/>
      <w:color w:val="000000"/>
      <w:sz w:val="24"/>
      <w:szCs w:val="24"/>
      <w:u w:color="000000"/>
      <w:bdr w:val="nil"/>
      <w14:textOutline w14:w="0" w14:cap="flat" w14:cmpd="sng" w14:algn="ctr">
        <w14:noFill/>
        <w14:prstDash w14:val="solid"/>
        <w14:bevel/>
      </w14:textOutline>
    </w:rPr>
  </w:style>
  <w:style w:type="paragraph" w:styleId="NormalWeb">
    <w:name w:val="Normal (Web)"/>
    <w:basedOn w:val="Normal"/>
    <w:uiPriority w:val="99"/>
    <w:semiHidden/>
    <w:unhideWhenUsed/>
    <w:rsid w:val="0047515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4904B2"/>
    <w:pPr>
      <w:spacing w:line="240" w:lineRule="auto"/>
    </w:pPr>
    <w:rPr>
      <w:rFonts w:eastAsiaTheme="minorEastAsia"/>
      <w:lang w:eastAsia="ja-JP"/>
    </w:rPr>
  </w:style>
  <w:style w:type="character" w:customStyle="1" w:styleId="NoSpacingChar">
    <w:name w:val="No Spacing Char"/>
    <w:basedOn w:val="DefaultParagraphFont"/>
    <w:link w:val="NoSpacing"/>
    <w:uiPriority w:val="1"/>
    <w:rsid w:val="004904B2"/>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67200">
      <w:bodyDiv w:val="1"/>
      <w:marLeft w:val="0"/>
      <w:marRight w:val="0"/>
      <w:marTop w:val="0"/>
      <w:marBottom w:val="0"/>
      <w:divBdr>
        <w:top w:val="none" w:sz="0" w:space="0" w:color="auto"/>
        <w:left w:val="none" w:sz="0" w:space="0" w:color="auto"/>
        <w:bottom w:val="none" w:sz="0" w:space="0" w:color="auto"/>
        <w:right w:val="none" w:sz="0" w:space="0" w:color="auto"/>
      </w:divBdr>
      <w:divsChild>
        <w:div w:id="814222837">
          <w:marLeft w:val="547"/>
          <w:marRight w:val="0"/>
          <w:marTop w:val="134"/>
          <w:marBottom w:val="0"/>
          <w:divBdr>
            <w:top w:val="none" w:sz="0" w:space="0" w:color="auto"/>
            <w:left w:val="none" w:sz="0" w:space="0" w:color="auto"/>
            <w:bottom w:val="none" w:sz="0" w:space="0" w:color="auto"/>
            <w:right w:val="none" w:sz="0" w:space="0" w:color="auto"/>
          </w:divBdr>
        </w:div>
        <w:div w:id="448476474">
          <w:marLeft w:val="547"/>
          <w:marRight w:val="0"/>
          <w:marTop w:val="134"/>
          <w:marBottom w:val="0"/>
          <w:divBdr>
            <w:top w:val="none" w:sz="0" w:space="0" w:color="auto"/>
            <w:left w:val="none" w:sz="0" w:space="0" w:color="auto"/>
            <w:bottom w:val="none" w:sz="0" w:space="0" w:color="auto"/>
            <w:right w:val="none" w:sz="0" w:space="0" w:color="auto"/>
          </w:divBdr>
        </w:div>
      </w:divsChild>
    </w:div>
    <w:div w:id="607658383">
      <w:bodyDiv w:val="1"/>
      <w:marLeft w:val="0"/>
      <w:marRight w:val="0"/>
      <w:marTop w:val="0"/>
      <w:marBottom w:val="0"/>
      <w:divBdr>
        <w:top w:val="none" w:sz="0" w:space="0" w:color="auto"/>
        <w:left w:val="none" w:sz="0" w:space="0" w:color="auto"/>
        <w:bottom w:val="none" w:sz="0" w:space="0" w:color="auto"/>
        <w:right w:val="none" w:sz="0" w:space="0" w:color="auto"/>
      </w:divBdr>
    </w:div>
    <w:div w:id="678896697">
      <w:bodyDiv w:val="1"/>
      <w:marLeft w:val="0"/>
      <w:marRight w:val="0"/>
      <w:marTop w:val="0"/>
      <w:marBottom w:val="0"/>
      <w:divBdr>
        <w:top w:val="none" w:sz="0" w:space="0" w:color="auto"/>
        <w:left w:val="none" w:sz="0" w:space="0" w:color="auto"/>
        <w:bottom w:val="none" w:sz="0" w:space="0" w:color="auto"/>
        <w:right w:val="none" w:sz="0" w:space="0" w:color="auto"/>
      </w:divBdr>
    </w:div>
    <w:div w:id="1399792571">
      <w:bodyDiv w:val="1"/>
      <w:marLeft w:val="0"/>
      <w:marRight w:val="0"/>
      <w:marTop w:val="0"/>
      <w:marBottom w:val="0"/>
      <w:divBdr>
        <w:top w:val="none" w:sz="0" w:space="0" w:color="auto"/>
        <w:left w:val="none" w:sz="0" w:space="0" w:color="auto"/>
        <w:bottom w:val="none" w:sz="0" w:space="0" w:color="auto"/>
        <w:right w:val="none" w:sz="0" w:space="0" w:color="auto"/>
      </w:divBdr>
    </w:div>
    <w:div w:id="1512719470">
      <w:bodyDiv w:val="1"/>
      <w:marLeft w:val="0"/>
      <w:marRight w:val="0"/>
      <w:marTop w:val="0"/>
      <w:marBottom w:val="0"/>
      <w:divBdr>
        <w:top w:val="none" w:sz="0" w:space="0" w:color="auto"/>
        <w:left w:val="none" w:sz="0" w:space="0" w:color="auto"/>
        <w:bottom w:val="none" w:sz="0" w:space="0" w:color="auto"/>
        <w:right w:val="none" w:sz="0" w:space="0" w:color="auto"/>
      </w:divBdr>
    </w:div>
    <w:div w:id="1604919104">
      <w:bodyDiv w:val="1"/>
      <w:marLeft w:val="0"/>
      <w:marRight w:val="0"/>
      <w:marTop w:val="0"/>
      <w:marBottom w:val="0"/>
      <w:divBdr>
        <w:top w:val="none" w:sz="0" w:space="0" w:color="auto"/>
        <w:left w:val="none" w:sz="0" w:space="0" w:color="auto"/>
        <w:bottom w:val="none" w:sz="0" w:space="0" w:color="auto"/>
        <w:right w:val="none" w:sz="0" w:space="0" w:color="auto"/>
      </w:divBdr>
    </w:div>
    <w:div w:id="1905792312">
      <w:bodyDiv w:val="1"/>
      <w:marLeft w:val="0"/>
      <w:marRight w:val="0"/>
      <w:marTop w:val="0"/>
      <w:marBottom w:val="0"/>
      <w:divBdr>
        <w:top w:val="none" w:sz="0" w:space="0" w:color="auto"/>
        <w:left w:val="none" w:sz="0" w:space="0" w:color="auto"/>
        <w:bottom w:val="none" w:sz="0" w:space="0" w:color="auto"/>
        <w:right w:val="none" w:sz="0" w:space="0" w:color="auto"/>
      </w:divBdr>
    </w:div>
    <w:div w:id="2115706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D3127D63E94512B06A8143138136F9"/>
        <w:category>
          <w:name w:val="General"/>
          <w:gallery w:val="placeholder"/>
        </w:category>
        <w:types>
          <w:type w:val="bbPlcHdr"/>
        </w:types>
        <w:behaviors>
          <w:behavior w:val="content"/>
        </w:behaviors>
        <w:guid w:val="{09B1A5D1-1163-4FE5-A181-B24705C9241A}"/>
      </w:docPartPr>
      <w:docPartBody>
        <w:p w:rsidR="00D07025" w:rsidRDefault="004B5362" w:rsidP="004B5362">
          <w:pPr>
            <w:pStyle w:val="28D3127D63E94512B06A8143138136F9"/>
          </w:pPr>
          <w:r>
            <w:rPr>
              <w:rFonts w:asciiTheme="majorHAnsi" w:eastAsiaTheme="majorEastAsia" w:hAnsiTheme="majorHAnsi" w:cstheme="majorBidi"/>
              <w:sz w:val="72"/>
              <w:szCs w:val="7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Bahnschrift SemiBol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5362"/>
    <w:rsid w:val="004B5362"/>
    <w:rsid w:val="008968F3"/>
    <w:rsid w:val="008B631B"/>
    <w:rsid w:val="008F104F"/>
    <w:rsid w:val="00B96BB0"/>
    <w:rsid w:val="00D07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8D3127D63E94512B06A8143138136F9">
    <w:name w:val="28D3127D63E94512B06A8143138136F9"/>
    <w:rsid w:val="004B53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PublishDate>
  <Abstract>The purpose of the Commission is to study and make recommendations regarding services for unaccompanied youth and young adults experiencing homelessness in Massachusetts, to ultimately provide comprehensive and effective responses to the unique needs of this population.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BFA5379-B176-4DD6-8149-0B5AB70E0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2916</Words>
  <Characters>18054</Characters>
  <Application>Microsoft Office Word</Application>
  <DocSecurity>0</DocSecurity>
  <Lines>300</Lines>
  <Paragraphs>123</Paragraphs>
  <ScaleCrop>false</ScaleCrop>
  <HeadingPairs>
    <vt:vector size="2" baseType="variant">
      <vt:variant>
        <vt:lpstr>Title</vt:lpstr>
      </vt:variant>
      <vt:variant>
        <vt:i4>1</vt:i4>
      </vt:variant>
    </vt:vector>
  </HeadingPairs>
  <TitlesOfParts>
    <vt:vector size="1" baseType="lpstr">
      <vt:lpstr>Special Report to the MA  Unaccompanied Homeless Youth Commission </vt:lpstr>
    </vt:vector>
  </TitlesOfParts>
  <Company/>
  <LinksUpToDate>false</LinksUpToDate>
  <CharactersWithSpaces>20847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Report to the MA  Unaccompanied Homeless Youth Commission</dc:title>
  <dc:creator>Owner</dc:creator>
  <cp:lastModifiedBy>Laurie Ross</cp:lastModifiedBy>
  <cp:revision>2</cp:revision>
  <dcterms:created xsi:type="dcterms:W3CDTF">2024-10-17T21:30:00Z</dcterms:created>
  <dcterms:modified xsi:type="dcterms:W3CDTF">2024-10-17T21:30:00Z</dcterms:modified>
</cp:coreProperties>
</file>